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2477770</wp:posOffset>
            </wp:positionH>
            <wp:positionV relativeFrom="page">
              <wp:posOffset>506730</wp:posOffset>
            </wp:positionV>
            <wp:extent cx="2593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3975" cy="698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81280</wp:posOffset>
            </wp:positionV>
            <wp:extent cx="25939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100965</wp:posOffset>
            </wp:positionV>
            <wp:extent cx="25939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35"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40" w:hanging="421"/>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w w:val="93"/>
              </w:rPr>
              <w:t>For the transition period from</w:t>
            </w:r>
          </w:p>
        </w:tc>
        <w:tc>
          <w:tcPr>
            <w:tcW w:w="70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66"/>
        </w:trPr>
        <w:tc>
          <w:tcPr>
            <w:tcW w:w="3500" w:type="dxa"/>
            <w:vAlign w:val="bottom"/>
            <w:gridSpan w:val="4"/>
          </w:tcPr>
          <w:p>
            <w:pPr>
              <w:ind w:left="640"/>
              <w:spacing w:after="0"/>
              <w:rPr>
                <w:sz w:val="20"/>
                <w:szCs w:val="20"/>
                <w:color w:val="auto"/>
              </w:rPr>
            </w:pPr>
            <w:r>
              <w:rPr>
                <w:rFonts w:ascii="Arial" w:cs="Arial" w:eastAsia="Arial" w:hAnsi="Arial"/>
                <w:sz w:val="14"/>
                <w:szCs w:val="14"/>
                <w:b w:val="1"/>
                <w:bCs w:val="1"/>
                <w:color w:val="auto"/>
              </w:rPr>
              <w:t>Commission File Number: 001-37985</w:t>
            </w: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81280</wp:posOffset>
            </wp:positionV>
            <wp:extent cx="25939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25"/>
                <w:szCs w:val="25"/>
                <w:b w:val="1"/>
                <w:bCs w:val="1"/>
                <w:color w:val="auto"/>
              </w:rPr>
              <w:t>ANAPTYSBIO, INC.</w:t>
            </w:r>
          </w:p>
        </w:tc>
        <w:tc>
          <w:tcPr>
            <w:tcW w:w="3620" w:type="dxa"/>
            <w:vAlign w:val="bottom"/>
          </w:tcPr>
          <w:p>
            <w:pPr>
              <w:spacing w:after="0"/>
              <w:rPr>
                <w:sz w:val="24"/>
                <w:szCs w:val="24"/>
                <w:color w:val="auto"/>
              </w:rPr>
            </w:pPr>
          </w:p>
        </w:tc>
      </w:tr>
      <w:tr>
        <w:trPr>
          <w:trHeight w:val="184"/>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3620" w:type="dxa"/>
            <w:vAlign w:val="bottom"/>
          </w:tcPr>
          <w:p>
            <w:pPr>
              <w:spacing w:after="0"/>
              <w:rPr>
                <w:sz w:val="16"/>
                <w:szCs w:val="16"/>
                <w:color w:val="auto"/>
              </w:rPr>
            </w:pPr>
          </w:p>
        </w:tc>
      </w:tr>
      <w:tr>
        <w:trPr>
          <w:trHeight w:val="138"/>
        </w:trPr>
        <w:tc>
          <w:tcPr>
            <w:tcW w:w="3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20" w:type="dxa"/>
            <w:vAlign w:val="bottom"/>
          </w:tcPr>
          <w:p>
            <w:pPr>
              <w:spacing w:after="0"/>
              <w:rPr>
                <w:sz w:val="12"/>
                <w:szCs w:val="12"/>
                <w:color w:val="auto"/>
              </w:rPr>
            </w:pPr>
          </w:p>
        </w:tc>
      </w:tr>
      <w:tr>
        <w:trPr>
          <w:trHeight w:val="249"/>
        </w:trPr>
        <w:tc>
          <w:tcPr>
            <w:tcW w:w="3900" w:type="dxa"/>
            <w:vAlign w:val="bottom"/>
            <w:gridSpan w:val="2"/>
          </w:tcPr>
          <w:p>
            <w:pPr>
              <w:jc w:val="center"/>
              <w:ind w:left="2095"/>
              <w:spacing w:after="0"/>
              <w:rPr>
                <w:sz w:val="20"/>
                <w:szCs w:val="20"/>
                <w:color w:val="auto"/>
              </w:rPr>
            </w:pPr>
            <w:r>
              <w:rPr>
                <w:rFonts w:ascii="Arial" w:cs="Arial" w:eastAsia="Arial" w:hAnsi="Arial"/>
                <w:sz w:val="14"/>
                <w:szCs w:val="14"/>
                <w:b w:val="1"/>
                <w:bCs w:val="1"/>
                <w:color w:val="auto"/>
                <w:w w:val="94"/>
              </w:rPr>
              <w:t>Delaware</w:t>
            </w:r>
          </w:p>
        </w:tc>
        <w:tc>
          <w:tcPr>
            <w:tcW w:w="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20" w:type="dxa"/>
            <w:vAlign w:val="bottom"/>
          </w:tcPr>
          <w:p>
            <w:pPr>
              <w:jc w:val="center"/>
              <w:ind w:right="2235"/>
              <w:spacing w:after="0"/>
              <w:rPr>
                <w:sz w:val="20"/>
                <w:szCs w:val="20"/>
                <w:color w:val="auto"/>
              </w:rPr>
            </w:pPr>
            <w:r>
              <w:rPr>
                <w:rFonts w:ascii="Arial" w:cs="Arial" w:eastAsia="Arial" w:hAnsi="Arial"/>
                <w:sz w:val="14"/>
                <w:szCs w:val="14"/>
                <w:b w:val="1"/>
                <w:bCs w:val="1"/>
                <w:color w:val="auto"/>
                <w:w w:val="90"/>
              </w:rPr>
              <w:t>20-3828755</w:t>
            </w:r>
          </w:p>
        </w:tc>
      </w:tr>
      <w:tr>
        <w:trPr>
          <w:trHeight w:val="113"/>
        </w:trPr>
        <w:tc>
          <w:tcPr>
            <w:tcW w:w="3900" w:type="dxa"/>
            <w:vAlign w:val="bottom"/>
            <w:gridSpan w:val="2"/>
          </w:tcPr>
          <w:p>
            <w:pPr>
              <w:jc w:val="center"/>
              <w:ind w:left="2095"/>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2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20" w:type="dxa"/>
            <w:vAlign w:val="bottom"/>
          </w:tcPr>
          <w:p>
            <w:pPr>
              <w:jc w:val="center"/>
              <w:ind w:right="2215"/>
              <w:spacing w:after="0" w:line="113"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3900" w:type="dxa"/>
            <w:vAlign w:val="bottom"/>
            <w:gridSpan w:val="2"/>
          </w:tcPr>
          <w:p>
            <w:pPr>
              <w:jc w:val="center"/>
              <w:ind w:left="2115"/>
              <w:spacing w:after="0"/>
              <w:rPr>
                <w:sz w:val="20"/>
                <w:szCs w:val="20"/>
                <w:color w:val="auto"/>
              </w:rPr>
            </w:pPr>
            <w:r>
              <w:rPr>
                <w:rFonts w:ascii="Arial" w:cs="Arial" w:eastAsia="Arial" w:hAnsi="Arial"/>
                <w:sz w:val="11"/>
                <w:szCs w:val="11"/>
                <w:b w:val="1"/>
                <w:bCs w:val="1"/>
                <w:color w:val="auto"/>
                <w:w w:val="94"/>
              </w:rPr>
              <w:t>incorporation or organization)</w:t>
            </w: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jc w:val="center"/>
              <w:ind w:right="2235"/>
              <w:spacing w:after="0"/>
              <w:rPr>
                <w:sz w:val="20"/>
                <w:szCs w:val="20"/>
                <w:color w:val="auto"/>
              </w:rPr>
            </w:pPr>
            <w:r>
              <w:rPr>
                <w:rFonts w:ascii="Arial" w:cs="Arial" w:eastAsia="Arial" w:hAnsi="Arial"/>
                <w:sz w:val="11"/>
                <w:szCs w:val="11"/>
                <w:b w:val="1"/>
                <w:bCs w:val="1"/>
                <w:color w:val="auto"/>
                <w:w w:val="95"/>
              </w:rPr>
              <w:t>Identification Number)</w:t>
            </w:r>
          </w:p>
        </w:tc>
      </w:tr>
      <w:tr>
        <w:trPr>
          <w:trHeight w:val="231"/>
        </w:trPr>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10770 Wateridge Circle, Suite 210</w:t>
            </w:r>
          </w:p>
        </w:tc>
        <w:tc>
          <w:tcPr>
            <w:tcW w:w="3620" w:type="dxa"/>
            <w:vAlign w:val="bottom"/>
          </w:tcPr>
          <w:p>
            <w:pPr>
              <w:spacing w:after="0"/>
              <w:rPr>
                <w:sz w:val="20"/>
                <w:szCs w:val="20"/>
                <w:color w:val="auto"/>
              </w:rPr>
            </w:pPr>
          </w:p>
        </w:tc>
      </w:tr>
      <w:tr>
        <w:trPr>
          <w:trHeight w:val="167"/>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San Diego, CA 92121</w:t>
            </w:r>
          </w:p>
        </w:tc>
        <w:tc>
          <w:tcPr>
            <w:tcW w:w="3620" w:type="dxa"/>
            <w:vAlign w:val="bottom"/>
          </w:tcPr>
          <w:p>
            <w:pPr>
              <w:spacing w:after="0"/>
              <w:rPr>
                <w:sz w:val="14"/>
                <w:szCs w:val="14"/>
                <w:color w:val="auto"/>
              </w:rPr>
            </w:pPr>
          </w:p>
        </w:tc>
      </w:tr>
      <w:tr>
        <w:trPr>
          <w:trHeight w:val="147"/>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0"/>
              </w:rPr>
              <w:t>(Address of principal executive offices and zip code)</w:t>
            </w:r>
          </w:p>
        </w:tc>
        <w:tc>
          <w:tcPr>
            <w:tcW w:w="3620" w:type="dxa"/>
            <w:vAlign w:val="bottom"/>
          </w:tcPr>
          <w:p>
            <w:pPr>
              <w:spacing w:after="0"/>
              <w:rPr>
                <w:sz w:val="12"/>
                <w:szCs w:val="12"/>
                <w:color w:val="auto"/>
              </w:rPr>
            </w:pPr>
          </w:p>
        </w:tc>
      </w:tr>
      <w:tr>
        <w:trPr>
          <w:trHeight w:val="235"/>
        </w:trPr>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2"/>
          </w:tcPr>
          <w:p>
            <w:pPr>
              <w:jc w:val="center"/>
              <w:ind w:left="189"/>
              <w:spacing w:after="0"/>
              <w:rPr>
                <w:sz w:val="20"/>
                <w:szCs w:val="20"/>
                <w:color w:val="auto"/>
              </w:rPr>
            </w:pPr>
            <w:r>
              <w:rPr>
                <w:rFonts w:ascii="Arial" w:cs="Arial" w:eastAsia="Arial" w:hAnsi="Arial"/>
                <w:sz w:val="14"/>
                <w:szCs w:val="14"/>
                <w:b w:val="1"/>
                <w:bCs w:val="1"/>
                <w:color w:val="auto"/>
                <w:w w:val="91"/>
              </w:rPr>
              <w:t>(858) 362-6295</w:t>
            </w:r>
          </w:p>
        </w:tc>
        <w:tc>
          <w:tcPr>
            <w:tcW w:w="56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147"/>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3620" w:type="dxa"/>
            <w:vAlign w:val="bottom"/>
          </w:tcPr>
          <w:p>
            <w:pPr>
              <w:spacing w:after="0"/>
              <w:rPr>
                <w:sz w:val="12"/>
                <w:szCs w:val="12"/>
                <w:color w:val="auto"/>
              </w:rPr>
            </w:pPr>
          </w:p>
        </w:tc>
      </w:tr>
      <w:tr>
        <w:trPr>
          <w:trHeight w:val="252"/>
        </w:trPr>
        <w:tc>
          <w:tcPr>
            <w:tcW w:w="3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20" w:type="dxa"/>
            <w:vAlign w:val="bottom"/>
          </w:tcPr>
          <w:p>
            <w:pPr>
              <w:spacing w:after="0"/>
              <w:rPr>
                <w:sz w:val="21"/>
                <w:szCs w:val="21"/>
                <w:color w:val="auto"/>
              </w:rPr>
            </w:pPr>
          </w:p>
        </w:tc>
      </w:tr>
      <w:tr>
        <w:trPr>
          <w:trHeight w:val="245"/>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620" w:type="dxa"/>
            <w:vAlign w:val="bottom"/>
          </w:tcPr>
          <w:p>
            <w:pPr>
              <w:spacing w:after="0"/>
              <w:rPr>
                <w:sz w:val="21"/>
                <w:szCs w:val="21"/>
                <w:color w:val="auto"/>
              </w:rPr>
            </w:pPr>
          </w:p>
        </w:tc>
      </w:tr>
      <w:tr>
        <w:trPr>
          <w:trHeight w:val="107"/>
        </w:trPr>
        <w:tc>
          <w:tcPr>
            <w:tcW w:w="39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90"/>
              </w:rPr>
              <w:t>Title of each class</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15"/>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91"/>
              </w:rPr>
              <w:t>Common Stock, $0.001 par value</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ANAB</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35"/>
              <w:spacing w:after="0"/>
              <w:rPr>
                <w:sz w:val="20"/>
                <w:szCs w:val="20"/>
                <w:color w:val="auto"/>
              </w:rPr>
            </w:pPr>
            <w:r>
              <w:rPr>
                <w:rFonts w:ascii="Arial" w:cs="Arial" w:eastAsia="Arial" w:hAnsi="Arial"/>
                <w:sz w:val="14"/>
                <w:szCs w:val="14"/>
                <w:color w:val="auto"/>
                <w:w w:val="92"/>
              </w:rPr>
              <w:t>The Nasdaq Stock Market LLC</w:t>
            </w:r>
          </w:p>
        </w:tc>
      </w:tr>
    </w:tbl>
    <w:p>
      <w:pPr>
        <w:spacing w:after="0" w:line="64" w:lineRule="exact"/>
        <w:rPr>
          <w:sz w:val="24"/>
          <w:szCs w:val="24"/>
          <w:color w:val="auto"/>
        </w:rPr>
      </w:pPr>
    </w:p>
    <w:p>
      <w:pPr>
        <w:ind w:right="1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6440" w:type="dxa"/>
            <w:vAlign w:val="bottom"/>
            <w:gridSpan w:val="2"/>
          </w:tcPr>
          <w:p>
            <w:pPr>
              <w:spacing w:after="0"/>
              <w:rPr>
                <w:sz w:val="20"/>
                <w:szCs w:val="20"/>
                <w:color w:val="auto"/>
              </w:rPr>
            </w:pPr>
            <w:r>
              <w:rPr>
                <w:rFonts w:ascii="Arial" w:cs="Arial" w:eastAsia="Arial" w:hAnsi="Arial"/>
                <w:sz w:val="14"/>
                <w:szCs w:val="14"/>
                <w:color w:val="auto"/>
                <w:w w:val="92"/>
              </w:rPr>
              <w:t>during the preceding 12 months (or for such shorter period that the Registrant was required to submit such files).</w:t>
            </w:r>
          </w:p>
        </w:tc>
        <w:tc>
          <w:tcPr>
            <w:tcW w:w="4300" w:type="dxa"/>
            <w:vAlign w:val="bottom"/>
          </w:tcPr>
          <w:p>
            <w:pPr>
              <w:ind w:left="80"/>
              <w:spacing w:after="0" w:line="219"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9"/>
                <w:szCs w:val="19"/>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220" w:type="dxa"/>
            <w:vAlign w:val="bottom"/>
          </w:tcPr>
          <w:p>
            <w:pPr>
              <w:spacing w:after="0"/>
              <w:rPr>
                <w:sz w:val="23"/>
                <w:szCs w:val="23"/>
                <w:color w:val="auto"/>
              </w:rPr>
            </w:pPr>
          </w:p>
        </w:tc>
      </w:tr>
      <w:tr>
        <w:trPr>
          <w:trHeight w:val="170"/>
        </w:trPr>
        <w:tc>
          <w:tcPr>
            <w:tcW w:w="10740" w:type="dxa"/>
            <w:vAlign w:val="bottom"/>
            <w:gridSpan w:val="3"/>
          </w:tcPr>
          <w:p>
            <w:pPr>
              <w:spacing w:after="0"/>
              <w:rPr>
                <w:sz w:val="20"/>
                <w:szCs w:val="20"/>
                <w:color w:val="auto"/>
              </w:rPr>
            </w:pPr>
            <w:r>
              <w:rPr>
                <w:rFonts w:ascii="Arial" w:cs="Arial" w:eastAsia="Arial" w:hAnsi="Arial"/>
                <w:sz w:val="14"/>
                <w:szCs w:val="14"/>
                <w:color w:val="auto"/>
                <w:w w:val="91"/>
              </w:rPr>
              <w:t>Indicate by check mark whether the Registrant is a large accelerated filer, an accelerated filer, a non-accelerated filer, a smaller reporting company, or an emerging growth company. See the</w:t>
            </w:r>
          </w:p>
        </w:tc>
        <w:tc>
          <w:tcPr>
            <w:tcW w:w="220" w:type="dxa"/>
            <w:vAlign w:val="bottom"/>
          </w:tcPr>
          <w:p>
            <w:pPr>
              <w:spacing w:after="0"/>
              <w:rPr>
                <w:sz w:val="14"/>
                <w:szCs w:val="14"/>
                <w:color w:val="auto"/>
              </w:rPr>
            </w:pPr>
          </w:p>
        </w:tc>
      </w:tr>
      <w:tr>
        <w:trPr>
          <w:trHeight w:val="180"/>
        </w:trPr>
        <w:tc>
          <w:tcPr>
            <w:tcW w:w="1074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20" w:type="dxa"/>
            <w:vAlign w:val="bottom"/>
          </w:tcPr>
          <w:p>
            <w:pPr>
              <w:spacing w:after="0"/>
              <w:rPr>
                <w:sz w:val="15"/>
                <w:szCs w:val="15"/>
                <w:color w:val="auto"/>
              </w:rPr>
            </w:pPr>
          </w:p>
        </w:tc>
      </w:tr>
      <w:tr>
        <w:trPr>
          <w:trHeight w:val="280"/>
        </w:trPr>
        <w:tc>
          <w:tcPr>
            <w:tcW w:w="20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56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1"/>
        </w:trPr>
        <w:tc>
          <w:tcPr>
            <w:tcW w:w="20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700"/>
              <w:spacing w:after="0" w:line="171" w:lineRule="exact"/>
              <w:rPr>
                <w:sz w:val="20"/>
                <w:szCs w:val="20"/>
                <w:color w:val="auto"/>
              </w:rPr>
            </w:pPr>
            <w:r>
              <w:rPr>
                <w:rFonts w:ascii="MS PGothic" w:cs="MS PGothic" w:eastAsia="MS PGothic" w:hAnsi="MS PGothic"/>
                <w:sz w:val="17"/>
                <w:szCs w:val="17"/>
                <w:color w:val="auto"/>
              </w:rPr>
              <w:t>☒</w:t>
            </w:r>
          </w:p>
        </w:tc>
        <w:tc>
          <w:tcPr>
            <w:tcW w:w="4300" w:type="dxa"/>
            <w:vAlign w:val="bottom"/>
          </w:tcPr>
          <w:p>
            <w:pPr>
              <w:ind w:left="1560"/>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4"/>
        </w:trPr>
        <w:tc>
          <w:tcPr>
            <w:tcW w:w="204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4300" w:type="dxa"/>
            <w:vAlign w:val="bottom"/>
          </w:tcPr>
          <w:p>
            <w:pPr>
              <w:ind w:left="1560"/>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2" w:lineRule="exact"/>
        <w:rPr>
          <w:sz w:val="24"/>
          <w:szCs w:val="24"/>
          <w:color w:val="auto"/>
        </w:rPr>
      </w:pPr>
    </w:p>
    <w:p>
      <w:pPr>
        <w:ind w:right="240"/>
        <w:spacing w:after="0" w:line="20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tabs>
          <w:tab w:leader="none" w:pos="6000" w:val="left"/>
          <w:tab w:leader="none" w:pos="65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383540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As of May 2, 2022, there were 28,186,065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526415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114300</wp:posOffset>
            </wp:positionV>
            <wp:extent cx="25939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ectPr>
          <w:pgSz w:w="11900" w:h="16838" w:orient="portrait"/>
          <w:cols w:equalWidth="0" w:num="1">
            <w:col w:w="10159"/>
          </w:cols>
          <w:pgMar w:left="300" w:top="68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6"/>
          </w:tcPr>
          <w:p>
            <w:pPr>
              <w:jc w:val="center"/>
              <w:ind w:right="1660"/>
              <w:spacing w:after="0"/>
              <w:rPr>
                <w:sz w:val="20"/>
                <w:szCs w:val="20"/>
                <w:color w:val="auto"/>
              </w:rPr>
            </w:pPr>
            <w:r>
              <w:rPr>
                <w:rFonts w:ascii="Arial" w:cs="Arial" w:eastAsia="Arial" w:hAnsi="Arial"/>
                <w:sz w:val="17"/>
                <w:szCs w:val="17"/>
                <w:b w:val="1"/>
                <w:bCs w:val="1"/>
                <w:color w:val="auto"/>
                <w:w w:val="91"/>
              </w:rPr>
              <w:t>AnaptysBio, Inc.</w:t>
            </w:r>
          </w:p>
        </w:tc>
      </w:tr>
      <w:tr>
        <w:trPr>
          <w:trHeight w:val="219"/>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60" w:type="dxa"/>
            <w:vAlign w:val="bottom"/>
            <w:gridSpan w:val="6"/>
          </w:tcPr>
          <w:p>
            <w:pPr>
              <w:jc w:val="center"/>
              <w:ind w:right="1680"/>
              <w:spacing w:after="0"/>
              <w:rPr>
                <w:sz w:val="20"/>
                <w:szCs w:val="20"/>
                <w:color w:val="auto"/>
              </w:rPr>
            </w:pPr>
            <w:r>
              <w:rPr>
                <w:rFonts w:ascii="Arial" w:cs="Arial" w:eastAsia="Arial" w:hAnsi="Arial"/>
                <w:sz w:val="17"/>
                <w:szCs w:val="17"/>
                <w:b w:val="1"/>
                <w:bCs w:val="1"/>
                <w:color w:val="auto"/>
                <w:w w:val="89"/>
              </w:rPr>
              <w:t>Table of Contents</w:t>
            </w:r>
          </w:p>
        </w:tc>
      </w:tr>
      <w:tr>
        <w:trPr>
          <w:trHeight w:val="650"/>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9"/>
          </w:tcPr>
          <w:p>
            <w:pPr>
              <w:jc w:val="center"/>
              <w:ind w:right="880"/>
              <w:spacing w:after="0"/>
              <w:rPr>
                <w:sz w:val="20"/>
                <w:szCs w:val="20"/>
                <w:color w:val="auto"/>
              </w:rPr>
            </w:pPr>
            <w:r>
              <w:rPr>
                <w:rFonts w:ascii="Arial" w:cs="Arial" w:eastAsia="Arial" w:hAnsi="Arial"/>
                <w:sz w:val="14"/>
                <w:szCs w:val="14"/>
                <w:b w:val="1"/>
                <w:bCs w:val="1"/>
                <w:color w:val="auto"/>
              </w:rPr>
              <w:t>PART I. FINANCIAL INFORMATION</w:t>
            </w:r>
          </w:p>
        </w:tc>
      </w:tr>
      <w:tr>
        <w:trPr>
          <w:trHeight w:val="234"/>
        </w:trPr>
        <w:tc>
          <w:tcPr>
            <w:tcW w:w="1320" w:type="dxa"/>
            <w:vAlign w:val="bottom"/>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Item 1.</w:t>
              </w:r>
            </w:hyperlink>
          </w:p>
        </w:tc>
        <w:tc>
          <w:tcPr>
            <w:tcW w:w="6780" w:type="dxa"/>
            <w:vAlign w:val="bottom"/>
            <w:gridSpan w:val="18"/>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Consolidated Financial Statements (unaudited)</w:t>
              </w:r>
            </w:hyperlink>
          </w:p>
        </w:tc>
      </w:tr>
      <w:tr>
        <w:trPr>
          <w:trHeight w:val="20"/>
        </w:trPr>
        <w:tc>
          <w:tcPr>
            <w:tcW w:w="13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5"/>
        </w:trPr>
        <w:tc>
          <w:tcPr>
            <w:tcW w:w="1320" w:type="dxa"/>
            <w:vAlign w:val="bottom"/>
          </w:tcPr>
          <w:p>
            <w:pPr>
              <w:spacing w:after="0"/>
              <w:rPr>
                <w:sz w:val="20"/>
                <w:szCs w:val="20"/>
                <w:color w:val="auto"/>
              </w:rPr>
            </w:pPr>
          </w:p>
        </w:tc>
        <w:tc>
          <w:tcPr>
            <w:tcW w:w="6780" w:type="dxa"/>
            <w:vAlign w:val="bottom"/>
            <w:gridSpan w:val="18"/>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 xml:space="preserve">Consolidated Balance Sheets as of March </w:t>
              </w:r>
            </w:hyperlink>
            <w:r>
              <w:rPr>
                <w:rFonts w:ascii="Arial" w:cs="Arial" w:eastAsia="Arial" w:hAnsi="Arial"/>
                <w:sz w:val="14"/>
                <w:szCs w:val="14"/>
                <w:color w:val="0000FF"/>
              </w:rPr>
              <w:t xml:space="preserve">31, 2022 </w:t>
            </w:r>
            <w:hyperlink w:anchor="page4">
              <w:r>
                <w:rPr>
                  <w:rFonts w:ascii="Arial" w:cs="Arial" w:eastAsia="Arial" w:hAnsi="Arial"/>
                  <w:sz w:val="14"/>
                  <w:szCs w:val="14"/>
                  <w:color w:val="0000FF"/>
                </w:rPr>
                <w:t xml:space="preserve">and December 31, </w:t>
              </w:r>
            </w:hyperlink>
            <w:r>
              <w:rPr>
                <w:rFonts w:ascii="Arial" w:cs="Arial" w:eastAsia="Arial" w:hAnsi="Arial"/>
                <w:sz w:val="14"/>
                <w:szCs w:val="14"/>
                <w:color w:val="0000FF"/>
              </w:rPr>
              <w:t>2021</w:t>
            </w:r>
          </w:p>
        </w:tc>
      </w:tr>
      <w:tr>
        <w:trPr>
          <w:trHeight w:val="20"/>
        </w:trPr>
        <w:tc>
          <w:tcPr>
            <w:tcW w:w="13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5"/>
        </w:trPr>
        <w:tc>
          <w:tcPr>
            <w:tcW w:w="1320" w:type="dxa"/>
            <w:vAlign w:val="bottom"/>
          </w:tcPr>
          <w:p>
            <w:pPr>
              <w:spacing w:after="0"/>
              <w:rPr>
                <w:sz w:val="20"/>
                <w:szCs w:val="20"/>
                <w:color w:val="auto"/>
              </w:rPr>
            </w:pPr>
          </w:p>
        </w:tc>
        <w:tc>
          <w:tcPr>
            <w:tcW w:w="6780" w:type="dxa"/>
            <w:vAlign w:val="bottom"/>
            <w:tcBorders>
              <w:bottom w:val="single" w:sz="8" w:color="0000FF"/>
            </w:tcBorders>
            <w:gridSpan w:val="18"/>
          </w:tcPr>
          <w:p>
            <w:pPr>
              <w:spacing w:after="0"/>
              <w:rPr>
                <w:rFonts w:ascii="Arial" w:cs="Arial" w:eastAsia="Arial" w:hAnsi="Arial"/>
                <w:sz w:val="14"/>
                <w:szCs w:val="14"/>
                <w:color w:val="0000FF"/>
                <w:w w:val="90"/>
              </w:rPr>
            </w:pPr>
            <w:hyperlink w:anchor="page4">
              <w:r>
                <w:rPr>
                  <w:rFonts w:ascii="Arial" w:cs="Arial" w:eastAsia="Arial" w:hAnsi="Arial"/>
                  <w:sz w:val="14"/>
                  <w:szCs w:val="14"/>
                  <w:color w:val="0000FF"/>
                  <w:w w:val="90"/>
                </w:rPr>
                <w:t xml:space="preserve">Consolidated Statements of Operations and Comprehensive Loss for the Three </w:t>
              </w:r>
            </w:hyperlink>
            <w:r>
              <w:rPr>
                <w:rFonts w:ascii="Arial" w:cs="Arial" w:eastAsia="Arial" w:hAnsi="Arial"/>
                <w:sz w:val="14"/>
                <w:szCs w:val="14"/>
                <w:color w:val="0000FF"/>
                <w:w w:val="90"/>
              </w:rPr>
              <w:t xml:space="preserve">Months Ended March 31, 2022 </w:t>
            </w:r>
            <w:hyperlink w:anchor="page4">
              <w:r>
                <w:rPr>
                  <w:rFonts w:ascii="Arial" w:cs="Arial" w:eastAsia="Arial" w:hAnsi="Arial"/>
                  <w:sz w:val="14"/>
                  <w:szCs w:val="14"/>
                  <w:color w:val="0000FF"/>
                  <w:w w:val="90"/>
                </w:rPr>
                <w:t xml:space="preserve">and </w:t>
              </w:r>
            </w:hyperlink>
            <w:r>
              <w:rPr>
                <w:rFonts w:ascii="Arial" w:cs="Arial" w:eastAsia="Arial" w:hAnsi="Arial"/>
                <w:sz w:val="14"/>
                <w:szCs w:val="14"/>
                <w:color w:val="0000FF"/>
                <w:w w:val="90"/>
              </w:rPr>
              <w:t>2021</w:t>
            </w:r>
          </w:p>
        </w:tc>
      </w:tr>
      <w:tr>
        <w:trPr>
          <w:trHeight w:val="235"/>
        </w:trPr>
        <w:tc>
          <w:tcPr>
            <w:tcW w:w="1320" w:type="dxa"/>
            <w:vAlign w:val="bottom"/>
          </w:tcPr>
          <w:p>
            <w:pPr>
              <w:spacing w:after="0"/>
              <w:rPr>
                <w:sz w:val="20"/>
                <w:szCs w:val="20"/>
                <w:color w:val="auto"/>
              </w:rPr>
            </w:pPr>
          </w:p>
        </w:tc>
        <w:tc>
          <w:tcPr>
            <w:tcW w:w="5320" w:type="dxa"/>
            <w:vAlign w:val="bottom"/>
            <w:tcBorders>
              <w:bottom w:val="single" w:sz="8" w:color="0000FF"/>
            </w:tcBorders>
            <w:gridSpan w:val="15"/>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 xml:space="preserve">Consolidated Statements of Stockholders' Equity for the Three Months Ended March </w:t>
              </w:r>
            </w:hyperlink>
            <w:r>
              <w:rPr>
                <w:rFonts w:ascii="Arial" w:cs="Arial" w:eastAsia="Arial" w:hAnsi="Arial"/>
                <w:sz w:val="14"/>
                <w:szCs w:val="14"/>
                <w:color w:val="0000FF"/>
                <w:w w:val="91"/>
              </w:rPr>
              <w:t>31, 2022</w:t>
            </w:r>
          </w:p>
        </w:tc>
        <w:tc>
          <w:tcPr>
            <w:tcW w:w="1460" w:type="dxa"/>
            <w:vAlign w:val="bottom"/>
            <w:gridSpan w:val="3"/>
          </w:tcPr>
          <w:p>
            <w:pPr>
              <w:spacing w:after="0"/>
              <w:rPr>
                <w:sz w:val="20"/>
                <w:szCs w:val="20"/>
                <w:color w:val="auto"/>
              </w:rPr>
            </w:pPr>
          </w:p>
        </w:tc>
      </w:tr>
      <w:tr>
        <w:trPr>
          <w:trHeight w:val="235"/>
        </w:trPr>
        <w:tc>
          <w:tcPr>
            <w:tcW w:w="1320" w:type="dxa"/>
            <w:vAlign w:val="bottom"/>
          </w:tcPr>
          <w:p>
            <w:pPr>
              <w:spacing w:after="0"/>
              <w:rPr>
                <w:sz w:val="20"/>
                <w:szCs w:val="20"/>
                <w:color w:val="auto"/>
              </w:rPr>
            </w:pPr>
          </w:p>
        </w:tc>
        <w:tc>
          <w:tcPr>
            <w:tcW w:w="5340" w:type="dxa"/>
            <w:vAlign w:val="bottom"/>
            <w:tcBorders>
              <w:bottom w:val="single" w:sz="8" w:color="0000FF"/>
            </w:tcBorders>
            <w:gridSpan w:val="16"/>
          </w:tcPr>
          <w:p>
            <w:pPr>
              <w:spacing w:after="0"/>
              <w:rPr>
                <w:rFonts w:ascii="Arial" w:cs="Arial" w:eastAsia="Arial" w:hAnsi="Arial"/>
                <w:sz w:val="14"/>
                <w:szCs w:val="14"/>
                <w:color w:val="0000FF"/>
                <w:w w:val="91"/>
              </w:rPr>
            </w:pPr>
            <w:hyperlink w:anchor="page6">
              <w:r>
                <w:rPr>
                  <w:rFonts w:ascii="Arial" w:cs="Arial" w:eastAsia="Arial" w:hAnsi="Arial"/>
                  <w:sz w:val="14"/>
                  <w:szCs w:val="14"/>
                  <w:color w:val="0000FF"/>
                  <w:w w:val="91"/>
                </w:rPr>
                <w:t xml:space="preserve">Consolidated Statements of Stockholders’ Equity for the Three Months Ended March </w:t>
              </w:r>
            </w:hyperlink>
            <w:r>
              <w:rPr>
                <w:rFonts w:ascii="Arial" w:cs="Arial" w:eastAsia="Arial" w:hAnsi="Arial"/>
                <w:sz w:val="14"/>
                <w:szCs w:val="14"/>
                <w:color w:val="0000FF"/>
                <w:w w:val="91"/>
              </w:rPr>
              <w:t>31, 2021</w:t>
            </w:r>
          </w:p>
        </w:tc>
        <w:tc>
          <w:tcPr>
            <w:tcW w:w="1440" w:type="dxa"/>
            <w:vAlign w:val="bottom"/>
            <w:gridSpan w:val="2"/>
          </w:tcPr>
          <w:p>
            <w:pPr>
              <w:spacing w:after="0"/>
              <w:rPr>
                <w:sz w:val="20"/>
                <w:szCs w:val="20"/>
                <w:color w:val="auto"/>
              </w:rPr>
            </w:pPr>
          </w:p>
        </w:tc>
      </w:tr>
      <w:tr>
        <w:trPr>
          <w:trHeight w:val="235"/>
        </w:trPr>
        <w:tc>
          <w:tcPr>
            <w:tcW w:w="1320" w:type="dxa"/>
            <w:vAlign w:val="bottom"/>
          </w:tcPr>
          <w:p>
            <w:pPr>
              <w:spacing w:after="0"/>
              <w:rPr>
                <w:sz w:val="20"/>
                <w:szCs w:val="20"/>
                <w:color w:val="auto"/>
              </w:rPr>
            </w:pPr>
          </w:p>
        </w:tc>
        <w:tc>
          <w:tcPr>
            <w:tcW w:w="5360" w:type="dxa"/>
            <w:vAlign w:val="bottom"/>
            <w:tcBorders>
              <w:bottom w:val="single" w:sz="8" w:color="0000FF"/>
            </w:tcBorders>
            <w:gridSpan w:val="17"/>
          </w:tcPr>
          <w:p>
            <w:pPr>
              <w:spacing w:after="0"/>
              <w:rPr>
                <w:rFonts w:ascii="Arial" w:cs="Arial" w:eastAsia="Arial" w:hAnsi="Arial"/>
                <w:sz w:val="14"/>
                <w:szCs w:val="14"/>
                <w:color w:val="0000FF"/>
                <w:w w:val="90"/>
              </w:rPr>
            </w:pPr>
            <w:hyperlink w:anchor="page7">
              <w:r>
                <w:rPr>
                  <w:rFonts w:ascii="Arial" w:cs="Arial" w:eastAsia="Arial" w:hAnsi="Arial"/>
                  <w:sz w:val="14"/>
                  <w:szCs w:val="14"/>
                  <w:color w:val="0000FF"/>
                  <w:w w:val="90"/>
                </w:rPr>
                <w:t xml:space="preserve">Consolidated Statements of Cash Flows for the Three Months Ended March </w:t>
              </w:r>
            </w:hyperlink>
            <w:r>
              <w:rPr>
                <w:rFonts w:ascii="Arial" w:cs="Arial" w:eastAsia="Arial" w:hAnsi="Arial"/>
                <w:sz w:val="14"/>
                <w:szCs w:val="14"/>
                <w:color w:val="0000FF"/>
                <w:w w:val="90"/>
              </w:rPr>
              <w:t xml:space="preserve">31, 2022 </w:t>
            </w:r>
            <w:hyperlink w:anchor="page7">
              <w:r>
                <w:rPr>
                  <w:rFonts w:ascii="Arial" w:cs="Arial" w:eastAsia="Arial" w:hAnsi="Arial"/>
                  <w:sz w:val="14"/>
                  <w:szCs w:val="14"/>
                  <w:color w:val="0000FF"/>
                  <w:w w:val="90"/>
                </w:rPr>
                <w:t xml:space="preserve">and </w:t>
              </w:r>
            </w:hyperlink>
            <w:r>
              <w:rPr>
                <w:rFonts w:ascii="Arial" w:cs="Arial" w:eastAsia="Arial" w:hAnsi="Arial"/>
                <w:sz w:val="14"/>
                <w:szCs w:val="14"/>
                <w:color w:val="0000FF"/>
                <w:w w:val="90"/>
              </w:rPr>
              <w:t>2021</w:t>
            </w:r>
          </w:p>
        </w:tc>
        <w:tc>
          <w:tcPr>
            <w:tcW w:w="1420" w:type="dxa"/>
            <w:vAlign w:val="bottom"/>
          </w:tcPr>
          <w:p>
            <w:pPr>
              <w:spacing w:after="0"/>
              <w:rPr>
                <w:sz w:val="20"/>
                <w:szCs w:val="20"/>
                <w:color w:val="auto"/>
              </w:rPr>
            </w:pPr>
          </w:p>
        </w:tc>
      </w:tr>
      <w:tr>
        <w:trPr>
          <w:trHeight w:val="235"/>
        </w:trPr>
        <w:tc>
          <w:tcPr>
            <w:tcW w:w="1320" w:type="dxa"/>
            <w:vAlign w:val="bottom"/>
          </w:tcPr>
          <w:p>
            <w:pPr>
              <w:spacing w:after="0"/>
              <w:rPr>
                <w:sz w:val="20"/>
                <w:szCs w:val="20"/>
                <w:color w:val="auto"/>
              </w:rPr>
            </w:pPr>
          </w:p>
        </w:tc>
        <w:tc>
          <w:tcPr>
            <w:tcW w:w="6780" w:type="dxa"/>
            <w:vAlign w:val="bottom"/>
            <w:gridSpan w:val="18"/>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Notes to the Unaudited Consolidated Financial Statements</w:t>
              </w:r>
            </w:hyperlink>
          </w:p>
        </w:tc>
      </w:tr>
      <w:tr>
        <w:trPr>
          <w:trHeight w:val="20"/>
        </w:trPr>
        <w:tc>
          <w:tcPr>
            <w:tcW w:w="13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Item 2.</w:t>
              </w:r>
            </w:hyperlink>
          </w:p>
        </w:tc>
        <w:tc>
          <w:tcPr>
            <w:tcW w:w="5060" w:type="dxa"/>
            <w:vAlign w:val="bottom"/>
            <w:tcBorders>
              <w:bottom w:val="single" w:sz="8" w:color="0000FF"/>
            </w:tcBorders>
            <w:gridSpan w:val="14"/>
          </w:tcPr>
          <w:p>
            <w:pPr>
              <w:spacing w:after="0"/>
              <w:rPr>
                <w:rFonts w:ascii="Arial" w:cs="Arial" w:eastAsia="Arial" w:hAnsi="Arial"/>
                <w:sz w:val="14"/>
                <w:szCs w:val="14"/>
                <w:color w:val="0000FF"/>
                <w:w w:val="91"/>
              </w:rPr>
            </w:pPr>
            <w:hyperlink w:anchor="page23">
              <w:r>
                <w:rPr>
                  <w:rFonts w:ascii="Arial" w:cs="Arial" w:eastAsia="Arial" w:hAnsi="Arial"/>
                  <w:sz w:val="14"/>
                  <w:szCs w:val="14"/>
                  <w:color w:val="0000FF"/>
                  <w:w w:val="91"/>
                </w:rPr>
                <w:t>Management’s Discussion and Analysis of Financial Condition and Results of Operations</w:t>
              </w:r>
            </w:hyperlink>
          </w:p>
        </w:tc>
        <w:tc>
          <w:tcPr>
            <w:tcW w:w="1720" w:type="dxa"/>
            <w:vAlign w:val="bottom"/>
            <w:gridSpan w:val="4"/>
          </w:tcPr>
          <w:p>
            <w:pPr>
              <w:spacing w:after="0"/>
              <w:rPr>
                <w:sz w:val="20"/>
                <w:szCs w:val="20"/>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Item 3.</w:t>
              </w:r>
            </w:hyperlink>
          </w:p>
        </w:tc>
        <w:tc>
          <w:tcPr>
            <w:tcW w:w="3420" w:type="dxa"/>
            <w:vAlign w:val="bottom"/>
            <w:tcBorders>
              <w:bottom w:val="single" w:sz="8" w:color="0000FF"/>
            </w:tcBorders>
            <w:gridSpan w:val="12"/>
          </w:tcPr>
          <w:p>
            <w:pPr>
              <w:spacing w:after="0"/>
              <w:rPr>
                <w:rFonts w:ascii="Arial" w:cs="Arial" w:eastAsia="Arial" w:hAnsi="Arial"/>
                <w:sz w:val="14"/>
                <w:szCs w:val="14"/>
                <w:color w:val="0000FF"/>
                <w:w w:val="92"/>
              </w:rPr>
            </w:pPr>
            <w:hyperlink w:anchor="page32">
              <w:r>
                <w:rPr>
                  <w:rFonts w:ascii="Arial" w:cs="Arial" w:eastAsia="Arial" w:hAnsi="Arial"/>
                  <w:sz w:val="14"/>
                  <w:szCs w:val="14"/>
                  <w:color w:val="0000FF"/>
                  <w:w w:val="92"/>
                </w:rPr>
                <w:t>Quantitative and Qualitative Disclosures About Market Risk</w:t>
              </w:r>
            </w:hyperlink>
          </w:p>
        </w:tc>
        <w:tc>
          <w:tcPr>
            <w:tcW w:w="3360" w:type="dxa"/>
            <w:vAlign w:val="bottom"/>
            <w:gridSpan w:val="6"/>
          </w:tcPr>
          <w:p>
            <w:pPr>
              <w:spacing w:after="0"/>
              <w:rPr>
                <w:sz w:val="20"/>
                <w:szCs w:val="20"/>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Item 4.</w:t>
              </w:r>
            </w:hyperlink>
          </w:p>
        </w:tc>
        <w:tc>
          <w:tcPr>
            <w:tcW w:w="6780" w:type="dxa"/>
            <w:vAlign w:val="bottom"/>
            <w:gridSpan w:val="18"/>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Controls and Procedures</w:t>
              </w:r>
            </w:hyperlink>
          </w:p>
        </w:tc>
      </w:tr>
      <w:tr>
        <w:trPr>
          <w:trHeight w:val="478"/>
        </w:trPr>
        <w:tc>
          <w:tcPr>
            <w:tcW w:w="13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9"/>
          </w:tcPr>
          <w:p>
            <w:pPr>
              <w:jc w:val="center"/>
              <w:ind w:right="860"/>
              <w:spacing w:after="0"/>
              <w:rPr>
                <w:sz w:val="20"/>
                <w:szCs w:val="20"/>
                <w:color w:val="auto"/>
              </w:rPr>
            </w:pPr>
            <w:r>
              <w:rPr>
                <w:rFonts w:ascii="Arial" w:cs="Arial" w:eastAsia="Arial" w:hAnsi="Arial"/>
                <w:sz w:val="14"/>
                <w:szCs w:val="14"/>
                <w:b w:val="1"/>
                <w:bCs w:val="1"/>
                <w:color w:val="auto"/>
              </w:rPr>
              <w:t>PART II. OTHER INFORMATION</w:t>
            </w:r>
          </w:p>
        </w:tc>
      </w:tr>
      <w:tr>
        <w:trPr>
          <w:trHeight w:val="361"/>
        </w:trPr>
        <w:tc>
          <w:tcPr>
            <w:tcW w:w="1320" w:type="dxa"/>
            <w:vAlign w:val="bottom"/>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Item 1.</w:t>
              </w:r>
            </w:hyperlink>
          </w:p>
        </w:tc>
        <w:tc>
          <w:tcPr>
            <w:tcW w:w="6780" w:type="dxa"/>
            <w:vAlign w:val="bottom"/>
            <w:gridSpan w:val="18"/>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Legal Proceedings</w:t>
              </w:r>
            </w:hyperlink>
          </w:p>
        </w:tc>
      </w:tr>
      <w:tr>
        <w:trPr>
          <w:trHeight w:val="235"/>
        </w:trPr>
        <w:tc>
          <w:tcPr>
            <w:tcW w:w="1320" w:type="dxa"/>
            <w:vAlign w:val="bottom"/>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Item 1A.</w:t>
              </w:r>
            </w:hyperlink>
          </w:p>
        </w:tc>
        <w:tc>
          <w:tcPr>
            <w:tcW w:w="1020" w:type="dxa"/>
            <w:vAlign w:val="bottom"/>
            <w:tcBorders>
              <w:top w:val="single" w:sz="8" w:color="0000FF"/>
            </w:tcBorders>
            <w:gridSpan w:val="6"/>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Risk Factors</w:t>
              </w:r>
            </w:hyperlink>
          </w:p>
        </w:tc>
        <w:tc>
          <w:tcPr>
            <w:tcW w:w="5760" w:type="dxa"/>
            <w:vAlign w:val="bottom"/>
            <w:gridSpan w:val="12"/>
          </w:tcPr>
          <w:p>
            <w:pPr>
              <w:spacing w:after="0"/>
              <w:rPr>
                <w:sz w:val="20"/>
                <w:szCs w:val="20"/>
                <w:color w:val="auto"/>
              </w:rPr>
            </w:pPr>
          </w:p>
        </w:tc>
      </w:tr>
      <w:tr>
        <w:trPr>
          <w:trHeight w:val="20"/>
        </w:trPr>
        <w:tc>
          <w:tcPr>
            <w:tcW w:w="13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Item 2.</w:t>
              </w:r>
            </w:hyperlink>
          </w:p>
        </w:tc>
        <w:tc>
          <w:tcPr>
            <w:tcW w:w="3400" w:type="dxa"/>
            <w:vAlign w:val="bottom"/>
            <w:tcBorders>
              <w:bottom w:val="single" w:sz="8" w:color="0000FF"/>
            </w:tcBorders>
            <w:gridSpan w:val="11"/>
          </w:tcPr>
          <w:p>
            <w:pPr>
              <w:spacing w:after="0"/>
              <w:rPr>
                <w:rFonts w:ascii="Arial" w:cs="Arial" w:eastAsia="Arial" w:hAnsi="Arial"/>
                <w:sz w:val="14"/>
                <w:szCs w:val="14"/>
                <w:color w:val="0000FF"/>
                <w:w w:val="89"/>
              </w:rPr>
            </w:pPr>
            <w:hyperlink w:anchor="page69">
              <w:r>
                <w:rPr>
                  <w:rFonts w:ascii="Arial" w:cs="Arial" w:eastAsia="Arial" w:hAnsi="Arial"/>
                  <w:sz w:val="14"/>
                  <w:szCs w:val="14"/>
                  <w:color w:val="0000FF"/>
                  <w:w w:val="89"/>
                </w:rPr>
                <w:t>Unregistered Sales of Equity Securities and Use of Proceeds</w:t>
              </w:r>
            </w:hyperlink>
          </w:p>
        </w:tc>
        <w:tc>
          <w:tcPr>
            <w:tcW w:w="3380" w:type="dxa"/>
            <w:vAlign w:val="bottom"/>
            <w:gridSpan w:val="7"/>
          </w:tcPr>
          <w:p>
            <w:pPr>
              <w:spacing w:after="0"/>
              <w:rPr>
                <w:sz w:val="20"/>
                <w:szCs w:val="20"/>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Item 3.</w:t>
              </w:r>
            </w:hyperlink>
          </w:p>
        </w:tc>
        <w:tc>
          <w:tcPr>
            <w:tcW w:w="6780" w:type="dxa"/>
            <w:vAlign w:val="bottom"/>
            <w:gridSpan w:val="18"/>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Defaults Upon Senior Securities</w:t>
              </w:r>
            </w:hyperlink>
          </w:p>
        </w:tc>
      </w:tr>
      <w:tr>
        <w:trPr>
          <w:trHeight w:val="235"/>
        </w:trPr>
        <w:tc>
          <w:tcPr>
            <w:tcW w:w="1320" w:type="dxa"/>
            <w:vAlign w:val="bottom"/>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Item 4.</w:t>
              </w:r>
            </w:hyperlink>
          </w:p>
        </w:tc>
        <w:tc>
          <w:tcPr>
            <w:tcW w:w="1800" w:type="dxa"/>
            <w:vAlign w:val="bottom"/>
            <w:tcBorders>
              <w:top w:val="single" w:sz="8" w:color="0000FF"/>
            </w:tcBorders>
            <w:gridSpan w:val="8"/>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Mine Safety Disclosures</w:t>
              </w:r>
            </w:hyperlink>
          </w:p>
        </w:tc>
        <w:tc>
          <w:tcPr>
            <w:tcW w:w="4980" w:type="dxa"/>
            <w:vAlign w:val="bottom"/>
            <w:gridSpan w:val="10"/>
          </w:tcPr>
          <w:p>
            <w:pPr>
              <w:spacing w:after="0"/>
              <w:rPr>
                <w:sz w:val="20"/>
                <w:szCs w:val="20"/>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Item 5.</w:t>
              </w:r>
            </w:hyperlink>
          </w:p>
        </w:tc>
        <w:tc>
          <w:tcPr>
            <w:tcW w:w="1360" w:type="dxa"/>
            <w:vAlign w:val="bottom"/>
            <w:tcBorders>
              <w:top w:val="single" w:sz="8" w:color="0000FF"/>
            </w:tcBorders>
            <w:gridSpan w:val="7"/>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Other Information</w:t>
              </w:r>
            </w:hyperlink>
          </w:p>
        </w:tc>
        <w:tc>
          <w:tcPr>
            <w:tcW w:w="5420" w:type="dxa"/>
            <w:vAlign w:val="bottom"/>
            <w:gridSpan w:val="11"/>
          </w:tcPr>
          <w:p>
            <w:pPr>
              <w:spacing w:after="0"/>
              <w:rPr>
                <w:sz w:val="20"/>
                <w:szCs w:val="20"/>
                <w:color w:val="auto"/>
              </w:rPr>
            </w:pPr>
          </w:p>
        </w:tc>
      </w:tr>
      <w:tr>
        <w:trPr>
          <w:trHeight w:val="235"/>
        </w:trPr>
        <w:tc>
          <w:tcPr>
            <w:tcW w:w="1320" w:type="dxa"/>
            <w:vAlign w:val="bottom"/>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Item 6.</w:t>
              </w:r>
            </w:hyperlink>
          </w:p>
        </w:tc>
        <w:tc>
          <w:tcPr>
            <w:tcW w:w="1000" w:type="dxa"/>
            <w:vAlign w:val="bottom"/>
            <w:tcBorders>
              <w:top w:val="single" w:sz="8" w:color="0000FF"/>
            </w:tcBorders>
            <w:gridSpan w:val="5"/>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Exhibits</w:t>
              </w:r>
            </w:hyperlink>
          </w:p>
        </w:tc>
        <w:tc>
          <w:tcPr>
            <w:tcW w:w="5780" w:type="dxa"/>
            <w:vAlign w:val="bottom"/>
            <w:gridSpan w:val="13"/>
          </w:tcPr>
          <w:p>
            <w:pPr>
              <w:spacing w:after="0"/>
              <w:rPr>
                <w:sz w:val="20"/>
                <w:szCs w:val="20"/>
                <w:color w:val="auto"/>
              </w:rPr>
            </w:pPr>
          </w:p>
        </w:tc>
      </w:tr>
      <w:tr>
        <w:trPr>
          <w:trHeight w:val="20"/>
        </w:trPr>
        <w:tc>
          <w:tcPr>
            <w:tcW w:w="13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r>
      <w:tr>
        <w:trPr>
          <w:trHeight w:val="235"/>
        </w:trPr>
        <w:tc>
          <w:tcPr>
            <w:tcW w:w="1320" w:type="dxa"/>
            <w:vAlign w:val="bottom"/>
          </w:tcPr>
          <w:p>
            <w:pPr>
              <w:spacing w:after="0"/>
              <w:rPr>
                <w:sz w:val="20"/>
                <w:szCs w:val="20"/>
                <w:color w:val="auto"/>
              </w:rPr>
            </w:pPr>
          </w:p>
        </w:tc>
        <w:tc>
          <w:tcPr>
            <w:tcW w:w="6780" w:type="dxa"/>
            <w:vAlign w:val="bottom"/>
            <w:gridSpan w:val="18"/>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Exhibit Index</w:t>
              </w:r>
            </w:hyperlink>
          </w:p>
        </w:tc>
      </w:tr>
      <w:tr>
        <w:trPr>
          <w:trHeight w:val="235"/>
        </w:trPr>
        <w:tc>
          <w:tcPr>
            <w:tcW w:w="1320" w:type="dxa"/>
            <w:vAlign w:val="bottom"/>
          </w:tcPr>
          <w:p>
            <w:pPr>
              <w:spacing w:after="0"/>
              <w:rPr>
                <w:sz w:val="20"/>
                <w:szCs w:val="20"/>
                <w:color w:val="auto"/>
              </w:rPr>
            </w:pPr>
          </w:p>
        </w:tc>
        <w:tc>
          <w:tcPr>
            <w:tcW w:w="780" w:type="dxa"/>
            <w:vAlign w:val="bottom"/>
            <w:tcBorders>
              <w:top w:val="single" w:sz="8" w:color="0000FF"/>
            </w:tcBorders>
            <w:gridSpan w:val="4"/>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Signatures</w:t>
              </w:r>
            </w:hyperlink>
          </w:p>
        </w:tc>
        <w:tc>
          <w:tcPr>
            <w:tcW w:w="6000" w:type="dxa"/>
            <w:vAlign w:val="bottom"/>
            <w:gridSpan w:val="14"/>
          </w:tcPr>
          <w:p>
            <w:pPr>
              <w:spacing w:after="0"/>
              <w:rPr>
                <w:sz w:val="20"/>
                <w:szCs w:val="20"/>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526415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-3394710</wp:posOffset>
            </wp:positionV>
            <wp:extent cx="7148195"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-3071495</wp:posOffset>
            </wp:positionV>
            <wp:extent cx="714819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-2748280</wp:posOffset>
            </wp:positionV>
            <wp:extent cx="7148195" cy="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-2425065</wp:posOffset>
            </wp:positionV>
            <wp:extent cx="7148195" cy="16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-2101215</wp:posOffset>
            </wp:positionV>
            <wp:extent cx="7148195" cy="16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-1778000</wp:posOffset>
            </wp:positionV>
            <wp:extent cx="7148195"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-1528445</wp:posOffset>
            </wp:positionV>
            <wp:extent cx="714819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-1232535</wp:posOffset>
            </wp:positionV>
            <wp:extent cx="7148195"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-908685</wp:posOffset>
            </wp:positionV>
            <wp:extent cx="7148195" cy="16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-585470</wp:posOffset>
            </wp:positionV>
            <wp:extent cx="7148195"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-262255</wp:posOffset>
            </wp:positionV>
            <wp:extent cx="7148195" cy="16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26670</wp:posOffset>
            </wp:positionV>
            <wp:extent cx="8420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2010" cy="6985"/>
                    </a:xfrm>
                    <a:prstGeom prst="rect">
                      <a:avLst/>
                    </a:prstGeom>
                    <a:noFill/>
                  </pic:spPr>
                </pic:pic>
              </a:graphicData>
            </a:graphic>
          </wp:anchor>
        </w:drawing>
      </w:r>
    </w:p>
    <w:p>
      <w:pPr>
        <w:spacing w:after="0" w:line="362" w:lineRule="exact"/>
        <w:rPr>
          <w:sz w:val="20"/>
          <w:szCs w:val="20"/>
          <w:color w:val="auto"/>
        </w:rPr>
      </w:pPr>
    </w:p>
    <w:p>
      <w:pPr>
        <w:ind w:left="360"/>
        <w:spacing w:after="0"/>
        <w:rPr>
          <w:rFonts w:ascii="Arial" w:cs="Arial" w:eastAsia="Arial" w:hAnsi="Arial"/>
          <w:sz w:val="14"/>
          <w:szCs w:val="14"/>
          <w:color w:val="0000FF"/>
        </w:rPr>
      </w:pPr>
      <w:hyperlink w:anchor="page4">
        <w:r>
          <w:rPr>
            <w:rFonts w:ascii="Arial" w:cs="Arial" w:eastAsia="Arial" w:hAnsi="Arial"/>
            <w:sz w:val="14"/>
            <w:szCs w:val="14"/>
            <w:color w:val="0000FF"/>
          </w:rPr>
          <w:t>1</w:t>
        </w:r>
      </w:hyperlink>
    </w:p>
    <w:p>
      <w:pPr>
        <w:spacing w:after="0" w:line="94" w:lineRule="exact"/>
        <w:rPr>
          <w:sz w:val="20"/>
          <w:szCs w:val="20"/>
          <w:color w:val="auto"/>
        </w:rPr>
      </w:pPr>
    </w:p>
    <w:p>
      <w:pPr>
        <w:ind w:left="360"/>
        <w:spacing w:after="0"/>
        <w:rPr>
          <w:rFonts w:ascii="Arial" w:cs="Arial" w:eastAsia="Arial" w:hAnsi="Arial"/>
          <w:sz w:val="14"/>
          <w:szCs w:val="14"/>
          <w:color w:val="0000FF"/>
        </w:rPr>
      </w:pPr>
      <w:hyperlink w:anchor="page4">
        <w:r>
          <w:rPr>
            <w:rFonts w:ascii="Arial" w:cs="Arial" w:eastAsia="Arial" w:hAnsi="Arial"/>
            <w:sz w:val="14"/>
            <w:szCs w:val="14"/>
            <w:color w:val="0000FF"/>
          </w:rPr>
          <w:t>1</w:t>
        </w:r>
      </w:hyperlink>
    </w:p>
    <w:p>
      <w:pPr>
        <w:spacing w:after="0" w:line="94" w:lineRule="exact"/>
        <w:rPr>
          <w:sz w:val="20"/>
          <w:szCs w:val="20"/>
          <w:color w:val="auto"/>
        </w:rPr>
      </w:pPr>
    </w:p>
    <w:p>
      <w:pPr>
        <w:ind w:left="360"/>
        <w:spacing w:after="0"/>
        <w:rPr>
          <w:rFonts w:ascii="Arial" w:cs="Arial" w:eastAsia="Arial" w:hAnsi="Arial"/>
          <w:sz w:val="14"/>
          <w:szCs w:val="14"/>
          <w:color w:val="0000FF"/>
        </w:rPr>
      </w:pPr>
      <w:hyperlink w:anchor="page4">
        <w:r>
          <w:rPr>
            <w:rFonts w:ascii="Arial" w:cs="Arial" w:eastAsia="Arial" w:hAnsi="Arial"/>
            <w:sz w:val="14"/>
            <w:szCs w:val="14"/>
            <w:color w:val="0000FF"/>
          </w:rPr>
          <w:t>2</w:t>
        </w:r>
      </w:hyperlink>
    </w:p>
    <w:p>
      <w:pPr>
        <w:spacing w:after="0" w:line="94" w:lineRule="exact"/>
        <w:rPr>
          <w:sz w:val="20"/>
          <w:szCs w:val="20"/>
          <w:color w:val="auto"/>
        </w:rPr>
      </w:pPr>
    </w:p>
    <w:p>
      <w:pPr>
        <w:ind w:left="360"/>
        <w:spacing w:after="0"/>
        <w:rPr>
          <w:rFonts w:ascii="Arial" w:cs="Arial" w:eastAsia="Arial" w:hAnsi="Arial"/>
          <w:sz w:val="14"/>
          <w:szCs w:val="14"/>
          <w:color w:val="0000FF"/>
        </w:rPr>
      </w:pPr>
      <w:hyperlink w:anchor="page5">
        <w:r>
          <w:rPr>
            <w:rFonts w:ascii="Arial" w:cs="Arial" w:eastAsia="Arial" w:hAnsi="Arial"/>
            <w:sz w:val="14"/>
            <w:szCs w:val="14"/>
            <w:color w:val="0000FF"/>
          </w:rPr>
          <w:t>3</w:t>
        </w:r>
      </w:hyperlink>
    </w:p>
    <w:p>
      <w:pPr>
        <w:spacing w:after="0" w:line="94" w:lineRule="exact"/>
        <w:rPr>
          <w:sz w:val="20"/>
          <w:szCs w:val="20"/>
          <w:color w:val="auto"/>
        </w:rPr>
      </w:pPr>
    </w:p>
    <w:p>
      <w:pPr>
        <w:ind w:left="360"/>
        <w:spacing w:after="0"/>
        <w:rPr>
          <w:rFonts w:ascii="Arial" w:cs="Arial" w:eastAsia="Arial" w:hAnsi="Arial"/>
          <w:sz w:val="14"/>
          <w:szCs w:val="14"/>
          <w:color w:val="0000FF"/>
        </w:rPr>
      </w:pPr>
      <w:hyperlink w:anchor="page6">
        <w:r>
          <w:rPr>
            <w:rFonts w:ascii="Arial" w:cs="Arial" w:eastAsia="Arial" w:hAnsi="Arial"/>
            <w:sz w:val="14"/>
            <w:szCs w:val="14"/>
            <w:color w:val="0000FF"/>
          </w:rPr>
          <w:t>4</w:t>
        </w:r>
      </w:hyperlink>
    </w:p>
    <w:p>
      <w:pPr>
        <w:spacing w:after="0" w:line="94" w:lineRule="exact"/>
        <w:rPr>
          <w:sz w:val="20"/>
          <w:szCs w:val="20"/>
          <w:color w:val="auto"/>
        </w:rPr>
      </w:pPr>
    </w:p>
    <w:p>
      <w:pPr>
        <w:ind w:left="360"/>
        <w:spacing w:after="0"/>
        <w:rPr>
          <w:rFonts w:ascii="Arial" w:cs="Arial" w:eastAsia="Arial" w:hAnsi="Arial"/>
          <w:sz w:val="14"/>
          <w:szCs w:val="14"/>
          <w:color w:val="0000FF"/>
        </w:rPr>
      </w:pPr>
      <w:hyperlink w:anchor="page7">
        <w:r>
          <w:rPr>
            <w:rFonts w:ascii="Arial" w:cs="Arial" w:eastAsia="Arial" w:hAnsi="Arial"/>
            <w:sz w:val="14"/>
            <w:szCs w:val="14"/>
            <w:color w:val="0000FF"/>
          </w:rPr>
          <w:t>5</w:t>
        </w:r>
      </w:hyperlink>
    </w:p>
    <w:p>
      <w:pPr>
        <w:spacing w:after="0" w:line="94" w:lineRule="exact"/>
        <w:rPr>
          <w:sz w:val="20"/>
          <w:szCs w:val="20"/>
          <w:color w:val="auto"/>
        </w:rPr>
      </w:pPr>
    </w:p>
    <w:p>
      <w:pPr>
        <w:ind w:left="360"/>
        <w:spacing w:after="0"/>
        <w:rPr>
          <w:rFonts w:ascii="Arial" w:cs="Arial" w:eastAsia="Arial" w:hAnsi="Arial"/>
          <w:sz w:val="14"/>
          <w:szCs w:val="14"/>
          <w:color w:val="0000FF"/>
        </w:rPr>
      </w:pPr>
      <w:hyperlink w:anchor="page8">
        <w:r>
          <w:rPr>
            <w:rFonts w:ascii="Arial" w:cs="Arial" w:eastAsia="Arial" w:hAnsi="Arial"/>
            <w:sz w:val="14"/>
            <w:szCs w:val="14"/>
            <w:color w:val="0000FF"/>
          </w:rPr>
          <w:t>6</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23">
        <w:r>
          <w:rPr>
            <w:rFonts w:ascii="Arial" w:cs="Arial" w:eastAsia="Arial" w:hAnsi="Arial"/>
            <w:sz w:val="14"/>
            <w:szCs w:val="14"/>
            <w:color w:val="0000FF"/>
          </w:rPr>
          <w:t>21</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32">
        <w:r>
          <w:rPr>
            <w:rFonts w:ascii="Arial" w:cs="Arial" w:eastAsia="Arial" w:hAnsi="Arial"/>
            <w:sz w:val="14"/>
            <w:szCs w:val="14"/>
            <w:color w:val="0000FF"/>
          </w:rPr>
          <w:t>30</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33">
        <w:r>
          <w:rPr>
            <w:rFonts w:ascii="Arial" w:cs="Arial" w:eastAsia="Arial" w:hAnsi="Arial"/>
            <w:sz w:val="14"/>
            <w:szCs w:val="14"/>
            <w:color w:val="0000FF"/>
          </w:rPr>
          <w:t>30</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rFonts w:ascii="Arial" w:cs="Arial" w:eastAsia="Arial" w:hAnsi="Arial"/>
          <w:sz w:val="14"/>
          <w:szCs w:val="14"/>
          <w:color w:val="0000FF"/>
        </w:rPr>
      </w:pPr>
      <w:hyperlink w:anchor="page34">
        <w:r>
          <w:rPr>
            <w:rFonts w:ascii="Arial" w:cs="Arial" w:eastAsia="Arial" w:hAnsi="Arial"/>
            <w:sz w:val="14"/>
            <w:szCs w:val="14"/>
            <w:color w:val="0000FF"/>
          </w:rPr>
          <w:t>31</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34">
        <w:r>
          <w:rPr>
            <w:rFonts w:ascii="Arial" w:cs="Arial" w:eastAsia="Arial" w:hAnsi="Arial"/>
            <w:sz w:val="14"/>
            <w:szCs w:val="14"/>
            <w:color w:val="0000FF"/>
          </w:rPr>
          <w:t>31</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69">
        <w:r>
          <w:rPr>
            <w:rFonts w:ascii="Arial" w:cs="Arial" w:eastAsia="Arial" w:hAnsi="Arial"/>
            <w:sz w:val="14"/>
            <w:szCs w:val="14"/>
            <w:color w:val="0000FF"/>
          </w:rPr>
          <w:t>66</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69">
        <w:r>
          <w:rPr>
            <w:rFonts w:ascii="Arial" w:cs="Arial" w:eastAsia="Arial" w:hAnsi="Arial"/>
            <w:sz w:val="14"/>
            <w:szCs w:val="14"/>
            <w:color w:val="0000FF"/>
          </w:rPr>
          <w:t>66</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69">
        <w:r>
          <w:rPr>
            <w:rFonts w:ascii="Arial" w:cs="Arial" w:eastAsia="Arial" w:hAnsi="Arial"/>
            <w:sz w:val="14"/>
            <w:szCs w:val="14"/>
            <w:color w:val="0000FF"/>
          </w:rPr>
          <w:t>67</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70">
        <w:r>
          <w:rPr>
            <w:rFonts w:ascii="Arial" w:cs="Arial" w:eastAsia="Arial" w:hAnsi="Arial"/>
            <w:sz w:val="14"/>
            <w:szCs w:val="14"/>
            <w:color w:val="0000FF"/>
          </w:rPr>
          <w:t>67</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70">
        <w:r>
          <w:rPr>
            <w:rFonts w:ascii="Arial" w:cs="Arial" w:eastAsia="Arial" w:hAnsi="Arial"/>
            <w:sz w:val="14"/>
            <w:szCs w:val="14"/>
            <w:color w:val="0000FF"/>
          </w:rPr>
          <w:t>67</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70">
        <w:r>
          <w:rPr>
            <w:rFonts w:ascii="Arial" w:cs="Arial" w:eastAsia="Arial" w:hAnsi="Arial"/>
            <w:sz w:val="14"/>
            <w:szCs w:val="14"/>
            <w:color w:val="0000FF"/>
          </w:rPr>
          <w:t>67</w:t>
        </w:r>
      </w:hyperlink>
    </w:p>
    <w:p>
      <w:pPr>
        <w:spacing w:after="0" w:line="94" w:lineRule="exact"/>
        <w:rPr>
          <w:sz w:val="20"/>
          <w:szCs w:val="20"/>
          <w:color w:val="auto"/>
        </w:rPr>
      </w:pPr>
    </w:p>
    <w:p>
      <w:pPr>
        <w:ind w:left="320"/>
        <w:spacing w:after="0"/>
        <w:rPr>
          <w:rFonts w:ascii="Arial" w:cs="Arial" w:eastAsia="Arial" w:hAnsi="Arial"/>
          <w:sz w:val="14"/>
          <w:szCs w:val="14"/>
          <w:color w:val="0000FF"/>
        </w:rPr>
      </w:pPr>
      <w:hyperlink w:anchor="page70">
        <w:r>
          <w:rPr>
            <w:rFonts w:ascii="Arial" w:cs="Arial" w:eastAsia="Arial" w:hAnsi="Arial"/>
            <w:sz w:val="14"/>
            <w:szCs w:val="14"/>
            <w:color w:val="0000FF"/>
          </w:rPr>
          <w:t>68</w:t>
        </w:r>
      </w:hyperlink>
    </w:p>
    <w:p>
      <w:pPr>
        <w:sectPr>
          <w:pgSz w:w="11900" w:h="16838" w:orient="portrait"/>
          <w:cols w:equalWidth="0" w:num="2">
            <w:col w:w="9440" w:space="720"/>
            <w:col w:w="780"/>
          </w:cols>
          <w:pgMar w:left="360" w:top="734"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Consolidated Financial Statements (unaudited)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 2022</w:t>
            </w:r>
          </w:p>
        </w:tc>
        <w:tc>
          <w:tcPr>
            <w:tcW w:w="200" w:type="dxa"/>
            <w:vAlign w:val="bottom"/>
          </w:tcPr>
          <w:p>
            <w:pPr>
              <w:spacing w:after="0"/>
              <w:rPr>
                <w:sz w:val="12"/>
                <w:szCs w:val="12"/>
                <w:color w:val="auto"/>
              </w:rPr>
            </w:pPr>
          </w:p>
        </w:tc>
        <w:tc>
          <w:tcPr>
            <w:tcW w:w="1380" w:type="dxa"/>
            <w:vAlign w:val="bottom"/>
          </w:tcPr>
          <w:p>
            <w:pPr>
              <w:jc w:val="right"/>
              <w:ind w:right="277"/>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98"/>
        </w:trPr>
        <w:tc>
          <w:tcPr>
            <w:tcW w:w="8020" w:type="dxa"/>
            <w:vAlign w:val="bottom"/>
          </w:tcPr>
          <w:p>
            <w:pPr>
              <w:ind w:left="540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166,412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495,729</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from collaborative partners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Short-term investments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339,209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52,368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4,903</w:t>
            </w:r>
          </w:p>
        </w:tc>
        <w:tc>
          <w:tcPr>
            <w:tcW w:w="0" w:type="dxa"/>
            <w:vAlign w:val="bottom"/>
          </w:tcPr>
          <w:p>
            <w:pPr>
              <w:spacing w:after="0"/>
              <w:rPr>
                <w:sz w:val="1"/>
                <w:szCs w:val="1"/>
                <w:color w:val="auto"/>
              </w:rPr>
            </w:pPr>
          </w:p>
        </w:tc>
      </w:tr>
      <w:tr>
        <w:trPr>
          <w:trHeight w:val="158"/>
        </w:trPr>
        <w:tc>
          <w:tcPr>
            <w:tcW w:w="8020" w:type="dxa"/>
            <w:vAlign w:val="bottom"/>
          </w:tcPr>
          <w:p>
            <w:pPr>
              <w:ind w:left="600"/>
              <w:spacing w:after="0" w:line="146" w:lineRule="exact"/>
              <w:rPr>
                <w:sz w:val="20"/>
                <w:szCs w:val="20"/>
                <w:color w:val="auto"/>
              </w:rPr>
            </w:pPr>
            <w:r>
              <w:rPr>
                <w:rFonts w:ascii="Arial" w:cs="Arial" w:eastAsia="Arial" w:hAnsi="Arial"/>
                <w:sz w:val="13"/>
                <w:szCs w:val="13"/>
                <w:color w:val="auto"/>
              </w:rPr>
              <w:t>Total current assets</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512,411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553,876</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19,147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19,558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investments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67,097</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625,171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643,070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260"/>
              <w:spacing w:after="0"/>
              <w:rPr>
                <w:sz w:val="20"/>
                <w:szCs w:val="20"/>
                <w:color w:val="auto"/>
              </w:rPr>
            </w:pPr>
            <w:r>
              <w:rPr>
                <w:rFonts w:ascii="Arial" w:cs="Arial" w:eastAsia="Arial" w:hAnsi="Arial"/>
                <w:sz w:val="13"/>
                <w:szCs w:val="13"/>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2,481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12,853</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 portion of operating lease liability</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600"/>
              <w:spacing w:after="0" w:line="148" w:lineRule="exact"/>
              <w:rPr>
                <w:sz w:val="20"/>
                <w:szCs w:val="20"/>
                <w:color w:val="auto"/>
              </w:rPr>
            </w:pPr>
            <w:r>
              <w:rPr>
                <w:rFonts w:ascii="Arial" w:cs="Arial" w:eastAsia="Arial" w:hAnsi="Arial"/>
                <w:sz w:val="13"/>
                <w:szCs w:val="13"/>
                <w:color w:val="auto"/>
              </w:rPr>
              <w:t>Total current liabilities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16,099</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Liability related to sale of future royalties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255,584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251,093</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liability, net of current portion</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19,450</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Preferred stock, $0.001 par value, 10,000 shares authorized and no shares, issued or outstanding at March 31, 2022 and December 31, 2021, respectively</w:t>
            </w:r>
          </w:p>
        </w:tc>
        <w:tc>
          <w:tcPr>
            <w:tcW w:w="2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8020" w:type="dxa"/>
            <w:vAlign w:val="bottom"/>
          </w:tcPr>
          <w:p>
            <w:pPr>
              <w:ind w:left="20"/>
              <w:spacing w:after="0" w:line="131" w:lineRule="exact"/>
              <w:rPr>
                <w:sz w:val="20"/>
                <w:szCs w:val="20"/>
                <w:color w:val="auto"/>
              </w:rPr>
            </w:pPr>
            <w:r>
              <w:rPr>
                <w:rFonts w:ascii="Arial" w:cs="Arial" w:eastAsia="Arial" w:hAnsi="Arial"/>
                <w:sz w:val="13"/>
                <w:szCs w:val="13"/>
                <w:color w:val="auto"/>
                <w:w w:val="87"/>
              </w:rPr>
              <w:t>Common stock, $0.001 par value, 500,000 shares authorized, 28,178 shares and 27,647 shares issued and outstanding at March 31, 2022 and December 31,</w:t>
            </w:r>
          </w:p>
        </w:tc>
        <w:tc>
          <w:tcPr>
            <w:tcW w:w="26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4"/>
        </w:trPr>
        <w:tc>
          <w:tcPr>
            <w:tcW w:w="8020" w:type="dxa"/>
            <w:vAlign w:val="bottom"/>
          </w:tcPr>
          <w:p>
            <w:pPr>
              <w:ind w:left="20"/>
              <w:spacing w:after="0"/>
              <w:rPr>
                <w:sz w:val="20"/>
                <w:szCs w:val="20"/>
                <w:color w:val="auto"/>
              </w:rPr>
            </w:pPr>
            <w:r>
              <w:rPr>
                <w:rFonts w:ascii="Arial" w:cs="Arial" w:eastAsia="Arial" w:hAnsi="Arial"/>
                <w:sz w:val="13"/>
                <w:szCs w:val="13"/>
                <w:color w:val="auto"/>
              </w:rPr>
              <w:t>2021,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 in capital</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691,161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678,575</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(358,008)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(321,753)</w:t>
            </w:r>
          </w:p>
        </w:tc>
        <w:tc>
          <w:tcPr>
            <w:tcW w:w="0" w:type="dxa"/>
            <w:vAlign w:val="bottom"/>
          </w:tcPr>
          <w:p>
            <w:pPr>
              <w:spacing w:after="0"/>
              <w:rPr>
                <w:sz w:val="1"/>
                <w:szCs w:val="1"/>
                <w:color w:val="auto"/>
              </w:rPr>
            </w:pPr>
          </w:p>
        </w:tc>
      </w:tr>
      <w:tr>
        <w:trPr>
          <w:trHeight w:val="158"/>
        </w:trPr>
        <w:tc>
          <w:tcPr>
            <w:tcW w:w="8020" w:type="dxa"/>
            <w:vAlign w:val="bottom"/>
            <w:tcBorders>
              <w:bottom w:val="single" w:sz="8" w:color="CCEEFF"/>
            </w:tcBorders>
          </w:tcPr>
          <w:p>
            <w:pPr>
              <w:ind w:left="220"/>
              <w:spacing w:after="0" w:line="146" w:lineRule="exact"/>
              <w:rPr>
                <w:sz w:val="20"/>
                <w:szCs w:val="20"/>
                <w:color w:val="auto"/>
              </w:rPr>
            </w:pPr>
            <w:r>
              <w:rPr>
                <w:rFonts w:ascii="Arial" w:cs="Arial" w:eastAsia="Arial" w:hAnsi="Arial"/>
                <w:sz w:val="13"/>
                <w:szCs w:val="13"/>
                <w:color w:val="auto"/>
              </w:rPr>
              <w:t>Total stockholders’ equity</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330,747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356,428</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Total liabilities and stockholders’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625,171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643,070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0" w:lineRule="exact"/>
        <w:rPr>
          <w:sz w:val="20"/>
          <w:szCs w:val="20"/>
          <w:color w:val="auto"/>
        </w:rPr>
      </w:pPr>
    </w:p>
    <w:p>
      <w:pPr>
        <w:jc w:val="center"/>
        <w:ind w:left="8560"/>
        <w:spacing w:after="0"/>
        <w:rPr>
          <w:sz w:val="20"/>
          <w:szCs w:val="20"/>
          <w:color w:val="auto"/>
        </w:rPr>
      </w:pPr>
      <w:r>
        <w:rPr>
          <w:rFonts w:ascii="Arial" w:cs="Arial" w:eastAsia="Arial" w:hAnsi="Arial"/>
          <w:sz w:val="11"/>
          <w:szCs w:val="11"/>
          <w:b w:val="1"/>
          <w:bCs w:val="1"/>
          <w:color w:val="auto"/>
        </w:rPr>
        <w:t>Three Months Ended</w:t>
      </w:r>
    </w:p>
    <w:p>
      <w:pPr>
        <w:jc w:val="center"/>
        <w:ind w:left="856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58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2021</w:t>
            </w:r>
          </w:p>
        </w:tc>
      </w:tr>
      <w:tr>
        <w:trPr>
          <w:trHeight w:val="161"/>
        </w:trPr>
        <w:tc>
          <w:tcPr>
            <w:tcW w:w="8580" w:type="dxa"/>
            <w:vAlign w:val="bottom"/>
            <w:shd w:val="clear" w:color="auto" w:fill="CFF0FC"/>
          </w:tcPr>
          <w:p>
            <w:pPr>
              <w:ind w:left="20"/>
              <w:spacing w:after="0" w:line="146" w:lineRule="exact"/>
              <w:rPr>
                <w:sz w:val="20"/>
                <w:szCs w:val="20"/>
                <w:color w:val="auto"/>
              </w:rPr>
            </w:pPr>
            <w:r>
              <w:rPr>
                <w:rFonts w:ascii="Arial" w:cs="Arial" w:eastAsia="Arial" w:hAnsi="Arial"/>
                <w:sz w:val="13"/>
                <w:szCs w:val="13"/>
                <w:color w:val="auto"/>
              </w:rPr>
              <w:t>Collaboration revenue</w:t>
            </w:r>
          </w:p>
        </w:tc>
        <w:tc>
          <w:tcPr>
            <w:tcW w:w="800" w:type="dxa"/>
            <w:vAlign w:val="bottom"/>
            <w:tcBorders>
              <w:bottom w:val="single" w:sz="8" w:color="auto"/>
            </w:tcBorders>
            <w:shd w:val="clear" w:color="auto" w:fill="CFF0FC"/>
          </w:tcPr>
          <w:p>
            <w:pPr>
              <w:jc w:val="right"/>
              <w:ind w:right="65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970</w:t>
            </w:r>
          </w:p>
        </w:tc>
        <w:tc>
          <w:tcPr>
            <w:tcW w:w="1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11,247</w:t>
            </w:r>
          </w:p>
        </w:tc>
      </w:tr>
      <w:tr>
        <w:trPr>
          <w:trHeight w:val="148"/>
        </w:trPr>
        <w:tc>
          <w:tcPr>
            <w:tcW w:w="8580" w:type="dxa"/>
            <w:vAlign w:val="bottom"/>
          </w:tcPr>
          <w:p>
            <w:pPr>
              <w:ind w:left="20"/>
              <w:spacing w:after="0" w:line="146" w:lineRule="exact"/>
              <w:rPr>
                <w:sz w:val="20"/>
                <w:szCs w:val="20"/>
                <w:color w:val="auto"/>
              </w:rPr>
            </w:pPr>
            <w:r>
              <w:rPr>
                <w:rFonts w:ascii="Arial" w:cs="Arial" w:eastAsia="Arial" w:hAnsi="Arial"/>
                <w:sz w:val="13"/>
                <w:szCs w:val="13"/>
                <w:color w:val="auto"/>
              </w:rPr>
              <w:t>Operating expenses:</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2"/>
        </w:trPr>
        <w:tc>
          <w:tcPr>
            <w:tcW w:w="85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Research and development</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22,516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24,185</w:t>
            </w:r>
          </w:p>
        </w:tc>
      </w:tr>
      <w:tr>
        <w:trPr>
          <w:trHeight w:val="168"/>
        </w:trPr>
        <w:tc>
          <w:tcPr>
            <w:tcW w:w="8580" w:type="dxa"/>
            <w:vAlign w:val="bottom"/>
            <w:tcBorders>
              <w:bottom w:val="single" w:sz="8" w:color="CFF0FC"/>
            </w:tcBorders>
          </w:tcPr>
          <w:p>
            <w:pPr>
              <w:ind w:left="220"/>
              <w:spacing w:after="0"/>
              <w:rPr>
                <w:sz w:val="20"/>
                <w:szCs w:val="20"/>
                <w:color w:val="auto"/>
              </w:rPr>
            </w:pPr>
            <w:r>
              <w:rPr>
                <w:rFonts w:ascii="Arial" w:cs="Arial" w:eastAsia="Arial" w:hAnsi="Arial"/>
                <w:sz w:val="13"/>
                <w:szCs w:val="13"/>
                <w:color w:val="auto"/>
              </w:rPr>
              <w:t>General and administrative</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10,203</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5,423</w:t>
            </w:r>
          </w:p>
        </w:tc>
      </w:tr>
      <w:tr>
        <w:trPr>
          <w:trHeight w:val="163"/>
        </w:trPr>
        <w:tc>
          <w:tcPr>
            <w:tcW w:w="858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Total operating expenses</w:t>
            </w: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32,719</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29,608</w:t>
            </w:r>
          </w:p>
        </w:tc>
      </w:tr>
      <w:tr>
        <w:trPr>
          <w:trHeight w:val="158"/>
        </w:trPr>
        <w:tc>
          <w:tcPr>
            <w:tcW w:w="858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Loss from operations</w:t>
            </w: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(31,749)</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(18,361)</w:t>
            </w:r>
          </w:p>
        </w:tc>
      </w:tr>
      <w:tr>
        <w:trPr>
          <w:trHeight w:val="152"/>
        </w:trPr>
        <w:tc>
          <w:tcPr>
            <w:tcW w:w="858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Other income (expense), net:</w:t>
            </w: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68"/>
        </w:trPr>
        <w:tc>
          <w:tcPr>
            <w:tcW w:w="858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172"/>
        </w:trPr>
        <w:tc>
          <w:tcPr>
            <w:tcW w:w="85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Non-cash interest expense for the sale of future royalties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(4,854)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58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Other income, net</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3"/>
        </w:trPr>
        <w:tc>
          <w:tcPr>
            <w:tcW w:w="858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Total other income (expense), net</w:t>
            </w: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(4,506)</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198</w:t>
            </w:r>
          </w:p>
        </w:tc>
      </w:tr>
      <w:tr>
        <w:trPr>
          <w:trHeight w:val="158"/>
        </w:trPr>
        <w:tc>
          <w:tcPr>
            <w:tcW w:w="8580" w:type="dxa"/>
            <w:vAlign w:val="bottom"/>
            <w:tcBorders>
              <w:bottom w:val="single" w:sz="8" w:color="CFF0FC"/>
            </w:tcBorders>
          </w:tcPr>
          <w:p>
            <w:pPr>
              <w:ind w:left="560"/>
              <w:spacing w:after="0" w:line="146" w:lineRule="exact"/>
              <w:rPr>
                <w:sz w:val="20"/>
                <w:szCs w:val="20"/>
                <w:color w:val="auto"/>
              </w:rPr>
            </w:pPr>
            <w:r>
              <w:rPr>
                <w:rFonts w:ascii="Arial" w:cs="Arial" w:eastAsia="Arial" w:hAnsi="Arial"/>
                <w:sz w:val="13"/>
                <w:szCs w:val="13"/>
                <w:color w:val="auto"/>
              </w:rPr>
              <w:t>Net loss</w:t>
            </w: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(36,255)</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(18,163)</w:t>
            </w:r>
          </w:p>
        </w:tc>
      </w:tr>
      <w:tr>
        <w:trPr>
          <w:trHeight w:val="163"/>
        </w:trPr>
        <w:tc>
          <w:tcPr>
            <w:tcW w:w="858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Unrealized loss on available for sale securities</w:t>
            </w: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(107)</w:t>
            </w:r>
          </w:p>
        </w:tc>
      </w:tr>
      <w:tr>
        <w:trPr>
          <w:trHeight w:val="158"/>
        </w:trPr>
        <w:tc>
          <w:tcPr>
            <w:tcW w:w="8580" w:type="dxa"/>
            <w:vAlign w:val="bottom"/>
          </w:tcPr>
          <w:p>
            <w:pPr>
              <w:ind w:left="600"/>
              <w:spacing w:after="0" w:line="146" w:lineRule="exact"/>
              <w:rPr>
                <w:sz w:val="20"/>
                <w:szCs w:val="20"/>
                <w:color w:val="auto"/>
              </w:rPr>
            </w:pPr>
            <w:r>
              <w:rPr>
                <w:rFonts w:ascii="Arial" w:cs="Arial" w:eastAsia="Arial" w:hAnsi="Arial"/>
                <w:sz w:val="13"/>
                <w:szCs w:val="13"/>
                <w:color w:val="auto"/>
              </w:rPr>
              <w:t>Comprehensive loss</w:t>
            </w:r>
          </w:p>
        </w:tc>
        <w:tc>
          <w:tcPr>
            <w:tcW w:w="8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(38,267)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(18,270)</w:t>
            </w:r>
          </w:p>
        </w:tc>
      </w:tr>
      <w:tr>
        <w:trPr>
          <w:trHeight w:val="20"/>
        </w:trPr>
        <w:tc>
          <w:tcPr>
            <w:tcW w:w="858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3"/>
        </w:trPr>
        <w:tc>
          <w:tcPr>
            <w:tcW w:w="8580" w:type="dxa"/>
            <w:vAlign w:val="bottom"/>
            <w:shd w:val="clear" w:color="auto" w:fill="CFF0FC"/>
          </w:tcPr>
          <w:p>
            <w:pPr>
              <w:ind w:left="220"/>
              <w:spacing w:after="0" w:line="133" w:lineRule="exact"/>
              <w:rPr>
                <w:sz w:val="20"/>
                <w:szCs w:val="20"/>
                <w:color w:val="auto"/>
              </w:rPr>
            </w:pPr>
            <w:r>
              <w:rPr>
                <w:rFonts w:ascii="Arial" w:cs="Arial" w:eastAsia="Arial" w:hAnsi="Arial"/>
                <w:sz w:val="13"/>
                <w:szCs w:val="13"/>
                <w:color w:val="auto"/>
              </w:rPr>
              <w:t>Net loss per common share:</w:t>
            </w:r>
          </w:p>
        </w:tc>
        <w:tc>
          <w:tcPr>
            <w:tcW w:w="8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r>
      <w:tr>
        <w:trPr>
          <w:trHeight w:val="149"/>
        </w:trPr>
        <w:tc>
          <w:tcPr>
            <w:tcW w:w="8580" w:type="dxa"/>
            <w:vAlign w:val="bottom"/>
          </w:tcPr>
          <w:p>
            <w:pPr>
              <w:ind w:left="600"/>
              <w:spacing w:after="0"/>
              <w:rPr>
                <w:sz w:val="20"/>
                <w:szCs w:val="20"/>
                <w:color w:val="auto"/>
              </w:rPr>
            </w:pPr>
            <w:r>
              <w:rPr>
                <w:rFonts w:ascii="Arial" w:cs="Arial" w:eastAsia="Arial" w:hAnsi="Arial"/>
                <w:sz w:val="13"/>
                <w:szCs w:val="13"/>
                <w:color w:val="auto"/>
              </w:rPr>
              <w:t>Basic and diluted</w:t>
            </w:r>
          </w:p>
        </w:tc>
        <w:tc>
          <w:tcPr>
            <w:tcW w:w="8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(0.66)</w:t>
            </w:r>
          </w:p>
        </w:tc>
      </w:tr>
      <w:tr>
        <w:trPr>
          <w:trHeight w:val="20"/>
        </w:trPr>
        <w:tc>
          <w:tcPr>
            <w:tcW w:w="858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8580" w:type="dxa"/>
            <w:vAlign w:val="bottom"/>
            <w:shd w:val="clear" w:color="auto" w:fill="CFF0FC"/>
          </w:tcPr>
          <w:p>
            <w:pPr>
              <w:ind w:left="220"/>
              <w:spacing w:after="0" w:line="131" w:lineRule="exact"/>
              <w:rPr>
                <w:sz w:val="20"/>
                <w:szCs w:val="20"/>
                <w:color w:val="auto"/>
              </w:rPr>
            </w:pPr>
            <w:r>
              <w:rPr>
                <w:rFonts w:ascii="Arial" w:cs="Arial" w:eastAsia="Arial" w:hAnsi="Arial"/>
                <w:sz w:val="13"/>
                <w:szCs w:val="13"/>
                <w:color w:val="auto"/>
              </w:rPr>
              <w:t>Weighted-average number of shares outstanding:</w:t>
            </w:r>
          </w:p>
        </w:tc>
        <w:tc>
          <w:tcPr>
            <w:tcW w:w="8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r>
      <w:tr>
        <w:trPr>
          <w:trHeight w:val="168"/>
        </w:trPr>
        <w:tc>
          <w:tcPr>
            <w:tcW w:w="8580" w:type="dxa"/>
            <w:vAlign w:val="bottom"/>
          </w:tcPr>
          <w:p>
            <w:pPr>
              <w:ind w:left="600"/>
              <w:spacing w:after="0"/>
              <w:rPr>
                <w:sz w:val="20"/>
                <w:szCs w:val="20"/>
                <w:color w:val="auto"/>
              </w:rPr>
            </w:pPr>
            <w:r>
              <w:rPr>
                <w:rFonts w:ascii="Arial" w:cs="Arial" w:eastAsia="Arial" w:hAnsi="Arial"/>
                <w:sz w:val="13"/>
                <w:szCs w:val="13"/>
                <w:color w:val="auto"/>
              </w:rPr>
              <w:t>Basic and diluted</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27,713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27,361</w:t>
            </w:r>
          </w:p>
        </w:tc>
      </w:tr>
      <w:tr>
        <w:trPr>
          <w:trHeight w:val="20"/>
        </w:trPr>
        <w:tc>
          <w:tcPr>
            <w:tcW w:w="8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Stockholders’ Equity</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280" w:type="dxa"/>
            <w:vAlign w:val="bottom"/>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Additional</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53"/>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5"/>
                <w:szCs w:val="5"/>
                <w:color w:val="auto"/>
              </w:rPr>
            </w:pPr>
          </w:p>
        </w:tc>
        <w:tc>
          <w:tcPr>
            <w:tcW w:w="1080" w:type="dxa"/>
            <w:vAlign w:val="bottom"/>
            <w:gridSpan w:val="2"/>
          </w:tcPr>
          <w:p>
            <w:pPr>
              <w:jc w:val="center"/>
              <w:ind w:right="340"/>
              <w:spacing w:after="0" w:line="65" w:lineRule="exact"/>
              <w:rPr>
                <w:sz w:val="20"/>
                <w:szCs w:val="20"/>
                <w:color w:val="auto"/>
              </w:rPr>
            </w:pPr>
            <w:r>
              <w:rPr>
                <w:rFonts w:ascii="Arial" w:cs="Arial" w:eastAsia="Arial" w:hAnsi="Arial"/>
                <w:sz w:val="7"/>
                <w:szCs w:val="7"/>
                <w:b w:val="1"/>
                <w:bCs w:val="1"/>
                <w:color w:val="auto"/>
              </w:rPr>
              <w:t>Paid-in</w:t>
            </w:r>
          </w:p>
        </w:tc>
        <w:tc>
          <w:tcPr>
            <w:tcW w:w="160" w:type="dxa"/>
            <w:vAlign w:val="bottom"/>
          </w:tcPr>
          <w:p>
            <w:pPr>
              <w:spacing w:after="0"/>
              <w:rPr>
                <w:sz w:val="5"/>
                <w:szCs w:val="5"/>
                <w:color w:val="auto"/>
              </w:rPr>
            </w:pPr>
          </w:p>
        </w:tc>
        <w:tc>
          <w:tcPr>
            <w:tcW w:w="1160" w:type="dxa"/>
            <w:vAlign w:val="bottom"/>
            <w:gridSpan w:val="2"/>
          </w:tcPr>
          <w:p>
            <w:pPr>
              <w:jc w:val="center"/>
              <w:ind w:right="240"/>
              <w:spacing w:after="0" w:line="65" w:lineRule="exact"/>
              <w:rPr>
                <w:sz w:val="20"/>
                <w:szCs w:val="20"/>
                <w:color w:val="auto"/>
              </w:rPr>
            </w:pPr>
            <w:r>
              <w:rPr>
                <w:rFonts w:ascii="Arial" w:cs="Arial" w:eastAsia="Arial" w:hAnsi="Arial"/>
                <w:sz w:val="7"/>
                <w:szCs w:val="7"/>
                <w:b w:val="1"/>
                <w:bCs w:val="1"/>
                <w:color w:val="auto"/>
              </w:rPr>
              <w:t>Accumulated Other</w:t>
            </w:r>
          </w:p>
        </w:tc>
        <w:tc>
          <w:tcPr>
            <w:tcW w:w="220" w:type="dxa"/>
            <w:vAlign w:val="bottom"/>
          </w:tcPr>
          <w:p>
            <w:pPr>
              <w:spacing w:after="0"/>
              <w:rPr>
                <w:sz w:val="5"/>
                <w:szCs w:val="5"/>
                <w:color w:val="auto"/>
              </w:rPr>
            </w:pPr>
          </w:p>
        </w:tc>
        <w:tc>
          <w:tcPr>
            <w:tcW w:w="1120" w:type="dxa"/>
            <w:vAlign w:val="bottom"/>
            <w:gridSpan w:val="2"/>
          </w:tcPr>
          <w:p>
            <w:pPr>
              <w:jc w:val="center"/>
              <w:ind w:right="320"/>
              <w:spacing w:after="0" w:line="65" w:lineRule="exact"/>
              <w:rPr>
                <w:sz w:val="20"/>
                <w:szCs w:val="20"/>
                <w:color w:val="auto"/>
              </w:rPr>
            </w:pPr>
            <w:r>
              <w:rPr>
                <w:rFonts w:ascii="Arial" w:cs="Arial" w:eastAsia="Arial" w:hAnsi="Arial"/>
                <w:sz w:val="7"/>
                <w:szCs w:val="7"/>
                <w:b w:val="1"/>
                <w:bCs w:val="1"/>
                <w:color w:val="auto"/>
              </w:rPr>
              <w:t>Accumulated</w:t>
            </w:r>
          </w:p>
        </w:tc>
        <w:tc>
          <w:tcPr>
            <w:tcW w:w="200" w:type="dxa"/>
            <w:vAlign w:val="bottom"/>
          </w:tcPr>
          <w:p>
            <w:pPr>
              <w:spacing w:after="0"/>
              <w:rPr>
                <w:sz w:val="5"/>
                <w:szCs w:val="5"/>
                <w:color w:val="auto"/>
              </w:rPr>
            </w:pPr>
          </w:p>
        </w:tc>
        <w:tc>
          <w:tcPr>
            <w:tcW w:w="1020" w:type="dxa"/>
            <w:vAlign w:val="bottom"/>
          </w:tcPr>
          <w:p>
            <w:pPr>
              <w:jc w:val="center"/>
              <w:ind w:right="153"/>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Capital</w:t>
            </w:r>
          </w:p>
        </w:tc>
        <w:tc>
          <w:tcPr>
            <w:tcW w:w="160" w:type="dxa"/>
            <w:vAlign w:val="bottom"/>
          </w:tcPr>
          <w:p>
            <w:pPr>
              <w:spacing w:after="0"/>
              <w:rPr>
                <w:sz w:val="10"/>
                <w:szCs w:val="1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3"/>
              </w:rPr>
              <w:t>Comprehensive Loss</w:t>
            </w:r>
          </w:p>
        </w:tc>
        <w:tc>
          <w:tcPr>
            <w:tcW w:w="220" w:type="dxa"/>
            <w:vAlign w:val="bottom"/>
          </w:tcPr>
          <w:p>
            <w:pPr>
              <w:spacing w:after="0"/>
              <w:rPr>
                <w:sz w:val="10"/>
                <w:szCs w:val="1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7"/>
              </w:rPr>
              <w:t>Deficit</w:t>
            </w:r>
          </w:p>
        </w:tc>
        <w:tc>
          <w:tcPr>
            <w:tcW w:w="200" w:type="dxa"/>
            <w:vAlign w:val="bottom"/>
          </w:tcPr>
          <w:p>
            <w:pPr>
              <w:spacing w:after="0"/>
              <w:rPr>
                <w:sz w:val="10"/>
                <w:szCs w:val="10"/>
                <w:color w:val="auto"/>
              </w:rPr>
            </w:pPr>
          </w:p>
        </w:tc>
        <w:tc>
          <w:tcPr>
            <w:tcW w:w="1020" w:type="dxa"/>
            <w:vAlign w:val="bottom"/>
          </w:tcPr>
          <w:p>
            <w:pPr>
              <w:jc w:val="center"/>
              <w:ind w:right="153"/>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38"/>
        </w:trPr>
        <w:tc>
          <w:tcPr>
            <w:tcW w:w="4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27,647</w:t>
            </w:r>
          </w:p>
        </w:tc>
        <w:tc>
          <w:tcPr>
            <w:tcW w:w="1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678,575</w:t>
            </w:r>
          </w:p>
        </w:tc>
        <w:tc>
          <w:tcPr>
            <w:tcW w:w="1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(422)</w:t>
            </w: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(321,753)</w:t>
            </w: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356,428</w:t>
            </w:r>
          </w:p>
        </w:tc>
        <w:tc>
          <w:tcPr>
            <w:tcW w:w="0" w:type="dxa"/>
            <w:vAlign w:val="bottom"/>
          </w:tcPr>
          <w:p>
            <w:pPr>
              <w:spacing w:after="0"/>
              <w:rPr>
                <w:sz w:val="1"/>
                <w:szCs w:val="1"/>
                <w:color w:val="auto"/>
              </w:rPr>
            </w:pPr>
          </w:p>
        </w:tc>
      </w:tr>
      <w:tr>
        <w:trPr>
          <w:trHeight w:val="147"/>
        </w:trPr>
        <w:tc>
          <w:tcPr>
            <w:tcW w:w="4280" w:type="dxa"/>
            <w:vAlign w:val="bottom"/>
          </w:tcPr>
          <w:p>
            <w:pPr>
              <w:ind w:left="80"/>
              <w:spacing w:after="0"/>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tcPr>
          <w:p>
            <w:pPr>
              <w:jc w:val="right"/>
              <w:spacing w:after="0"/>
              <w:rPr>
                <w:sz w:val="20"/>
                <w:szCs w:val="20"/>
                <w:color w:val="auto"/>
              </w:rPr>
            </w:pPr>
            <w:r>
              <w:rPr>
                <w:rFonts w:ascii="Arial" w:cs="Arial" w:eastAsia="Arial" w:hAnsi="Arial"/>
                <w:sz w:val="10"/>
                <w:szCs w:val="10"/>
                <w:color w:val="auto"/>
              </w:rPr>
              <w:t>531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4,844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4,844</w:t>
            </w:r>
          </w:p>
        </w:tc>
        <w:tc>
          <w:tcPr>
            <w:tcW w:w="0" w:type="dxa"/>
            <w:vAlign w:val="bottom"/>
          </w:tcPr>
          <w:p>
            <w:pPr>
              <w:spacing w:after="0"/>
              <w:rPr>
                <w:sz w:val="1"/>
                <w:szCs w:val="1"/>
                <w:color w:val="auto"/>
              </w:rPr>
            </w:pPr>
          </w:p>
        </w:tc>
      </w:tr>
      <w:tr>
        <w:trPr>
          <w:trHeight w:val="150"/>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7,742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7,742</w:t>
            </w:r>
          </w:p>
        </w:tc>
        <w:tc>
          <w:tcPr>
            <w:tcW w:w="0" w:type="dxa"/>
            <w:vAlign w:val="bottom"/>
          </w:tcPr>
          <w:p>
            <w:pPr>
              <w:spacing w:after="0"/>
              <w:rPr>
                <w:sz w:val="1"/>
                <w:szCs w:val="1"/>
                <w:color w:val="auto"/>
              </w:rPr>
            </w:pPr>
          </w:p>
        </w:tc>
      </w:tr>
      <w:tr>
        <w:trPr>
          <w:trHeight w:val="147"/>
        </w:trPr>
        <w:tc>
          <w:tcPr>
            <w:tcW w:w="4280" w:type="dxa"/>
            <w:vAlign w:val="bottom"/>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(2,012)</w:t>
            </w:r>
          </w:p>
        </w:tc>
        <w:tc>
          <w:tcPr>
            <w:tcW w:w="0" w:type="dxa"/>
            <w:vAlign w:val="bottom"/>
          </w:tcPr>
          <w:p>
            <w:pPr>
              <w:spacing w:after="0"/>
              <w:rPr>
                <w:sz w:val="1"/>
                <w:szCs w:val="1"/>
                <w:color w:val="auto"/>
              </w:rPr>
            </w:pPr>
          </w:p>
        </w:tc>
      </w:tr>
      <w:tr>
        <w:trPr>
          <w:trHeight w:val="150"/>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(36,255)</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(36,255)</w:t>
            </w:r>
          </w:p>
        </w:tc>
        <w:tc>
          <w:tcPr>
            <w:tcW w:w="0" w:type="dxa"/>
            <w:vAlign w:val="bottom"/>
          </w:tcPr>
          <w:p>
            <w:pPr>
              <w:spacing w:after="0"/>
              <w:rPr>
                <w:sz w:val="1"/>
                <w:szCs w:val="1"/>
                <w:color w:val="auto"/>
              </w:rPr>
            </w:pPr>
          </w:p>
        </w:tc>
      </w:tr>
      <w:tr>
        <w:trPr>
          <w:trHeight w:val="129"/>
        </w:trPr>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Balance,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28,178</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691,161</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(2,434)</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(358,008)</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330,747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Stockholders’ Equity</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00" w:type="dxa"/>
            <w:vAlign w:val="bottom"/>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3"/>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65"/>
        </w:trPr>
        <w:tc>
          <w:tcPr>
            <w:tcW w:w="4400" w:type="dxa"/>
            <w:vAlign w:val="bottom"/>
          </w:tcPr>
          <w:p>
            <w:pPr>
              <w:spacing w:after="0"/>
              <w:rPr>
                <w:sz w:val="5"/>
                <w:szCs w:val="5"/>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5"/>
                <w:szCs w:val="5"/>
                <w:color w:val="auto"/>
              </w:rPr>
            </w:pPr>
          </w:p>
        </w:tc>
        <w:tc>
          <w:tcPr>
            <w:tcW w:w="1060" w:type="dxa"/>
            <w:vAlign w:val="bottom"/>
            <w:gridSpan w:val="2"/>
          </w:tcPr>
          <w:p>
            <w:pPr>
              <w:jc w:val="center"/>
              <w:ind w:right="340"/>
              <w:spacing w:after="0" w:line="65"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1140" w:type="dxa"/>
            <w:vAlign w:val="bottom"/>
            <w:gridSpan w:val="2"/>
          </w:tcPr>
          <w:p>
            <w:pPr>
              <w:jc w:val="center"/>
              <w:ind w:right="220"/>
              <w:spacing w:after="0" w:line="65" w:lineRule="exact"/>
              <w:rPr>
                <w:sz w:val="20"/>
                <w:szCs w:val="20"/>
                <w:color w:val="auto"/>
              </w:rPr>
            </w:pPr>
            <w:r>
              <w:rPr>
                <w:rFonts w:ascii="Arial" w:cs="Arial" w:eastAsia="Arial" w:hAnsi="Arial"/>
                <w:sz w:val="7"/>
                <w:szCs w:val="7"/>
                <w:b w:val="1"/>
                <w:bCs w:val="1"/>
                <w:color w:val="auto"/>
              </w:rPr>
              <w:t>Accumulated Other</w:t>
            </w:r>
          </w:p>
        </w:tc>
        <w:tc>
          <w:tcPr>
            <w:tcW w:w="220" w:type="dxa"/>
            <w:vAlign w:val="bottom"/>
          </w:tcPr>
          <w:p>
            <w:pPr>
              <w:spacing w:after="0"/>
              <w:rPr>
                <w:sz w:val="5"/>
                <w:szCs w:val="5"/>
                <w:color w:val="auto"/>
              </w:rPr>
            </w:pPr>
          </w:p>
        </w:tc>
        <w:tc>
          <w:tcPr>
            <w:tcW w:w="1080" w:type="dxa"/>
            <w:vAlign w:val="bottom"/>
            <w:gridSpan w:val="2"/>
          </w:tcPr>
          <w:p>
            <w:pPr>
              <w:jc w:val="center"/>
              <w:ind w:right="320"/>
              <w:spacing w:after="0" w:line="65" w:lineRule="exact"/>
              <w:rPr>
                <w:sz w:val="20"/>
                <w:szCs w:val="20"/>
                <w:color w:val="auto"/>
              </w:rPr>
            </w:pPr>
            <w:r>
              <w:rPr>
                <w:rFonts w:ascii="Arial" w:cs="Arial" w:eastAsia="Arial" w:hAnsi="Arial"/>
                <w:sz w:val="7"/>
                <w:szCs w:val="7"/>
                <w:b w:val="1"/>
                <w:bCs w:val="1"/>
                <w:color w:val="auto"/>
              </w:rPr>
              <w:t>Accumulated</w:t>
            </w:r>
          </w:p>
        </w:tc>
        <w:tc>
          <w:tcPr>
            <w:tcW w:w="220" w:type="dxa"/>
            <w:vAlign w:val="bottom"/>
          </w:tcPr>
          <w:p>
            <w:pPr>
              <w:spacing w:after="0"/>
              <w:rPr>
                <w:sz w:val="5"/>
                <w:szCs w:val="5"/>
                <w:color w:val="auto"/>
              </w:rPr>
            </w:pPr>
          </w:p>
        </w:tc>
        <w:tc>
          <w:tcPr>
            <w:tcW w:w="980" w:type="dxa"/>
            <w:vAlign w:val="bottom"/>
          </w:tcPr>
          <w:p>
            <w:pPr>
              <w:jc w:val="center"/>
              <w:ind w:right="153"/>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Comprehensive Loss</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7"/>
              </w:rPr>
              <w:t>Deficit</w:t>
            </w:r>
          </w:p>
        </w:tc>
        <w:tc>
          <w:tcPr>
            <w:tcW w:w="220" w:type="dxa"/>
            <w:vAlign w:val="bottom"/>
          </w:tcPr>
          <w:p>
            <w:pPr>
              <w:spacing w:after="0"/>
              <w:rPr>
                <w:sz w:val="10"/>
                <w:szCs w:val="10"/>
                <w:color w:val="auto"/>
              </w:rPr>
            </w:pPr>
          </w:p>
        </w:tc>
        <w:tc>
          <w:tcPr>
            <w:tcW w:w="980" w:type="dxa"/>
            <w:vAlign w:val="bottom"/>
          </w:tcPr>
          <w:p>
            <w:pPr>
              <w:jc w:val="center"/>
              <w:ind w:right="173"/>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38"/>
        </w:trPr>
        <w:tc>
          <w:tcPr>
            <w:tcW w:w="4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27,356</w:t>
            </w:r>
          </w:p>
        </w:tc>
        <w:tc>
          <w:tcPr>
            <w:tcW w:w="1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660,665</w:t>
            </w: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(263,957)</w:t>
            </w:r>
          </w:p>
        </w:tc>
        <w:tc>
          <w:tcPr>
            <w:tcW w:w="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396,731</w:t>
            </w:r>
          </w:p>
        </w:tc>
        <w:tc>
          <w:tcPr>
            <w:tcW w:w="0" w:type="dxa"/>
            <w:vAlign w:val="bottom"/>
          </w:tcPr>
          <w:p>
            <w:pPr>
              <w:spacing w:after="0"/>
              <w:rPr>
                <w:sz w:val="1"/>
                <w:szCs w:val="1"/>
                <w:color w:val="auto"/>
              </w:rPr>
            </w:pPr>
          </w:p>
        </w:tc>
      </w:tr>
      <w:tr>
        <w:trPr>
          <w:trHeight w:val="147"/>
        </w:trPr>
        <w:tc>
          <w:tcPr>
            <w:tcW w:w="4400" w:type="dxa"/>
            <w:vAlign w:val="bottom"/>
          </w:tcPr>
          <w:p>
            <w:pPr>
              <w:ind w:left="80"/>
              <w:spacing w:after="0"/>
              <w:rPr>
                <w:sz w:val="20"/>
                <w:szCs w:val="20"/>
                <w:color w:val="auto"/>
              </w:rPr>
            </w:pPr>
            <w:r>
              <w:rPr>
                <w:rFonts w:ascii="Arial" w:cs="Arial" w:eastAsia="Arial" w:hAnsi="Arial"/>
                <w:sz w:val="11"/>
                <w:szCs w:val="11"/>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167</w:t>
            </w:r>
          </w:p>
        </w:tc>
        <w:tc>
          <w:tcPr>
            <w:tcW w:w="0" w:type="dxa"/>
            <w:vAlign w:val="bottom"/>
          </w:tcPr>
          <w:p>
            <w:pPr>
              <w:spacing w:after="0"/>
              <w:rPr>
                <w:sz w:val="1"/>
                <w:szCs w:val="1"/>
                <w:color w:val="auto"/>
              </w:rPr>
            </w:pPr>
          </w:p>
        </w:tc>
      </w:tr>
      <w:tr>
        <w:trPr>
          <w:trHeight w:val="150"/>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3,315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3,315</w:t>
            </w:r>
          </w:p>
        </w:tc>
        <w:tc>
          <w:tcPr>
            <w:tcW w:w="0" w:type="dxa"/>
            <w:vAlign w:val="bottom"/>
          </w:tcPr>
          <w:p>
            <w:pPr>
              <w:spacing w:after="0"/>
              <w:rPr>
                <w:sz w:val="1"/>
                <w:szCs w:val="1"/>
                <w:color w:val="auto"/>
              </w:rPr>
            </w:pPr>
          </w:p>
        </w:tc>
      </w:tr>
      <w:tr>
        <w:trPr>
          <w:trHeight w:val="147"/>
        </w:trPr>
        <w:tc>
          <w:tcPr>
            <w:tcW w:w="4400" w:type="dxa"/>
            <w:vAlign w:val="bottom"/>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50"/>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(18,163)</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(18,163)</w:t>
            </w:r>
          </w:p>
        </w:tc>
        <w:tc>
          <w:tcPr>
            <w:tcW w:w="0" w:type="dxa"/>
            <w:vAlign w:val="bottom"/>
          </w:tcPr>
          <w:p>
            <w:pPr>
              <w:spacing w:after="0"/>
              <w:rPr>
                <w:sz w:val="1"/>
                <w:szCs w:val="1"/>
                <w:color w:val="auto"/>
              </w:rPr>
            </w:pPr>
          </w:p>
        </w:tc>
      </w:tr>
      <w:tr>
        <w:trPr>
          <w:trHeight w:val="129"/>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Balance,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27,367</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664,147</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(111)</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(282,120)</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381,943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0"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Three Months Ended</w:t>
      </w:r>
    </w:p>
    <w:p>
      <w:pPr>
        <w:jc w:val="center"/>
        <w:ind w:left="782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84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0"/>
        </w:trPr>
        <w:tc>
          <w:tcPr>
            <w:tcW w:w="7840" w:type="dxa"/>
            <w:vAlign w:val="bottom"/>
            <w:shd w:val="clear" w:color="auto" w:fill="CFF0FC"/>
          </w:tcPr>
          <w:p>
            <w:pPr>
              <w:ind w:left="20"/>
              <w:spacing w:after="0" w:line="146" w:lineRule="exact"/>
              <w:rPr>
                <w:sz w:val="20"/>
                <w:szCs w:val="20"/>
                <w:color w:val="auto"/>
              </w:rPr>
            </w:pPr>
            <w:r>
              <w:rPr>
                <w:rFonts w:ascii="Arial" w:cs="Arial" w:eastAsia="Arial" w:hAnsi="Arial"/>
                <w:sz w:val="13"/>
                <w:szCs w:val="13"/>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ind w:right="918"/>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(36,255)</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(18,163)</w:t>
            </w:r>
          </w:p>
        </w:tc>
        <w:tc>
          <w:tcPr>
            <w:tcW w:w="0" w:type="dxa"/>
            <w:vAlign w:val="bottom"/>
          </w:tcPr>
          <w:p>
            <w:pPr>
              <w:spacing w:after="0"/>
              <w:rPr>
                <w:sz w:val="1"/>
                <w:szCs w:val="1"/>
                <w:color w:val="auto"/>
              </w:rPr>
            </w:pPr>
          </w:p>
        </w:tc>
      </w:tr>
      <w:tr>
        <w:trPr>
          <w:trHeight w:val="183"/>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7,742</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Accretion/amortization of investments, net</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Amortization of right-of-use assets – operating</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Non-cash interest expense</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4,854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400"/>
              <w:spacing w:after="0"/>
              <w:rPr>
                <w:sz w:val="20"/>
                <w:szCs w:val="20"/>
                <w:color w:val="auto"/>
              </w:rPr>
            </w:pPr>
            <w:r>
              <w:rPr>
                <w:rFonts w:ascii="Arial" w:cs="Arial" w:eastAsia="Arial" w:hAnsi="Arial"/>
                <w:sz w:val="13"/>
                <w:szCs w:val="13"/>
                <w:color w:val="auto"/>
              </w:rPr>
              <w:t>Receivables from collaborative partners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(1,247)</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Arial" w:cs="Arial" w:eastAsia="Arial" w:hAnsi="Arial"/>
                <w:sz w:val="13"/>
                <w:szCs w:val="13"/>
                <w:color w:val="auto"/>
              </w:rPr>
              <w:t>Prepaid expenses and other assets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(2,402)</w:t>
            </w:r>
          </w:p>
        </w:tc>
        <w:tc>
          <w:tcPr>
            <w:tcW w:w="0" w:type="dxa"/>
            <w:vAlign w:val="bottom"/>
          </w:tcPr>
          <w:p>
            <w:pPr>
              <w:spacing w:after="0"/>
              <w:rPr>
                <w:sz w:val="1"/>
                <w:szCs w:val="1"/>
                <w:color w:val="auto"/>
              </w:rPr>
            </w:pPr>
          </w:p>
        </w:tc>
      </w:tr>
      <w:tr>
        <w:trPr>
          <w:trHeight w:val="168"/>
        </w:trPr>
        <w:tc>
          <w:tcPr>
            <w:tcW w:w="7840" w:type="dxa"/>
            <w:vAlign w:val="bottom"/>
          </w:tcPr>
          <w:p>
            <w:pPr>
              <w:ind w:left="400"/>
              <w:spacing w:after="0"/>
              <w:rPr>
                <w:sz w:val="20"/>
                <w:szCs w:val="20"/>
                <w:color w:val="auto"/>
              </w:rPr>
            </w:pPr>
            <w:r>
              <w:rPr>
                <w:rFonts w:ascii="Arial" w:cs="Arial" w:eastAsia="Arial" w:hAnsi="Arial"/>
                <w:sz w:val="13"/>
                <w:szCs w:val="13"/>
                <w:color w:val="auto"/>
              </w:rPr>
              <w:t>Accounts payable and other liabilities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(4,980)</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Arial" w:cs="Arial" w:eastAsia="Arial" w:hAnsi="Arial"/>
                <w:sz w:val="13"/>
                <w:szCs w:val="13"/>
                <w:color w:val="auto"/>
              </w:rPr>
              <w:t>Operating lease liabilities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Net cash used in operating activities</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(21,014)</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(23,204)</w:t>
            </w:r>
          </w:p>
        </w:tc>
        <w:tc>
          <w:tcPr>
            <w:tcW w:w="0" w:type="dxa"/>
            <w:vAlign w:val="bottom"/>
          </w:tcPr>
          <w:p>
            <w:pPr>
              <w:spacing w:after="0"/>
              <w:rPr>
                <w:sz w:val="1"/>
                <w:szCs w:val="1"/>
                <w:color w:val="auto"/>
              </w:rPr>
            </w:pPr>
          </w:p>
        </w:tc>
      </w:tr>
      <w:tr>
        <w:trPr>
          <w:trHeight w:val="152"/>
        </w:trPr>
        <w:tc>
          <w:tcPr>
            <w:tcW w:w="78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Purchases of investments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(322,477)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(6,238)</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Sales and maturities of investments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63,284</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Purchases of property and equipment</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63"/>
        </w:trPr>
        <w:tc>
          <w:tcPr>
            <w:tcW w:w="784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Net cash (used in) provided by investing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(312,912)</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56,729</w:t>
            </w:r>
          </w:p>
        </w:tc>
        <w:tc>
          <w:tcPr>
            <w:tcW w:w="0" w:type="dxa"/>
            <w:vAlign w:val="bottom"/>
          </w:tcPr>
          <w:p>
            <w:pPr>
              <w:spacing w:after="0"/>
              <w:rPr>
                <w:sz w:val="1"/>
                <w:szCs w:val="1"/>
                <w:color w:val="auto"/>
              </w:rPr>
            </w:pPr>
          </w:p>
        </w:tc>
      </w:tr>
      <w:tr>
        <w:trPr>
          <w:trHeight w:val="148"/>
        </w:trPr>
        <w:tc>
          <w:tcPr>
            <w:tcW w:w="78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4,844</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Repayment of liability for sale of future royalties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for debt issuance costs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Net cash provided by financing activities</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4,609</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3"/>
        </w:trPr>
        <w:tc>
          <w:tcPr>
            <w:tcW w:w="7840" w:type="dxa"/>
            <w:vAlign w:val="bottom"/>
            <w:shd w:val="clear" w:color="auto" w:fill="CFF0FC"/>
          </w:tcPr>
          <w:p>
            <w:pPr>
              <w:ind w:left="780"/>
              <w:spacing w:after="0" w:line="148" w:lineRule="exact"/>
              <w:rPr>
                <w:sz w:val="20"/>
                <w:szCs w:val="20"/>
                <w:color w:val="auto"/>
              </w:rPr>
            </w:pPr>
            <w:r>
              <w:rPr>
                <w:rFonts w:ascii="Arial" w:cs="Arial" w:eastAsia="Arial" w:hAnsi="Arial"/>
                <w:sz w:val="13"/>
                <w:szCs w:val="13"/>
                <w:color w:val="auto"/>
              </w:rPr>
              <w:t>Net (decrease) increase in cash and cash equivalents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(329,317)</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33,692</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495,729</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250,516</w:t>
            </w:r>
          </w:p>
        </w:tc>
        <w:tc>
          <w:tcPr>
            <w:tcW w:w="0" w:type="dxa"/>
            <w:vAlign w:val="bottom"/>
          </w:tcPr>
          <w:p>
            <w:pPr>
              <w:spacing w:after="0"/>
              <w:rPr>
                <w:sz w:val="1"/>
                <w:szCs w:val="1"/>
                <w:color w:val="auto"/>
              </w:rPr>
            </w:pPr>
          </w:p>
        </w:tc>
      </w:tr>
      <w:tr>
        <w:trPr>
          <w:trHeight w:val="185"/>
        </w:trPr>
        <w:tc>
          <w:tcPr>
            <w:tcW w:w="784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3"/>
                <w:szCs w:val="13"/>
                <w:color w:val="auto"/>
              </w:rPr>
              <w:t>Cash, cash equivalents and restricted cash, end of period</w:t>
            </w:r>
          </w:p>
        </w:tc>
        <w:tc>
          <w:tcPr>
            <w:tcW w:w="1060" w:type="dxa"/>
            <w:vAlign w:val="bottom"/>
            <w:tcBorders>
              <w:bottom w:val="single" w:sz="8" w:color="auto"/>
            </w:tcBorders>
            <w:shd w:val="clear" w:color="auto" w:fill="CFF0FC"/>
          </w:tcPr>
          <w:p>
            <w:pPr>
              <w:jc w:val="right"/>
              <w:ind w:right="918"/>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166,412</w:t>
            </w:r>
          </w:p>
        </w:tc>
        <w:tc>
          <w:tcPr>
            <w:tcW w:w="1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284,208</w:t>
            </w:r>
          </w:p>
        </w:tc>
        <w:tc>
          <w:tcPr>
            <w:tcW w:w="0" w:type="dxa"/>
            <w:vAlign w:val="bottom"/>
          </w:tcPr>
          <w:p>
            <w:pPr>
              <w:spacing w:after="0"/>
              <w:rPr>
                <w:sz w:val="1"/>
                <w:szCs w:val="1"/>
                <w:color w:val="auto"/>
              </w:rPr>
            </w:pPr>
          </w:p>
        </w:tc>
      </w:tr>
      <w:tr>
        <w:trPr>
          <w:trHeight w:val="20"/>
        </w:trPr>
        <w:tc>
          <w:tcPr>
            <w:tcW w:w="78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Amounts accrued for issuance costs related to the sale of future royalties</w:t>
            </w:r>
          </w:p>
        </w:tc>
        <w:tc>
          <w:tcPr>
            <w:tcW w:w="1060" w:type="dxa"/>
            <w:vAlign w:val="bottom"/>
          </w:tcPr>
          <w:p>
            <w:pPr>
              <w:jc w:val="right"/>
              <w:ind w:right="918"/>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Amounts accrued for property and equipment</w:t>
            </w:r>
          </w:p>
        </w:tc>
        <w:tc>
          <w:tcPr>
            <w:tcW w:w="1060" w:type="dxa"/>
            <w:vAlign w:val="bottom"/>
            <w:shd w:val="clear" w:color="auto" w:fill="CFF0FC"/>
          </w:tcPr>
          <w:p>
            <w:pPr>
              <w:jc w:val="right"/>
              <w:ind w:right="918"/>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the Business</w:t>
      </w:r>
    </w:p>
    <w:p>
      <w:pPr>
        <w:spacing w:after="0" w:line="98" w:lineRule="exact"/>
        <w:rPr>
          <w:sz w:val="20"/>
          <w:szCs w:val="20"/>
          <w:color w:val="auto"/>
        </w:rPr>
      </w:pPr>
    </w:p>
    <w:p>
      <w:pPr>
        <w:ind w:right="20" w:firstLine="382"/>
        <w:spacing w:after="0" w:line="256" w:lineRule="auto"/>
        <w:rPr>
          <w:sz w:val="20"/>
          <w:szCs w:val="20"/>
          <w:color w:val="auto"/>
        </w:rPr>
      </w:pPr>
      <w:r>
        <w:rPr>
          <w:rFonts w:ascii="Arial" w:cs="Arial" w:eastAsia="Arial" w:hAnsi="Arial"/>
          <w:sz w:val="14"/>
          <w:szCs w:val="14"/>
          <w:color w:val="auto"/>
        </w:rPr>
        <w:t xml:space="preserve">AnaptysBio, Inc. (“we,” “us,” “our,” or the “Company”) was incorporated in the state of Delaware in November 2005. We are a clinical-stage biotechnology company developing first-in-class antibodies focused on unmet medical needs in inflammation. Our proprietary anti-inflammatory pipeline includes imsidolimab, our anti-IL-36R antibody, previously referred to as ANB019, for the treatment of dermatological inflammatory diseases, including generalized pustular psoriasis, or GPP, and moderate-to-severe hidradenitis suppurativa; rosnilimab, our anti-PD-1 agonist program, previously referred to as ANB030, for the treatment of moderate-to-severe alopecia areata; and our anti-BTLA agonist program, ANB032, which is broadly applicable to human inflammatory diseases associated with lymphoid and myeloid immune cell dysregulation. Our antibody pipeline has been developed using our proprietary somatic hypermutation, or SHM platform, which uses </w:t>
      </w:r>
      <w:r>
        <w:rPr>
          <w:rFonts w:ascii="Arial" w:cs="Arial" w:eastAsia="Arial" w:hAnsi="Arial"/>
          <w:sz w:val="14"/>
          <w:szCs w:val="14"/>
          <w:i w:val="1"/>
          <w:iCs w:val="1"/>
          <w:color w:val="auto"/>
        </w:rPr>
        <w:t>in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vitro </w:t>
      </w:r>
      <w:r>
        <w:rPr>
          <w:rFonts w:ascii="Arial" w:cs="Arial" w:eastAsia="Arial" w:hAnsi="Arial"/>
          <w:sz w:val="14"/>
          <w:szCs w:val="14"/>
          <w:color w:val="auto"/>
        </w:rPr>
        <w:t>SHM for antibody discovery and is designed to replicate key features of the human immune system to overcome the limitations of competing antibody discovery technologies. We have also</w:t>
      </w:r>
      <w:r>
        <w:rPr>
          <w:rFonts w:ascii="Arial" w:cs="Arial" w:eastAsia="Arial" w:hAnsi="Arial"/>
          <w:sz w:val="14"/>
          <w:szCs w:val="14"/>
          <w:i w:val="1"/>
          <w:iCs w:val="1"/>
          <w:color w:val="auto"/>
        </w:rPr>
        <w:t xml:space="preserve"> </w:t>
      </w:r>
      <w:r>
        <w:rPr>
          <w:rFonts w:ascii="Arial" w:cs="Arial" w:eastAsia="Arial" w:hAnsi="Arial"/>
          <w:sz w:val="14"/>
          <w:szCs w:val="14"/>
          <w:color w:val="auto"/>
        </w:rPr>
        <w:t>developed multiple therapeutic antibodies in an immuno-oncology collaboration with GSK, including an anti-PD-1 antagonist antibody (JEMPERLI (dostarlimab-gxly) GSK4057190), an anti-TIM-3 antagonist antibody (cobolimab, GSK4069889) and an anti-LAG-3 antagonist antibody (GSK4074386). We currently generate revenue from milestones and royalties achieved under our collaborative research and development arrangements.</w:t>
      </w:r>
    </w:p>
    <w:p>
      <w:pPr>
        <w:spacing w:after="0" w:line="67" w:lineRule="exact"/>
        <w:rPr>
          <w:sz w:val="20"/>
          <w:szCs w:val="20"/>
          <w:color w:val="auto"/>
        </w:rPr>
      </w:pPr>
    </w:p>
    <w:p>
      <w:pPr>
        <w:ind w:right="120" w:firstLine="382"/>
        <w:spacing w:after="0" w:line="257" w:lineRule="auto"/>
        <w:rPr>
          <w:sz w:val="20"/>
          <w:szCs w:val="20"/>
          <w:color w:val="auto"/>
        </w:rPr>
      </w:pPr>
      <w:r>
        <w:rPr>
          <w:rFonts w:ascii="Arial" w:cs="Arial" w:eastAsia="Arial" w:hAnsi="Arial"/>
          <w:sz w:val="14"/>
          <w:szCs w:val="14"/>
          <w:color w:val="auto"/>
        </w:rPr>
        <w:t>Since our inception, we have devoted our primary effort to research and development activities. Our financial support has been provided primarily from the sale of our common and preferred stock, royalty monetization,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32" w:lineRule="exact"/>
        <w:rPr>
          <w:sz w:val="20"/>
          <w:szCs w:val="20"/>
          <w:color w:val="auto"/>
        </w:rPr>
      </w:pPr>
    </w:p>
    <w:p>
      <w:pPr>
        <w:ind w:left="200" w:right="8480" w:hanging="195"/>
        <w:spacing w:after="0" w:line="382" w:lineRule="auto"/>
        <w:tabs>
          <w:tab w:leader="none" w:pos="15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Basis of Presentation</w:t>
      </w:r>
    </w:p>
    <w:p>
      <w:pPr>
        <w:spacing w:after="0" w:line="1" w:lineRule="exact"/>
        <w:rPr>
          <w:sz w:val="20"/>
          <w:szCs w:val="20"/>
          <w:color w:val="auto"/>
        </w:rPr>
      </w:pPr>
    </w:p>
    <w:p>
      <w:pPr>
        <w:ind w:firstLine="382"/>
        <w:spacing w:after="0" w:line="276" w:lineRule="auto"/>
        <w:rPr>
          <w:sz w:val="20"/>
          <w:szCs w:val="20"/>
          <w:color w:val="auto"/>
        </w:rPr>
      </w:pPr>
      <w:r>
        <w:rPr>
          <w:rFonts w:ascii="Arial" w:cs="Arial" w:eastAsia="Arial" w:hAnsi="Arial"/>
          <w:sz w:val="13"/>
          <w:szCs w:val="13"/>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2021 financial information to conform to the current year presentation of amortization of right-of-use assets - operating and operating lease liabilities on the Consolidated Statements of Cash Flows. Operating results for the three months ended March 31, 2022 are not necessarily indicative of the results that may be expected for the year ending December 31, 2022. Interim results are not necessarily indicative of results for a full year, particularly in light of the novel coronavirus (“COVID-19”) pandemic, and its impact on domestic and global economies. To limit the spread of COVID-19, governments have taken various actions, including the issuance of stay-at-home orders and social distancing guidelines, which have resulted in some businesses suspending operations or experiencing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and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the COVID-19 pandemic on the costs and timing associated with the conduct of our clinical trials and other related business activities, to date there has not been any material delays in clinical operations.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should be read in conjunction with our audited financial statements for the year ended December 31, 2021 included in our Annual Report on Form 10-K.</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Basis of Consolidation</w:t>
      </w:r>
    </w:p>
    <w:p>
      <w:pPr>
        <w:spacing w:after="0" w:line="94" w:lineRule="exact"/>
        <w:rPr>
          <w:sz w:val="20"/>
          <w:szCs w:val="20"/>
          <w:color w:val="auto"/>
        </w:rPr>
      </w:pPr>
    </w:p>
    <w:p>
      <w:pPr>
        <w:ind w:right="820" w:firstLine="382"/>
        <w:spacing w:after="0" w:line="281" w:lineRule="auto"/>
        <w:rPr>
          <w:sz w:val="20"/>
          <w:szCs w:val="20"/>
          <w:color w:val="auto"/>
        </w:rPr>
      </w:pPr>
      <w:r>
        <w:rPr>
          <w:rFonts w:ascii="Arial" w:cs="Arial" w:eastAsia="Arial" w:hAnsi="Arial"/>
          <w:sz w:val="14"/>
          <w:szCs w:val="14"/>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94"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39"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54" w:lineRule="exact"/>
        <w:rPr>
          <w:sz w:val="20"/>
          <w:szCs w:val="20"/>
          <w:color w:val="auto"/>
        </w:rPr>
      </w:pPr>
    </w:p>
    <w:p>
      <w:pPr>
        <w:jc w:val="center"/>
        <w:ind w:left="8560"/>
        <w:spacing w:after="0"/>
        <w:rPr>
          <w:sz w:val="20"/>
          <w:szCs w:val="20"/>
          <w:color w:val="auto"/>
        </w:rPr>
      </w:pPr>
      <w:r>
        <w:rPr>
          <w:rFonts w:ascii="Arial" w:cs="Arial" w:eastAsia="Arial" w:hAnsi="Arial"/>
          <w:sz w:val="11"/>
          <w:szCs w:val="11"/>
          <w:b w:val="1"/>
          <w:bCs w:val="1"/>
          <w:color w:val="auto"/>
        </w:rPr>
        <w:t>Three Months Ended</w:t>
      </w:r>
    </w:p>
    <w:p>
      <w:pPr>
        <w:jc w:val="center"/>
        <w:ind w:left="856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2021</w:t>
            </w:r>
          </w:p>
        </w:tc>
      </w:tr>
      <w:tr>
        <w:trPr>
          <w:trHeight w:val="171"/>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w:t>
            </w:r>
          </w:p>
        </w:tc>
      </w:tr>
    </w:tbl>
    <w:p>
      <w:pPr>
        <w:spacing w:after="0" w:line="304" w:lineRule="exact"/>
        <w:rPr>
          <w:sz w:val="20"/>
          <w:szCs w:val="20"/>
          <w:color w:val="auto"/>
        </w:rPr>
      </w:pPr>
    </w:p>
    <w:p>
      <w:pPr>
        <w:ind w:left="200" w:right="7840" w:hanging="195"/>
        <w:spacing w:after="0" w:line="382" w:lineRule="auto"/>
        <w:tabs>
          <w:tab w:leader="none" w:pos="15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Balance Sheet Accounts and Supplemental Disclosures </w:t>
      </w:r>
      <w:r>
        <w:rPr>
          <w:rFonts w:ascii="Arial" w:cs="Arial" w:eastAsia="Arial" w:hAnsi="Arial"/>
          <w:sz w:val="14"/>
          <w:szCs w:val="14"/>
          <w:b w:val="1"/>
          <w:bCs w:val="1"/>
          <w:i w:val="1"/>
          <w:iCs w:val="1"/>
          <w:color w:val="auto"/>
        </w:rPr>
        <w:t>Property and Equipment, net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Property and equipment, net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 2022</w:t>
            </w:r>
          </w:p>
        </w:tc>
        <w:tc>
          <w:tcPr>
            <w:tcW w:w="220" w:type="dxa"/>
            <w:vAlign w:val="bottom"/>
          </w:tcPr>
          <w:p>
            <w:pPr>
              <w:spacing w:after="0"/>
              <w:rPr>
                <w:sz w:val="13"/>
                <w:szCs w:val="13"/>
                <w:color w:val="auto"/>
              </w:rPr>
            </w:pPr>
          </w:p>
        </w:tc>
        <w:tc>
          <w:tcPr>
            <w:tcW w:w="1360" w:type="dxa"/>
            <w:vAlign w:val="bottom"/>
          </w:tcPr>
          <w:p>
            <w:pPr>
              <w:jc w:val="right"/>
              <w:ind w:right="271"/>
              <w:spacing w:after="0"/>
              <w:rPr>
                <w:sz w:val="20"/>
                <w:szCs w:val="20"/>
                <w:color w:val="auto"/>
              </w:rPr>
            </w:pPr>
            <w:r>
              <w:rPr>
                <w:rFonts w:ascii="Arial" w:cs="Arial" w:eastAsia="Arial" w:hAnsi="Arial"/>
                <w:sz w:val="11"/>
                <w:szCs w:val="11"/>
                <w:b w:val="1"/>
                <w:bCs w:val="1"/>
                <w:color w:val="auto"/>
              </w:rPr>
              <w:t>December 31, 2021</w:t>
            </w:r>
          </w:p>
        </w:tc>
      </w:tr>
      <w:tr>
        <w:trPr>
          <w:trHeight w:val="175"/>
        </w:trPr>
        <w:tc>
          <w:tcPr>
            <w:tcW w:w="80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5,696</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5,683</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Office furniture and equipment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1,319</w:t>
            </w:r>
          </w:p>
        </w:tc>
      </w:tr>
      <w:tr>
        <w:trPr>
          <w:trHeight w:val="181"/>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w:t>
            </w:r>
          </w:p>
        </w:tc>
      </w:tr>
      <w:tr>
        <w:trPr>
          <w:trHeight w:val="171"/>
        </w:trPr>
        <w:tc>
          <w:tcPr>
            <w:tcW w:w="8020" w:type="dxa"/>
            <w:vAlign w:val="bottom"/>
          </w:tcPr>
          <w:p>
            <w:pPr>
              <w:ind w:left="180"/>
              <w:spacing w:after="0"/>
              <w:rPr>
                <w:sz w:val="20"/>
                <w:szCs w:val="20"/>
                <w:color w:val="auto"/>
              </w:rPr>
            </w:pPr>
            <w:r>
              <w:rPr>
                <w:rFonts w:ascii="Arial" w:cs="Arial" w:eastAsia="Arial" w:hAnsi="Arial"/>
                <w:sz w:val="14"/>
                <w:szCs w:val="14"/>
                <w:color w:val="auto"/>
              </w:rPr>
              <w:t>Property and equipment, gross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7,205</w:t>
            </w:r>
          </w:p>
        </w:tc>
      </w:tr>
      <w:tr>
        <w:trPr>
          <w:trHeight w:val="181"/>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(5,084)</w:t>
            </w: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(4,922)</w:t>
            </w:r>
          </w:p>
        </w:tc>
      </w:tr>
      <w:tr>
        <w:trPr>
          <w:trHeight w:val="171"/>
        </w:trPr>
        <w:tc>
          <w:tcPr>
            <w:tcW w:w="8020" w:type="dxa"/>
            <w:vAlign w:val="bottom"/>
          </w:tcPr>
          <w:p>
            <w:pPr>
              <w:ind w:left="180"/>
              <w:spacing w:after="0"/>
              <w:rPr>
                <w:sz w:val="20"/>
                <w:szCs w:val="20"/>
                <w:color w:val="auto"/>
              </w:rPr>
            </w:pPr>
            <w:r>
              <w:rPr>
                <w:rFonts w:ascii="Arial" w:cs="Arial" w:eastAsia="Arial" w:hAnsi="Arial"/>
                <w:sz w:val="14"/>
                <w:szCs w:val="14"/>
                <w:color w:val="auto"/>
              </w:rPr>
              <w:t>Total property and equipment, net</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w:t>
            </w: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0" w:name="page11"/>
    <w:bookmarkEnd w:id="10"/>
    <w:p>
      <w:pPr>
        <w:ind w:left="200"/>
        <w:spacing w:after="0"/>
        <w:rPr>
          <w:sz w:val="20"/>
          <w:szCs w:val="20"/>
          <w:color w:val="auto"/>
        </w:rPr>
      </w:pPr>
      <w:r>
        <w:rPr>
          <w:rFonts w:ascii="Arial" w:cs="Arial" w:eastAsia="Arial" w:hAnsi="Arial"/>
          <w:sz w:val="14"/>
          <w:szCs w:val="14"/>
          <w:b w:val="1"/>
          <w:bCs w:val="1"/>
          <w:i w:val="1"/>
          <w:iCs w:val="1"/>
          <w:color w:val="auto"/>
        </w:rPr>
        <w:t>Accrued Expenses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Accrued expenses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4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 2022</w:t>
            </w:r>
          </w:p>
        </w:tc>
        <w:tc>
          <w:tcPr>
            <w:tcW w:w="220" w:type="dxa"/>
            <w:vAlign w:val="bottom"/>
          </w:tcPr>
          <w:p>
            <w:pPr>
              <w:spacing w:after="0"/>
              <w:rPr>
                <w:sz w:val="13"/>
                <w:szCs w:val="13"/>
                <w:color w:val="auto"/>
              </w:rPr>
            </w:pPr>
          </w:p>
        </w:tc>
        <w:tc>
          <w:tcPr>
            <w:tcW w:w="1360" w:type="dxa"/>
            <w:vAlign w:val="bottom"/>
          </w:tcPr>
          <w:p>
            <w:pPr>
              <w:jc w:val="right"/>
              <w:ind w:right="272"/>
              <w:spacing w:after="0"/>
              <w:rPr>
                <w:sz w:val="20"/>
                <w:szCs w:val="20"/>
                <w:color w:val="auto"/>
              </w:rPr>
            </w:pPr>
            <w:r>
              <w:rPr>
                <w:rFonts w:ascii="Arial" w:cs="Arial" w:eastAsia="Arial" w:hAnsi="Arial"/>
                <w:sz w:val="11"/>
                <w:szCs w:val="11"/>
                <w:b w:val="1"/>
                <w:bCs w:val="1"/>
                <w:color w:val="auto"/>
              </w:rPr>
              <w:t>December 31, 2021</w:t>
            </w:r>
          </w:p>
        </w:tc>
      </w:tr>
      <w:tr>
        <w:trPr>
          <w:trHeight w:val="175"/>
        </w:trPr>
        <w:tc>
          <w:tcPr>
            <w:tcW w:w="80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Accrued compensation and related expenses</w:t>
            </w:r>
          </w:p>
        </w:tc>
        <w:tc>
          <w:tcPr>
            <w:tcW w:w="26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2,848</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4,177</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Accrued professional fees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181"/>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research, development and manufacturing expenses</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7,953</w:t>
            </w:r>
          </w:p>
        </w:tc>
      </w:tr>
      <w:tr>
        <w:trPr>
          <w:trHeight w:val="180"/>
        </w:trPr>
        <w:tc>
          <w:tcPr>
            <w:tcW w:w="80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80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 accrued expenses</w:t>
            </w:r>
          </w:p>
        </w:tc>
        <w:tc>
          <w:tcPr>
            <w:tcW w:w="26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15,763</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12,853</w:t>
            </w:r>
          </w:p>
        </w:tc>
      </w:tr>
      <w:tr>
        <w:trPr>
          <w:trHeight w:val="20"/>
        </w:trPr>
        <w:tc>
          <w:tcPr>
            <w:tcW w:w="8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Collaborative Research and Development Agreements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GlaxoSmithKline Collaboration</w:t>
      </w:r>
    </w:p>
    <w:p>
      <w:pPr>
        <w:spacing w:after="0" w:line="83" w:lineRule="exact"/>
        <w:rPr>
          <w:sz w:val="20"/>
          <w:szCs w:val="20"/>
          <w:color w:val="auto"/>
        </w:rPr>
      </w:pPr>
    </w:p>
    <w:p>
      <w:pPr>
        <w:ind w:right="20" w:firstLine="382"/>
        <w:spacing w:after="0" w:line="245" w:lineRule="auto"/>
        <w:rPr>
          <w:sz w:val="20"/>
          <w:szCs w:val="20"/>
          <w:color w:val="auto"/>
        </w:rPr>
      </w:pPr>
      <w:r>
        <w:rPr>
          <w:rFonts w:ascii="Arial" w:cs="Arial" w:eastAsia="Arial" w:hAnsi="Arial"/>
          <w:sz w:val="13"/>
          <w:szCs w:val="13"/>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 Currently, under the GSK Agreement, GSK is developing JEMPERLI (dostarlimab), an anti-PD-1 antagonist antibody, as a monotherapy and in combination with additional therapies, for various solid tumor indications. In addition, under the collaboration, GSK is developing dostarlimab in combination with two other development programs form the GSK Agreement: cobolimab, an anti-TIM-3 antibody, and GSK40974386, an anti-LAG-3 antibody, for various solid tumor indications.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For each development program, we are eligible to receive milestone payments of up to $18.0 million if certain preclinical and clinical trial events are achieved by GSK, up to an additional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$90.0 million if certain U.S. and European regulatory submissions and approvals in multiple indications are achieved, and up to an additional $165.0 million upon the achievement of specified levels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of annual worldwide net sales. We will also be eligible to receive tiered 4-8% royalties related to worldwide net sales of products developed under the collaboration. Unless earlier terminated by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either party upon specified circumstances, the GSK Agreement will terminate, with respect to each specific developed product, upon the later of the 12th anniversary of the first commercial sale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product or the expiration of the last to expire of any patent. Prior to the adoption of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we determined that the upfront license fees and research</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funding under the GSK Agreement, as amended, should be accounted for as a single unit of accounting and that the upfront license fees should be deferred and recognized as revenue over the same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period that the research and development services are performed. In February 2016, Amendment No. 2 to the GSK Agreement was agreed by both parties to define the effective dates of the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development programs of the GSK Agreement. We determined that the research and development services would be extended through December 31, 2016. As a result, the period over which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unrecognized license fees and discovery milestones were recognized was extended through December 31, 2016 and have since been recognized in full.</w:t>
      </w:r>
    </w:p>
    <w:p>
      <w:pPr>
        <w:spacing w:after="0" w:line="83"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1" w:name="page12"/>
    <w:bookmarkEnd w:id="11"/>
    <w:p>
      <w:pPr>
        <w:ind w:right="140" w:firstLine="382"/>
        <w:spacing w:after="0" w:line="313" w:lineRule="auto"/>
        <w:rPr>
          <w:sz w:val="20"/>
          <w:szCs w:val="20"/>
          <w:color w:val="auto"/>
        </w:rPr>
      </w:pPr>
      <w:r>
        <w:rPr>
          <w:rFonts w:ascii="Arial" w:cs="Arial" w:eastAsia="Arial" w:hAnsi="Arial"/>
          <w:sz w:val="12"/>
          <w:szCs w:val="12"/>
          <w:color w:val="auto"/>
        </w:rPr>
        <w:t>On October 23, 2020, Amendment No. 3 to the GSK Agreement (the “Amendment”) was agreed to by both parties to permit GSK to conduct development and commercialization in combination with any third-party molecules of Zejula, an oral, once-daily poly (ADP-ribose) polymerase (PARP) inhibitor, which has received U.S. approval for the maintenance treatment of adult patients with advanced epithelial ovarian, fallopian tube, or primary peritoneal cancer who are in a complete or partial response to first-line platinum-based chemotherapy, and is under development</w:t>
      </w:r>
    </w:p>
    <w:p>
      <w:pPr>
        <w:spacing w:after="0" w:line="1" w:lineRule="exact"/>
        <w:rPr>
          <w:sz w:val="20"/>
          <w:szCs w:val="20"/>
          <w:color w:val="auto"/>
        </w:rPr>
      </w:pPr>
    </w:p>
    <w:p>
      <w:pPr>
        <w:ind w:right="340"/>
        <w:spacing w:after="0" w:line="313" w:lineRule="auto"/>
        <w:rPr>
          <w:sz w:val="20"/>
          <w:szCs w:val="20"/>
          <w:color w:val="auto"/>
        </w:rPr>
      </w:pPr>
      <w:r>
        <w:rPr>
          <w:rFonts w:ascii="Arial" w:cs="Arial" w:eastAsia="Arial" w:hAnsi="Arial"/>
          <w:sz w:val="12"/>
          <w:szCs w:val="12"/>
          <w:color w:val="auto"/>
        </w:rPr>
        <w:t>for additional cancer indications. In addition, under the Amendment, we were granted increased royalties upon sales of JEMPERLI, equal to 8% of Net Sales (as defined in the GSK Agreement) below $1.0 billion and from 12% up to 25% of Net Sales above $1.0 billion. The Amendment also provided for a one-time, non-refundable cash payment of $60.0 million that we received and recognized as revenue in the fourth quarter of 2020. GSK also agreed, starting January 1, 2021, to pay us a 1% royalty less third-party royalty deduction on all GSK net sales of Zejula. The</w:t>
      </w:r>
    </w:p>
    <w:p>
      <w:pPr>
        <w:spacing w:after="0" w:line="1" w:lineRule="exact"/>
        <w:rPr>
          <w:sz w:val="20"/>
          <w:szCs w:val="20"/>
          <w:color w:val="auto"/>
        </w:rPr>
      </w:pPr>
    </w:p>
    <w:p>
      <w:pPr>
        <w:ind w:right="140"/>
        <w:spacing w:after="0" w:line="321" w:lineRule="auto"/>
        <w:rPr>
          <w:sz w:val="20"/>
          <w:szCs w:val="20"/>
          <w:color w:val="auto"/>
        </w:rPr>
      </w:pPr>
      <w:r>
        <w:rPr>
          <w:rFonts w:ascii="Arial" w:cs="Arial" w:eastAsia="Arial" w:hAnsi="Arial"/>
          <w:sz w:val="13"/>
          <w:szCs w:val="13"/>
          <w:color w:val="auto"/>
        </w:rPr>
        <w:t>$1.1 billion in cash milestone payments due 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24"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As of March 31, 2022, the transaction price for the GSK Agreement and Amendment includes the upfront payment, research reimbursement revenue, one-time payment associated with the Amendment, and milestones earned to date, which are allocated in their entirety to the single performance obligation.</w:t>
      </w:r>
    </w:p>
    <w:p>
      <w:pPr>
        <w:spacing w:after="0" w:line="47" w:lineRule="exact"/>
        <w:rPr>
          <w:sz w:val="20"/>
          <w:szCs w:val="20"/>
          <w:color w:val="auto"/>
        </w:rPr>
      </w:pPr>
    </w:p>
    <w:p>
      <w:pPr>
        <w:ind w:right="100" w:firstLine="382"/>
        <w:spacing w:after="0" w:line="262" w:lineRule="auto"/>
        <w:rPr>
          <w:sz w:val="20"/>
          <w:szCs w:val="20"/>
          <w:color w:val="auto"/>
        </w:rPr>
      </w:pPr>
      <w:r>
        <w:rPr>
          <w:rFonts w:ascii="Arial" w:cs="Arial" w:eastAsia="Arial" w:hAnsi="Arial"/>
          <w:sz w:val="14"/>
          <w:szCs w:val="14"/>
          <w:color w:val="auto"/>
        </w:rPr>
        <w:t>We earned and recognized $1.0 million in royalty revenue during the three months ended March 31, 2022 related to GSK’s net sales of Zejula and JEMPERLI during the period based on estimates of GSK’s sales historical experience. Of the royalty revenue recognized, $0.3 million is JEMPERLI non-cash revenue related to the Royalty Monetization Agreement, see Note 5. GSK reports sales information to us on a one quarter lag and differences between actual and estimated royalty revenues will be adjusted in the following quarter. We earned and recognized $1.2 million in royalty revenue during the three months ended March 31, 2021 related to GSK’s net sales of Zejula during the period.</w:t>
      </w:r>
    </w:p>
    <w:p>
      <w:pPr>
        <w:spacing w:after="0" w:line="61"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No clinical milestones were earned or recognized during the three months ended March 31,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2" w:name="page13"/>
    <w:bookmarkEnd w:id="12"/>
    <w:p>
      <w:pPr>
        <w:ind w:left="380"/>
        <w:spacing w:after="0"/>
        <w:rPr>
          <w:sz w:val="20"/>
          <w:szCs w:val="20"/>
          <w:color w:val="auto"/>
        </w:rPr>
      </w:pPr>
      <w:r>
        <w:rPr>
          <w:rFonts w:ascii="Arial" w:cs="Arial" w:eastAsia="Arial" w:hAnsi="Arial"/>
          <w:sz w:val="14"/>
          <w:szCs w:val="14"/>
          <w:color w:val="auto"/>
        </w:rPr>
        <w:t>Milestones recognized through March 31, 2022 under the GSK Agreement are as follows: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4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gridSpan w:val="2"/>
          </w:tcPr>
          <w:p>
            <w:pPr>
              <w:jc w:val="center"/>
              <w:ind w:right="920"/>
              <w:spacing w:after="0"/>
              <w:rPr>
                <w:sz w:val="20"/>
                <w:szCs w:val="20"/>
                <w:color w:val="auto"/>
              </w:rPr>
            </w:pPr>
            <w:r>
              <w:rPr>
                <w:rFonts w:ascii="Arial" w:cs="Arial" w:eastAsia="Arial" w:hAnsi="Arial"/>
                <w:sz w:val="11"/>
                <w:szCs w:val="11"/>
                <w:b w:val="1"/>
                <w:bCs w:val="1"/>
                <w:color w:val="auto"/>
                <w:w w:val="99"/>
              </w:rPr>
              <w:t>Anti-PD-1</w:t>
            </w:r>
          </w:p>
        </w:tc>
        <w:tc>
          <w:tcPr>
            <w:tcW w:w="840" w:type="dxa"/>
            <w:vAlign w:val="bottom"/>
          </w:tcPr>
          <w:p>
            <w:pPr>
              <w:spacing w:after="0"/>
              <w:rPr>
                <w:sz w:val="11"/>
                <w:szCs w:val="11"/>
                <w:color w:val="auto"/>
              </w:rPr>
            </w:pPr>
          </w:p>
        </w:tc>
        <w:tc>
          <w:tcPr>
            <w:tcW w:w="160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rPr>
              <w:t>Anti-TIM-3</w:t>
            </w:r>
          </w:p>
        </w:tc>
        <w:tc>
          <w:tcPr>
            <w:tcW w:w="780" w:type="dxa"/>
            <w:vAlign w:val="bottom"/>
          </w:tcPr>
          <w:p>
            <w:pPr>
              <w:spacing w:after="0"/>
              <w:rPr>
                <w:sz w:val="11"/>
                <w:szCs w:val="11"/>
                <w:color w:val="auto"/>
              </w:rPr>
            </w:pPr>
          </w:p>
        </w:tc>
        <w:tc>
          <w:tcPr>
            <w:tcW w:w="1560" w:type="dxa"/>
            <w:vAlign w:val="bottom"/>
          </w:tcPr>
          <w:p>
            <w:pPr>
              <w:jc w:val="center"/>
              <w:ind w:right="723"/>
              <w:spacing w:after="0"/>
              <w:rPr>
                <w:sz w:val="20"/>
                <w:szCs w:val="20"/>
                <w:color w:val="auto"/>
              </w:rPr>
            </w:pPr>
            <w:r>
              <w:rPr>
                <w:rFonts w:ascii="Arial" w:cs="Arial" w:eastAsia="Arial" w:hAnsi="Arial"/>
                <w:sz w:val="11"/>
                <w:szCs w:val="11"/>
                <w:b w:val="1"/>
                <w:bCs w:val="1"/>
                <w:color w:val="auto"/>
                <w:w w:val="99"/>
              </w:rPr>
              <w:t>Anti-LAG-3</w:t>
            </w:r>
          </w:p>
        </w:tc>
      </w:tr>
      <w:tr>
        <w:trPr>
          <w:trHeight w:val="147"/>
        </w:trPr>
        <w:tc>
          <w:tcPr>
            <w:tcW w:w="4060" w:type="dxa"/>
            <w:vAlign w:val="bottom"/>
          </w:tcPr>
          <w:p>
            <w:pPr>
              <w:spacing w:after="0"/>
              <w:rPr>
                <w:sz w:val="12"/>
                <w:szCs w:val="12"/>
                <w:color w:val="auto"/>
              </w:rPr>
            </w:pPr>
          </w:p>
        </w:tc>
        <w:tc>
          <w:tcPr>
            <w:tcW w:w="24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(JEMPERLI/Dostarlimab)</w:t>
            </w:r>
          </w:p>
        </w:tc>
        <w:tc>
          <w:tcPr>
            <w:tcW w:w="24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5"/>
              </w:rPr>
              <w:t>(GSK4069889A/Cobolimab)</w:t>
            </w:r>
          </w:p>
        </w:tc>
        <w:tc>
          <w:tcPr>
            <w:tcW w:w="780" w:type="dxa"/>
            <w:vAlign w:val="bottom"/>
          </w:tcPr>
          <w:p>
            <w:pPr>
              <w:spacing w:after="0"/>
              <w:rPr>
                <w:sz w:val="12"/>
                <w:szCs w:val="12"/>
                <w:color w:val="auto"/>
              </w:rPr>
            </w:pPr>
          </w:p>
        </w:tc>
        <w:tc>
          <w:tcPr>
            <w:tcW w:w="1560" w:type="dxa"/>
            <w:vAlign w:val="bottom"/>
          </w:tcPr>
          <w:p>
            <w:pPr>
              <w:jc w:val="center"/>
              <w:ind w:right="743"/>
              <w:spacing w:after="0"/>
              <w:rPr>
                <w:sz w:val="20"/>
                <w:szCs w:val="20"/>
                <w:color w:val="auto"/>
              </w:rPr>
            </w:pPr>
            <w:r>
              <w:rPr>
                <w:rFonts w:ascii="Arial" w:cs="Arial" w:eastAsia="Arial" w:hAnsi="Arial"/>
                <w:sz w:val="11"/>
                <w:szCs w:val="11"/>
                <w:b w:val="1"/>
                <w:bCs w:val="1"/>
                <w:color w:val="auto"/>
                <w:w w:val="94"/>
              </w:rPr>
              <w:t>(GSK40974386)</w:t>
            </w:r>
          </w:p>
        </w:tc>
      </w:tr>
      <w:tr>
        <w:trPr>
          <w:trHeight w:val="140"/>
        </w:trPr>
        <w:tc>
          <w:tcPr>
            <w:tcW w:w="4060" w:type="dxa"/>
            <w:vAlign w:val="bottom"/>
          </w:tcPr>
          <w:p>
            <w:pPr>
              <w:ind w:left="1640"/>
              <w:spacing w:after="0"/>
              <w:rPr>
                <w:sz w:val="20"/>
                <w:szCs w:val="20"/>
                <w:color w:val="auto"/>
              </w:rPr>
            </w:pPr>
            <w:r>
              <w:rPr>
                <w:rFonts w:ascii="Arial" w:cs="Arial" w:eastAsia="Arial" w:hAnsi="Arial"/>
                <w:sz w:val="11"/>
                <w:szCs w:val="11"/>
                <w:b w:val="1"/>
                <w:bCs w:val="1"/>
                <w:color w:val="auto"/>
              </w:rPr>
              <w:t>Milestone Event</w:t>
            </w:r>
          </w:p>
        </w:tc>
        <w:tc>
          <w:tcPr>
            <w:tcW w:w="840" w:type="dxa"/>
            <w:vAlign w:val="bottom"/>
            <w:tcBorders>
              <w:top w:val="single" w:sz="8" w:color="auto"/>
            </w:tcBorders>
          </w:tcPr>
          <w:p>
            <w:pPr>
              <w:ind w:left="380"/>
              <w:spacing w:after="0"/>
              <w:rPr>
                <w:sz w:val="20"/>
                <w:szCs w:val="20"/>
                <w:color w:val="auto"/>
              </w:rPr>
            </w:pPr>
            <w:r>
              <w:rPr>
                <w:rFonts w:ascii="Arial" w:cs="Arial" w:eastAsia="Arial" w:hAnsi="Arial"/>
                <w:sz w:val="11"/>
                <w:szCs w:val="11"/>
                <w:b w:val="1"/>
                <w:bCs w:val="1"/>
                <w:color w:val="auto"/>
              </w:rPr>
              <w:t>Amount</w:t>
            </w:r>
          </w:p>
        </w:tc>
        <w:tc>
          <w:tcPr>
            <w:tcW w:w="1500" w:type="dxa"/>
            <w:vAlign w:val="bottom"/>
            <w:tcBorders>
              <w:top w:val="single" w:sz="8" w:color="auto"/>
            </w:tcBorders>
          </w:tcPr>
          <w:p>
            <w:pPr>
              <w:jc w:val="center"/>
              <w:ind w:left="263"/>
              <w:spacing w:after="0"/>
              <w:rPr>
                <w:sz w:val="20"/>
                <w:szCs w:val="20"/>
                <w:color w:val="auto"/>
              </w:rPr>
            </w:pPr>
            <w:r>
              <w:rPr>
                <w:rFonts w:ascii="Arial" w:cs="Arial" w:eastAsia="Arial" w:hAnsi="Arial"/>
                <w:sz w:val="11"/>
                <w:szCs w:val="11"/>
                <w:b w:val="1"/>
                <w:bCs w:val="1"/>
                <w:color w:val="auto"/>
                <w:w w:val="93"/>
              </w:rPr>
              <w:t>Quarter Recognized</w:t>
            </w:r>
          </w:p>
        </w:tc>
        <w:tc>
          <w:tcPr>
            <w:tcW w:w="80" w:type="dxa"/>
            <w:vAlign w:val="bottom"/>
          </w:tcPr>
          <w:p>
            <w:pPr>
              <w:spacing w:after="0"/>
              <w:rPr>
                <w:sz w:val="12"/>
                <w:szCs w:val="12"/>
                <w:color w:val="auto"/>
              </w:rPr>
            </w:pPr>
          </w:p>
        </w:tc>
        <w:tc>
          <w:tcPr>
            <w:tcW w:w="840" w:type="dxa"/>
            <w:vAlign w:val="bottom"/>
            <w:tcBorders>
              <w:top w:val="single" w:sz="8" w:color="auto"/>
            </w:tcBorders>
          </w:tcPr>
          <w:p>
            <w:pPr>
              <w:ind w:left="400"/>
              <w:spacing w:after="0"/>
              <w:rPr>
                <w:sz w:val="20"/>
                <w:szCs w:val="20"/>
                <w:color w:val="auto"/>
              </w:rPr>
            </w:pPr>
            <w:r>
              <w:rPr>
                <w:rFonts w:ascii="Arial" w:cs="Arial" w:eastAsia="Arial" w:hAnsi="Arial"/>
                <w:sz w:val="11"/>
                <w:szCs w:val="11"/>
                <w:b w:val="1"/>
                <w:bCs w:val="1"/>
                <w:color w:val="auto"/>
              </w:rPr>
              <w:t>Amount</w:t>
            </w:r>
          </w:p>
        </w:tc>
        <w:tc>
          <w:tcPr>
            <w:tcW w:w="1500" w:type="dxa"/>
            <w:vAlign w:val="bottom"/>
            <w:tcBorders>
              <w:top w:val="single" w:sz="8" w:color="auto"/>
            </w:tcBorders>
          </w:tcPr>
          <w:p>
            <w:pPr>
              <w:ind w:left="440"/>
              <w:spacing w:after="0"/>
              <w:rPr>
                <w:sz w:val="20"/>
                <w:szCs w:val="20"/>
                <w:color w:val="auto"/>
              </w:rPr>
            </w:pPr>
            <w:r>
              <w:rPr>
                <w:rFonts w:ascii="Arial" w:cs="Arial" w:eastAsia="Arial" w:hAnsi="Arial"/>
                <w:sz w:val="11"/>
                <w:szCs w:val="11"/>
                <w:b w:val="1"/>
                <w:bCs w:val="1"/>
                <w:color w:val="auto"/>
                <w:w w:val="99"/>
              </w:rPr>
              <w:t>Quarter Recognized</w:t>
            </w:r>
          </w:p>
        </w:tc>
        <w:tc>
          <w:tcPr>
            <w:tcW w:w="100" w:type="dxa"/>
            <w:vAlign w:val="bottom"/>
          </w:tcPr>
          <w:p>
            <w:pPr>
              <w:spacing w:after="0"/>
              <w:rPr>
                <w:sz w:val="12"/>
                <w:szCs w:val="12"/>
                <w:color w:val="auto"/>
              </w:rPr>
            </w:pPr>
          </w:p>
        </w:tc>
        <w:tc>
          <w:tcPr>
            <w:tcW w:w="780" w:type="dxa"/>
            <w:vAlign w:val="bottom"/>
            <w:tcBorders>
              <w:top w:val="single" w:sz="8" w:color="auto"/>
            </w:tcBorders>
          </w:tcPr>
          <w:p>
            <w:pPr>
              <w:ind w:left="380"/>
              <w:spacing w:after="0"/>
              <w:rPr>
                <w:sz w:val="20"/>
                <w:szCs w:val="20"/>
                <w:color w:val="auto"/>
              </w:rPr>
            </w:pPr>
            <w:r>
              <w:rPr>
                <w:rFonts w:ascii="Arial" w:cs="Arial" w:eastAsia="Arial" w:hAnsi="Arial"/>
                <w:sz w:val="11"/>
                <w:szCs w:val="11"/>
                <w:b w:val="1"/>
                <w:bCs w:val="1"/>
                <w:color w:val="auto"/>
                <w:w w:val="91"/>
              </w:rPr>
              <w:t>Amount</w:t>
            </w:r>
          </w:p>
        </w:tc>
        <w:tc>
          <w:tcPr>
            <w:tcW w:w="1560" w:type="dxa"/>
            <w:vAlign w:val="bottom"/>
            <w:tcBorders>
              <w:top w:val="single" w:sz="8" w:color="auto"/>
            </w:tcBorders>
          </w:tcPr>
          <w:p>
            <w:pPr>
              <w:ind w:left="480"/>
              <w:spacing w:after="0"/>
              <w:rPr>
                <w:sz w:val="20"/>
                <w:szCs w:val="20"/>
                <w:color w:val="auto"/>
              </w:rPr>
            </w:pPr>
            <w:r>
              <w:rPr>
                <w:rFonts w:ascii="Arial" w:cs="Arial" w:eastAsia="Arial" w:hAnsi="Arial"/>
                <w:sz w:val="11"/>
                <w:szCs w:val="11"/>
                <w:b w:val="1"/>
                <w:bCs w:val="1"/>
                <w:color w:val="auto"/>
              </w:rPr>
              <w:t>Quarter Recognized</w:t>
            </w:r>
          </w:p>
        </w:tc>
      </w:tr>
      <w:tr>
        <w:trPr>
          <w:trHeight w:val="319"/>
        </w:trPr>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Initiated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toxicology studies using good laboratory practices (GLPs)</w:t>
            </w: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$1.0M</w:t>
            </w:r>
          </w:p>
        </w:tc>
        <w:tc>
          <w:tcPr>
            <w:tcW w:w="1580" w:type="dxa"/>
            <w:vAlign w:val="bottom"/>
            <w:gridSpan w:val="2"/>
            <w:shd w:val="clear" w:color="auto" w:fill="CFF0FC"/>
          </w:tcPr>
          <w:p>
            <w:pPr>
              <w:jc w:val="center"/>
              <w:ind w:left="183"/>
              <w:spacing w:after="0"/>
              <w:rPr>
                <w:sz w:val="20"/>
                <w:szCs w:val="20"/>
                <w:color w:val="auto"/>
              </w:rPr>
            </w:pPr>
            <w:r>
              <w:rPr>
                <w:rFonts w:ascii="Arial" w:cs="Arial" w:eastAsia="Arial" w:hAnsi="Arial"/>
                <w:sz w:val="11"/>
                <w:szCs w:val="11"/>
                <w:color w:val="auto"/>
                <w:w w:val="89"/>
              </w:rPr>
              <w:t>Q2'15</w:t>
            </w: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$1.0M</w:t>
            </w:r>
          </w:p>
        </w:tc>
        <w:tc>
          <w:tcPr>
            <w:tcW w:w="1600" w:type="dxa"/>
            <w:vAlign w:val="bottom"/>
            <w:gridSpan w:val="2"/>
            <w:shd w:val="clear" w:color="auto" w:fill="CFF0FC"/>
          </w:tcPr>
          <w:p>
            <w:pPr>
              <w:jc w:val="center"/>
              <w:ind w:left="183"/>
              <w:spacing w:after="0"/>
              <w:rPr>
                <w:sz w:val="20"/>
                <w:szCs w:val="20"/>
                <w:color w:val="auto"/>
              </w:rPr>
            </w:pPr>
            <w:r>
              <w:rPr>
                <w:rFonts w:ascii="Arial" w:cs="Arial" w:eastAsia="Arial" w:hAnsi="Arial"/>
                <w:sz w:val="11"/>
                <w:szCs w:val="11"/>
                <w:color w:val="auto"/>
                <w:w w:val="96"/>
              </w:rPr>
              <w:t>Q4'15</w:t>
            </w:r>
          </w:p>
        </w:tc>
        <w:tc>
          <w:tcPr>
            <w:tcW w:w="780" w:type="dxa"/>
            <w:vAlign w:val="bottom"/>
            <w:shd w:val="clear" w:color="auto" w:fill="CFF0FC"/>
          </w:tcPr>
          <w:p>
            <w:pPr>
              <w:jc w:val="center"/>
              <w:ind w:left="343"/>
              <w:spacing w:after="0"/>
              <w:rPr>
                <w:sz w:val="20"/>
                <w:szCs w:val="20"/>
                <w:color w:val="auto"/>
              </w:rPr>
            </w:pPr>
            <w:r>
              <w:rPr>
                <w:rFonts w:ascii="Arial" w:cs="Arial" w:eastAsia="Arial" w:hAnsi="Arial"/>
                <w:sz w:val="11"/>
                <w:szCs w:val="11"/>
                <w:color w:val="auto"/>
                <w:w w:val="97"/>
              </w:rPr>
              <w:t>$1.0M</w:t>
            </w:r>
          </w:p>
        </w:tc>
        <w:tc>
          <w:tcPr>
            <w:tcW w:w="1560" w:type="dxa"/>
            <w:vAlign w:val="bottom"/>
            <w:shd w:val="clear" w:color="auto" w:fill="CFF0FC"/>
          </w:tcPr>
          <w:p>
            <w:pPr>
              <w:jc w:val="center"/>
              <w:ind w:left="323"/>
              <w:spacing w:after="0"/>
              <w:rPr>
                <w:sz w:val="20"/>
                <w:szCs w:val="20"/>
                <w:color w:val="auto"/>
              </w:rPr>
            </w:pPr>
            <w:r>
              <w:rPr>
                <w:rFonts w:ascii="Arial" w:cs="Arial" w:eastAsia="Arial" w:hAnsi="Arial"/>
                <w:sz w:val="11"/>
                <w:szCs w:val="11"/>
                <w:color w:val="auto"/>
                <w:w w:val="89"/>
              </w:rPr>
              <w:t>Q3'16</w:t>
            </w:r>
          </w:p>
        </w:tc>
      </w:tr>
      <w:tr>
        <w:trPr>
          <w:trHeight w:val="147"/>
        </w:trPr>
        <w:tc>
          <w:tcPr>
            <w:tcW w:w="4060" w:type="dxa"/>
            <w:vAlign w:val="bottom"/>
          </w:tcPr>
          <w:p>
            <w:pPr>
              <w:spacing w:after="0"/>
              <w:rPr>
                <w:sz w:val="20"/>
                <w:szCs w:val="20"/>
                <w:color w:val="auto"/>
              </w:rPr>
            </w:pPr>
            <w:r>
              <w:rPr>
                <w:rFonts w:ascii="Arial" w:cs="Arial" w:eastAsia="Arial" w:hAnsi="Arial"/>
                <w:sz w:val="11"/>
                <w:szCs w:val="11"/>
                <w:color w:val="auto"/>
              </w:rPr>
              <w:t>IND clearance from the FDA</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$4.0M</w:t>
            </w:r>
          </w:p>
        </w:tc>
        <w:tc>
          <w:tcPr>
            <w:tcW w:w="1580" w:type="dxa"/>
            <w:vAlign w:val="bottom"/>
            <w:gridSpan w:val="2"/>
          </w:tcPr>
          <w:p>
            <w:pPr>
              <w:jc w:val="center"/>
              <w:ind w:left="183"/>
              <w:spacing w:after="0"/>
              <w:rPr>
                <w:sz w:val="20"/>
                <w:szCs w:val="20"/>
                <w:color w:val="auto"/>
              </w:rPr>
            </w:pPr>
            <w:r>
              <w:rPr>
                <w:rFonts w:ascii="Arial" w:cs="Arial" w:eastAsia="Arial" w:hAnsi="Arial"/>
                <w:sz w:val="11"/>
                <w:szCs w:val="11"/>
                <w:color w:val="auto"/>
                <w:w w:val="89"/>
              </w:rPr>
              <w:t>Q1'16</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$4.0M</w:t>
            </w:r>
          </w:p>
        </w:tc>
        <w:tc>
          <w:tcPr>
            <w:tcW w:w="1600" w:type="dxa"/>
            <w:vAlign w:val="bottom"/>
            <w:gridSpan w:val="2"/>
          </w:tcPr>
          <w:p>
            <w:pPr>
              <w:jc w:val="center"/>
              <w:ind w:left="183"/>
              <w:spacing w:after="0"/>
              <w:rPr>
                <w:sz w:val="20"/>
                <w:szCs w:val="20"/>
                <w:color w:val="auto"/>
              </w:rPr>
            </w:pPr>
            <w:r>
              <w:rPr>
                <w:rFonts w:ascii="Arial" w:cs="Arial" w:eastAsia="Arial" w:hAnsi="Arial"/>
                <w:sz w:val="11"/>
                <w:szCs w:val="11"/>
                <w:color w:val="auto"/>
                <w:w w:val="96"/>
              </w:rPr>
              <w:t>Q2'16</w:t>
            </w:r>
          </w:p>
        </w:tc>
        <w:tc>
          <w:tcPr>
            <w:tcW w:w="780" w:type="dxa"/>
            <w:vAlign w:val="bottom"/>
          </w:tcPr>
          <w:p>
            <w:pPr>
              <w:jc w:val="center"/>
              <w:ind w:left="343"/>
              <w:spacing w:after="0"/>
              <w:rPr>
                <w:sz w:val="20"/>
                <w:szCs w:val="20"/>
                <w:color w:val="auto"/>
              </w:rPr>
            </w:pPr>
            <w:r>
              <w:rPr>
                <w:rFonts w:ascii="Arial" w:cs="Arial" w:eastAsia="Arial" w:hAnsi="Arial"/>
                <w:sz w:val="11"/>
                <w:szCs w:val="11"/>
                <w:color w:val="auto"/>
                <w:w w:val="97"/>
              </w:rPr>
              <w:t>$4.0M</w:t>
            </w:r>
          </w:p>
        </w:tc>
        <w:tc>
          <w:tcPr>
            <w:tcW w:w="1560" w:type="dxa"/>
            <w:vAlign w:val="bottom"/>
          </w:tcPr>
          <w:p>
            <w:pPr>
              <w:jc w:val="center"/>
              <w:ind w:left="323"/>
              <w:spacing w:after="0"/>
              <w:rPr>
                <w:sz w:val="20"/>
                <w:szCs w:val="20"/>
                <w:color w:val="auto"/>
              </w:rPr>
            </w:pPr>
            <w:r>
              <w:rPr>
                <w:rFonts w:ascii="Arial" w:cs="Arial" w:eastAsia="Arial" w:hAnsi="Arial"/>
                <w:sz w:val="11"/>
                <w:szCs w:val="11"/>
                <w:color w:val="auto"/>
                <w:w w:val="89"/>
              </w:rPr>
              <w:t>Q2'17</w:t>
            </w:r>
          </w:p>
        </w:tc>
      </w:tr>
      <w:tr>
        <w:trPr>
          <w:trHeight w:val="150"/>
        </w:trPr>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Phase 2 clinical trial initiation</w:t>
            </w: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$3.0M</w:t>
            </w:r>
          </w:p>
        </w:tc>
        <w:tc>
          <w:tcPr>
            <w:tcW w:w="1580" w:type="dxa"/>
            <w:vAlign w:val="bottom"/>
            <w:gridSpan w:val="2"/>
            <w:shd w:val="clear" w:color="auto" w:fill="CFF0FC"/>
          </w:tcPr>
          <w:p>
            <w:pPr>
              <w:jc w:val="center"/>
              <w:ind w:left="183"/>
              <w:spacing w:after="0"/>
              <w:rPr>
                <w:sz w:val="20"/>
                <w:szCs w:val="20"/>
                <w:color w:val="auto"/>
              </w:rPr>
            </w:pPr>
            <w:r>
              <w:rPr>
                <w:rFonts w:ascii="Arial" w:cs="Arial" w:eastAsia="Arial" w:hAnsi="Arial"/>
                <w:sz w:val="11"/>
                <w:szCs w:val="11"/>
                <w:color w:val="auto"/>
                <w:w w:val="89"/>
              </w:rPr>
              <w:t>Q2'17</w:t>
            </w: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$3.0M</w:t>
            </w:r>
          </w:p>
        </w:tc>
        <w:tc>
          <w:tcPr>
            <w:tcW w:w="1600" w:type="dxa"/>
            <w:vAlign w:val="bottom"/>
            <w:gridSpan w:val="2"/>
            <w:shd w:val="clear" w:color="auto" w:fill="CFF0FC"/>
          </w:tcPr>
          <w:p>
            <w:pPr>
              <w:jc w:val="center"/>
              <w:ind w:left="183"/>
              <w:spacing w:after="0"/>
              <w:rPr>
                <w:sz w:val="20"/>
                <w:szCs w:val="20"/>
                <w:color w:val="auto"/>
              </w:rPr>
            </w:pPr>
            <w:r>
              <w:rPr>
                <w:rFonts w:ascii="Arial" w:cs="Arial" w:eastAsia="Arial" w:hAnsi="Arial"/>
                <w:sz w:val="11"/>
                <w:szCs w:val="11"/>
                <w:color w:val="auto"/>
                <w:w w:val="96"/>
              </w:rPr>
              <w:t>Q4'17</w:t>
            </w:r>
          </w:p>
        </w:tc>
        <w:tc>
          <w:tcPr>
            <w:tcW w:w="780" w:type="dxa"/>
            <w:vAlign w:val="bottom"/>
            <w:shd w:val="clear" w:color="auto" w:fill="CFF0FC"/>
          </w:tcPr>
          <w:p>
            <w:pPr>
              <w:jc w:val="center"/>
              <w:ind w:left="343"/>
              <w:spacing w:after="0"/>
              <w:rPr>
                <w:sz w:val="20"/>
                <w:szCs w:val="20"/>
                <w:color w:val="auto"/>
              </w:rPr>
            </w:pPr>
            <w:r>
              <w:rPr>
                <w:rFonts w:ascii="Arial" w:cs="Arial" w:eastAsia="Arial" w:hAnsi="Arial"/>
                <w:sz w:val="11"/>
                <w:szCs w:val="11"/>
                <w:color w:val="auto"/>
                <w:w w:val="97"/>
              </w:rPr>
              <w:t>$3.0M</w:t>
            </w:r>
          </w:p>
        </w:tc>
        <w:tc>
          <w:tcPr>
            <w:tcW w:w="1560" w:type="dxa"/>
            <w:vAlign w:val="bottom"/>
            <w:shd w:val="clear" w:color="auto" w:fill="CFF0FC"/>
          </w:tcPr>
          <w:p>
            <w:pPr>
              <w:jc w:val="center"/>
              <w:ind w:left="323"/>
              <w:spacing w:after="0"/>
              <w:rPr>
                <w:sz w:val="20"/>
                <w:szCs w:val="20"/>
                <w:color w:val="auto"/>
              </w:rPr>
            </w:pPr>
            <w:r>
              <w:rPr>
                <w:rFonts w:ascii="Arial" w:cs="Arial" w:eastAsia="Arial" w:hAnsi="Arial"/>
                <w:sz w:val="11"/>
                <w:szCs w:val="11"/>
                <w:color w:val="auto"/>
                <w:w w:val="89"/>
              </w:rPr>
              <w:t>Q4'19</w:t>
            </w:r>
          </w:p>
        </w:tc>
      </w:tr>
      <w:tr>
        <w:trPr>
          <w:trHeight w:val="147"/>
        </w:trPr>
        <w:tc>
          <w:tcPr>
            <w:tcW w:w="4060" w:type="dxa"/>
            <w:vAlign w:val="bottom"/>
          </w:tcPr>
          <w:p>
            <w:pPr>
              <w:spacing w:after="0"/>
              <w:rPr>
                <w:sz w:val="20"/>
                <w:szCs w:val="20"/>
                <w:color w:val="auto"/>
              </w:rPr>
            </w:pPr>
            <w:r>
              <w:rPr>
                <w:rFonts w:ascii="Arial" w:cs="Arial" w:eastAsia="Arial" w:hAnsi="Arial"/>
                <w:sz w:val="11"/>
                <w:szCs w:val="11"/>
                <w:color w:val="auto"/>
              </w:rPr>
              <w:t>Phase 3 clinical trial initiation - first indication</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$5.0M</w:t>
            </w:r>
          </w:p>
        </w:tc>
        <w:tc>
          <w:tcPr>
            <w:tcW w:w="1580" w:type="dxa"/>
            <w:vAlign w:val="bottom"/>
            <w:gridSpan w:val="2"/>
          </w:tcPr>
          <w:p>
            <w:pPr>
              <w:jc w:val="center"/>
              <w:ind w:left="183"/>
              <w:spacing w:after="0"/>
              <w:rPr>
                <w:sz w:val="20"/>
                <w:szCs w:val="20"/>
                <w:color w:val="auto"/>
              </w:rPr>
            </w:pPr>
            <w:r>
              <w:rPr>
                <w:rFonts w:ascii="Arial" w:cs="Arial" w:eastAsia="Arial" w:hAnsi="Arial"/>
                <w:sz w:val="11"/>
                <w:szCs w:val="11"/>
                <w:color w:val="auto"/>
                <w:w w:val="89"/>
              </w:rPr>
              <w:t>Q3'18</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tcPr>
          <w:p>
            <w:pPr>
              <w:jc w:val="center"/>
              <w:ind w:left="323"/>
              <w:spacing w:after="0"/>
              <w:rPr>
                <w:sz w:val="20"/>
                <w:szCs w:val="20"/>
                <w:color w:val="auto"/>
              </w:rPr>
            </w:pPr>
            <w:r>
              <w:rPr>
                <w:rFonts w:ascii="Arial" w:cs="Arial" w:eastAsia="Arial" w:hAnsi="Arial"/>
                <w:sz w:val="11"/>
                <w:szCs w:val="11"/>
                <w:color w:val="auto"/>
                <w:w w:val="90"/>
              </w:rPr>
              <w:t>—</w:t>
            </w:r>
          </w:p>
        </w:tc>
      </w:tr>
      <w:tr>
        <w:trPr>
          <w:trHeight w:val="150"/>
        </w:trPr>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Phase 3 clinical trial initiation - second indication</w:t>
            </w: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$5.0M</w:t>
            </w:r>
          </w:p>
        </w:tc>
        <w:tc>
          <w:tcPr>
            <w:tcW w:w="1580" w:type="dxa"/>
            <w:vAlign w:val="bottom"/>
            <w:gridSpan w:val="2"/>
            <w:shd w:val="clear" w:color="auto" w:fill="CFF0FC"/>
          </w:tcPr>
          <w:p>
            <w:pPr>
              <w:jc w:val="center"/>
              <w:ind w:left="183"/>
              <w:spacing w:after="0"/>
              <w:rPr>
                <w:sz w:val="20"/>
                <w:szCs w:val="20"/>
                <w:color w:val="auto"/>
              </w:rPr>
            </w:pPr>
            <w:r>
              <w:rPr>
                <w:rFonts w:ascii="Arial" w:cs="Arial" w:eastAsia="Arial" w:hAnsi="Arial"/>
                <w:sz w:val="11"/>
                <w:szCs w:val="11"/>
                <w:color w:val="auto"/>
                <w:w w:val="89"/>
              </w:rPr>
              <w:t>Q2'19</w:t>
            </w: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shd w:val="clear" w:color="auto" w:fill="CFF0FC"/>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shd w:val="clear" w:color="auto" w:fill="CFF0FC"/>
          </w:tcPr>
          <w:p>
            <w:pPr>
              <w:jc w:val="center"/>
              <w:ind w:left="323"/>
              <w:spacing w:after="0"/>
              <w:rPr>
                <w:sz w:val="20"/>
                <w:szCs w:val="20"/>
                <w:color w:val="auto"/>
              </w:rPr>
            </w:pPr>
            <w:r>
              <w:rPr>
                <w:rFonts w:ascii="Arial" w:cs="Arial" w:eastAsia="Arial" w:hAnsi="Arial"/>
                <w:sz w:val="11"/>
                <w:szCs w:val="11"/>
                <w:color w:val="auto"/>
                <w:w w:val="90"/>
              </w:rPr>
              <w:t>—</w:t>
            </w: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1"/>
                <w:szCs w:val="11"/>
                <w:color w:val="auto"/>
              </w:rPr>
              <w:t>Filing of the first BLA</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 first indication</w:t>
            </w:r>
          </w:p>
        </w:tc>
        <w:tc>
          <w:tcPr>
            <w:tcW w:w="840" w:type="dxa"/>
            <w:vAlign w:val="bottom"/>
          </w:tcPr>
          <w:p>
            <w:pPr>
              <w:jc w:val="center"/>
              <w:ind w:left="263"/>
              <w:spacing w:after="0"/>
              <w:rPr>
                <w:sz w:val="20"/>
                <w:szCs w:val="20"/>
                <w:color w:val="auto"/>
              </w:rPr>
            </w:pPr>
            <w:r>
              <w:rPr>
                <w:rFonts w:ascii="Arial" w:cs="Arial" w:eastAsia="Arial" w:hAnsi="Arial"/>
                <w:sz w:val="11"/>
                <w:szCs w:val="11"/>
                <w:color w:val="auto"/>
                <w:w w:val="97"/>
              </w:rPr>
              <w:t>$10.0M</w:t>
            </w:r>
          </w:p>
        </w:tc>
        <w:tc>
          <w:tcPr>
            <w:tcW w:w="1580" w:type="dxa"/>
            <w:vAlign w:val="bottom"/>
            <w:gridSpan w:val="2"/>
          </w:tcPr>
          <w:p>
            <w:pPr>
              <w:jc w:val="center"/>
              <w:ind w:left="183"/>
              <w:spacing w:after="0"/>
              <w:rPr>
                <w:sz w:val="20"/>
                <w:szCs w:val="20"/>
                <w:color w:val="auto"/>
              </w:rPr>
            </w:pPr>
            <w:r>
              <w:rPr>
                <w:rFonts w:ascii="Arial" w:cs="Arial" w:eastAsia="Arial" w:hAnsi="Arial"/>
                <w:sz w:val="11"/>
                <w:szCs w:val="11"/>
                <w:color w:val="auto"/>
                <w:w w:val="89"/>
              </w:rPr>
              <w:t>Q1'20</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tcPr>
          <w:p>
            <w:pPr>
              <w:jc w:val="center"/>
              <w:ind w:left="323"/>
              <w:spacing w:after="0"/>
              <w:rPr>
                <w:sz w:val="20"/>
                <w:szCs w:val="20"/>
                <w:color w:val="auto"/>
              </w:rPr>
            </w:pPr>
            <w:r>
              <w:rPr>
                <w:rFonts w:ascii="Arial" w:cs="Arial" w:eastAsia="Arial" w:hAnsi="Arial"/>
                <w:sz w:val="11"/>
                <w:szCs w:val="11"/>
                <w:color w:val="auto"/>
                <w:w w:val="90"/>
              </w:rPr>
              <w:t>—</w:t>
            </w:r>
          </w:p>
        </w:tc>
      </w:tr>
      <w:tr>
        <w:trPr>
          <w:trHeight w:val="149"/>
        </w:trPr>
        <w:tc>
          <w:tcPr>
            <w:tcW w:w="40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Filing of the first MAA</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first indication</w:t>
            </w: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$5.0M</w:t>
            </w:r>
          </w:p>
        </w:tc>
        <w:tc>
          <w:tcPr>
            <w:tcW w:w="158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89"/>
              </w:rPr>
              <w:t>Q1'20</w:t>
            </w: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shd w:val="clear" w:color="auto" w:fill="CCEEFF"/>
          </w:tcPr>
          <w:p>
            <w:pPr>
              <w:jc w:val="center"/>
              <w:ind w:left="323"/>
              <w:spacing w:after="0"/>
              <w:rPr>
                <w:sz w:val="20"/>
                <w:szCs w:val="20"/>
                <w:color w:val="auto"/>
              </w:rPr>
            </w:pPr>
            <w:r>
              <w:rPr>
                <w:rFonts w:ascii="Arial" w:cs="Arial" w:eastAsia="Arial" w:hAnsi="Arial"/>
                <w:sz w:val="11"/>
                <w:szCs w:val="11"/>
                <w:color w:val="auto"/>
                <w:w w:val="90"/>
              </w:rPr>
              <w:t>—</w:t>
            </w:r>
          </w:p>
        </w:tc>
      </w:tr>
      <w:tr>
        <w:trPr>
          <w:trHeight w:val="147"/>
        </w:trPr>
        <w:tc>
          <w:tcPr>
            <w:tcW w:w="4060" w:type="dxa"/>
            <w:vAlign w:val="bottom"/>
          </w:tcPr>
          <w:p>
            <w:pPr>
              <w:spacing w:after="0"/>
              <w:rPr>
                <w:sz w:val="20"/>
                <w:szCs w:val="20"/>
                <w:color w:val="auto"/>
              </w:rPr>
            </w:pPr>
            <w:r>
              <w:rPr>
                <w:rFonts w:ascii="Arial" w:cs="Arial" w:eastAsia="Arial" w:hAnsi="Arial"/>
                <w:sz w:val="11"/>
                <w:szCs w:val="11"/>
                <w:color w:val="auto"/>
              </w:rPr>
              <w:t>Filing of the first BLA - second indication</w:t>
            </w:r>
          </w:p>
        </w:tc>
        <w:tc>
          <w:tcPr>
            <w:tcW w:w="840" w:type="dxa"/>
            <w:vAlign w:val="bottom"/>
          </w:tcPr>
          <w:p>
            <w:pPr>
              <w:jc w:val="center"/>
              <w:ind w:left="263"/>
              <w:spacing w:after="0"/>
              <w:rPr>
                <w:sz w:val="20"/>
                <w:szCs w:val="20"/>
                <w:color w:val="auto"/>
              </w:rPr>
            </w:pPr>
            <w:r>
              <w:rPr>
                <w:rFonts w:ascii="Arial" w:cs="Arial" w:eastAsia="Arial" w:hAnsi="Arial"/>
                <w:sz w:val="11"/>
                <w:szCs w:val="11"/>
                <w:color w:val="auto"/>
                <w:w w:val="97"/>
              </w:rPr>
              <w:t>$10.0M</w:t>
            </w:r>
          </w:p>
        </w:tc>
        <w:tc>
          <w:tcPr>
            <w:tcW w:w="1580" w:type="dxa"/>
            <w:vAlign w:val="bottom"/>
            <w:gridSpan w:val="2"/>
          </w:tcPr>
          <w:p>
            <w:pPr>
              <w:jc w:val="center"/>
              <w:ind w:left="183"/>
              <w:spacing w:after="0"/>
              <w:rPr>
                <w:sz w:val="20"/>
                <w:szCs w:val="20"/>
                <w:color w:val="auto"/>
              </w:rPr>
            </w:pPr>
            <w:r>
              <w:rPr>
                <w:rFonts w:ascii="Arial" w:cs="Arial" w:eastAsia="Arial" w:hAnsi="Arial"/>
                <w:sz w:val="11"/>
                <w:szCs w:val="11"/>
                <w:color w:val="auto"/>
                <w:w w:val="89"/>
              </w:rPr>
              <w:t>Q1'21</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tcPr>
          <w:p>
            <w:pPr>
              <w:jc w:val="center"/>
              <w:ind w:left="323"/>
              <w:spacing w:after="0"/>
              <w:rPr>
                <w:sz w:val="20"/>
                <w:szCs w:val="20"/>
                <w:color w:val="auto"/>
              </w:rPr>
            </w:pPr>
            <w:r>
              <w:rPr>
                <w:rFonts w:ascii="Arial" w:cs="Arial" w:eastAsia="Arial" w:hAnsi="Arial"/>
                <w:sz w:val="11"/>
                <w:szCs w:val="11"/>
                <w:color w:val="auto"/>
                <w:w w:val="90"/>
              </w:rPr>
              <w:t>—</w:t>
            </w:r>
          </w:p>
        </w:tc>
      </w:tr>
      <w:tr>
        <w:trPr>
          <w:trHeight w:val="150"/>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First BLA approval - first indication</w:t>
            </w:r>
          </w:p>
        </w:tc>
        <w:tc>
          <w:tcPr>
            <w:tcW w:w="84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$20.0M</w:t>
            </w:r>
          </w:p>
        </w:tc>
        <w:tc>
          <w:tcPr>
            <w:tcW w:w="158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89"/>
              </w:rPr>
              <w:t>Q2'21</w:t>
            </w: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shd w:val="clear" w:color="auto" w:fill="CCEEFF"/>
          </w:tcPr>
          <w:p>
            <w:pPr>
              <w:jc w:val="center"/>
              <w:ind w:left="323"/>
              <w:spacing w:after="0"/>
              <w:rPr>
                <w:sz w:val="20"/>
                <w:szCs w:val="20"/>
                <w:color w:val="auto"/>
              </w:rPr>
            </w:pPr>
            <w:r>
              <w:rPr>
                <w:rFonts w:ascii="Arial" w:cs="Arial" w:eastAsia="Arial" w:hAnsi="Arial"/>
                <w:sz w:val="11"/>
                <w:szCs w:val="11"/>
                <w:color w:val="auto"/>
                <w:w w:val="90"/>
              </w:rPr>
              <w:t>—</w:t>
            </w:r>
          </w:p>
        </w:tc>
      </w:tr>
      <w:tr>
        <w:trPr>
          <w:trHeight w:val="155"/>
        </w:trPr>
        <w:tc>
          <w:tcPr>
            <w:tcW w:w="4060" w:type="dxa"/>
            <w:vAlign w:val="bottom"/>
          </w:tcPr>
          <w:p>
            <w:pPr>
              <w:spacing w:after="0"/>
              <w:rPr>
                <w:sz w:val="20"/>
                <w:szCs w:val="20"/>
                <w:color w:val="auto"/>
              </w:rPr>
            </w:pPr>
            <w:r>
              <w:rPr>
                <w:rFonts w:ascii="Arial" w:cs="Arial" w:eastAsia="Arial" w:hAnsi="Arial"/>
                <w:sz w:val="11"/>
                <w:szCs w:val="11"/>
                <w:color w:val="auto"/>
              </w:rPr>
              <w:t>First MAA approval - first indication</w:t>
            </w:r>
          </w:p>
        </w:tc>
        <w:tc>
          <w:tcPr>
            <w:tcW w:w="840" w:type="dxa"/>
            <w:vAlign w:val="bottom"/>
          </w:tcPr>
          <w:p>
            <w:pPr>
              <w:jc w:val="center"/>
              <w:ind w:left="263"/>
              <w:spacing w:after="0"/>
              <w:rPr>
                <w:sz w:val="20"/>
                <w:szCs w:val="20"/>
                <w:color w:val="auto"/>
              </w:rPr>
            </w:pPr>
            <w:r>
              <w:rPr>
                <w:rFonts w:ascii="Arial" w:cs="Arial" w:eastAsia="Arial" w:hAnsi="Arial"/>
                <w:sz w:val="11"/>
                <w:szCs w:val="11"/>
                <w:color w:val="auto"/>
                <w:w w:val="97"/>
              </w:rPr>
              <w:t>$10.0M</w:t>
            </w:r>
          </w:p>
        </w:tc>
        <w:tc>
          <w:tcPr>
            <w:tcW w:w="1580" w:type="dxa"/>
            <w:vAlign w:val="bottom"/>
            <w:gridSpan w:val="2"/>
          </w:tcPr>
          <w:p>
            <w:pPr>
              <w:jc w:val="center"/>
              <w:ind w:left="183"/>
              <w:spacing w:after="0"/>
              <w:rPr>
                <w:sz w:val="20"/>
                <w:szCs w:val="20"/>
                <w:color w:val="auto"/>
              </w:rPr>
            </w:pPr>
            <w:r>
              <w:rPr>
                <w:rFonts w:ascii="Arial" w:cs="Arial" w:eastAsia="Arial" w:hAnsi="Arial"/>
                <w:sz w:val="11"/>
                <w:szCs w:val="11"/>
                <w:color w:val="auto"/>
                <w:w w:val="89"/>
              </w:rPr>
              <w:t>Q2'21</w:t>
            </w: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tcPr>
          <w:p>
            <w:pPr>
              <w:jc w:val="center"/>
              <w:ind w:left="323"/>
              <w:spacing w:after="0"/>
              <w:rPr>
                <w:sz w:val="20"/>
                <w:szCs w:val="20"/>
                <w:color w:val="auto"/>
              </w:rPr>
            </w:pPr>
            <w:r>
              <w:rPr>
                <w:rFonts w:ascii="Arial" w:cs="Arial" w:eastAsia="Arial" w:hAnsi="Arial"/>
                <w:sz w:val="11"/>
                <w:szCs w:val="11"/>
                <w:color w:val="auto"/>
                <w:w w:val="90"/>
              </w:rPr>
              <w:t>—</w:t>
            </w:r>
          </w:p>
        </w:tc>
      </w:tr>
      <w:tr>
        <w:trPr>
          <w:trHeight w:val="153"/>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First BLA approval - second indication</w:t>
            </w:r>
          </w:p>
        </w:tc>
        <w:tc>
          <w:tcPr>
            <w:tcW w:w="84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$20.0M</w:t>
            </w:r>
          </w:p>
        </w:tc>
        <w:tc>
          <w:tcPr>
            <w:tcW w:w="158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89"/>
              </w:rPr>
              <w:t>Q3'21</w:t>
            </w: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0"/>
              </w:rPr>
              <w:t>—</w:t>
            </w:r>
          </w:p>
        </w:tc>
        <w:tc>
          <w:tcPr>
            <w:tcW w:w="16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center"/>
              <w:ind w:left="323"/>
              <w:spacing w:after="0"/>
              <w:rPr>
                <w:sz w:val="20"/>
                <w:szCs w:val="20"/>
                <w:color w:val="auto"/>
              </w:rPr>
            </w:pPr>
            <w:r>
              <w:rPr>
                <w:rFonts w:ascii="Arial" w:cs="Arial" w:eastAsia="Arial" w:hAnsi="Arial"/>
                <w:sz w:val="11"/>
                <w:szCs w:val="11"/>
                <w:color w:val="auto"/>
              </w:rPr>
              <w:t>—</w:t>
            </w:r>
          </w:p>
        </w:tc>
        <w:tc>
          <w:tcPr>
            <w:tcW w:w="1560" w:type="dxa"/>
            <w:vAlign w:val="bottom"/>
            <w:shd w:val="clear" w:color="auto" w:fill="CCEEFF"/>
          </w:tcPr>
          <w:p>
            <w:pPr>
              <w:jc w:val="center"/>
              <w:ind w:left="323"/>
              <w:spacing w:after="0"/>
              <w:rPr>
                <w:sz w:val="20"/>
                <w:szCs w:val="20"/>
                <w:color w:val="auto"/>
              </w:rPr>
            </w:pPr>
            <w:r>
              <w:rPr>
                <w:rFonts w:ascii="Arial" w:cs="Arial" w:eastAsia="Arial" w:hAnsi="Arial"/>
                <w:sz w:val="11"/>
                <w:szCs w:val="11"/>
                <w:color w:val="auto"/>
                <w:w w:val="90"/>
              </w:rPr>
              <w:t>—</w:t>
            </w:r>
          </w:p>
        </w:tc>
      </w:tr>
    </w:tbl>
    <w:p>
      <w:pPr>
        <w:spacing w:after="0" w:line="113" w:lineRule="exact"/>
        <w:rPr>
          <w:sz w:val="20"/>
          <w:szCs w:val="20"/>
          <w:color w:val="auto"/>
        </w:rPr>
      </w:pPr>
    </w:p>
    <w:p>
      <w:pPr>
        <w:ind w:left="140" w:hanging="135"/>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Biologics License Application (“BLA”)</w:t>
      </w:r>
    </w:p>
    <w:p>
      <w:pPr>
        <w:spacing w:after="0" w:line="22" w:lineRule="exact"/>
        <w:rPr>
          <w:rFonts w:ascii="Arial" w:cs="Arial" w:eastAsia="Arial" w:hAnsi="Arial"/>
          <w:sz w:val="16"/>
          <w:szCs w:val="16"/>
          <w:color w:val="auto"/>
          <w:vertAlign w:val="superscript"/>
        </w:rPr>
      </w:pPr>
    </w:p>
    <w:p>
      <w:pPr>
        <w:ind w:left="140" w:hanging="135"/>
        <w:spacing w:after="0" w:line="219"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Marketing Authorization Application (“MAA”)</w:t>
      </w:r>
    </w:p>
    <w:p>
      <w:pPr>
        <w:spacing w:after="0" w:line="75"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We recognized $1.0 million in revenue under the GSK Agreement during the three months ended March 31, 2022, and $11.2 million during the three months ended March 31, 2021.</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Contractual milestones that may be recognized in the future under the GSK agreement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Anti-PD-1</w:t>
            </w: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Anti-TIM-3</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9"/>
              </w:rPr>
              <w:t>Anti-LAG-3</w:t>
            </w:r>
          </w:p>
        </w:tc>
      </w:tr>
      <w:tr>
        <w:trPr>
          <w:trHeight w:val="156"/>
        </w:trPr>
        <w:tc>
          <w:tcPr>
            <w:tcW w:w="6200" w:type="dxa"/>
            <w:vAlign w:val="bottom"/>
          </w:tcPr>
          <w:p>
            <w:pPr>
              <w:spacing w:after="0"/>
              <w:rPr>
                <w:sz w:val="13"/>
                <w:szCs w:val="13"/>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(JEMPERLI/Dostarlimab)</w:t>
            </w:r>
          </w:p>
        </w:tc>
        <w:tc>
          <w:tcPr>
            <w:tcW w:w="1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5"/>
              </w:rPr>
              <w:t>(GSK4069889A/Cobolimab)</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(GSK40974386)</w:t>
            </w:r>
          </w:p>
        </w:tc>
      </w:tr>
      <w:tr>
        <w:trPr>
          <w:trHeight w:val="168"/>
        </w:trPr>
        <w:tc>
          <w:tcPr>
            <w:tcW w:w="6200" w:type="dxa"/>
            <w:vAlign w:val="bottom"/>
          </w:tcPr>
          <w:p>
            <w:pPr>
              <w:ind w:left="2660"/>
              <w:spacing w:after="0"/>
              <w:rPr>
                <w:sz w:val="20"/>
                <w:szCs w:val="20"/>
                <w:color w:val="auto"/>
              </w:rPr>
            </w:pPr>
            <w:r>
              <w:rPr>
                <w:rFonts w:ascii="Arial" w:cs="Arial" w:eastAsia="Arial" w:hAnsi="Arial"/>
                <w:sz w:val="13"/>
                <w:szCs w:val="13"/>
                <w:b w:val="1"/>
                <w:bCs w:val="1"/>
                <w:color w:val="auto"/>
              </w:rPr>
              <w:t>Milestone Event</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Amount</w:t>
            </w:r>
          </w:p>
        </w:tc>
        <w:tc>
          <w:tcPr>
            <w:tcW w:w="1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Amount</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9"/>
              </w:rPr>
              <w:t>Amount</w:t>
            </w:r>
          </w:p>
        </w:tc>
      </w:tr>
      <w:tr>
        <w:trPr>
          <w:trHeight w:val="183"/>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 clinical and Development</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$10.0M</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$10.0M</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Regulatory</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$15.0M</w:t>
            </w:r>
          </w:p>
        </w:tc>
        <w:tc>
          <w:tcPr>
            <w:tcW w:w="17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$90.0M</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$90.0M</w:t>
            </w:r>
          </w:p>
        </w:tc>
      </w:tr>
      <w:tr>
        <w:trPr>
          <w:trHeight w:val="181"/>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$165.0M</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$165.0M</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$165.0M</w:t>
            </w:r>
          </w:p>
        </w:tc>
      </w:tr>
      <w:tr>
        <w:trPr>
          <w:trHeight w:val="171"/>
        </w:trPr>
        <w:tc>
          <w:tcPr>
            <w:tcW w:w="6200" w:type="dxa"/>
            <w:vAlign w:val="bottom"/>
          </w:tcPr>
          <w:p>
            <w:pPr>
              <w:ind w:left="20"/>
              <w:spacing w:after="0"/>
              <w:rPr>
                <w:sz w:val="20"/>
                <w:szCs w:val="20"/>
                <w:color w:val="auto"/>
              </w:rPr>
            </w:pPr>
            <w:r>
              <w:rPr>
                <w:rFonts w:ascii="Arial" w:cs="Arial" w:eastAsia="Arial" w:hAnsi="Arial"/>
                <w:sz w:val="14"/>
                <w:szCs w:val="14"/>
                <w:color w:val="auto"/>
              </w:rPr>
              <w:t>Total Contractual Milestones Remaining</w:t>
            </w: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$180.0M</w:t>
            </w:r>
          </w:p>
        </w:tc>
        <w:tc>
          <w:tcPr>
            <w:tcW w:w="10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$265.0M</w:t>
            </w:r>
          </w:p>
        </w:tc>
        <w:tc>
          <w:tcPr>
            <w:tcW w:w="8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$265.0M</w:t>
            </w:r>
          </w:p>
        </w:tc>
      </w:tr>
      <w:tr>
        <w:trPr>
          <w:trHeight w:val="20"/>
        </w:trPr>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Antibody Generation Agreement with Bristol-Myers Squibb</w:t>
      </w:r>
    </w:p>
    <w:p>
      <w:pPr>
        <w:spacing w:after="0" w:line="94"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61" w:lineRule="exact"/>
        <w:rPr>
          <w:sz w:val="20"/>
          <w:szCs w:val="20"/>
          <w:color w:val="auto"/>
        </w:rPr>
      </w:pPr>
    </w:p>
    <w:p>
      <w:pPr>
        <w:ind w:right="300" w:firstLine="382"/>
        <w:spacing w:after="0" w:line="281" w:lineRule="auto"/>
        <w:rPr>
          <w:sz w:val="20"/>
          <w:szCs w:val="20"/>
          <w:color w:val="auto"/>
        </w:rPr>
      </w:pPr>
      <w:r>
        <w:rPr>
          <w:rFonts w:ascii="Arial" w:cs="Arial" w:eastAsia="Arial" w:hAnsi="Arial"/>
          <w:sz w:val="14"/>
          <w:szCs w:val="14"/>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3" w:name="page14"/>
    <w:bookmarkEnd w:id="13"/>
    <w:p>
      <w:pPr>
        <w:ind w:left="380"/>
        <w:spacing w:after="0"/>
        <w:rPr>
          <w:sz w:val="20"/>
          <w:szCs w:val="20"/>
          <w:color w:val="auto"/>
        </w:rPr>
      </w:pPr>
      <w:r>
        <w:rPr>
          <w:rFonts w:ascii="Arial" w:cs="Arial" w:eastAsia="Arial" w:hAnsi="Arial"/>
          <w:sz w:val="14"/>
          <w:szCs w:val="14"/>
          <w:color w:val="auto"/>
        </w:rPr>
        <w:t>There was no revenue recognized under this agreement during the three months ended March 31, 2022 and 2021.</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Sale of Future Royalties</w:t>
      </w:r>
    </w:p>
    <w:p>
      <w:pPr>
        <w:spacing w:after="0" w:line="98" w:lineRule="exact"/>
        <w:rPr>
          <w:sz w:val="20"/>
          <w:szCs w:val="20"/>
          <w:color w:val="auto"/>
        </w:rPr>
      </w:pPr>
    </w:p>
    <w:p>
      <w:pPr>
        <w:ind w:right="120" w:firstLine="350"/>
        <w:spacing w:after="0" w:line="258" w:lineRule="auto"/>
        <w:rPr>
          <w:sz w:val="20"/>
          <w:szCs w:val="20"/>
          <w:color w:val="auto"/>
        </w:rPr>
      </w:pPr>
      <w:r>
        <w:rPr>
          <w:rFonts w:ascii="Arial" w:cs="Arial" w:eastAsia="Arial" w:hAnsi="Arial"/>
          <w:sz w:val="14"/>
          <w:szCs w:val="14"/>
          <w:color w:val="auto"/>
        </w:rPr>
        <w:t>In October 2021, we signed a royalty monetization agreement (“Royalty Monetization Agreement”) with Sagard Healthcare Royalty Partners, LP (“Sagard”). Under the terms of the Royalty Monetization Agreement, we received $250.0 million in exchange for royalties payable to us under our GSK collaboration on annual global net sales of JEMPERLI below $1.0 billion starting in October 2021. The aggregate JEMPERLI royalties and milestones to be received by Sagard under the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Royalty Monetization Agreement will expire resulting in us regaining all subsequent JEMPERLI royalties and milestones. As of March 31, 2022, Sagard has received a total of $0.2 million in royalties and milestones.</w:t>
      </w:r>
    </w:p>
    <w:p>
      <w:pPr>
        <w:spacing w:after="0" w:line="65" w:lineRule="exact"/>
        <w:rPr>
          <w:sz w:val="20"/>
          <w:szCs w:val="20"/>
          <w:color w:val="auto"/>
        </w:rPr>
      </w:pPr>
    </w:p>
    <w:p>
      <w:pPr>
        <w:ind w:right="60" w:firstLine="350"/>
        <w:spacing w:after="0" w:line="304" w:lineRule="auto"/>
        <w:rPr>
          <w:sz w:val="20"/>
          <w:szCs w:val="20"/>
          <w:color w:val="auto"/>
        </w:rPr>
      </w:pPr>
      <w:r>
        <w:rPr>
          <w:rFonts w:ascii="Arial" w:cs="Arial" w:eastAsia="Arial" w:hAnsi="Arial"/>
          <w:sz w:val="12"/>
          <w:szCs w:val="12"/>
          <w:color w:val="auto"/>
        </w:rPr>
        <w:t>The Royalty Monetization Agreement includes a call option pursuant to which at any time after December 1, 2024, we may reacquire our interest in the specified royalties by paying Sagard (in cash) a specified amount described as (a) in the case of a Reacquisition Date that falls within the period from (but excluding) December 1, 2024 to (and including) December 31, 2026, the greater of</w:t>
      </w:r>
    </w:p>
    <w:p>
      <w:pPr>
        <w:ind w:right="40" w:firstLine="5"/>
        <w:spacing w:after="0" w:line="295" w:lineRule="auto"/>
        <w:tabs>
          <w:tab w:leader="none" w:pos="169" w:val="left"/>
        </w:tabs>
        <w:numPr>
          <w:ilvl w:val="0"/>
          <w:numId w:val="6"/>
        </w:numPr>
        <w:rPr>
          <w:rFonts w:ascii="Arial" w:cs="Arial" w:eastAsia="Arial" w:hAnsi="Arial"/>
          <w:sz w:val="12"/>
          <w:szCs w:val="12"/>
          <w:color w:val="auto"/>
        </w:rPr>
      </w:pPr>
      <w:r>
        <w:rPr>
          <w:rFonts w:ascii="Arial" w:cs="Arial" w:eastAsia="Arial" w:hAnsi="Arial"/>
          <w:sz w:val="12"/>
          <w:szCs w:val="12"/>
          <w:color w:val="auto"/>
        </w:rPr>
        <w:t>$312.5 million minus the total Net Amount actually received by Purchaser prior to such Reacquisition Date, and (ii) an amount that, when paid to Sagard on such Reacquisition Date, will generate an internal rate of return (“IRR”) for Sagard of 9.0% over the Relevant Period; (b) in the case of a Reacquisition Date that falls within the period from (and including) January 1, 2027 to (and including) December 31, 2027, the greater of (i) $337.5 million minus the total Net Amount actually received by Purchaser prior to such Reacquisition Date and (ii) an amount that, when paid to Sagard on such Reacquisition Date, will generate an IRR for Sagard of 10% over the Relevant Period; and (c) in the case of a Reacquisition Date that occurs on or after January 1, 2028, the greater of</w:t>
      </w:r>
    </w:p>
    <w:p>
      <w:pPr>
        <w:ind w:right="80" w:firstLine="5"/>
        <w:spacing w:after="0" w:line="266" w:lineRule="auto"/>
        <w:tabs>
          <w:tab w:leader="none" w:pos="169" w:val="left"/>
        </w:tabs>
        <w:numPr>
          <w:ilvl w:val="0"/>
          <w:numId w:val="7"/>
        </w:numPr>
        <w:rPr>
          <w:rFonts w:ascii="Arial" w:cs="Arial" w:eastAsia="Arial" w:hAnsi="Arial"/>
          <w:sz w:val="14"/>
          <w:szCs w:val="14"/>
          <w:color w:val="auto"/>
        </w:rPr>
      </w:pPr>
      <w:r>
        <w:rPr>
          <w:rFonts w:ascii="Arial" w:cs="Arial" w:eastAsia="Arial" w:hAnsi="Arial"/>
          <w:sz w:val="14"/>
          <w:szCs w:val="14"/>
          <w:color w:val="auto"/>
        </w:rPr>
        <w:t>$412.5 million minus the total Net Amount actually received by Purchaser prior to such Reacquisition Date and (ii) an amount that, when paid to Sagard on such Reacquisition Date, will generate an IRR for Sagard of 10% over the Relevant Period.</w:t>
      </w:r>
    </w:p>
    <w:p>
      <w:pPr>
        <w:spacing w:after="0" w:line="57" w:lineRule="exact"/>
        <w:rPr>
          <w:sz w:val="20"/>
          <w:szCs w:val="20"/>
          <w:color w:val="auto"/>
        </w:rPr>
      </w:pPr>
    </w:p>
    <w:p>
      <w:pPr>
        <w:ind w:right="160" w:firstLine="350"/>
        <w:spacing w:after="0" w:line="297" w:lineRule="auto"/>
        <w:rPr>
          <w:sz w:val="20"/>
          <w:szCs w:val="20"/>
          <w:color w:val="auto"/>
        </w:rPr>
      </w:pPr>
      <w:r>
        <w:rPr>
          <w:rFonts w:ascii="Arial" w:cs="Arial" w:eastAsia="Arial" w:hAnsi="Arial"/>
          <w:sz w:val="13"/>
          <w:szCs w:val="13"/>
          <w:color w:val="auto"/>
        </w:rPr>
        <w:t>The proceeds received from Sagard of $250.0 million were recorded as a liability, net of transaction costs of $0.4 million, which will be amortized over the estimated life of the arrangement using the effective interest rate method. Royalty and milestone revenue will be recognized as earned on net sales of JEMPERLI, and we will record the royalty payments to Sagard as a reduction of the liability when paid. As such payments are made to Sagard, the balance of the liability will be effectively repaid over the life of the Royalty Monetization Agreement.</w:t>
      </w:r>
    </w:p>
    <w:p>
      <w:pPr>
        <w:spacing w:after="0" w:line="39" w:lineRule="exact"/>
        <w:rPr>
          <w:sz w:val="20"/>
          <w:szCs w:val="20"/>
          <w:color w:val="auto"/>
        </w:rPr>
      </w:pPr>
    </w:p>
    <w:p>
      <w:pPr>
        <w:ind w:right="20" w:firstLine="350"/>
        <w:spacing w:after="0" w:line="288" w:lineRule="auto"/>
        <w:rPr>
          <w:sz w:val="20"/>
          <w:szCs w:val="20"/>
          <w:color w:val="auto"/>
        </w:rPr>
      </w:pPr>
      <w:r>
        <w:rPr>
          <w:rFonts w:ascii="Arial" w:cs="Arial" w:eastAsia="Arial" w:hAnsi="Arial"/>
          <w:sz w:val="13"/>
          <w:szCs w:val="13"/>
          <w:color w:val="auto"/>
        </w:rPr>
        <w:t>We estimate the effective interest rate used to record non-cash interest expense under the Agreement based on the estimate of future royalty payments to be received by Sagard. As of March 31, 2022, the estimated effective rate under the agreement was 9.1%. Over the life of the arrangement, the actual effective interest rate will be affected by the amount and the timing of the royalty payments received by Sagard and changes in the Company’s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46" w:lineRule="exact"/>
        <w:rPr>
          <w:sz w:val="20"/>
          <w:szCs w:val="20"/>
          <w:color w:val="auto"/>
        </w:rPr>
      </w:pPr>
    </w:p>
    <w:p>
      <w:pPr>
        <w:ind w:right="200" w:firstLine="350"/>
        <w:spacing w:after="0" w:line="281" w:lineRule="auto"/>
        <w:rPr>
          <w:sz w:val="20"/>
          <w:szCs w:val="20"/>
          <w:color w:val="auto"/>
        </w:rPr>
      </w:pPr>
      <w:r>
        <w:rPr>
          <w:rFonts w:ascii="Arial" w:cs="Arial" w:eastAsia="Arial" w:hAnsi="Arial"/>
          <w:sz w:val="14"/>
          <w:szCs w:val="14"/>
          <w:color w:val="auto"/>
        </w:rPr>
        <w:t>We recognized non-cash royalty revenue of approximately $0.3 million and non-cash interest expense of approximately $4.9 million for the three months ended March 31, 2022. The interest and amortization of issuance costs is reflected as non-cash interest expense for the sale of future royalties in the Consolidated Statements of Operations.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shows the activity within the liability account for the three months ended March 31,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4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771"/>
              <w:spacing w:after="0"/>
              <w:rPr>
                <w:sz w:val="20"/>
                <w:szCs w:val="20"/>
                <w:color w:val="auto"/>
              </w:rPr>
            </w:pPr>
            <w:r>
              <w:rPr>
                <w:rFonts w:ascii="Arial" w:cs="Arial" w:eastAsia="Arial" w:hAnsi="Arial"/>
                <w:sz w:val="11"/>
                <w:szCs w:val="11"/>
                <w:b w:val="1"/>
                <w:bCs w:val="1"/>
                <w:color w:val="auto"/>
              </w:rPr>
              <w:t>March 31, 2022</w:t>
            </w:r>
          </w:p>
        </w:tc>
      </w:tr>
      <w:tr>
        <w:trPr>
          <w:trHeight w:val="175"/>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 related to sale of future royalties - beginning balance</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251,093</w:t>
            </w:r>
          </w:p>
        </w:tc>
      </w:tr>
      <w:tr>
        <w:trPr>
          <w:trHeight w:val="180"/>
        </w:trPr>
        <w:tc>
          <w:tcPr>
            <w:tcW w:w="8860" w:type="dxa"/>
            <w:vAlign w:val="bottom"/>
          </w:tcPr>
          <w:p>
            <w:pPr>
              <w:ind w:left="100"/>
              <w:spacing w:after="0"/>
              <w:rPr>
                <w:sz w:val="20"/>
                <w:szCs w:val="20"/>
                <w:color w:val="auto"/>
              </w:rPr>
            </w:pPr>
            <w:r>
              <w:rPr>
                <w:rFonts w:ascii="Arial" w:cs="Arial" w:eastAsia="Arial" w:hAnsi="Arial"/>
                <w:sz w:val="14"/>
                <w:szCs w:val="14"/>
                <w:color w:val="auto"/>
              </w:rPr>
              <w:t>Issuance costs related to the sale of future royalties</w:t>
            </w:r>
          </w:p>
        </w:tc>
        <w:tc>
          <w:tcPr>
            <w:tcW w:w="4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81"/>
        </w:trPr>
        <w:tc>
          <w:tcPr>
            <w:tcW w:w="8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issuance costs</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8860" w:type="dxa"/>
            <w:vAlign w:val="bottom"/>
          </w:tcPr>
          <w:p>
            <w:pPr>
              <w:ind w:left="100"/>
              <w:spacing w:after="0"/>
              <w:rPr>
                <w:sz w:val="20"/>
                <w:szCs w:val="20"/>
                <w:color w:val="auto"/>
              </w:rPr>
            </w:pPr>
            <w:r>
              <w:rPr>
                <w:rFonts w:ascii="Arial" w:cs="Arial" w:eastAsia="Arial" w:hAnsi="Arial"/>
                <w:sz w:val="14"/>
                <w:szCs w:val="14"/>
                <w:color w:val="auto"/>
              </w:rPr>
              <w:t>Royalty payments to Sagard</w:t>
            </w:r>
          </w:p>
        </w:tc>
        <w:tc>
          <w:tcPr>
            <w:tcW w:w="4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180"/>
        </w:trPr>
        <w:tc>
          <w:tcPr>
            <w:tcW w:w="8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interest expense recognized</w:t>
            </w:r>
          </w:p>
        </w:tc>
        <w:tc>
          <w:tcPr>
            <w:tcW w:w="46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4,834</w:t>
            </w:r>
          </w:p>
        </w:tc>
      </w:tr>
      <w:tr>
        <w:trPr>
          <w:trHeight w:val="171"/>
        </w:trPr>
        <w:tc>
          <w:tcPr>
            <w:tcW w:w="8860" w:type="dxa"/>
            <w:vAlign w:val="bottom"/>
          </w:tcPr>
          <w:p>
            <w:pPr>
              <w:ind w:left="20"/>
              <w:spacing w:after="0"/>
              <w:rPr>
                <w:sz w:val="20"/>
                <w:szCs w:val="20"/>
                <w:color w:val="auto"/>
              </w:rPr>
            </w:pPr>
            <w:r>
              <w:rPr>
                <w:rFonts w:ascii="Arial" w:cs="Arial" w:eastAsia="Arial" w:hAnsi="Arial"/>
                <w:sz w:val="14"/>
                <w:szCs w:val="14"/>
                <w:color w:val="auto"/>
              </w:rPr>
              <w:t>Liability related to sale of future royalties - ending balance</w:t>
            </w: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255,584</w:t>
            </w:r>
          </w:p>
        </w:tc>
      </w:tr>
      <w:tr>
        <w:trPr>
          <w:trHeight w:val="20"/>
        </w:trPr>
        <w:tc>
          <w:tcPr>
            <w:tcW w:w="8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4" w:name="page15"/>
    <w:bookmarkEnd w:id="14"/>
    <w:p>
      <w:pPr>
        <w:spacing w:after="0" w:line="43" w:lineRule="exact"/>
        <w:rPr>
          <w:sz w:val="20"/>
          <w:szCs w:val="20"/>
          <w:color w:val="auto"/>
        </w:rPr>
      </w:pPr>
    </w:p>
    <w:p>
      <w:pPr>
        <w:ind w:left="200" w:right="7440" w:hanging="195"/>
        <w:spacing w:after="0" w:line="382" w:lineRule="auto"/>
        <w:tabs>
          <w:tab w:leader="none" w:pos="15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Fair Value Measurements and Available for Sale Investments </w:t>
      </w:r>
      <w:r>
        <w:rPr>
          <w:rFonts w:ascii="Arial" w:cs="Arial" w:eastAsia="Arial" w:hAnsi="Arial"/>
          <w:sz w:val="14"/>
          <w:szCs w:val="14"/>
          <w:b w:val="1"/>
          <w:bCs w:val="1"/>
          <w:i w:val="1"/>
          <w:iCs w:val="1"/>
          <w:color w:val="auto"/>
        </w:rPr>
        <w:t>Fair Value Measurements</w:t>
      </w:r>
    </w:p>
    <w:p>
      <w:pPr>
        <w:spacing w:after="0" w:line="1"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47" w:lineRule="exact"/>
        <w:rPr>
          <w:sz w:val="20"/>
          <w:szCs w:val="20"/>
          <w:color w:val="auto"/>
        </w:rPr>
      </w:pPr>
    </w:p>
    <w:p>
      <w:pPr>
        <w:jc w:val="both"/>
        <w:ind w:right="40" w:firstLine="382"/>
        <w:spacing w:after="0" w:line="267"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1 - Observable inputs that reflect quoted prices (unadjusted) for identical assets or liabilities in active markets.</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3 - Unobservable inputs that are supported by little or no market activities, therefore requiring an entity to develop its own assumptions.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Assets and Liabilities Measured at Fair Value on a Recurring Basis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summarizes our assets and liabilities that require fair value measurements on a recurring basis and their respective input levels based on the fair value hierarchy: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Fair Value Measurements at End of Period Using:</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320"/>
              <w:spacing w:after="0" w:line="116" w:lineRule="exact"/>
              <w:rPr>
                <w:sz w:val="20"/>
                <w:szCs w:val="20"/>
                <w:color w:val="auto"/>
              </w:rPr>
            </w:pPr>
            <w:r>
              <w:rPr>
                <w:rFonts w:ascii="Arial" w:cs="Arial" w:eastAsia="Arial" w:hAnsi="Arial"/>
                <w:sz w:val="11"/>
                <w:szCs w:val="11"/>
                <w:b w:val="1"/>
                <w:bCs w:val="1"/>
                <w:color w:val="auto"/>
                <w:w w:val="96"/>
              </w:rPr>
              <w:t>Quoted Market</w:t>
            </w:r>
          </w:p>
        </w:tc>
        <w:tc>
          <w:tcPr>
            <w:tcW w:w="200" w:type="dxa"/>
            <w:vAlign w:val="bottom"/>
          </w:tcPr>
          <w:p>
            <w:pPr>
              <w:spacing w:after="0"/>
              <w:rPr>
                <w:sz w:val="10"/>
                <w:szCs w:val="10"/>
                <w:color w:val="auto"/>
              </w:rPr>
            </w:pPr>
          </w:p>
        </w:tc>
        <w:tc>
          <w:tcPr>
            <w:tcW w:w="1400" w:type="dxa"/>
            <w:vAlign w:val="bottom"/>
            <w:gridSpan w:val="2"/>
          </w:tcPr>
          <w:p>
            <w:pPr>
              <w:jc w:val="center"/>
              <w:ind w:right="300"/>
              <w:spacing w:after="0" w:line="116" w:lineRule="exact"/>
              <w:rPr>
                <w:sz w:val="20"/>
                <w:szCs w:val="20"/>
                <w:color w:val="auto"/>
              </w:rPr>
            </w:pPr>
            <w:r>
              <w:rPr>
                <w:rFonts w:ascii="Arial" w:cs="Arial" w:eastAsia="Arial" w:hAnsi="Arial"/>
                <w:sz w:val="11"/>
                <w:szCs w:val="11"/>
                <w:b w:val="1"/>
                <w:bCs w:val="1"/>
                <w:color w:val="auto"/>
                <w:w w:val="95"/>
              </w:rPr>
              <w:t>Significant</w:t>
            </w:r>
          </w:p>
        </w:tc>
        <w:tc>
          <w:tcPr>
            <w:tcW w:w="260" w:type="dxa"/>
            <w:vAlign w:val="bottom"/>
          </w:tcPr>
          <w:p>
            <w:pPr>
              <w:spacing w:after="0"/>
              <w:rPr>
                <w:sz w:val="10"/>
                <w:szCs w:val="10"/>
                <w:color w:val="auto"/>
              </w:rPr>
            </w:pPr>
          </w:p>
        </w:tc>
        <w:tc>
          <w:tcPr>
            <w:tcW w:w="1240" w:type="dxa"/>
            <w:vAlign w:val="bottom"/>
          </w:tcPr>
          <w:p>
            <w:pPr>
              <w:jc w:val="center"/>
              <w:ind w:right="173"/>
              <w:spacing w:after="0" w:line="116"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60" w:type="dxa"/>
            <w:vAlign w:val="bottom"/>
            <w:vMerge w:val="restart"/>
          </w:tcPr>
          <w:p>
            <w:pPr>
              <w:jc w:val="right"/>
              <w:ind w:right="16"/>
              <w:spacing w:after="0"/>
              <w:rPr>
                <w:sz w:val="20"/>
                <w:szCs w:val="20"/>
                <w:color w:val="auto"/>
              </w:rPr>
            </w:pPr>
            <w:r>
              <w:rPr>
                <w:rFonts w:ascii="Arial" w:cs="Arial" w:eastAsia="Arial" w:hAnsi="Arial"/>
                <w:sz w:val="11"/>
                <w:szCs w:val="11"/>
                <w:b w:val="1"/>
                <w:bCs w:val="1"/>
                <w:color w:val="auto"/>
              </w:rPr>
              <w:t>Fair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Prices for</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Other Observable</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0"/>
              </w:rPr>
              <w:t>Unobservable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9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thousands)</w:t>
            </w:r>
          </w:p>
        </w:tc>
        <w:tc>
          <w:tcPr>
            <w:tcW w:w="9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tcPr>
          <w:p>
            <w:pPr>
              <w:jc w:val="center"/>
              <w:ind w:right="320"/>
              <w:spacing w:after="0" w:line="113" w:lineRule="exact"/>
              <w:rPr>
                <w:sz w:val="20"/>
                <w:szCs w:val="20"/>
                <w:color w:val="auto"/>
              </w:rPr>
            </w:pPr>
            <w:r>
              <w:rPr>
                <w:rFonts w:ascii="Arial" w:cs="Arial" w:eastAsia="Arial" w:hAnsi="Arial"/>
                <w:sz w:val="11"/>
                <w:szCs w:val="11"/>
                <w:b w:val="1"/>
                <w:bCs w:val="1"/>
                <w:color w:val="auto"/>
                <w:w w:val="88"/>
              </w:rPr>
              <w:t>Identical Assets</w:t>
            </w:r>
          </w:p>
        </w:tc>
        <w:tc>
          <w:tcPr>
            <w:tcW w:w="200" w:type="dxa"/>
            <w:vAlign w:val="bottom"/>
          </w:tcPr>
          <w:p>
            <w:pPr>
              <w:spacing w:after="0"/>
              <w:rPr>
                <w:sz w:val="9"/>
                <w:szCs w:val="9"/>
                <w:color w:val="auto"/>
              </w:rPr>
            </w:pPr>
          </w:p>
        </w:tc>
        <w:tc>
          <w:tcPr>
            <w:tcW w:w="1400" w:type="dxa"/>
            <w:vAlign w:val="bottom"/>
            <w:gridSpan w:val="2"/>
          </w:tcPr>
          <w:p>
            <w:pPr>
              <w:jc w:val="center"/>
              <w:ind w:right="300"/>
              <w:spacing w:after="0" w:line="113" w:lineRule="exact"/>
              <w:rPr>
                <w:sz w:val="20"/>
                <w:szCs w:val="20"/>
                <w:color w:val="auto"/>
              </w:rPr>
            </w:pPr>
            <w:r>
              <w:rPr>
                <w:rFonts w:ascii="Arial" w:cs="Arial" w:eastAsia="Arial" w:hAnsi="Arial"/>
                <w:sz w:val="11"/>
                <w:szCs w:val="11"/>
                <w:b w:val="1"/>
                <w:bCs w:val="1"/>
                <w:color w:val="auto"/>
                <w:w w:val="90"/>
              </w:rPr>
              <w:t>Inputs</w:t>
            </w:r>
          </w:p>
        </w:tc>
        <w:tc>
          <w:tcPr>
            <w:tcW w:w="260" w:type="dxa"/>
            <w:vAlign w:val="bottom"/>
          </w:tcPr>
          <w:p>
            <w:pPr>
              <w:spacing w:after="0"/>
              <w:rPr>
                <w:sz w:val="9"/>
                <w:szCs w:val="9"/>
                <w:color w:val="auto"/>
              </w:rPr>
            </w:pPr>
          </w:p>
        </w:tc>
        <w:tc>
          <w:tcPr>
            <w:tcW w:w="1240" w:type="dxa"/>
            <w:vAlign w:val="bottom"/>
          </w:tcPr>
          <w:p>
            <w:pPr>
              <w:jc w:val="center"/>
              <w:ind w:right="193"/>
              <w:spacing w:after="0" w:line="113"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gridSpan w:val="3"/>
            <w:vMerge w:val="continue"/>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(Level 1)</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2)</w:t>
            </w:r>
          </w:p>
        </w:tc>
        <w:tc>
          <w:tcPr>
            <w:tcW w:w="26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45"/>
        </w:trPr>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120" w:type="dxa"/>
            <w:vAlign w:val="bottom"/>
            <w:tcBorders>
              <w:top w:val="single" w:sz="8" w:color="CFF0FC"/>
              <w:bottom w:val="single" w:sz="8" w:color="auto"/>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w w:val="92"/>
              </w:rPr>
              <w:t>At March 31, 2022</w:t>
            </w:r>
          </w:p>
        </w:tc>
        <w:tc>
          <w:tcPr>
            <w:tcW w:w="378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960" w:type="dxa"/>
            <w:vAlign w:val="bottom"/>
            <w:tcBorders>
              <w:top w:val="single" w:sz="8" w:color="auto"/>
              <w:bottom w:val="single" w:sz="8" w:color="CFF0FC"/>
            </w:tcBorders>
            <w:shd w:val="clear" w:color="auto" w:fill="CFF0FC"/>
          </w:tcPr>
          <w:p>
            <w:pPr>
              <w:spacing w:after="0"/>
              <w:rPr>
                <w:sz w:val="12"/>
                <w:szCs w:val="12"/>
                <w:color w:val="auto"/>
              </w:rPr>
            </w:pPr>
          </w:p>
        </w:tc>
        <w:tc>
          <w:tcPr>
            <w:tcW w:w="560" w:type="dxa"/>
            <w:vAlign w:val="bottom"/>
            <w:tcBorders>
              <w:top w:val="single" w:sz="8" w:color="auto"/>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CFF0FC"/>
            </w:tcBorders>
            <w:shd w:val="clear" w:color="auto" w:fill="CFF0FC"/>
          </w:tcPr>
          <w:p>
            <w:pPr>
              <w:spacing w:after="0"/>
              <w:rPr>
                <w:sz w:val="12"/>
                <w:szCs w:val="12"/>
                <w:color w:val="auto"/>
              </w:rPr>
            </w:pPr>
          </w:p>
        </w:tc>
        <w:tc>
          <w:tcPr>
            <w:tcW w:w="1280" w:type="dxa"/>
            <w:vAlign w:val="bottom"/>
            <w:tcBorders>
              <w:top w:val="single" w:sz="8" w:color="auto"/>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CFF0FC"/>
            </w:tcBorders>
            <w:shd w:val="clear" w:color="auto" w:fill="CFF0FC"/>
          </w:tcPr>
          <w:p>
            <w:pPr>
              <w:spacing w:after="0"/>
              <w:rPr>
                <w:sz w:val="12"/>
                <w:szCs w:val="12"/>
                <w:color w:val="auto"/>
              </w:rPr>
            </w:pPr>
          </w:p>
        </w:tc>
        <w:tc>
          <w:tcPr>
            <w:tcW w:w="1300" w:type="dxa"/>
            <w:vAlign w:val="bottom"/>
            <w:tcBorders>
              <w:top w:val="single" w:sz="8" w:color="auto"/>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CFF0FC"/>
            </w:tcBorders>
            <w:shd w:val="clear" w:color="auto" w:fill="CFF0FC"/>
          </w:tcPr>
          <w:p>
            <w:pPr>
              <w:spacing w:after="0"/>
              <w:rPr>
                <w:sz w:val="12"/>
                <w:szCs w:val="12"/>
                <w:color w:val="auto"/>
              </w:rPr>
            </w:pPr>
          </w:p>
        </w:tc>
        <w:tc>
          <w:tcPr>
            <w:tcW w:w="1240" w:type="dxa"/>
            <w:vAlign w:val="bottom"/>
            <w:tcBorders>
              <w:top w:val="single" w:sz="8" w:color="auto"/>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gridSpan w:val="3"/>
          </w:tcPr>
          <w:p>
            <w:pPr>
              <w:spacing w:after="0" w:line="191" w:lineRule="exact"/>
              <w:rPr>
                <w:sz w:val="20"/>
                <w:szCs w:val="20"/>
                <w:color w:val="auto"/>
              </w:rPr>
            </w:pPr>
            <w:r>
              <w:rPr>
                <w:rFonts w:ascii="Arial" w:cs="Arial" w:eastAsia="Arial" w:hAnsi="Arial"/>
                <w:sz w:val="14"/>
                <w:szCs w:val="14"/>
                <w:color w:val="auto"/>
              </w:rPr>
              <w:t>Money market funds</w:t>
            </w:r>
            <w:r>
              <w:rPr>
                <w:rFonts w:ascii="Arial" w:cs="Arial" w:eastAsia="Arial" w:hAnsi="Arial"/>
                <w:sz w:val="18"/>
                <w:szCs w:val="18"/>
                <w:color w:val="auto"/>
                <w:vertAlign w:val="superscript"/>
              </w:rPr>
              <w:t>(1)</w:t>
            </w:r>
          </w:p>
        </w:tc>
        <w:tc>
          <w:tcPr>
            <w:tcW w:w="960" w:type="dxa"/>
            <w:vAlign w:val="bottom"/>
          </w:tcPr>
          <w:p>
            <w:pPr>
              <w:jc w:val="right"/>
              <w:ind w:right="796"/>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132,942</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132,942</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shd w:val="clear" w:color="auto" w:fill="CFF0FC"/>
          </w:tcPr>
          <w:p>
            <w:pPr>
              <w:spacing w:after="0"/>
              <w:rPr>
                <w:sz w:val="16"/>
                <w:szCs w:val="16"/>
                <w:color w:val="auto"/>
              </w:rPr>
            </w:pPr>
          </w:p>
        </w:tc>
        <w:tc>
          <w:tcPr>
            <w:tcW w:w="4900" w:type="dxa"/>
            <w:vAlign w:val="bottom"/>
            <w:gridSpan w:val="3"/>
            <w:shd w:val="clear" w:color="auto" w:fill="CFF0FC"/>
          </w:tcPr>
          <w:p>
            <w:pPr>
              <w:spacing w:after="0" w:line="191" w:lineRule="exact"/>
              <w:rPr>
                <w:sz w:val="20"/>
                <w:szCs w:val="20"/>
                <w:color w:val="auto"/>
              </w:rPr>
            </w:pPr>
            <w:r>
              <w:rPr>
                <w:rFonts w:ascii="Arial" w:cs="Arial" w:eastAsia="Arial" w:hAnsi="Arial"/>
                <w:sz w:val="14"/>
                <w:szCs w:val="14"/>
                <w:color w:val="auto"/>
              </w:rPr>
              <w:t>Mutual funds</w:t>
            </w:r>
            <w:r>
              <w:rPr>
                <w:rFonts w:ascii="Arial" w:cs="Arial" w:eastAsia="Arial" w:hAnsi="Arial"/>
                <w:sz w:val="18"/>
                <w:szCs w:val="18"/>
                <w:color w:val="auto"/>
                <w:vertAlign w:val="superscript"/>
              </w:rPr>
              <w:t>(1)</w:t>
            </w:r>
          </w:p>
        </w:tc>
        <w:tc>
          <w:tcPr>
            <w:tcW w:w="9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34,437</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34,437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gridSpan w:val="3"/>
          </w:tcPr>
          <w:p>
            <w:pPr>
              <w:spacing w:after="0" w:line="19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(2)</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376,445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376,445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shd w:val="clear" w:color="auto" w:fill="CFF0FC"/>
          </w:tcPr>
          <w:p>
            <w:pPr>
              <w:spacing w:after="0"/>
              <w:rPr>
                <w:sz w:val="16"/>
                <w:szCs w:val="16"/>
                <w:color w:val="auto"/>
              </w:rPr>
            </w:pPr>
          </w:p>
        </w:tc>
        <w:tc>
          <w:tcPr>
            <w:tcW w:w="4900" w:type="dxa"/>
            <w:vAlign w:val="bottom"/>
            <w:gridSpan w:val="3"/>
            <w:shd w:val="clear" w:color="auto" w:fill="CFF0FC"/>
          </w:tcPr>
          <w:p>
            <w:pPr>
              <w:spacing w:after="0" w:line="19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gridSpan w:val="3"/>
          </w:tcPr>
          <w:p>
            <w:pPr>
              <w:spacing w:after="0" w:line="191"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(2)</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26,110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shd w:val="clear" w:color="auto" w:fill="CFF0FC"/>
          </w:tcPr>
          <w:p>
            <w:pPr>
              <w:spacing w:after="0"/>
              <w:rPr>
                <w:sz w:val="16"/>
                <w:szCs w:val="16"/>
                <w:color w:val="auto"/>
              </w:rPr>
            </w:pPr>
          </w:p>
        </w:tc>
        <w:tc>
          <w:tcPr>
            <w:tcW w:w="4900" w:type="dxa"/>
            <w:vAlign w:val="bottom"/>
            <w:gridSpan w:val="3"/>
            <w:shd w:val="clear" w:color="auto" w:fill="CFF0FC"/>
          </w:tcPr>
          <w:p>
            <w:pPr>
              <w:spacing w:after="0" w:line="19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24,570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24,570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December 31, 2021</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1320" w:type="dxa"/>
            <w:vAlign w:val="bottom"/>
            <w:tcBorders>
              <w:top w:val="single" w:sz="8" w:color="auto"/>
            </w:tcBorders>
            <w:gridSpan w:val="2"/>
            <w:shd w:val="clear" w:color="auto" w:fill="CFF0FC"/>
          </w:tcPr>
          <w:p>
            <w:pPr>
              <w:spacing w:after="0" w:line="197" w:lineRule="exact"/>
              <w:rPr>
                <w:sz w:val="20"/>
                <w:szCs w:val="20"/>
                <w:color w:val="auto"/>
              </w:rPr>
            </w:pPr>
            <w:r>
              <w:rPr>
                <w:rFonts w:ascii="Arial" w:cs="Arial" w:eastAsia="Arial" w:hAnsi="Arial"/>
                <w:sz w:val="14"/>
                <w:szCs w:val="14"/>
                <w:color w:val="auto"/>
                <w:w w:val="91"/>
              </w:rPr>
              <w:t>Money market funds</w:t>
            </w:r>
            <w:r>
              <w:rPr>
                <w:rFonts w:ascii="Arial" w:cs="Arial" w:eastAsia="Arial" w:hAnsi="Arial"/>
                <w:sz w:val="18"/>
                <w:szCs w:val="18"/>
                <w:color w:val="auto"/>
                <w:w w:val="91"/>
                <w:vertAlign w:val="superscript"/>
              </w:rPr>
              <w:t>(1)</w:t>
            </w:r>
          </w:p>
        </w:tc>
        <w:tc>
          <w:tcPr>
            <w:tcW w:w="35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6"/>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445,647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445,647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gridSpan w:val="3"/>
          </w:tcPr>
          <w:p>
            <w:pPr>
              <w:spacing w:after="0" w:line="191" w:lineRule="exact"/>
              <w:rPr>
                <w:sz w:val="20"/>
                <w:szCs w:val="20"/>
                <w:color w:val="auto"/>
              </w:rPr>
            </w:pPr>
            <w:r>
              <w:rPr>
                <w:rFonts w:ascii="Arial" w:cs="Arial" w:eastAsia="Arial" w:hAnsi="Arial"/>
                <w:sz w:val="14"/>
                <w:szCs w:val="14"/>
                <w:color w:val="auto"/>
              </w:rPr>
              <w:t>Mutual funds</w:t>
            </w:r>
            <w:r>
              <w:rPr>
                <w:rFonts w:ascii="Arial" w:cs="Arial" w:eastAsia="Arial" w:hAnsi="Arial"/>
                <w:sz w:val="18"/>
                <w:szCs w:val="18"/>
                <w:color w:val="auto"/>
                <w:vertAlign w:val="superscript"/>
              </w:rPr>
              <w:t>(1)</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shd w:val="clear" w:color="auto" w:fill="CFF0FC"/>
          </w:tcPr>
          <w:p>
            <w:pPr>
              <w:spacing w:after="0"/>
              <w:rPr>
                <w:sz w:val="16"/>
                <w:szCs w:val="16"/>
                <w:color w:val="auto"/>
              </w:rPr>
            </w:pPr>
          </w:p>
        </w:tc>
        <w:tc>
          <w:tcPr>
            <w:tcW w:w="4900" w:type="dxa"/>
            <w:vAlign w:val="bottom"/>
            <w:gridSpan w:val="3"/>
            <w:shd w:val="clear" w:color="auto" w:fill="CFF0FC"/>
          </w:tcPr>
          <w:p>
            <w:pPr>
              <w:spacing w:after="0" w:line="19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87,831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87,831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gridSpan w:val="3"/>
          </w:tcPr>
          <w:p>
            <w:pPr>
              <w:spacing w:after="0" w:line="19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4900" w:type="dxa"/>
            <w:vAlign w:val="bottom"/>
            <w:gridSpan w:val="3"/>
            <w:shd w:val="clear" w:color="auto" w:fill="CFF0FC"/>
          </w:tcPr>
          <w:p>
            <w:pPr>
              <w:ind w:left="20"/>
              <w:spacing w:after="0" w:line="181"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(2)</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20" w:hanging="183"/>
        <w:spacing w:after="0"/>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Included in cash and cash equivalents in the accompanying consolidated balance sheets.</w:t>
      </w:r>
    </w:p>
    <w:p>
      <w:pPr>
        <w:spacing w:after="0" w:line="22" w:lineRule="exact"/>
        <w:rPr>
          <w:rFonts w:ascii="Arial" w:cs="Arial" w:eastAsia="Arial" w:hAnsi="Arial"/>
          <w:sz w:val="18"/>
          <w:szCs w:val="18"/>
          <w:color w:val="auto"/>
          <w:vertAlign w:val="superscript"/>
        </w:rPr>
      </w:pPr>
    </w:p>
    <w:p>
      <w:pPr>
        <w:ind w:left="240" w:hanging="203"/>
        <w:spacing w:after="0" w:line="194"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Included in short-term or long-term investments in the accompanying consolidated balance sheets depending on the respective maturity date.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methods and assumptions were used to estimate the fair value of our financial instruments for which it is practicable to estimate that value:</w:t>
      </w:r>
    </w:p>
    <w:p>
      <w:pPr>
        <w:spacing w:after="0" w:line="94"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i w:val="1"/>
          <w:iCs w:val="1"/>
          <w:color w:val="auto"/>
        </w:rPr>
        <w:t xml:space="preserve">Marketable Securities. </w:t>
      </w:r>
      <w:r>
        <w:rPr>
          <w:rFonts w:ascii="Arial" w:cs="Arial" w:eastAsia="Arial" w:hAnsi="Arial"/>
          <w:sz w:val="14"/>
          <w:szCs w:val="14"/>
          <w:color w:val="auto"/>
        </w:rPr>
        <w:t>For fair values determined by Level 1 inputs, which utilize quoted prices in active markets for identical assets, the level of judgment required to estimate fair value is</w:t>
      </w:r>
      <w:r>
        <w:rPr>
          <w:rFonts w:ascii="Arial" w:cs="Arial" w:eastAsia="Arial" w:hAnsi="Arial"/>
          <w:sz w:val="14"/>
          <w:szCs w:val="14"/>
          <w:i w:val="1"/>
          <w:iCs w:val="1"/>
          <w:color w:val="auto"/>
        </w:rPr>
        <w:t xml:space="preserve"> </w:t>
      </w:r>
      <w:r>
        <w:rPr>
          <w:rFonts w:ascii="Arial" w:cs="Arial" w:eastAsia="Arial" w:hAnsi="Arial"/>
          <w:sz w:val="14"/>
          <w:szCs w:val="14"/>
          <w:color w:val="auto"/>
        </w:rPr>
        <w:t>relatively low. For fair values determined by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inputs, which utilize quoted prices in less active markets for similar assets, the level of judgment required to estimate fair value is also considered relatively low.</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of Other Financial Instruments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carrying amounts of certain of our financial instruments, including cash and cash equivalents, accounts payable, and accrued expenses approximate fair value due to their short-term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nature.</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Available for Sale Investments</w:t>
      </w:r>
    </w:p>
    <w:p>
      <w:pPr>
        <w:spacing w:after="0" w:line="94"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We invest our excess cash in agency securities, debt instruments of financial institutions and corporations, commercial obligations, and U.S. Treasury securities, which we classify as available for sale investments. These investments are carried at fair value and are included in the tables above. The aggregate market value, cost basis, and gross unrealized gains and losses of available for sale investments by security type, classified in cash equivalents, short-term and long-term investments as of March 31, 2022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Amortized</w:t>
            </w:r>
          </w:p>
        </w:tc>
        <w:tc>
          <w:tcPr>
            <w:tcW w:w="20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Gross</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280" w:type="dxa"/>
            <w:vAlign w:val="bottom"/>
          </w:tcPr>
          <w:p>
            <w:pPr>
              <w:spacing w:after="0"/>
              <w:rPr>
                <w:sz w:val="10"/>
                <w:szCs w:val="10"/>
                <w:color w:val="auto"/>
              </w:rPr>
            </w:pPr>
          </w:p>
        </w:tc>
        <w:tc>
          <w:tcPr>
            <w:tcW w:w="1140" w:type="dxa"/>
            <w:vAlign w:val="bottom"/>
          </w:tcPr>
          <w:p>
            <w:pPr>
              <w:jc w:val="right"/>
              <w:ind w:right="51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Cost</w:t>
            </w:r>
          </w:p>
        </w:tc>
        <w:tc>
          <w:tcPr>
            <w:tcW w:w="20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Unrealized Gains</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Unrealized Losses</w:t>
            </w:r>
          </w:p>
        </w:tc>
        <w:tc>
          <w:tcPr>
            <w:tcW w:w="280" w:type="dxa"/>
            <w:vAlign w:val="bottom"/>
          </w:tcPr>
          <w:p>
            <w:pPr>
              <w:spacing w:after="0"/>
              <w:rPr>
                <w:sz w:val="12"/>
                <w:szCs w:val="12"/>
                <w:color w:val="auto"/>
              </w:rPr>
            </w:pPr>
          </w:p>
        </w:tc>
        <w:tc>
          <w:tcPr>
            <w:tcW w:w="1140" w:type="dxa"/>
            <w:vAlign w:val="bottom"/>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2"/>
        </w:trPr>
        <w:tc>
          <w:tcPr>
            <w:tcW w:w="530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26,431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26,110</w:t>
            </w: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24,570</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(4)</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377,956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376,445</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available for sale investments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432,630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430,404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-26035</wp:posOffset>
            </wp:positionV>
            <wp:extent cx="603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-26035</wp:posOffset>
            </wp:positionV>
            <wp:extent cx="603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433197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31970" cy="698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-147320</wp:posOffset>
            </wp:positionV>
            <wp:extent cx="603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-147320</wp:posOffset>
            </wp:positionV>
            <wp:extent cx="603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331970" cy="121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31970" cy="121285"/>
                    </a:xfrm>
                    <a:prstGeom prst="rect">
                      <a:avLst/>
                    </a:prstGeom>
                    <a:noFill/>
                  </pic:spPr>
                </pic:pic>
              </a:graphicData>
            </a:graphic>
          </wp:anchor>
        </w:drawing>
      </w:r>
    </w:p>
    <w:p>
      <w:pPr>
        <w:spacing w:after="0" w:line="38" w:lineRule="exact"/>
        <w:rPr>
          <w:sz w:val="20"/>
          <w:szCs w:val="20"/>
          <w:color w:val="auto"/>
        </w:rPr>
      </w:pPr>
    </w:p>
    <w:p>
      <w:pPr>
        <w:ind w:left="220" w:hanging="183"/>
        <w:spacing w:after="0"/>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Of our outstanding agency securities $6.0 million have maturity dates of less than one year and $20.1 million have maturity dates between one to two years as of March 31, 2022.</w:t>
      </w:r>
    </w:p>
    <w:p>
      <w:pPr>
        <w:spacing w:after="0" w:line="33" w:lineRule="exact"/>
        <w:rPr>
          <w:rFonts w:ascii="Arial" w:cs="Arial" w:eastAsia="Arial" w:hAnsi="Arial"/>
          <w:sz w:val="18"/>
          <w:szCs w:val="18"/>
          <w:color w:val="auto"/>
          <w:vertAlign w:val="superscript"/>
        </w:rPr>
      </w:pPr>
    </w:p>
    <w:p>
      <w:pPr>
        <w:ind w:left="240" w:hanging="203"/>
        <w:spacing w:after="0" w:line="206" w:lineRule="auto"/>
        <w:tabs>
          <w:tab w:leader="none" w:pos="24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Of our outstanding certificates of deposit, $1.6 million have maturity dates of less than one year and $1.7 million have a maturity date of between one to two years as of March 31, 2022.</w:t>
      </w:r>
    </w:p>
    <w:p>
      <w:pPr>
        <w:spacing w:after="0" w:line="23" w:lineRule="exact"/>
        <w:rPr>
          <w:rFonts w:ascii="Arial" w:cs="Arial" w:eastAsia="Arial" w:hAnsi="Arial"/>
          <w:sz w:val="17"/>
          <w:szCs w:val="17"/>
          <w:color w:val="auto"/>
          <w:vertAlign w:val="superscript"/>
        </w:rPr>
      </w:pPr>
    </w:p>
    <w:p>
      <w:pPr>
        <w:ind w:left="360" w:right="540" w:hanging="323"/>
        <w:spacing w:after="0" w:line="220" w:lineRule="auto"/>
        <w:tabs>
          <w:tab w:leader="none" w:pos="27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Of our outstanding commercial and corporate obligations $4.1 million have maturity dates of less than one year and $20.5 million have a maturity date of between one to two years as of March 31, 2022.</w:t>
      </w:r>
    </w:p>
    <w:p>
      <w:pPr>
        <w:spacing w:after="0" w:line="6" w:lineRule="exact"/>
        <w:rPr>
          <w:rFonts w:ascii="Arial" w:cs="Arial" w:eastAsia="Arial" w:hAnsi="Arial"/>
          <w:sz w:val="18"/>
          <w:szCs w:val="18"/>
          <w:color w:val="auto"/>
          <w:vertAlign w:val="superscript"/>
        </w:rPr>
      </w:pPr>
    </w:p>
    <w:p>
      <w:pPr>
        <w:ind w:left="220" w:hanging="183"/>
        <w:spacing w:after="0"/>
        <w:tabs>
          <w:tab w:leader="none" w:pos="22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Of our outstanding U.S. Treasury securities $327.6 million have maturity dates of less than one year and $48.9 million have a maturity date of between one to two years as of March 31, 2022.</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aggregate market value, cost basis, and gross unrealized gains and losses of available for sale investments by security type, classified in short-term and long-term investments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Amortized</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Gross</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280" w:type="dxa"/>
            <w:vAlign w:val="bottom"/>
          </w:tcPr>
          <w:p>
            <w:pPr>
              <w:spacing w:after="0"/>
              <w:rPr>
                <w:sz w:val="10"/>
                <w:szCs w:val="10"/>
                <w:color w:val="auto"/>
              </w:rPr>
            </w:pPr>
          </w:p>
        </w:tc>
        <w:tc>
          <w:tcPr>
            <w:tcW w:w="1160" w:type="dxa"/>
            <w:vAlign w:val="bottom"/>
          </w:tcPr>
          <w:p>
            <w:pPr>
              <w:jc w:val="right"/>
              <w:ind w:right="5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52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Unrealized Gains</w:t>
            </w:r>
          </w:p>
        </w:tc>
        <w:tc>
          <w:tcPr>
            <w:tcW w:w="18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Unrealized Losses</w:t>
            </w:r>
          </w:p>
        </w:tc>
        <w:tc>
          <w:tcPr>
            <w:tcW w:w="280" w:type="dxa"/>
            <w:vAlign w:val="bottom"/>
          </w:tcPr>
          <w:p>
            <w:pPr>
              <w:spacing w:after="0"/>
              <w:rPr>
                <w:sz w:val="12"/>
                <w:szCs w:val="12"/>
                <w:color w:val="auto"/>
              </w:rPr>
            </w:pPr>
          </w:p>
        </w:tc>
        <w:tc>
          <w:tcPr>
            <w:tcW w:w="1160" w:type="dxa"/>
            <w:vAlign w:val="bottom"/>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2"/>
        </w:trPr>
        <w:tc>
          <w:tcPr>
            <w:tcW w:w="524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5,821</w:t>
            </w: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5,814</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line="18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3,766</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(3)</w:t>
            </w: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22,094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22,054</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line="18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(4)</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87,995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87,831</w:t>
            </w: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available for sale investments</w:t>
            </w:r>
          </w:p>
        </w:tc>
        <w:tc>
          <w:tcPr>
            <w:tcW w:w="28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119,680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119,465</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-147320</wp:posOffset>
            </wp:positionV>
            <wp:extent cx="603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-147320</wp:posOffset>
            </wp:positionV>
            <wp:extent cx="603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298315" cy="121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98315" cy="121285"/>
                    </a:xfrm>
                    <a:prstGeom prst="rect">
                      <a:avLst/>
                    </a:prstGeom>
                    <a:noFill/>
                  </pic:spPr>
                </pic:pic>
              </a:graphicData>
            </a:graphic>
          </wp:anchor>
        </w:drawing>
      </w:r>
    </w:p>
    <w:p>
      <w:pPr>
        <w:spacing w:after="0" w:line="49" w:lineRule="exact"/>
        <w:rPr>
          <w:sz w:val="20"/>
          <w:szCs w:val="20"/>
          <w:color w:val="auto"/>
        </w:rPr>
      </w:pPr>
    </w:p>
    <w:p>
      <w:pPr>
        <w:ind w:left="280" w:hanging="243"/>
        <w:spacing w:after="0"/>
        <w:tabs>
          <w:tab w:leader="none" w:pos="28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Of our outstanding agency securities, $1.0 million have maturity dates of less than one year and $4.8 million have a maturity date of between one to two years as of December 31, 2021.</w:t>
      </w:r>
    </w:p>
    <w:p>
      <w:pPr>
        <w:spacing w:after="0" w:line="33" w:lineRule="exact"/>
        <w:rPr>
          <w:rFonts w:ascii="Arial" w:cs="Arial" w:eastAsia="Arial" w:hAnsi="Arial"/>
          <w:sz w:val="17"/>
          <w:szCs w:val="17"/>
          <w:color w:val="auto"/>
          <w:vertAlign w:val="superscript"/>
        </w:rPr>
      </w:pPr>
    </w:p>
    <w:p>
      <w:pPr>
        <w:ind w:left="260" w:hanging="223"/>
        <w:spacing w:after="0" w:line="206" w:lineRule="auto"/>
        <w:tabs>
          <w:tab w:leader="none" w:pos="26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Of our outstanding certificates of deposit, $1.3 million have a maturity date of less than one year and $2.5 million have a maturity date of between one to two years as of December 31, 2021.</w:t>
      </w:r>
    </w:p>
    <w:p>
      <w:pPr>
        <w:spacing w:after="0" w:line="33" w:lineRule="exact"/>
        <w:rPr>
          <w:rFonts w:ascii="Arial" w:cs="Arial" w:eastAsia="Arial" w:hAnsi="Arial"/>
          <w:sz w:val="17"/>
          <w:szCs w:val="17"/>
          <w:color w:val="auto"/>
          <w:vertAlign w:val="superscript"/>
        </w:rPr>
      </w:pPr>
    </w:p>
    <w:p>
      <w:pPr>
        <w:ind w:left="360" w:right="460" w:hanging="323"/>
        <w:spacing w:after="0" w:line="220" w:lineRule="auto"/>
        <w:tabs>
          <w:tab w:leader="none" w:pos="325"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Of our outstanding commercial and corporate obligations, $4.8 million have maturity dates of less than one year and $17.3 million have a maturity date of between one to two years as of December 31, 2021.</w:t>
      </w:r>
    </w:p>
    <w:p>
      <w:pPr>
        <w:spacing w:after="0" w:line="11" w:lineRule="exact"/>
        <w:rPr>
          <w:rFonts w:ascii="Arial" w:cs="Arial" w:eastAsia="Arial" w:hAnsi="Arial"/>
          <w:sz w:val="18"/>
          <w:szCs w:val="18"/>
          <w:color w:val="auto"/>
          <w:vertAlign w:val="superscript"/>
        </w:rPr>
      </w:pPr>
    </w:p>
    <w:p>
      <w:pPr>
        <w:ind w:left="360" w:right="340" w:hanging="323"/>
        <w:spacing w:after="0" w:line="228" w:lineRule="auto"/>
        <w:tabs>
          <w:tab w:leader="none" w:pos="325"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Of our outstanding U.S. Treasury securities, $45.3 million have maturity dates of less than one year and $42.5 million have a maturity date of between one to two years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6" w:name="page17"/>
    <w:bookmarkEnd w:id="16"/>
    <w:p>
      <w:pPr>
        <w:ind w:right="80" w:firstLine="382"/>
        <w:spacing w:after="0" w:line="281" w:lineRule="auto"/>
        <w:rPr>
          <w:sz w:val="20"/>
          <w:szCs w:val="20"/>
          <w:color w:val="auto"/>
        </w:rPr>
      </w:pPr>
      <w:r>
        <w:rPr>
          <w:rFonts w:ascii="Arial" w:cs="Arial" w:eastAsia="Arial" w:hAnsi="Arial"/>
          <w:sz w:val="14"/>
          <w:szCs w:val="14"/>
          <w:color w:val="auto"/>
        </w:rPr>
        <w:t>The following tables present gross unrealized losses and fair values for those investments that were in an unrealized loss position as of March 31, 2022 and December 31, 2021, aggregated by investment category and the length of time that individual securities have been in a continuous loss position: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740"/>
              <w:spacing w:after="0"/>
              <w:rPr>
                <w:sz w:val="20"/>
                <w:szCs w:val="20"/>
                <w:color w:val="auto"/>
              </w:rPr>
            </w:pPr>
            <w:r>
              <w:rPr>
                <w:rFonts w:ascii="Arial" w:cs="Arial" w:eastAsia="Arial" w:hAnsi="Arial"/>
                <w:sz w:val="11"/>
                <w:szCs w:val="11"/>
                <w:b w:val="1"/>
                <w:bCs w:val="1"/>
                <w:color w:val="auto"/>
              </w:rPr>
              <w:t>March 31, 2022</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1"/>
                <w:szCs w:val="11"/>
                <w:b w:val="1"/>
                <w:bCs w:val="1"/>
                <w:color w:val="auto"/>
              </w:rPr>
              <w:t>Less than 12 Months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ind w:left="560"/>
              <w:spacing w:after="0"/>
              <w:rPr>
                <w:sz w:val="20"/>
                <w:szCs w:val="20"/>
                <w:color w:val="auto"/>
              </w:rPr>
            </w:pPr>
            <w:r>
              <w:rPr>
                <w:rFonts w:ascii="Arial" w:cs="Arial" w:eastAsia="Arial" w:hAnsi="Arial"/>
                <w:sz w:val="11"/>
                <w:szCs w:val="11"/>
                <w:b w:val="1"/>
                <w:bCs w:val="1"/>
                <w:color w:val="auto"/>
              </w:rPr>
              <w:t>12 Months or Greater</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Pr>
          <w:p>
            <w:pPr>
              <w:spacing w:after="0"/>
              <w:rPr>
                <w:sz w:val="9"/>
                <w:szCs w:val="9"/>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9"/>
                <w:szCs w:val="9"/>
                <w:color w:val="auto"/>
              </w:rPr>
            </w:pPr>
          </w:p>
        </w:tc>
        <w:tc>
          <w:tcPr>
            <w:tcW w:w="12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9"/>
                <w:szCs w:val="9"/>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9"/>
                <w:szCs w:val="9"/>
                <w:color w:val="auto"/>
              </w:rPr>
            </w:pPr>
          </w:p>
        </w:tc>
        <w:tc>
          <w:tcPr>
            <w:tcW w:w="12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9"/>
                <w:szCs w:val="9"/>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9"/>
                <w:szCs w:val="9"/>
                <w:color w:val="auto"/>
              </w:rPr>
            </w:pPr>
          </w:p>
        </w:tc>
        <w:tc>
          <w:tcPr>
            <w:tcW w:w="1160" w:type="dxa"/>
            <w:vAlign w:val="bottom"/>
          </w:tcPr>
          <w:p>
            <w:pPr>
              <w:jc w:val="center"/>
              <w:ind w:right="93"/>
              <w:spacing w:after="0" w:line="109" w:lineRule="exact"/>
              <w:rPr>
                <w:sz w:val="20"/>
                <w:szCs w:val="20"/>
                <w:color w:val="auto"/>
              </w:rPr>
            </w:pPr>
            <w:r>
              <w:rPr>
                <w:rFonts w:ascii="Arial" w:cs="Arial" w:eastAsia="Arial" w:hAnsi="Arial"/>
                <w:sz w:val="11"/>
                <w:szCs w:val="11"/>
                <w:b w:val="1"/>
                <w:bCs w:val="1"/>
                <w:color w:val="auto"/>
                <w:w w:val="87"/>
              </w:rPr>
              <w:t>Gross</w:t>
            </w:r>
          </w:p>
        </w:tc>
        <w:tc>
          <w:tcPr>
            <w:tcW w:w="0" w:type="dxa"/>
            <w:vAlign w:val="bottom"/>
          </w:tcPr>
          <w:p>
            <w:pPr>
              <w:spacing w:after="0"/>
              <w:rPr>
                <w:sz w:val="1"/>
                <w:szCs w:val="1"/>
                <w:color w:val="auto"/>
              </w:rPr>
            </w:pPr>
          </w:p>
        </w:tc>
      </w:tr>
      <w:tr>
        <w:trPr>
          <w:trHeight w:val="148"/>
        </w:trPr>
        <w:tc>
          <w:tcPr>
            <w:tcW w:w="3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Unrealized Losses</w:t>
            </w:r>
          </w:p>
        </w:tc>
        <w:tc>
          <w:tcPr>
            <w:tcW w:w="0" w:type="dxa"/>
            <w:vAlign w:val="bottom"/>
          </w:tcPr>
          <w:p>
            <w:pPr>
              <w:spacing w:after="0"/>
              <w:rPr>
                <w:sz w:val="1"/>
                <w:szCs w:val="1"/>
                <w:color w:val="auto"/>
              </w:rPr>
            </w:pPr>
          </w:p>
        </w:tc>
      </w:tr>
      <w:tr>
        <w:trPr>
          <w:trHeight w:val="172"/>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26,110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26,110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Commercial and corporate obligations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353,995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353,995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407,752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407,752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1"/>
                <w:szCs w:val="11"/>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1"/>
                <w:szCs w:val="11"/>
                <w:b w:val="1"/>
                <w:bCs w:val="1"/>
                <w:color w:val="auto"/>
              </w:rPr>
              <w:t>Less than 12 Months</w:t>
            </w:r>
          </w:p>
        </w:tc>
        <w:tc>
          <w:tcPr>
            <w:tcW w:w="240" w:type="dxa"/>
            <w:vAlign w:val="bottom"/>
          </w:tcPr>
          <w:p>
            <w:pPr>
              <w:spacing w:after="0"/>
              <w:rPr>
                <w:sz w:val="12"/>
                <w:szCs w:val="12"/>
                <w:color w:val="auto"/>
              </w:rPr>
            </w:pPr>
          </w:p>
        </w:tc>
        <w:tc>
          <w:tcPr>
            <w:tcW w:w="2500" w:type="dxa"/>
            <w:vAlign w:val="bottom"/>
            <w:gridSpan w:val="5"/>
          </w:tcPr>
          <w:p>
            <w:pPr>
              <w:ind w:left="560"/>
              <w:spacing w:after="0"/>
              <w:rPr>
                <w:sz w:val="20"/>
                <w:szCs w:val="20"/>
                <w:color w:val="auto"/>
              </w:rPr>
            </w:pPr>
            <w:r>
              <w:rPr>
                <w:rFonts w:ascii="Arial" w:cs="Arial" w:eastAsia="Arial" w:hAnsi="Arial"/>
                <w:sz w:val="11"/>
                <w:szCs w:val="11"/>
                <w:b w:val="1"/>
                <w:bCs w:val="1"/>
                <w:color w:val="auto"/>
              </w:rPr>
              <w:t>12 Months or Greater</w:t>
            </w:r>
          </w:p>
        </w:tc>
        <w:tc>
          <w:tcPr>
            <w:tcW w:w="24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center"/>
              <w:ind w:right="53"/>
              <w:spacing w:after="0" w:line="98"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center"/>
              <w:ind w:right="53"/>
              <w:spacing w:after="0" w:line="98"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jc w:val="center"/>
              <w:ind w:right="93"/>
              <w:spacing w:after="0" w:line="98" w:lineRule="exact"/>
              <w:rPr>
                <w:sz w:val="20"/>
                <w:szCs w:val="20"/>
                <w:color w:val="auto"/>
              </w:rPr>
            </w:pPr>
            <w:r>
              <w:rPr>
                <w:rFonts w:ascii="Arial" w:cs="Arial" w:eastAsia="Arial" w:hAnsi="Arial"/>
                <w:sz w:val="11"/>
                <w:szCs w:val="11"/>
                <w:b w:val="1"/>
                <w:bCs w:val="1"/>
                <w:color w:val="auto"/>
                <w:w w:val="87"/>
              </w:rPr>
              <w:t>Gross</w:t>
            </w:r>
          </w:p>
        </w:tc>
        <w:tc>
          <w:tcPr>
            <w:tcW w:w="0" w:type="dxa"/>
            <w:vAlign w:val="bottom"/>
          </w:tcPr>
          <w:p>
            <w:pPr>
              <w:spacing w:after="0"/>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Unrealized Losses</w:t>
            </w:r>
          </w:p>
        </w:tc>
        <w:tc>
          <w:tcPr>
            <w:tcW w:w="0" w:type="dxa"/>
            <w:vAlign w:val="bottom"/>
          </w:tcPr>
          <w:p>
            <w:pPr>
              <w:spacing w:after="0"/>
              <w:rPr>
                <w:sz w:val="1"/>
                <w:szCs w:val="1"/>
                <w:color w:val="auto"/>
              </w:rPr>
            </w:pPr>
          </w:p>
        </w:tc>
      </w:tr>
      <w:tr>
        <w:trPr>
          <w:trHeight w:val="17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corporate obligations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82,823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82,823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auto"/>
        </w:rPr>
        <w:t>As of March 31, 2022 and December 31, 2021, unrealized losses on available for sale investments were $2.2 million and $0.2 million, respectively. There were no securities in an unrealized loss position for greater than 12 months as of March 31, 2022. We do not intend to sell the investments and it is not more likely than not that we will be required to sell the investments before recovery of their amortized cost basis, accordingly, no allowance for credit losses were recorded.</w:t>
      </w:r>
    </w:p>
    <w:p>
      <w:pPr>
        <w:spacing w:after="0" w:line="223" w:lineRule="exact"/>
        <w:rPr>
          <w:sz w:val="20"/>
          <w:szCs w:val="20"/>
          <w:color w:val="auto"/>
        </w:rPr>
      </w:pPr>
    </w:p>
    <w:p>
      <w:pPr>
        <w:ind w:left="200" w:right="9840" w:hanging="195"/>
        <w:spacing w:after="0" w:line="446" w:lineRule="auto"/>
        <w:tabs>
          <w:tab w:leader="none" w:pos="150"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Common Stock</w:t>
      </w:r>
    </w:p>
    <w:p>
      <w:pPr>
        <w:ind w:right="180" w:firstLine="382"/>
        <w:spacing w:after="0" w:line="281" w:lineRule="auto"/>
        <w:rPr>
          <w:sz w:val="20"/>
          <w:szCs w:val="20"/>
          <w:color w:val="auto"/>
        </w:rPr>
      </w:pPr>
      <w:r>
        <w:rPr>
          <w:rFonts w:ascii="Arial" w:cs="Arial" w:eastAsia="Arial" w:hAnsi="Arial"/>
          <w:sz w:val="14"/>
          <w:szCs w:val="14"/>
          <w:color w:val="auto"/>
        </w:rPr>
        <w:t>Of the 500,000,000 shares of common stock authorized, 28,177,590 shares were issued and outstanding as of March 31, 2022. Common stock reserved for future issuance upon the exercise, issuance or conversion of the respective equity instruments at March 31, 2022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Issued and Outstanding:</w:t>
            </w:r>
          </w:p>
        </w:tc>
        <w:tc>
          <w:tcPr>
            <w:tcW w:w="1580" w:type="dxa"/>
            <w:vAlign w:val="bottom"/>
            <w:shd w:val="clear" w:color="auto" w:fill="CCEEFF"/>
          </w:tcPr>
          <w:p>
            <w:pPr>
              <w:spacing w:after="0"/>
              <w:rPr>
                <w:sz w:val="15"/>
                <w:szCs w:val="15"/>
                <w:color w:val="auto"/>
              </w:rPr>
            </w:pPr>
          </w:p>
        </w:tc>
      </w:tr>
      <w:tr>
        <w:trPr>
          <w:trHeight w:val="180"/>
        </w:trPr>
        <w:tc>
          <w:tcPr>
            <w:tcW w:w="9680" w:type="dxa"/>
            <w:vAlign w:val="bottom"/>
            <w:gridSpan w:val="2"/>
          </w:tcPr>
          <w:p>
            <w:pPr>
              <w:ind w:left="220"/>
              <w:spacing w:after="0"/>
              <w:rPr>
                <w:sz w:val="20"/>
                <w:szCs w:val="20"/>
                <w:color w:val="auto"/>
              </w:rPr>
            </w:pPr>
            <w:r>
              <w:rPr>
                <w:rFonts w:ascii="Arial" w:cs="Arial" w:eastAsia="Arial" w:hAnsi="Arial"/>
                <w:sz w:val="14"/>
                <w:szCs w:val="14"/>
                <w:color w:val="auto"/>
              </w:rPr>
              <w:t>Stock options</w:t>
            </w:r>
          </w:p>
        </w:tc>
        <w:tc>
          <w:tcPr>
            <w:tcW w:w="1580" w:type="dxa"/>
            <w:vAlign w:val="bottom"/>
          </w:tcPr>
          <w:p>
            <w:pPr>
              <w:jc w:val="right"/>
              <w:spacing w:after="0"/>
              <w:rPr>
                <w:sz w:val="20"/>
                <w:szCs w:val="20"/>
                <w:color w:val="auto"/>
              </w:rPr>
            </w:pPr>
            <w:r>
              <w:rPr>
                <w:rFonts w:ascii="Arial" w:cs="Arial" w:eastAsia="Arial" w:hAnsi="Arial"/>
                <w:sz w:val="14"/>
                <w:szCs w:val="14"/>
                <w:color w:val="auto"/>
              </w:rPr>
              <w:t>3,968,639</w:t>
            </w:r>
          </w:p>
        </w:tc>
      </w:tr>
      <w:tr>
        <w:trPr>
          <w:trHeight w:val="181"/>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Restricted stock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887,043</w:t>
            </w:r>
          </w:p>
        </w:tc>
      </w:tr>
      <w:tr>
        <w:trPr>
          <w:trHeight w:val="180"/>
        </w:trPr>
        <w:tc>
          <w:tcPr>
            <w:tcW w:w="9680" w:type="dxa"/>
            <w:vAlign w:val="bottom"/>
            <w:gridSpan w:val="2"/>
          </w:tcPr>
          <w:p>
            <w:pPr>
              <w:ind w:left="20"/>
              <w:spacing w:after="0"/>
              <w:rPr>
                <w:sz w:val="20"/>
                <w:szCs w:val="20"/>
                <w:color w:val="auto"/>
              </w:rPr>
            </w:pPr>
            <w:r>
              <w:rPr>
                <w:rFonts w:ascii="Arial" w:cs="Arial" w:eastAsia="Arial" w:hAnsi="Arial"/>
                <w:sz w:val="14"/>
                <w:szCs w:val="14"/>
                <w:color w:val="auto"/>
              </w:rPr>
              <w:t>Shares Reserved For:</w:t>
            </w:r>
          </w:p>
        </w:tc>
        <w:tc>
          <w:tcPr>
            <w:tcW w:w="1580" w:type="dxa"/>
            <w:vAlign w:val="bottom"/>
          </w:tcPr>
          <w:p>
            <w:pPr>
              <w:spacing w:after="0"/>
              <w:rPr>
                <w:sz w:val="15"/>
                <w:szCs w:val="15"/>
                <w:color w:val="auto"/>
              </w:rPr>
            </w:pPr>
          </w:p>
        </w:tc>
      </w:tr>
      <w:tr>
        <w:trPr>
          <w:trHeight w:val="191"/>
        </w:trPr>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9"/>
              </w:rPr>
              <w:t>2017</w:t>
            </w:r>
          </w:p>
        </w:tc>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Equity Incentive Plan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2,448,430</w:t>
            </w:r>
          </w:p>
        </w:tc>
      </w:tr>
      <w:tr>
        <w:trPr>
          <w:trHeight w:val="180"/>
        </w:trPr>
        <w:tc>
          <w:tcPr>
            <w:tcW w:w="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w w:val="89"/>
              </w:rPr>
              <w:t>2017</w:t>
            </w:r>
          </w:p>
        </w:tc>
        <w:tc>
          <w:tcPr>
            <w:tcW w:w="9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Employee Stock Purchase Plan</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1,528,476</w:t>
            </w:r>
          </w:p>
        </w:tc>
      </w:tr>
      <w:tr>
        <w:trPr>
          <w:trHeight w:val="196"/>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1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8,832,588</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9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02" w:right="339" w:bottom="1440" w:gutter="0" w:footer="0" w:header="0"/>
        </w:sectPr>
      </w:pPr>
    </w:p>
    <w:bookmarkStart w:id="17" w:name="page18"/>
    <w:bookmarkEnd w:id="17"/>
    <w:p>
      <w:pPr>
        <w:spacing w:after="0" w:line="43" w:lineRule="exact"/>
        <w:rPr>
          <w:sz w:val="20"/>
          <w:szCs w:val="20"/>
          <w:color w:val="auto"/>
        </w:rPr>
      </w:pPr>
    </w:p>
    <w:p>
      <w:pPr>
        <w:ind w:left="200" w:right="9500" w:hanging="195"/>
        <w:spacing w:after="0" w:line="446" w:lineRule="auto"/>
        <w:tabs>
          <w:tab w:leader="none" w:pos="150"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Equity Incentive Plans </w:t>
      </w:r>
      <w:r>
        <w:rPr>
          <w:rFonts w:ascii="Arial" w:cs="Arial" w:eastAsia="Arial" w:hAnsi="Arial"/>
          <w:sz w:val="12"/>
          <w:szCs w:val="12"/>
          <w:b w:val="1"/>
          <w:bCs w:val="1"/>
          <w:i w:val="1"/>
          <w:iCs w:val="1"/>
          <w:color w:val="auto"/>
        </w:rPr>
        <w:t>2017 Equity Incentive Plan</w:t>
      </w:r>
    </w:p>
    <w:p>
      <w:pPr>
        <w:ind w:right="80" w:firstLine="382"/>
        <w:spacing w:after="0" w:line="313" w:lineRule="auto"/>
        <w:rPr>
          <w:sz w:val="20"/>
          <w:szCs w:val="20"/>
          <w:color w:val="auto"/>
        </w:rPr>
      </w:pPr>
      <w:r>
        <w:rPr>
          <w:rFonts w:ascii="Arial" w:cs="Arial" w:eastAsia="Arial" w:hAnsi="Arial"/>
          <w:sz w:val="12"/>
          <w:szCs w:val="12"/>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1,105,890 shares as of January 1, 2022.</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94" w:lineRule="exact"/>
        <w:rPr>
          <w:sz w:val="20"/>
          <w:szCs w:val="20"/>
          <w:color w:val="auto"/>
        </w:rPr>
      </w:pPr>
    </w:p>
    <w:p>
      <w:pPr>
        <w:ind w:right="20" w:firstLine="382"/>
        <w:spacing w:after="0" w:line="284" w:lineRule="auto"/>
        <w:rPr>
          <w:sz w:val="20"/>
          <w:szCs w:val="20"/>
          <w:color w:val="auto"/>
        </w:rPr>
      </w:pPr>
      <w:r>
        <w:rPr>
          <w:rFonts w:ascii="Arial" w:cs="Arial" w:eastAsia="Arial" w:hAnsi="Arial"/>
          <w:sz w:val="13"/>
          <w:szCs w:val="13"/>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276,472 shares as of January 1, 2022. The initial offering period for the ESPP began in May 2021, completed in November 2021, and a new offering period began in November 2021. Future offering periods are expected to start in May and November each year.</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 Options</w:t>
      </w:r>
    </w:p>
    <w:p>
      <w:pPr>
        <w:spacing w:after="0" w:line="94"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three months ended March 31, 2022 is as follows: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Weighted-Average</w:t>
            </w: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3"/>
              </w:rPr>
              <w:t>Weighted-Average</w:t>
            </w:r>
          </w:p>
        </w:tc>
        <w:tc>
          <w:tcPr>
            <w:tcW w:w="162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95"/>
              </w:rPr>
              <w:t>Remaining</w:t>
            </w:r>
          </w:p>
        </w:tc>
        <w:tc>
          <w:tcPr>
            <w:tcW w:w="300" w:type="dxa"/>
            <w:vAlign w:val="bottom"/>
          </w:tcPr>
          <w:p>
            <w:pPr>
              <w:spacing w:after="0"/>
              <w:rPr>
                <w:sz w:val="10"/>
                <w:szCs w:val="10"/>
                <w:color w:val="auto"/>
              </w:rPr>
            </w:pPr>
          </w:p>
        </w:tc>
        <w:tc>
          <w:tcPr>
            <w:tcW w:w="1240" w:type="dxa"/>
            <w:vAlign w:val="bottom"/>
          </w:tcPr>
          <w:p>
            <w:pPr>
              <w:jc w:val="center"/>
              <w:ind w:right="237"/>
              <w:spacing w:after="0" w:line="117" w:lineRule="exact"/>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23"/>
        </w:trPr>
        <w:tc>
          <w:tcPr>
            <w:tcW w:w="4840" w:type="dxa"/>
            <w:vAlign w:val="bottom"/>
          </w:tcPr>
          <w:p>
            <w:pPr>
              <w:spacing w:after="0"/>
              <w:rPr>
                <w:sz w:val="10"/>
                <w:szCs w:val="10"/>
                <w:color w:val="auto"/>
              </w:rPr>
            </w:pPr>
          </w:p>
        </w:tc>
        <w:tc>
          <w:tcPr>
            <w:tcW w:w="15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300"/>
              <w:spacing w:after="0" w:line="124" w:lineRule="exact"/>
              <w:rPr>
                <w:sz w:val="20"/>
                <w:szCs w:val="20"/>
                <w:color w:val="auto"/>
              </w:rPr>
            </w:pPr>
            <w:r>
              <w:rPr>
                <w:rFonts w:ascii="Arial" w:cs="Arial" w:eastAsia="Arial" w:hAnsi="Arial"/>
                <w:sz w:val="11"/>
                <w:szCs w:val="11"/>
                <w:b w:val="1"/>
                <w:bCs w:val="1"/>
                <w:color w:val="auto"/>
                <w:w w:val="88"/>
              </w:rPr>
              <w:t>Exercise</w:t>
            </w:r>
          </w:p>
        </w:tc>
        <w:tc>
          <w:tcPr>
            <w:tcW w:w="162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w w:val="94"/>
              </w:rPr>
              <w:t>Contractual</w:t>
            </w:r>
          </w:p>
        </w:tc>
        <w:tc>
          <w:tcPr>
            <w:tcW w:w="300" w:type="dxa"/>
            <w:vAlign w:val="bottom"/>
          </w:tcPr>
          <w:p>
            <w:pPr>
              <w:spacing w:after="0"/>
              <w:rPr>
                <w:sz w:val="10"/>
                <w:szCs w:val="10"/>
                <w:color w:val="auto"/>
              </w:rPr>
            </w:pPr>
          </w:p>
        </w:tc>
        <w:tc>
          <w:tcPr>
            <w:tcW w:w="1240" w:type="dxa"/>
            <w:vAlign w:val="bottom"/>
          </w:tcPr>
          <w:p>
            <w:pPr>
              <w:jc w:val="center"/>
              <w:ind w:right="237"/>
              <w:spacing w:after="0" w:line="124"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15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Subject to</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Price per</w:t>
            </w:r>
          </w:p>
        </w:tc>
        <w:tc>
          <w:tcPr>
            <w:tcW w:w="162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6"/>
              </w:rPr>
              <w:t>Term</w:t>
            </w:r>
          </w:p>
        </w:tc>
        <w:tc>
          <w:tcPr>
            <w:tcW w:w="300" w:type="dxa"/>
            <w:vAlign w:val="bottom"/>
          </w:tcPr>
          <w:p>
            <w:pPr>
              <w:spacing w:after="0"/>
              <w:rPr>
                <w:sz w:val="10"/>
                <w:szCs w:val="10"/>
                <w:color w:val="auto"/>
              </w:rPr>
            </w:pPr>
          </w:p>
        </w:tc>
        <w:tc>
          <w:tcPr>
            <w:tcW w:w="1240" w:type="dxa"/>
            <w:vAlign w:val="bottom"/>
          </w:tcPr>
          <w:p>
            <w:pPr>
              <w:jc w:val="center"/>
              <w:ind w:right="237"/>
              <w:spacing w:after="0" w:line="121" w:lineRule="exact"/>
              <w:rPr>
                <w:sz w:val="20"/>
                <w:szCs w:val="20"/>
                <w:color w:val="auto"/>
              </w:rPr>
            </w:pPr>
            <w:r>
              <w:rPr>
                <w:rFonts w:ascii="Arial" w:cs="Arial" w:eastAsia="Arial" w:hAnsi="Arial"/>
                <w:sz w:val="11"/>
                <w:szCs w:val="11"/>
                <w:b w:val="1"/>
                <w:bCs w:val="1"/>
                <w:color w:val="auto"/>
                <w:w w:val="91"/>
              </w:rPr>
              <w:t>Value (in</w:t>
            </w:r>
          </w:p>
        </w:tc>
        <w:tc>
          <w:tcPr>
            <w:tcW w:w="0" w:type="dxa"/>
            <w:vAlign w:val="bottom"/>
          </w:tcPr>
          <w:p>
            <w:pPr>
              <w:spacing w:after="0"/>
              <w:rPr>
                <w:sz w:val="1"/>
                <w:szCs w:val="1"/>
                <w:color w:val="auto"/>
              </w:rPr>
            </w:pPr>
          </w:p>
        </w:tc>
      </w:tr>
      <w:tr>
        <w:trPr>
          <w:trHeight w:val="151"/>
        </w:trPr>
        <w:tc>
          <w:tcPr>
            <w:tcW w:w="48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1"/>
              </w:rPr>
              <w:t>Options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Share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 years)</w:t>
            </w:r>
          </w:p>
        </w:tc>
        <w:tc>
          <w:tcPr>
            <w:tcW w:w="300" w:type="dxa"/>
            <w:vAlign w:val="bottom"/>
          </w:tcPr>
          <w:p>
            <w:pPr>
              <w:spacing w:after="0"/>
              <w:rPr>
                <w:sz w:val="13"/>
                <w:szCs w:val="13"/>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thousands)</w:t>
            </w:r>
          </w:p>
        </w:tc>
        <w:tc>
          <w:tcPr>
            <w:tcW w:w="0" w:type="dxa"/>
            <w:vAlign w:val="bottom"/>
          </w:tcPr>
          <w:p>
            <w:pPr>
              <w:spacing w:after="0"/>
              <w:rPr>
                <w:sz w:val="1"/>
                <w:szCs w:val="1"/>
                <w:color w:val="auto"/>
              </w:rPr>
            </w:pPr>
          </w:p>
        </w:tc>
      </w:tr>
      <w:tr>
        <w:trPr>
          <w:trHeight w:val="175"/>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3,460,295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42,987</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1,149,550</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(530,340)</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(110,866)</w:t>
            </w:r>
          </w:p>
        </w:tc>
        <w:tc>
          <w:tcPr>
            <w:tcW w:w="300" w:type="dxa"/>
            <w:vAlign w:val="bottom"/>
            <w:tcBorders>
              <w:bottom w:val="single" w:sz="8" w:color="CCEEFF"/>
            </w:tcBorders>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28.33</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3,968,639</w:t>
            </w:r>
          </w:p>
        </w:tc>
        <w:tc>
          <w:tcPr>
            <w:tcW w:w="3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at March 31,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37.28</w:t>
            </w: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5,884</w:t>
            </w:r>
          </w:p>
        </w:tc>
        <w:tc>
          <w:tcPr>
            <w:tcW w:w="0" w:type="dxa"/>
            <w:vAlign w:val="bottom"/>
          </w:tcPr>
          <w:p>
            <w:pPr>
              <w:spacing w:after="0" w:line="20" w:lineRule="exact"/>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520" w:type="dxa"/>
            <w:vAlign w:val="bottom"/>
          </w:tcPr>
          <w:p>
            <w:pPr>
              <w:jc w:val="right"/>
              <w:spacing w:after="0" w:line="143" w:lineRule="exact"/>
              <w:rPr>
                <w:sz w:val="20"/>
                <w:szCs w:val="20"/>
                <w:color w:val="auto"/>
              </w:rPr>
            </w:pPr>
            <w:r>
              <w:rPr>
                <w:rFonts w:ascii="Arial" w:cs="Arial" w:eastAsia="Arial" w:hAnsi="Arial"/>
                <w:sz w:val="14"/>
                <w:szCs w:val="14"/>
                <w:color w:val="auto"/>
              </w:rPr>
              <w:t>1,590,922</w:t>
            </w:r>
          </w:p>
        </w:tc>
        <w:tc>
          <w:tcPr>
            <w:tcW w:w="3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Time-based Restricted Stock Units</w:t>
      </w:r>
    </w:p>
    <w:p>
      <w:pPr>
        <w:spacing w:after="0" w:line="94" w:lineRule="exact"/>
        <w:rPr>
          <w:sz w:val="20"/>
          <w:szCs w:val="20"/>
          <w:color w:val="auto"/>
        </w:rPr>
      </w:pPr>
    </w:p>
    <w:p>
      <w:pPr>
        <w:ind w:right="100" w:firstLine="191"/>
        <w:spacing w:after="0" w:line="262" w:lineRule="auto"/>
        <w:rPr>
          <w:sz w:val="20"/>
          <w:szCs w:val="20"/>
          <w:color w:val="auto"/>
        </w:rPr>
      </w:pPr>
      <w:r>
        <w:rPr>
          <w:rFonts w:ascii="Arial" w:cs="Arial" w:eastAsia="Arial" w:hAnsi="Arial"/>
          <w:sz w:val="14"/>
          <w:szCs w:val="14"/>
          <w:color w:val="auto"/>
        </w:rPr>
        <w:t>Each Restricted Stock Unit (“RSUs”) represents one equivalent share of our common stock to be issued after satisfying the applicable continued service-based vesting criteria over a specified period. These RSUs vest in full upon the 24-month anniversary of the Vesting Commencement Date, subject to continued service on such date.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center"/>
              <w:ind w:right="217"/>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06"/>
        </w:trPr>
        <w:tc>
          <w:tcPr>
            <w:tcW w:w="6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Weighted average grant date</w:t>
            </w:r>
          </w:p>
        </w:tc>
        <w:tc>
          <w:tcPr>
            <w:tcW w:w="280" w:type="dxa"/>
            <w:vAlign w:val="bottom"/>
          </w:tcPr>
          <w:p>
            <w:pPr>
              <w:spacing w:after="0"/>
              <w:rPr>
                <w:sz w:val="9"/>
                <w:szCs w:val="9"/>
                <w:color w:val="auto"/>
              </w:rPr>
            </w:pPr>
          </w:p>
        </w:tc>
        <w:tc>
          <w:tcPr>
            <w:tcW w:w="1240" w:type="dxa"/>
            <w:vAlign w:val="bottom"/>
          </w:tcPr>
          <w:p>
            <w:pPr>
              <w:jc w:val="center"/>
              <w:ind w:right="217"/>
              <w:spacing w:after="0" w:line="106"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06"/>
        </w:trPr>
        <w:tc>
          <w:tcPr>
            <w:tcW w:w="6520" w:type="dxa"/>
            <w:vAlign w:val="bottom"/>
          </w:tcPr>
          <w:p>
            <w:pPr>
              <w:spacing w:after="0"/>
              <w:rPr>
                <w:sz w:val="9"/>
                <w:szCs w:val="9"/>
                <w:color w:val="auto"/>
              </w:rPr>
            </w:pPr>
          </w:p>
        </w:tc>
        <w:tc>
          <w:tcPr>
            <w:tcW w:w="1540" w:type="dxa"/>
            <w:vAlign w:val="bottom"/>
            <w:vMerge w:val="restart"/>
          </w:tcPr>
          <w:p>
            <w:pPr>
              <w:jc w:val="right"/>
              <w:ind w:right="251"/>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jc w:val="center"/>
              <w:ind w:right="217"/>
              <w:spacing w:after="0" w:line="106" w:lineRule="exact"/>
              <w:rPr>
                <w:sz w:val="20"/>
                <w:szCs w:val="20"/>
                <w:color w:val="auto"/>
              </w:rPr>
            </w:pPr>
            <w:r>
              <w:rPr>
                <w:rFonts w:ascii="Arial" w:cs="Arial" w:eastAsia="Arial" w:hAnsi="Arial"/>
                <w:sz w:val="11"/>
                <w:szCs w:val="11"/>
                <w:b w:val="1"/>
                <w:bCs w:val="1"/>
                <w:color w:val="auto"/>
                <w:w w:val="95"/>
              </w:rPr>
              <w:t>Value (in</w:t>
            </w:r>
          </w:p>
        </w:tc>
        <w:tc>
          <w:tcPr>
            <w:tcW w:w="0" w:type="dxa"/>
            <w:vAlign w:val="bottom"/>
          </w:tcPr>
          <w:p>
            <w:pPr>
              <w:spacing w:after="0"/>
              <w:rPr>
                <w:sz w:val="1"/>
                <w:szCs w:val="1"/>
                <w:color w:val="auto"/>
              </w:rPr>
            </w:pPr>
          </w:p>
        </w:tc>
      </w:tr>
      <w:tr>
        <w:trPr>
          <w:trHeight w:val="148"/>
        </w:trPr>
        <w:tc>
          <w:tcPr>
            <w:tcW w:w="652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fair value</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17"/>
              <w:spacing w:after="0"/>
              <w:rPr>
                <w:sz w:val="20"/>
                <w:szCs w:val="20"/>
                <w:color w:val="auto"/>
              </w:rPr>
            </w:pPr>
            <w:r>
              <w:rPr>
                <w:rFonts w:ascii="Arial" w:cs="Arial" w:eastAsia="Arial" w:hAnsi="Arial"/>
                <w:sz w:val="11"/>
                <w:szCs w:val="11"/>
                <w:b w:val="1"/>
                <w:bCs w:val="1"/>
                <w:color w:val="auto"/>
                <w:w w:val="87"/>
              </w:rPr>
              <w:t>thousands)</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spacing w:after="0"/>
              <w:rPr>
                <w:sz w:val="20"/>
                <w:szCs w:val="20"/>
                <w:color w:val="auto"/>
              </w:rPr>
            </w:pPr>
            <w:r>
              <w:rPr>
                <w:rFonts w:ascii="Arial" w:cs="Arial" w:eastAsia="Arial" w:hAnsi="Arial"/>
                <w:sz w:val="14"/>
                <w:szCs w:val="14"/>
                <w:color w:val="auto"/>
              </w:rPr>
              <w:t>887,043</w:t>
            </w:r>
          </w:p>
        </w:tc>
        <w:tc>
          <w:tcPr>
            <w:tcW w:w="1160" w:type="dxa"/>
            <w:vAlign w:val="bottom"/>
            <w:gridSpan w:val="2"/>
          </w:tcPr>
          <w:p>
            <w:pPr>
              <w:jc w:val="right"/>
              <w:ind w:right="93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939"/>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tcPr>
          <w:p>
            <w:pPr>
              <w:jc w:val="right"/>
              <w:ind w:right="93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March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887,043</w:t>
            </w:r>
          </w:p>
        </w:tc>
        <w:tc>
          <w:tcPr>
            <w:tcW w:w="116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Restricted Stock Units expected to vest at March 31, 2022</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21,945</w:t>
            </w:r>
          </w:p>
        </w:tc>
        <w:tc>
          <w:tcPr>
            <w:tcW w:w="0" w:type="dxa"/>
            <w:vAlign w:val="bottom"/>
          </w:tcPr>
          <w:p>
            <w:pPr>
              <w:spacing w:after="0" w:line="20" w:lineRule="exact"/>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1540" w:type="dxa"/>
            <w:vAlign w:val="bottom"/>
          </w:tcPr>
          <w:p>
            <w:pPr>
              <w:jc w:val="right"/>
              <w:spacing w:after="0" w:line="143" w:lineRule="exact"/>
              <w:rPr>
                <w:sz w:val="20"/>
                <w:szCs w:val="20"/>
                <w:color w:val="auto"/>
              </w:rPr>
            </w:pPr>
            <w:r>
              <w:rPr>
                <w:rFonts w:ascii="Arial" w:cs="Arial" w:eastAsia="Arial" w:hAnsi="Arial"/>
                <w:sz w:val="14"/>
                <w:szCs w:val="14"/>
                <w:color w:val="auto"/>
              </w:rPr>
              <w:t>887,043</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94"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68" w:lineRule="exact"/>
        <w:rPr>
          <w:sz w:val="20"/>
          <w:szCs w:val="20"/>
          <w:color w:val="auto"/>
        </w:rPr>
      </w:pPr>
    </w:p>
    <w:p>
      <w:pPr>
        <w:jc w:val="center"/>
        <w:ind w:left="7560"/>
        <w:spacing w:after="0"/>
        <w:rPr>
          <w:sz w:val="20"/>
          <w:szCs w:val="20"/>
          <w:color w:val="auto"/>
        </w:rPr>
      </w:pPr>
      <w:r>
        <w:rPr>
          <w:rFonts w:ascii="Arial" w:cs="Arial" w:eastAsia="Arial" w:hAnsi="Arial"/>
          <w:sz w:val="11"/>
          <w:szCs w:val="11"/>
          <w:b w:val="1"/>
          <w:bCs w:val="1"/>
          <w:color w:val="auto"/>
        </w:rPr>
        <w:t>Three Months Ended</w:t>
      </w:r>
    </w:p>
    <w:p>
      <w:pPr>
        <w:jc w:val="center"/>
        <w:ind w:left="756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56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r>
      <w:tr>
        <w:trPr>
          <w:trHeight w:val="171"/>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Risk-free interest rate</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rPr>
              <w:t>0.7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88.5</w:t>
            </w:r>
          </w:p>
        </w:tc>
        <w:tc>
          <w:tcPr>
            <w:tcW w:w="280" w:type="dxa"/>
            <w:vAlign w:val="bottom"/>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93.0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dividend yield</w:t>
            </w:r>
          </w:p>
        </w:tc>
        <w:tc>
          <w:tcPr>
            <w:tcW w:w="240" w:type="dxa"/>
            <w:vAlign w:val="bottom"/>
            <w:shd w:val="clear" w:color="auto" w:fill="CFF0FC"/>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6.18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6.18</w:t>
            </w:r>
          </w:p>
        </w:tc>
        <w:tc>
          <w:tcPr>
            <w:tcW w:w="220" w:type="dxa"/>
            <w:vAlign w:val="bottom"/>
          </w:tcPr>
          <w:p>
            <w:pPr>
              <w:spacing w:after="0"/>
              <w:rPr>
                <w:sz w:val="15"/>
                <w:szCs w:val="15"/>
                <w:color w:val="auto"/>
              </w:rPr>
            </w:pPr>
          </w:p>
        </w:tc>
      </w:tr>
      <w:tr>
        <w:trPr>
          <w:trHeight w:val="181"/>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grant date fair value per share</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22.63</w:t>
            </w:r>
          </w:p>
        </w:tc>
        <w:tc>
          <w:tcPr>
            <w:tcW w:w="86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rPr>
              <w:t>22.47</w:t>
            </w:r>
          </w:p>
        </w:tc>
        <w:tc>
          <w:tcPr>
            <w:tcW w:w="220" w:type="dxa"/>
            <w:vAlign w:val="bottom"/>
            <w:shd w:val="clear" w:color="auto" w:fill="CFF0FC"/>
          </w:tcPr>
          <w:p>
            <w:pPr>
              <w:spacing w:after="0"/>
              <w:rPr>
                <w:sz w:val="15"/>
                <w:szCs w:val="15"/>
                <w:color w:val="auto"/>
              </w:rPr>
            </w:pPr>
          </w:p>
        </w:tc>
      </w:tr>
    </w:tbl>
    <w:p>
      <w:pPr>
        <w:spacing w:after="0" w:line="233"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Expected volatility for 2022 and 2021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non-cash stock-based compensation expense for all stock awards that was recognized in the consolidated statements of operations and comprehensive loss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r>
      <w:tr>
        <w:trPr>
          <w:trHeight w:val="147"/>
        </w:trPr>
        <w:tc>
          <w:tcPr>
            <w:tcW w:w="8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March 31,</w:t>
            </w:r>
          </w:p>
        </w:tc>
        <w:tc>
          <w:tcPr>
            <w:tcW w:w="800" w:type="dxa"/>
            <w:vAlign w:val="bottom"/>
            <w:tcBorders>
              <w:bottom w:val="single" w:sz="8" w:color="auto"/>
            </w:tcBorders>
          </w:tcPr>
          <w:p>
            <w:pPr>
              <w:spacing w:after="0"/>
              <w:rPr>
                <w:sz w:val="12"/>
                <w:szCs w:val="12"/>
                <w:color w:val="auto"/>
              </w:rPr>
            </w:pPr>
          </w:p>
        </w:tc>
      </w:tr>
      <w:tr>
        <w:trPr>
          <w:trHeight w:val="140"/>
        </w:trPr>
        <w:tc>
          <w:tcPr>
            <w:tcW w:w="850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w w:val="97"/>
              </w:rPr>
              <w:t>2021</w:t>
            </w:r>
          </w:p>
        </w:tc>
      </w:tr>
      <w:tr>
        <w:trPr>
          <w:trHeight w:val="172"/>
        </w:trPr>
        <w:tc>
          <w:tcPr>
            <w:tcW w:w="8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w:t>
            </w:r>
          </w:p>
        </w:tc>
      </w:tr>
      <w:tr>
        <w:trPr>
          <w:trHeight w:val="180"/>
        </w:trPr>
        <w:tc>
          <w:tcPr>
            <w:tcW w:w="85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2,121</w:t>
            </w:r>
          </w:p>
        </w:tc>
      </w:tr>
      <w:tr>
        <w:trPr>
          <w:trHeight w:val="196"/>
        </w:trPr>
        <w:tc>
          <w:tcPr>
            <w:tcW w:w="85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3,315</w:t>
            </w:r>
          </w:p>
        </w:tc>
      </w:tr>
      <w:tr>
        <w:trPr>
          <w:trHeight w:val="20"/>
        </w:trPr>
        <w:tc>
          <w:tcPr>
            <w:tcW w:w="85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382"/>
        <w:spacing w:after="0" w:line="262" w:lineRule="auto"/>
        <w:rPr>
          <w:sz w:val="20"/>
          <w:szCs w:val="20"/>
          <w:color w:val="auto"/>
        </w:rPr>
      </w:pPr>
      <w:r>
        <w:rPr>
          <w:rFonts w:ascii="Arial" w:cs="Arial" w:eastAsia="Arial" w:hAnsi="Arial"/>
          <w:sz w:val="14"/>
          <w:szCs w:val="14"/>
          <w:color w:val="auto"/>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9"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for 887,043 shares of the company’s common stock. The fair value of the award will be recognized as part of compensation cost, occurring ratably over the stated 24-month requisite service period.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March 31, 2022, we recognized $0.3 million of non-cash stock-based compensation cost related to the award.</w:t>
      </w:r>
    </w:p>
    <w:p>
      <w:pPr>
        <w:spacing w:after="0" w:line="83"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At March 31, 2022, there was $35.4 million of unrecognized compensation cost related to unvested stock option awards, which is expected to be recognized over a remaining weighted-average vesting period of 2.48 years, $23.2 million of unrecognized cost related to unvested RSUs awards, which is expected to be recognized over a period of 1.97 years and $0.1 million of unrecognized compensation cost related to the ESPP, which is expected to be recognized over a remaining weighted-average vesting period of 0.12 years.</w:t>
      </w:r>
    </w:p>
    <w:p>
      <w:pPr>
        <w:spacing w:after="0" w:line="223" w:lineRule="exact"/>
        <w:rPr>
          <w:sz w:val="20"/>
          <w:szCs w:val="20"/>
          <w:color w:val="auto"/>
        </w:rPr>
      </w:pPr>
    </w:p>
    <w:p>
      <w:pPr>
        <w:ind w:left="220" w:right="9140" w:hanging="215"/>
        <w:spacing w:after="0" w:line="446" w:lineRule="auto"/>
        <w:tabs>
          <w:tab w:leader="none" w:pos="139"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b w:val="1"/>
          <w:bCs w:val="1"/>
          <w:i w:val="1"/>
          <w:iCs w:val="1"/>
          <w:color w:val="auto"/>
        </w:rPr>
        <w:t>Operating Leases</w:t>
      </w:r>
    </w:p>
    <w:p>
      <w:pPr>
        <w:ind w:right="40" w:firstLine="382"/>
        <w:spacing w:after="0" w:line="298" w:lineRule="auto"/>
        <w:rPr>
          <w:sz w:val="20"/>
          <w:szCs w:val="20"/>
          <w:color w:val="auto"/>
        </w:rPr>
      </w:pPr>
      <w:r>
        <w:rPr>
          <w:rFonts w:ascii="Arial" w:cs="Arial" w:eastAsia="Arial" w:hAnsi="Arial"/>
          <w:sz w:val="12"/>
          <w:szCs w:val="12"/>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$20.7 million on the consolidated balance sheets. The ROU asset includes adjustments for prepayments, initial direct costs, and lease incentives. As of March 31, 2022, we have recorded $0.3 million as a security deposit in accordance with the terms of the Lease Agreement.</w:t>
      </w:r>
    </w:p>
    <w:p>
      <w:pPr>
        <w:spacing w:after="0" w:line="57" w:lineRule="exact"/>
        <w:rPr>
          <w:sz w:val="20"/>
          <w:szCs w:val="20"/>
          <w:color w:val="auto"/>
        </w:rPr>
      </w:pPr>
    </w:p>
    <w:p>
      <w:pPr>
        <w:jc w:val="both"/>
        <w:ind w:right="100" w:firstLine="382"/>
        <w:spacing w:after="0" w:line="262" w:lineRule="auto"/>
        <w:rPr>
          <w:sz w:val="20"/>
          <w:szCs w:val="20"/>
          <w:color w:val="auto"/>
        </w:rPr>
      </w:pPr>
      <w:r>
        <w:rPr>
          <w:rFonts w:ascii="Arial" w:cs="Arial" w:eastAsia="Arial" w:hAnsi="Arial"/>
          <w:sz w:val="14"/>
          <w:szCs w:val="14"/>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effective date of adoption in determining the present value of future payments. The weighted-average discount rate used was 4.0% and the weighted-average remaining lease term is approximately 9.4 years.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non-cancellable office lease costs are included in our consolidated statements of cash flow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center"/>
              <w:ind w:left="438"/>
              <w:spacing w:after="0"/>
              <w:rPr>
                <w:sz w:val="20"/>
                <w:szCs w:val="20"/>
                <w:color w:val="auto"/>
              </w:rPr>
            </w:pPr>
            <w:r>
              <w:rPr>
                <w:rFonts w:ascii="Arial" w:cs="Arial" w:eastAsia="Arial" w:hAnsi="Arial"/>
                <w:sz w:val="11"/>
                <w:szCs w:val="11"/>
                <w:b w:val="1"/>
                <w:bCs w:val="1"/>
                <w:color w:val="auto"/>
                <w:w w:val="95"/>
              </w:rPr>
              <w:t>Three Months Ended</w:t>
            </w:r>
          </w:p>
        </w:tc>
        <w:tc>
          <w:tcPr>
            <w:tcW w:w="820" w:type="dxa"/>
            <w:vAlign w:val="bottom"/>
          </w:tcPr>
          <w:p>
            <w:pPr>
              <w:spacing w:after="0"/>
              <w:rPr>
                <w:sz w:val="10"/>
                <w:szCs w:val="10"/>
                <w:color w:val="auto"/>
              </w:rPr>
            </w:pPr>
          </w:p>
        </w:tc>
      </w:tr>
      <w:tr>
        <w:trPr>
          <w:trHeight w:val="148"/>
        </w:trPr>
        <w:tc>
          <w:tcPr>
            <w:tcW w:w="4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1"/>
                <w:szCs w:val="11"/>
                <w:b w:val="1"/>
                <w:bCs w:val="1"/>
                <w:color w:val="auto"/>
                <w:w w:val="94"/>
              </w:rPr>
              <w:t>March 31,</w:t>
            </w:r>
          </w:p>
        </w:tc>
        <w:tc>
          <w:tcPr>
            <w:tcW w:w="820" w:type="dxa"/>
            <w:vAlign w:val="bottom"/>
            <w:tcBorders>
              <w:bottom w:val="single" w:sz="8" w:color="auto"/>
            </w:tcBorders>
          </w:tcPr>
          <w:p>
            <w:pPr>
              <w:spacing w:after="0"/>
              <w:rPr>
                <w:sz w:val="12"/>
                <w:szCs w:val="12"/>
                <w:color w:val="auto"/>
              </w:rPr>
            </w:pPr>
          </w:p>
        </w:tc>
      </w:tr>
      <w:tr>
        <w:trPr>
          <w:trHeight w:val="13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Leases</w:t>
            </w:r>
          </w:p>
        </w:tc>
        <w:tc>
          <w:tcPr>
            <w:tcW w:w="100" w:type="dxa"/>
            <w:vAlign w:val="bottom"/>
            <w:tcBorders>
              <w:bottom w:val="single" w:sz="8" w:color="CCEEFF"/>
            </w:tcBorders>
          </w:tcPr>
          <w:p>
            <w:pPr>
              <w:spacing w:after="0"/>
              <w:rPr>
                <w:sz w:val="12"/>
                <w:szCs w:val="12"/>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Classification on the Cash Flow</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w w:val="97"/>
              </w:rPr>
              <w:t>2021</w:t>
            </w:r>
          </w:p>
        </w:tc>
      </w:tr>
      <w:tr>
        <w:trPr>
          <w:trHeight w:val="17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80"/>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68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0"/>
        </w:trPr>
        <w:tc>
          <w:tcPr>
            <w:tcW w:w="9560" w:type="dxa"/>
            <w:vAlign w:val="bottom"/>
          </w:tcPr>
          <w:p>
            <w:pPr>
              <w:ind w:left="380"/>
              <w:spacing w:after="0"/>
              <w:rPr>
                <w:sz w:val="20"/>
                <w:szCs w:val="20"/>
                <w:color w:val="auto"/>
              </w:rPr>
            </w:pPr>
            <w:r>
              <w:rPr>
                <w:rFonts w:ascii="Arial" w:cs="Arial" w:eastAsia="Arial" w:hAnsi="Arial"/>
                <w:sz w:val="14"/>
                <w:szCs w:val="14"/>
                <w:color w:val="auto"/>
              </w:rPr>
              <w:t>At March 31, 2022, the future minimum annual obligations for the Company’s operating lease liabilities are as follows (in thousands):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0"/>
        </w:trPr>
        <w:tc>
          <w:tcPr>
            <w:tcW w:w="9560" w:type="dxa"/>
            <w:vAlign w:val="bottom"/>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5"/>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2,386</w:t>
            </w:r>
          </w:p>
        </w:tc>
      </w:tr>
      <w:tr>
        <w:trPr>
          <w:trHeight w:val="18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2025</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2,531</w:t>
            </w:r>
          </w:p>
        </w:tc>
      </w:tr>
      <w:tr>
        <w:trPr>
          <w:trHeight w:val="18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13,239</w:t>
            </w:r>
          </w:p>
        </w:tc>
      </w:tr>
      <w:tr>
        <w:trPr>
          <w:trHeight w:val="17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minimum payments required</w:t>
            </w: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24,969</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(4,373)</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Shareholder Litigation</w:t>
      </w:r>
    </w:p>
    <w:p>
      <w:pPr>
        <w:spacing w:after="0" w:line="98" w:lineRule="exact"/>
        <w:rPr>
          <w:sz w:val="20"/>
          <w:szCs w:val="20"/>
          <w:color w:val="auto"/>
        </w:rPr>
      </w:pPr>
    </w:p>
    <w:p>
      <w:pPr>
        <w:ind w:right="100" w:firstLine="382"/>
        <w:spacing w:after="0" w:line="282" w:lineRule="auto"/>
        <w:rPr>
          <w:sz w:val="20"/>
          <w:szCs w:val="20"/>
          <w:color w:val="auto"/>
        </w:rPr>
      </w:pPr>
      <w:r>
        <w:rPr>
          <w:rFonts w:ascii="Arial" w:cs="Arial" w:eastAsia="Arial" w:hAnsi="Arial"/>
          <w:sz w:val="13"/>
          <w:szCs w:val="13"/>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sought, among other things, damages in an unspecified amount, as well as costs and expenses. On September 20, 2021, the Court granted defendants’ motion to dismiss the amended complaint with leave to amend. Plaintiff did not file a further amended complaint and, on November 30, 2021, the Court dismissed the action with prejudice.</w:t>
      </w:r>
    </w:p>
    <w:p>
      <w:pPr>
        <w:spacing w:after="0" w:line="49"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On May 3, 2021, a shareholder derivative complaint was filed in the same Court based on allegations substantially similar to those in the class action, and purporting to assert claims on the Company’s behalf against current or former officers and directors for alleged violation of Sections 14(a) and 20(a) of the Exchange Act, breach of fiduciary duties, unjust enrichment, waste of corporate assets and insider selling. The parties to that derivative action agreed to the following: (1) the action should be dismissed without prejudice, meaning that the dismissal would not preclude the company, or another shareholder acting on behalf of the company, from asserting such claims in the future; (2) the plaintiffs and the defendants will all bear their own fees and costs incurred in connection with the action; and (3) neither the plaintiffs nor their counsel have received, or will receive, payment, compensation or consideration of any kind, directly or indirectly, in connection with the action or its dismissal. By Order dated January 14, 2022, the Court directed the Company to provide, in its filing on Form 10-K for the year ending December 31, 2021, notice to shareholders of the proposed dismissal without prejudice, which the Company did. On March 22, 2022, the Court entered an order dismissing the action without prejudice.</w:t>
      </w:r>
    </w:p>
    <w:p>
      <w:pPr>
        <w:spacing w:after="0" w:line="52"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Subsequent Event</w:t>
      </w:r>
    </w:p>
    <w:p>
      <w:pPr>
        <w:spacing w:after="0" w:line="98" w:lineRule="exact"/>
        <w:rPr>
          <w:sz w:val="20"/>
          <w:szCs w:val="20"/>
          <w:color w:val="auto"/>
        </w:rPr>
      </w:pPr>
    </w:p>
    <w:p>
      <w:pPr>
        <w:ind w:right="560" w:firstLine="382"/>
        <w:spacing w:after="0" w:line="321" w:lineRule="auto"/>
        <w:rPr>
          <w:sz w:val="20"/>
          <w:szCs w:val="20"/>
          <w:color w:val="auto"/>
        </w:rPr>
      </w:pPr>
      <w:r>
        <w:rPr>
          <w:rFonts w:ascii="Arial" w:cs="Arial" w:eastAsia="Arial" w:hAnsi="Arial"/>
          <w:sz w:val="13"/>
          <w:szCs w:val="13"/>
          <w:color w:val="auto"/>
        </w:rPr>
        <w:t>On April 27, 2022, we announced positive top-line data from our Phase 1 trial of ANB032, our investigational wholly owned anti-BTLA agonist antibody. Top-line data demonstrated favorable safety, tolerability, and a rapid and sustained pharmacokinetic and pharmacodynamic profile that supports advancement of ANB032 into subsequent patient trials.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21" w:name="page22"/>
    <w:bookmarkEnd w:id="21"/>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83"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forward-looking statements in this report include, among other things, statements about:</w:t>
      </w:r>
    </w:p>
    <w:p>
      <w:pPr>
        <w:spacing w:after="0" w:line="94"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success, cost, and timing of our product candidate development activities and ongoing and planned clinical trials;</w:t>
      </w:r>
    </w:p>
    <w:p>
      <w:pPr>
        <w:spacing w:after="0" w:line="93"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plans to develop and commercialize antibodies, including our lead product candidate: imsidolimab for patients with generalized pustular psoriasis (“GPP”) and skin toxicities associated with treatments with hidradenitis suppurativa;</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the coronavirus (“COVID-19”) pandemic on our business and the United States (“U.S.”) and global economies;</w:t>
      </w:r>
    </w:p>
    <w:p>
      <w:pPr>
        <w:spacing w:after="0" w:line="93"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4"/>
          <w:szCs w:val="14"/>
          <w:color w:val="231F20"/>
        </w:rPr>
        <w:t>U.S. Food and</w:t>
      </w:r>
      <w:r>
        <w:rPr>
          <w:rFonts w:ascii="Arial" w:cs="Arial" w:eastAsia="Arial" w:hAnsi="Arial"/>
          <w:sz w:val="14"/>
          <w:szCs w:val="14"/>
          <w:color w:val="auto"/>
        </w:rPr>
        <w:t xml:space="preserve"> </w:t>
      </w:r>
      <w:r>
        <w:rPr>
          <w:rFonts w:ascii="Arial" w:cs="Arial" w:eastAsia="Arial" w:hAnsi="Arial"/>
          <w:sz w:val="14"/>
          <w:szCs w:val="14"/>
          <w:color w:val="231F20"/>
        </w:rPr>
        <w:t xml:space="preserve">Drug Administration (“FDA”) </w:t>
      </w:r>
      <w:r>
        <w:rPr>
          <w:rFonts w:ascii="Arial" w:cs="Arial" w:eastAsia="Arial" w:hAnsi="Arial"/>
          <w:sz w:val="14"/>
          <w:szCs w:val="14"/>
          <w:color w:val="000000"/>
        </w:rPr>
        <w:t>and/or by foreign regulatory authorities outside of the jurisdiction where the study was being performed;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and ability of our collaborators to develop and commercialize our partnered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potential benefits and advantages of our product candidates and approaches versus those of our competitors;</w:t>
      </w:r>
    </w:p>
    <w:p>
      <w:pPr>
        <w:spacing w:after="0" w:line="93"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obtain funding for our operations, including funding necessary to complete further development and commercialization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of and our ability to obtain and maintain regulatory approvals for imsidolimab and our other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develop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any approved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size and growth potential of the markets for any approved product candidates, and our ability to serve those markets;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expectations regarding our ability to obtain and maintain intellectual property protection for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developments in the U.S., the United Kingdom, Australia, and other foreign countries;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success of competing therapies that are or may become available;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attract and retain key scientific or management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use of the net proceeds from our public offerings and other financing transactions;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identify additional products or product candidates with significant commercial potential that are consistent with our commercial objectives;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w:t>
      </w:r>
    </w:p>
    <w:p>
      <w:pPr>
        <w:spacing w:after="0" w:line="94"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2" w:name="page23"/>
    <w:bookmarkEnd w:id="22"/>
    <w:p>
      <w:pPr>
        <w:jc w:val="both"/>
        <w:ind w:right="40"/>
        <w:spacing w:after="0" w:line="267" w:lineRule="auto"/>
        <w:rPr>
          <w:sz w:val="20"/>
          <w:szCs w:val="20"/>
          <w:color w:val="auto"/>
        </w:rPr>
      </w:pPr>
      <w:r>
        <w:rPr>
          <w:rFonts w:ascii="Arial" w:cs="Arial" w:eastAsia="Arial" w:hAnsi="Arial"/>
          <w:sz w:val="14"/>
          <w:szCs w:val="14"/>
          <w:color w:val="auto"/>
        </w:rPr>
        <w:t>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57"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3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You should read this Quarterly Report with the understanding that our actual future results, levels of activity, performance, and events and circumstances may be materially different from what we expect.</w:t>
      </w:r>
    </w:p>
    <w:p>
      <w:pPr>
        <w:spacing w:after="0" w:line="47"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23" w:name="page24"/>
    <w:bookmarkEnd w:id="23"/>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8"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unaudited consolidated financial statements and related notes for the three months ended March 31, 2022, included in Part I, Item 1 of this report and with our audited consolidated financial statements and related notes thereto for the year ended December 31, 2021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 xml:space="preserve">We are a clinical-stage biotechnology company developing first-in-class antibodies focused on unmet medical needs in inflammation. Our proprietary anti-inflammatory pipeline includes imsidolimab, our anti-IL-36R antibody, previously referred to as ANB019, for the treatment of dermatological inflammatory diseases, including generalized pustular psoriasis, or GPP, and moderate-to-severe hidradenitis suppurativa; rosnilimab, our anti-PD-1 agonist program, previously referred to as ANB030, for the treatment of moderate-to-severe alopecia areata; and our anti-BTLA agonist program, ANB032, which is broadly applicable to human inflammatory diseases associated with lymphoid and myeloid immune cell dysregulation. Our antibody pipeline has been developed using our proprietary somatic hypermutation, or SHM platform, which uses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SHM for antibody discovery and is designed to replicate key features of the human immune system to overcome the limitations of competing antibody discovery technologies. We have also developed multiple therapeutic antibodies in an immuno-oncology collaboration with GSK, including an anti-PD-1 antagonist antibody (JEMPERLI (dostarlimab-gxly) GSK4057190), an anti-TIM-3 antagonist antibody (cobolimab, GSK4069889) and an anti-LAG-3 antagonist antibody (GSK4074386).</w:t>
      </w:r>
    </w:p>
    <w:p>
      <w:pPr>
        <w:spacing w:after="0" w:line="52" w:lineRule="exact"/>
        <w:rPr>
          <w:sz w:val="20"/>
          <w:szCs w:val="20"/>
          <w:color w:val="auto"/>
        </w:rPr>
      </w:pPr>
    </w:p>
    <w:p>
      <w:pPr>
        <w:ind w:firstLine="382"/>
        <w:spacing w:after="0" w:line="275" w:lineRule="auto"/>
        <w:rPr>
          <w:sz w:val="20"/>
          <w:szCs w:val="20"/>
          <w:color w:val="auto"/>
        </w:rPr>
      </w:pPr>
      <w:r>
        <w:rPr>
          <w:rFonts w:ascii="Arial" w:cs="Arial" w:eastAsia="Arial" w:hAnsi="Arial"/>
          <w:sz w:val="13"/>
          <w:szCs w:val="13"/>
          <w:color w:val="auto"/>
        </w:rPr>
        <w:t>Imsidolimab, our wholly-owned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trial prior to Day 29. The Modified Japanese Dermatology Association severity index total score (“mJDA-SI”), which incorporates both dermatological and systemic aspects of GPP, decreased for patients on average by 29% at week 1, 54% at week 4 and 58% at week 16. Erythema with pustules, which clinically defines GPP, decreased by 60% at week 1,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 Genotypic testing indicated homozygous wild-type IL-36RN, CARD14 and AP1S3 alleles for all 8 patients.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deemed a serious adverse event unrelated to imsidolimab, and did not lead to study discontinuation. Medical claims analyses conducted by IQVIA indicate approximately 37,000 unique patients were diagnosed with GPP at least once, and approximately 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4" w:name="page25"/>
    <w:bookmarkEnd w:id="24"/>
    <w:p>
      <w:pPr>
        <w:ind w:right="20"/>
        <w:spacing w:after="0" w:line="281" w:lineRule="auto"/>
        <w:rPr>
          <w:sz w:val="20"/>
          <w:szCs w:val="20"/>
          <w:color w:val="auto"/>
        </w:rPr>
      </w:pPr>
      <w:r>
        <w:rPr>
          <w:rFonts w:ascii="Arial" w:cs="Arial" w:eastAsia="Arial" w:hAnsi="Arial"/>
          <w:sz w:val="14"/>
          <w:szCs w:val="14"/>
          <w:color w:val="auto"/>
        </w:rPr>
        <w:t>unique patients were diagnosed with GPP at least twice, by a physician between 2017 and 2019 using the International Classification of Diseases 10th Revision (“ICD-10”) diagnostic code pertaining to GPP (L40.1).</w:t>
      </w:r>
    </w:p>
    <w:p>
      <w:pPr>
        <w:spacing w:after="0" w:line="47"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We met with the FDA during the second quarter of 2021 for an end-of-Phase 2 meeting to review an orphan disease registration plan for imsidolimab for the treatment of GPP. We have initiated our first Phase 3 trial for imsidolimab for GPP, called GEMINI-1. GEMINI-1 will enroll approximately 45 moderate-to-severe GPP patients, each undergoing an active flare at baseline, which will be randomized equally to receive a single dose of 750mg intravenous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6 months of monthly dosing. Top-line data from an interim analysis of GEMINI-1 is anticipated in the fourth quarter of 2023.</w:t>
      </w:r>
    </w:p>
    <w:p>
      <w:pPr>
        <w:spacing w:after="0" w:line="66"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We are conducting a global registry of GPP patients, also referred to as the RADIANCE study, which we anticipate will improve understanding of the patient journey and assist in enrollment of future GPP clinical trials.</w:t>
      </w:r>
    </w:p>
    <w:p>
      <w:pPr>
        <w:spacing w:after="0" w:line="47"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moderate-to-severe hidradenitis suppurativa, called HARP, where 120 patients will be randomized equally between two dose levels of imsidolimab and placebo, and we anticipate top-line data during the third quarter of 2022.</w:t>
      </w:r>
    </w:p>
    <w:p>
      <w:pPr>
        <w:spacing w:after="0" w:line="66" w:lineRule="exact"/>
        <w:rPr>
          <w:sz w:val="20"/>
          <w:szCs w:val="20"/>
          <w:color w:val="auto"/>
        </w:rPr>
      </w:pPr>
    </w:p>
    <w:p>
      <w:pPr>
        <w:ind w:right="20" w:firstLine="382"/>
        <w:spacing w:after="0" w:line="297" w:lineRule="auto"/>
        <w:rPr>
          <w:sz w:val="20"/>
          <w:szCs w:val="20"/>
          <w:color w:val="auto"/>
        </w:rPr>
      </w:pPr>
      <w:r>
        <w:rPr>
          <w:rFonts w:ascii="Arial" w:cs="Arial" w:eastAsia="Arial" w:hAnsi="Arial"/>
          <w:sz w:val="12"/>
          <w:szCs w:val="12"/>
          <w:color w:val="auto"/>
        </w:rPr>
        <w:t xml:space="preserve">Our second wholly-owned program, rosnilimab, previously referred to as ANB030, is an anti-PD-1 agonist antibody program designed to augment PD-1 signaling through rosnilimab treatment to suppress T-cell driven human inflammatory diseases. Genetic mutations in the PD-1 pathway are known to be associated with increased susceptibility to human inflammatory diseases, and hence we believe that rosnilimab is applicable to diseases where PD-1 checkpoint receptor function may be under-represented. We presented preclinical data for rosnilimab at the Festival of Biologics Annual Meeting in March 2020, including translational data demonstrating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activity of rosnilimab in alopecia areata patient samples. We announced positive top-line data from a healthy volunteer Phase 1 clinical trial of rosnilimab in November 2021. A total of 144 subjects were enrolled in the randomized, double-blind, placebo-controlled healthy volunteer Phase 1 trial, where single ascending dose (SAD) cohorts were administered single subcutaneous or IV doses of rosnilimab ranging between 0.02mg to 600mg or placebo, while multiple ascending dose (MAD) cohorts received four weekly subcutaneous doses of rosnilimab ranging between 60mg and 400mg or placebo. Rosnilimab was generally well-tolerated and no dose limiting toxicities were observed. Two serious adverse events were reported in single dose cohorts, including obstructive pancreatitis in a placebo-dosed subject and COVID-19 infection in a rosnilimab-dosed subject leading to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discontinuation which was deemed unrelated to treatment. No serious adverse events were reported in subjects receiving multiple doses of rosnilimab or placebo</w:t>
      </w:r>
      <w:r>
        <w:rPr>
          <w:rFonts w:ascii="Arial" w:cs="Arial" w:eastAsia="Arial" w:hAnsi="Arial"/>
          <w:sz w:val="16"/>
          <w:szCs w:val="16"/>
          <w:color w:val="008080"/>
        </w:rPr>
        <w:t>.</w:t>
      </w:r>
    </w:p>
    <w:p>
      <w:pPr>
        <w:spacing w:after="0" w:line="92" w:lineRule="exact"/>
        <w:rPr>
          <w:sz w:val="20"/>
          <w:szCs w:val="20"/>
          <w:color w:val="auto"/>
        </w:rPr>
      </w:pPr>
    </w:p>
    <w:p>
      <w:pPr>
        <w:ind w:firstLine="382"/>
        <w:spacing w:after="0" w:line="256" w:lineRule="auto"/>
        <w:rPr>
          <w:sz w:val="20"/>
          <w:szCs w:val="20"/>
          <w:color w:val="auto"/>
        </w:rPr>
      </w:pPr>
      <w:r>
        <w:rPr>
          <w:rFonts w:ascii="Arial" w:cs="Arial" w:eastAsia="Arial" w:hAnsi="Arial"/>
          <w:sz w:val="14"/>
          <w:szCs w:val="14"/>
          <w:color w:val="auto"/>
        </w:rPr>
        <w:t>Pharmacokinetic analyses demonstrated a favorable profile for rosnilimab with an estimated two-week half-life for subcutaneous and IV routes of administration.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 Rosnilimab’s pharmacodynamic activity resulted in rapid and sustained reduction in the quantity and functional activity of PD-1+ T cells, which are known to be pathogenic drivers of inflammatory diseases. Conventional T (Tcon) cells (CD3+, CD25 low) expressing PD-1, which represented approximately 25% of peripheral T cells at baseline, were reduced by 50%, including in both CD4+ and CD8+ subsets, in a dose-dependent manner and in correlation with receptor occupancy. This effect was maximized on high-PD-1 expressing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favorable shift in the ratio of PD-1+ Tcon cells to total Treg cells post-treatment. No effect (&lt;5% reduction from baseline) was observed on any of the aforementioned cell types in placebo-dosed subjects. In addition, an antigen-specific functional T cell recall response,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5" w:name="page26"/>
    <w:bookmarkEnd w:id="25"/>
    <w:p>
      <w:pPr>
        <w:ind w:right="20"/>
        <w:spacing w:after="0" w:line="258" w:lineRule="auto"/>
        <w:rPr>
          <w:sz w:val="20"/>
          <w:szCs w:val="20"/>
          <w:color w:val="auto"/>
        </w:rPr>
      </w:pPr>
      <w:r>
        <w:rPr>
          <w:rFonts w:ascii="Arial" w:cs="Arial" w:eastAsia="Arial" w:hAnsi="Arial"/>
          <w:sz w:val="14"/>
          <w:szCs w:val="14"/>
          <w:color w:val="auto"/>
        </w:rPr>
        <w:t>as ex vivo interferon-gamma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in vivo mechanism has the potential to treat T-cell driven human inflammatory diseases. During the fourth quarter of 2021, we initiated AZURE, a randomized placebo-controlled 45-patient Phase 2 trial of rosnilimab in moderate-to-severe alopecia areata patients with at least 50% scalp hair loss for at least 6 months prior to enrollment, where the primary endpoint is change in severity of alopecia tool (SALT) relative to baseline. Top-line data from the AZURE clinical trial is anticipated during the first half of 2023. We continue to assess clinical development opportunities for rosnilimab in additional indications, including vitiligo and rheumatoid arthritis.</w:t>
      </w:r>
    </w:p>
    <w:p>
      <w:pPr>
        <w:spacing w:after="0" w:line="65" w:lineRule="exact"/>
        <w:rPr>
          <w:sz w:val="20"/>
          <w:szCs w:val="20"/>
          <w:color w:val="auto"/>
        </w:rPr>
      </w:pPr>
    </w:p>
    <w:p>
      <w:pPr>
        <w:ind w:right="180" w:firstLine="382"/>
        <w:spacing w:after="0" w:line="298" w:lineRule="auto"/>
        <w:rPr>
          <w:sz w:val="20"/>
          <w:szCs w:val="20"/>
          <w:color w:val="auto"/>
        </w:rPr>
      </w:pPr>
      <w:r>
        <w:rPr>
          <w:rFonts w:ascii="Arial" w:cs="Arial" w:eastAsia="Arial" w:hAnsi="Arial"/>
          <w:sz w:val="13"/>
          <w:szCs w:val="13"/>
          <w:color w:val="auto"/>
        </w:rPr>
        <w:t>Our third wholly-owned program is an anti-BTLA agonist antibody, known as ANB032, which is broadly applicable to human inflammatory diseases associated with lymphoid and myeloid immune cell dysregulation. Genetic studies have demonstrated that BTLA pathway mutations increase human susceptibility to multiple autoimmune diseases and insufficient BTLA signaling can</w:t>
      </w:r>
    </w:p>
    <w:p>
      <w:pPr>
        <w:ind w:right="100"/>
        <w:spacing w:after="0" w:line="284" w:lineRule="auto"/>
        <w:rPr>
          <w:sz w:val="20"/>
          <w:szCs w:val="20"/>
          <w:color w:val="auto"/>
        </w:rPr>
      </w:pPr>
      <w:r>
        <w:rPr>
          <w:rFonts w:ascii="Arial" w:cs="Arial" w:eastAsia="Arial" w:hAnsi="Arial"/>
          <w:sz w:val="13"/>
          <w:szCs w:val="13"/>
          <w:color w:val="auto"/>
        </w:rPr>
        <w:t>lead to dysregulated T or B cell responses. ANB032 is anticipated to down-modulate the activity of T cells, B cells and BTLA expressing myeloid dendritic cells via several potential mechanisms: direct BTLA agonistic activity, stabilization of the interaction of BTLA and HVEM in cis which prevents pro-inflammatory signaling mediated by HVEM ligands such as LIGHT, and abrogation of pro-inflammatory HVEM signaling mediated by BTLA in trans. We announced positive top-line data from a healthy volunteer Phase 1 trial of ANB032, under an Australian Clinical Trial Notification (“CTN”), in April 2022. A total of 96 subjects were enrolled in the randomized, double-blind, placebo-controlled healthy volunteer Phase 1 trial, where single ascending dose (SAD) cohorts received subcutaneous or IV single doses of ANB032 or placebo, while multiple ascending dose (MAD) cohorts received four weekly subcutaneous doses of ANB032 or placebo.</w:t>
      </w:r>
    </w:p>
    <w:p>
      <w:pPr>
        <w:spacing w:after="0" w:line="49" w:lineRule="exact"/>
        <w:rPr>
          <w:sz w:val="20"/>
          <w:szCs w:val="20"/>
          <w:color w:val="auto"/>
        </w:rPr>
      </w:pPr>
    </w:p>
    <w:p>
      <w:pPr>
        <w:ind w:right="380" w:firstLine="382"/>
        <w:spacing w:after="0" w:line="262" w:lineRule="auto"/>
        <w:rPr>
          <w:sz w:val="20"/>
          <w:szCs w:val="20"/>
          <w:color w:val="auto"/>
        </w:rPr>
      </w:pPr>
      <w:r>
        <w:rPr>
          <w:rFonts w:ascii="Arial" w:cs="Arial" w:eastAsia="Arial" w:hAnsi="Arial"/>
          <w:sz w:val="14"/>
          <w:szCs w:val="14"/>
          <w:color w:val="auto"/>
        </w:rPr>
        <w:t>ANB032 was generally well-tolerated, no dose limiting toxicities were observed and there were no discontinuations due to adverse events other than one patient quarantined for potential COVID infection. No serious adverse events (SAEs) were reported. Most adverse events were considered to be mild-to-moderate, of short duration, resolved without sequelae and occurred sporadically in a dose-independent manner. Three severe adverse events (2 blood creatine phosphokinase (CPK) increase and 1 aspartate aminotransferase (AST) increase), none of which were treatment-related, were reported in two subjects in the lowest dose MAD cohort.</w:t>
      </w:r>
    </w:p>
    <w:p>
      <w:pPr>
        <w:spacing w:after="0" w:line="61"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Pharmacokinetic analyses demonstrated a favorable profile for ANB032 including an approximate two-week half-life for subcutaneous and IV routes of administration. ANB032 demonstrated rapid and sustained target engagement on both T cells and B cells with full BTLA receptor occupancy was observed within hours and was maintained for greater than 30 days following IV or subcutaneous ANB032 dosing. ANB032 pharmacodynamic activity resulted in reduction of cell surface BTLA expression on T cells and B cells following dosing. A portion of the cell surface BTLA was shed from the cells as soluble BTLA (sBTLA), while the residual approximately 60% of baseline BTLA on T cells and B cells remained occupied by ANB032. The duration of reduced BTLA expression correlated with receptor occupancy in a dose-dependent manner and was maintained for greater than 30 days following IV or subcutaneous ANB032 dosing. Importantly, reduction of cell surface BTLA expression and the shedding of a portion of the cell surface BTLA as soluble BTLA, which was previously demonstrated to occur with ANB032 treatment in animal models of inflammation where robust efficacy was observed, confirmed the pharmacodynamic activity of ANB032 in humans. Based upon these data, we believe ANB032’s in vivo mechanism has the potential to broadly treat T and B-cell driven human inflammatory diseases.</w:t>
      </w:r>
    </w:p>
    <w:p>
      <w:pPr>
        <w:spacing w:after="0" w:line="64"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In addition to our wholly-owned antibody programs, multiple Company-developed antibody programs have been advanced to preclinical and clinical milestones under our collaborations. We have received to date approximately $227.6 million in cash receipts from collaborations. Our collaborations include an immuno-oncology-focused collaboration with GlaxoSmithKline, Inc. (“GSK”) and an inflammation-focused collaboration with Bristol-Myers Squibb (“BMS”).</w:t>
      </w:r>
    </w:p>
    <w:p>
      <w:pPr>
        <w:spacing w:after="0" w:line="57" w:lineRule="exact"/>
        <w:rPr>
          <w:sz w:val="20"/>
          <w:szCs w:val="20"/>
          <w:color w:val="auto"/>
        </w:rPr>
      </w:pPr>
    </w:p>
    <w:p>
      <w:pPr>
        <w:ind w:right="20" w:firstLine="382"/>
        <w:spacing w:after="0" w:line="258" w:lineRule="auto"/>
        <w:rPr>
          <w:sz w:val="20"/>
          <w:szCs w:val="20"/>
          <w:color w:val="auto"/>
        </w:rPr>
      </w:pPr>
      <w:r>
        <w:rPr>
          <w:rFonts w:ascii="Arial" w:cs="Arial" w:eastAsia="Arial" w:hAnsi="Arial"/>
          <w:sz w:val="14"/>
          <w:szCs w:val="14"/>
          <w:color w:val="auto"/>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A second FDA approval was received in August 2021 for JEMPERLI in pan-deficient mismatch repair tumors (“PdMMRT”). JEMPERLI is currently in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development for various solid tumor indications, including first-line advanced/recurrent endometrial cancer, first line ovarian cancer, and non-small cell lung cancer.</w:t>
      </w:r>
    </w:p>
    <w:p>
      <w:pPr>
        <w:spacing w:after="0" w:line="94"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In addition, under the collaboration, GSK is developing dostarlimab in combination with two other development programs from the GSK Agreement: cobolimab, an anti-TIM-3 antibody, and GSK40974386, an anti-LAG-3 antibody for multiple solid tumor indications.</w:t>
      </w:r>
    </w:p>
    <w:p>
      <w:pPr>
        <w:spacing w:after="0" w:line="47" w:lineRule="exact"/>
        <w:rPr>
          <w:sz w:val="20"/>
          <w:szCs w:val="20"/>
          <w:color w:val="auto"/>
        </w:rPr>
      </w:pPr>
    </w:p>
    <w:p>
      <w:pPr>
        <w:ind w:right="80" w:firstLine="382"/>
        <w:spacing w:after="0" w:line="258" w:lineRule="auto"/>
        <w:rPr>
          <w:sz w:val="20"/>
          <w:szCs w:val="20"/>
          <w:color w:val="auto"/>
        </w:rPr>
      </w:pPr>
      <w:r>
        <w:rPr>
          <w:rFonts w:ascii="Arial" w:cs="Arial" w:eastAsia="Arial" w:hAnsi="Arial"/>
          <w:sz w:val="14"/>
          <w:szCs w:val="14"/>
          <w:color w:val="auto"/>
        </w:rPr>
        <w:t>Also, under a separate collaboration between GSK and iTeos Therapeutics, dostarlimab is being developed in combination with EOS-448 (anti-TIGIT) and inupadenant (A2A receptor antagonist) in various solid tumor indications, including registration-directed trials combining dostarlimab and EOS-448 for first-line PD-L1 high non-small cell lung cancer (NSCLC) patients, head and neck squamous cell cancer (HNSCC) and a third undisclosed indication. In addition, GSK is conducting combination trials of dostarlimab with Zejula, belantamab mafodotin (BCMA ADC), GSK6097608 (anti-CD96), GSK3745417 (STING agonist) and GSK4381562 (PVRIG). In June 2021, GSK estimated potential peak annual global JEMPERLI sales on a non-risk adjusted basis of £1-£2 billion, which is currently equal to approximately $1.3 to $2.6 billion based on the GBP to USD exchange rate as of March 31, 2022, for currently approved indications and first-line use in endometrial and ovarian cancer only.</w:t>
      </w:r>
    </w:p>
    <w:p>
      <w:pPr>
        <w:spacing w:after="0" w:line="65" w:lineRule="exact"/>
        <w:rPr>
          <w:sz w:val="20"/>
          <w:szCs w:val="20"/>
          <w:color w:val="auto"/>
        </w:rPr>
      </w:pPr>
    </w:p>
    <w:p>
      <w:pPr>
        <w:ind w:right="140" w:firstLine="382"/>
        <w:spacing w:after="0" w:line="282" w:lineRule="auto"/>
        <w:rPr>
          <w:sz w:val="20"/>
          <w:szCs w:val="20"/>
          <w:color w:val="auto"/>
        </w:rPr>
      </w:pPr>
      <w:r>
        <w:rPr>
          <w:rFonts w:ascii="Arial" w:cs="Arial" w:eastAsia="Arial" w:hAnsi="Arial"/>
          <w:sz w:val="13"/>
          <w:szCs w:val="13"/>
          <w:color w:val="auto"/>
        </w:rPr>
        <w:t>In October 2020, we amended our GSK collaboration to increase royalties on global net sales of JEMPERLI to 8% on annual global net sales below $1.0 billion and 12-25% of annual global net sales above $1.0 billion, add a 1% royalty rate on GSK’s global net sales of Zejula and received a one-time cash payment of $60.0 million. In October 2021, we signed a royalty monetization agreement (“Royalty Monetization Agreement”) with Sagard Healthcare Royalty Partners (“Sagard”). Pursuant to this transaction, we received a $250.0 million payment upon closing in December 2021, in exchange for JEMPERLI royalties due to us on annual commercial sales below $1.0 billion and certain milestones starting in October 2021. The aggregate JEMPERLI royalties and milestones to be received by Sagard under the Royalty Monetization Agreement is capped at certain fixed multiples of the upfront payment based upon time. For more information see Note 4 — Collaborative Research and Development Agreements and Note 5 — Sale of Future Royalties in the accompanying notes to the consolidated financial statements.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certain key information about our wholly-owned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120015</wp:posOffset>
            </wp:positionV>
            <wp:extent cx="4608195" cy="2115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08195"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w:t>
      </w:r>
    </w:p>
    <w:p>
      <w:pPr>
        <w:spacing w:after="0" w:line="9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are continuing to proactively monitor and assess the COVID-19 global pandemic. The full impact of the COVID-19 pandemic is inherently uncertain. Our ongoing clinical trials have been, and may continue to be, affected by the closure of offices, or country borders, among other measures being put in place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27" w:name="page28"/>
    <w:bookmarkEnd w:id="27"/>
    <w:p>
      <w:pPr>
        <w:ind w:right="80" w:firstLine="382"/>
        <w:spacing w:after="0" w:line="288" w:lineRule="auto"/>
        <w:rPr>
          <w:sz w:val="20"/>
          <w:szCs w:val="20"/>
          <w:color w:val="auto"/>
        </w:rPr>
      </w:pPr>
      <w:r>
        <w:rPr>
          <w:rFonts w:ascii="Arial" w:cs="Arial" w:eastAsia="Arial" w:hAnsi="Arial"/>
          <w:sz w:val="13"/>
          <w:szCs w:val="13"/>
          <w:color w:val="auto"/>
        </w:rPr>
        <w:t>The COVID-19 pandemic has caused us to modify our business practices (including but not limited to curtailing or modifying employee travel, moving to full remote work, and cancelling physical participation in meetings, events, and conferences). While we have begun to re-open our offices, we continue to allow remote work, we continue to monitor developments of the COVID-19 pandemic and we may take further actions as may be required by government authorities or that we determine are in the best interests of our employees, patients, and business partners. We have implemented appropriate safety measures, following guidance from the Center for Disease Control and the Occupational Safety and Health Administration.</w:t>
      </w:r>
    </w:p>
    <w:p>
      <w:pPr>
        <w:spacing w:after="0" w:line="46" w:lineRule="exact"/>
        <w:rPr>
          <w:sz w:val="20"/>
          <w:szCs w:val="20"/>
          <w:color w:val="auto"/>
        </w:rPr>
      </w:pPr>
    </w:p>
    <w:p>
      <w:pPr>
        <w:ind w:right="480" w:firstLine="382"/>
        <w:spacing w:after="0" w:line="321" w:lineRule="auto"/>
        <w:rPr>
          <w:sz w:val="20"/>
          <w:szCs w:val="20"/>
          <w:color w:val="auto"/>
        </w:rPr>
      </w:pPr>
      <w:r>
        <w:rPr>
          <w:rFonts w:ascii="Arial" w:cs="Arial" w:eastAsia="Arial" w:hAnsi="Arial"/>
          <w:sz w:val="13"/>
          <w:szCs w:val="13"/>
          <w:color w:val="auto"/>
        </w:rPr>
        <w:t>The extent of the impact of the COVID-19 pandemic on our future liquidity and operational performance will depend on certain developments, including the duration and spread of the outbreak, including its variants, the availability and effectiveness of vaccines, the impact on our clinical trials, patients, and collaboration partners, and the effect on our suppliers.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Operating Results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March 31, 2022, we have received $227.6 million in cash in non-dilutive funding from our collaborators.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94"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47" w:lineRule="exact"/>
        <w:rPr>
          <w:sz w:val="20"/>
          <w:szCs w:val="20"/>
          <w:color w:val="auto"/>
        </w:rPr>
      </w:pPr>
    </w:p>
    <w:p>
      <w:pPr>
        <w:ind w:left="700" w:right="2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Employee-related expenses, including salaries, benefits, travel, and stock-based compensation;</w:t>
      </w:r>
    </w:p>
    <w:p>
      <w:pPr>
        <w:spacing w:after="0" w:line="93" w:lineRule="exact"/>
        <w:rPr>
          <w:rFonts w:ascii="Arial" w:cs="Arial" w:eastAsia="Arial" w:hAnsi="Arial"/>
          <w:sz w:val="14"/>
          <w:szCs w:val="14"/>
          <w:color w:val="auto"/>
        </w:rPr>
      </w:pPr>
    </w:p>
    <w:p>
      <w:pPr>
        <w:ind w:left="700" w:right="36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Facilities, depreciation and other allocated expenses, which include direct and allocated expenses for rent and maintenance of facilities, depreciation of leasehold improvements and equipment, and laboratory supplies;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License and sub-license fees.</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47" w:lineRule="exact"/>
        <w:rPr>
          <w:sz w:val="20"/>
          <w:szCs w:val="20"/>
          <w:color w:val="auto"/>
        </w:rPr>
      </w:pPr>
    </w:p>
    <w:p>
      <w:pPr>
        <w:ind w:right="160" w:firstLine="382"/>
        <w:spacing w:after="0" w:line="331" w:lineRule="auto"/>
        <w:rPr>
          <w:sz w:val="20"/>
          <w:szCs w:val="20"/>
          <w:color w:val="auto"/>
        </w:rPr>
      </w:pPr>
      <w:r>
        <w:rPr>
          <w:rFonts w:ascii="Arial" w:cs="Arial" w:eastAsia="Arial" w:hAnsi="Arial"/>
          <w:sz w:val="12"/>
          <w:szCs w:val="12"/>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toxicology and pharmacology studies, drug product manufacturing, and clinical trials.</w:t>
      </w:r>
    </w:p>
    <w:p>
      <w:pPr>
        <w:spacing w:after="0" w:line="23" w:lineRule="exact"/>
        <w:rPr>
          <w:sz w:val="20"/>
          <w:szCs w:val="20"/>
          <w:color w:val="auto"/>
        </w:rPr>
      </w:pPr>
    </w:p>
    <w:p>
      <w:pPr>
        <w:jc w:val="both"/>
        <w:ind w:right="160" w:firstLine="382"/>
        <w:spacing w:after="0" w:line="267" w:lineRule="auto"/>
        <w:rPr>
          <w:sz w:val="20"/>
          <w:szCs w:val="20"/>
          <w:color w:val="auto"/>
        </w:rPr>
      </w:pPr>
      <w:r>
        <w:rPr>
          <w:rFonts w:ascii="Arial" w:cs="Arial" w:eastAsia="Arial" w:hAnsi="Arial"/>
          <w:sz w:val="14"/>
          <w:szCs w:val="14"/>
          <w:color w:val="auto"/>
        </w:rPr>
        <w:t>We have completed Phase 1 and Phase 2 clinical trials and have ongoing Phase 2 and 3 clinical trials for imsidolimab, completed a Phase 1 clinical trial and have an ongoing Phase 2 clinical trial in rosnilimab, and have completed a Phase 1 trial in ANB032. We expect our research and development expenses to be higher for the foreseeable future as we continue to advance our product candidates into larger clinical trials.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94"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28" w:name="page29"/>
    <w:bookmarkEnd w:id="28"/>
    <w:p>
      <w:pPr>
        <w:ind w:left="200"/>
        <w:spacing w:after="0"/>
        <w:rPr>
          <w:sz w:val="20"/>
          <w:szCs w:val="20"/>
          <w:color w:val="auto"/>
        </w:rPr>
      </w:pPr>
      <w:r>
        <w:rPr>
          <w:rFonts w:ascii="Arial" w:cs="Arial" w:eastAsia="Arial" w:hAnsi="Arial"/>
          <w:sz w:val="14"/>
          <w:szCs w:val="14"/>
          <w:b w:val="1"/>
          <w:bCs w:val="1"/>
          <w:i w:val="1"/>
          <w:iCs w:val="1"/>
          <w:color w:val="auto"/>
        </w:rPr>
        <w:t>Non-cash Interest Expense for the Sale of Future Royalties</w:t>
      </w:r>
    </w:p>
    <w:p>
      <w:pPr>
        <w:spacing w:after="0" w:line="94" w:lineRule="exact"/>
        <w:rPr>
          <w:sz w:val="20"/>
          <w:szCs w:val="20"/>
          <w:color w:val="auto"/>
        </w:rPr>
      </w:pPr>
    </w:p>
    <w:p>
      <w:pPr>
        <w:ind w:right="100" w:firstLine="191"/>
        <w:spacing w:after="0" w:line="262" w:lineRule="auto"/>
        <w:rPr>
          <w:sz w:val="20"/>
          <w:szCs w:val="20"/>
          <w:color w:val="auto"/>
        </w:rPr>
      </w:pPr>
      <w:r>
        <w:rPr>
          <w:rFonts w:ascii="Arial" w:cs="Arial" w:eastAsia="Arial" w:hAnsi="Arial"/>
          <w:sz w:val="14"/>
          <w:szCs w:val="14"/>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 Our estimate of the interest rate under the arrangement is based on forecasted royalty and milestone payments expected to be made to Sagard over the life of the agreement.</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consists primarily of interest earned on our short-term and long-term investments and is recognized when earned.</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98"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7, 2022.</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Comparison of the Three Months Ended March 31, 2022 and 2021</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Collaboration revenue consists of both milestone payments under the collaborations, and royalty payments. We recognized $0.0 million and $10.0 million in milestone revenue for the three months ended March 31, 2022 and 2021, respectively, related to milestone payments associated with JEMPERLI, the anti-PD-1 antagonist antibody partnered with GSK. For the first quarter of 2021, milestone revenue reflects $10.0 million for successful filing of the first BLA in a second indication for JEMPERLI.</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We expect that any collaboration revenue we generate will continue to fluctuate from period to period as a result of the timing and amount of milestones from our existing collaborations.</w:t>
      </w:r>
    </w:p>
    <w:p>
      <w:pPr>
        <w:spacing w:after="0" w:line="105" w:lineRule="exact"/>
        <w:rPr>
          <w:sz w:val="20"/>
          <w:szCs w:val="20"/>
          <w:color w:val="auto"/>
        </w:rPr>
      </w:pPr>
    </w:p>
    <w:p>
      <w:pPr>
        <w:ind w:right="600" w:firstLine="382"/>
        <w:spacing w:after="0" w:line="281" w:lineRule="auto"/>
        <w:rPr>
          <w:sz w:val="20"/>
          <w:szCs w:val="20"/>
          <w:color w:val="auto"/>
        </w:rPr>
      </w:pPr>
      <w:r>
        <w:rPr>
          <w:rFonts w:ascii="Arial" w:cs="Arial" w:eastAsia="Arial" w:hAnsi="Arial"/>
          <w:sz w:val="14"/>
          <w:szCs w:val="14"/>
          <w:color w:val="auto"/>
        </w:rPr>
        <w:t>Royalty revenue is a function of our partners' product sales and the applicable royalty rate. During the three months ended March 31, 2022 and 2021, we recognized $1.0 million and $1.2 million, respectively, related to the net sales of GSK’s Zejula and JEMPERLI, which we estimated based on GSK’s historical sales.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jc w:val="both"/>
        <w:ind w:right="400" w:firstLine="382"/>
        <w:spacing w:after="0" w:line="297" w:lineRule="auto"/>
        <w:rPr>
          <w:sz w:val="20"/>
          <w:szCs w:val="20"/>
          <w:color w:val="auto"/>
        </w:rPr>
      </w:pPr>
      <w:r>
        <w:rPr>
          <w:rFonts w:ascii="Arial" w:cs="Arial" w:eastAsia="Arial" w:hAnsi="Arial"/>
          <w:sz w:val="13"/>
          <w:szCs w:val="13"/>
          <w:color w:val="auto"/>
        </w:rPr>
        <w:t>Research and development expenses were $22.5 million during the three months ended March 31, 2022 compared to $24.2 million during the three months ended March 31, 2021 for a decrease of $1.7 million, primarily due to a $2.7 million decrease in outside services for manufacturing expenses, $0.4 million decrease in clinical expenses, offset by a $0.9 million increase in salaries and related expenses, including stock compensation expense, and a $0.5 million increase in other research and development expenses.</w:t>
      </w:r>
    </w:p>
    <w:p>
      <w:pPr>
        <w:spacing w:after="0" w:line="39" w:lineRule="exact"/>
        <w:rPr>
          <w:sz w:val="20"/>
          <w:szCs w:val="20"/>
          <w:color w:val="auto"/>
        </w:rPr>
      </w:pPr>
    </w:p>
    <w:p>
      <w:pPr>
        <w:ind w:right="160" w:firstLine="382"/>
        <w:spacing w:after="0" w:line="260" w:lineRule="auto"/>
        <w:rPr>
          <w:sz w:val="20"/>
          <w:szCs w:val="20"/>
          <w:color w:val="auto"/>
        </w:rPr>
      </w:pPr>
      <w:r>
        <w:rPr>
          <w:rFonts w:ascii="Arial" w:cs="Arial" w:eastAsia="Arial" w:hAnsi="Arial"/>
          <w:sz w:val="14"/>
          <w:szCs w:val="14"/>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02"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7"/>
        </w:trPr>
        <w:tc>
          <w:tcPr>
            <w:tcW w:w="7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March 31,</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w w:val="90"/>
              </w:rPr>
              <w:t>Increase/(Decrease)</w:t>
            </w:r>
          </w:p>
        </w:tc>
      </w:tr>
      <w:tr>
        <w:trPr>
          <w:trHeight w:val="161"/>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External Costs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7740" w:type="dxa"/>
            <w:vAlign w:val="bottom"/>
          </w:tcPr>
          <w:p>
            <w:pPr>
              <w:ind w:left="120"/>
              <w:spacing w:after="0"/>
              <w:rPr>
                <w:sz w:val="20"/>
                <w:szCs w:val="20"/>
                <w:color w:val="auto"/>
              </w:rPr>
            </w:pPr>
            <w:r>
              <w:rPr>
                <w:rFonts w:ascii="Arial" w:cs="Arial" w:eastAsia="Arial" w:hAnsi="Arial"/>
                <w:sz w:val="14"/>
                <w:szCs w:val="14"/>
                <w:color w:val="auto"/>
              </w:rPr>
              <w:t>Imsidolimab</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10,489</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12,266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(1,777)</w:t>
            </w:r>
          </w:p>
        </w:tc>
      </w:tr>
      <w:tr>
        <w:trPr>
          <w:trHeight w:val="181"/>
        </w:trPr>
        <w:tc>
          <w:tcPr>
            <w:tcW w:w="7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Rosnilimab</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180"/>
        </w:trPr>
        <w:tc>
          <w:tcPr>
            <w:tcW w:w="7740" w:type="dxa"/>
            <w:vAlign w:val="bottom"/>
          </w:tcPr>
          <w:p>
            <w:pPr>
              <w:ind w:left="120"/>
              <w:spacing w:after="0"/>
              <w:rPr>
                <w:sz w:val="20"/>
                <w:szCs w:val="20"/>
                <w:color w:val="auto"/>
              </w:rPr>
            </w:pPr>
            <w:r>
              <w:rPr>
                <w:rFonts w:ascii="Arial" w:cs="Arial" w:eastAsia="Arial" w:hAnsi="Arial"/>
                <w:sz w:val="14"/>
                <w:szCs w:val="14"/>
                <w:color w:val="auto"/>
              </w:rPr>
              <w:t>Etokimab</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1"/>
        </w:trPr>
        <w:tc>
          <w:tcPr>
            <w:tcW w:w="7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ANB032</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180"/>
        </w:trPr>
        <w:tc>
          <w:tcPr>
            <w:tcW w:w="7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Preclinical and other unallocated costs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r>
      <w:tr>
        <w:trPr>
          <w:trHeight w:val="171"/>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External Costs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w:t>
            </w:r>
          </w:p>
        </w:tc>
      </w:tr>
      <w:tr>
        <w:trPr>
          <w:trHeight w:val="18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Internal Costs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24,185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4"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General and administrative expenses were $10.2 million during the three months ended March 31, 2022 compared to $5.4 million during the three months ended March 31, 2021 for an increase of $4.8 million, primarily due to $0.6 million in severance costs and $3.2 million in non-cash stock compensation expense due to the resignation of our former President and CEO, and a $1.0 million increase in personnel costs including stock compensation expense.</w:t>
      </w:r>
    </w:p>
    <w:p>
      <w:pPr>
        <w:spacing w:after="0" w:line="57" w:lineRule="exact"/>
        <w:rPr>
          <w:sz w:val="20"/>
          <w:szCs w:val="20"/>
          <w:color w:val="auto"/>
        </w:rPr>
      </w:pPr>
    </w:p>
    <w:p>
      <w:pPr>
        <w:jc w:val="both"/>
        <w:ind w:right="140" w:firstLine="382"/>
        <w:spacing w:after="0" w:line="297" w:lineRule="auto"/>
        <w:rPr>
          <w:sz w:val="20"/>
          <w:szCs w:val="20"/>
          <w:color w:val="auto"/>
        </w:rPr>
      </w:pPr>
      <w:r>
        <w:rPr>
          <w:rFonts w:ascii="Arial" w:cs="Arial" w:eastAsia="Arial" w:hAnsi="Arial"/>
          <w:sz w:val="13"/>
          <w:szCs w:val="13"/>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Non-cash Interest Expense for the Sale of Future Royalties</w:t>
      </w:r>
    </w:p>
    <w:p>
      <w:pPr>
        <w:spacing w:after="0" w:line="94" w:lineRule="exact"/>
        <w:rPr>
          <w:sz w:val="20"/>
          <w:szCs w:val="20"/>
          <w:color w:val="auto"/>
        </w:rPr>
      </w:pPr>
    </w:p>
    <w:p>
      <w:pPr>
        <w:ind w:right="400" w:firstLine="191"/>
        <w:spacing w:after="0" w:line="281" w:lineRule="auto"/>
        <w:rPr>
          <w:sz w:val="20"/>
          <w:szCs w:val="20"/>
          <w:color w:val="auto"/>
        </w:rPr>
      </w:pPr>
      <w:r>
        <w:rPr>
          <w:rFonts w:ascii="Arial" w:cs="Arial" w:eastAsia="Arial" w:hAnsi="Arial"/>
          <w:sz w:val="14"/>
          <w:szCs w:val="14"/>
          <w:color w:val="auto"/>
        </w:rPr>
        <w:t>Non-cash interest expense was $4.9 million during the three months ended March 31, 2022 compared to $0 during the three months ended March 31, 2021. The increase in non-cash interest expense is due to interest recognized on the liability related to the sale of future royalties that was completed in December 2021.</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Interest income was $0.3 million and $0.2 million during the three months ended March 31, 2022 and 2021, respectively, which primarily related to our short-term and long-term investments, the balance of which increased as a result of the investment of proceeds from our sale of future royalties in December 2021.</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94"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Other income, net was less than $0.1 million for both the three months ended March 31, 2022 and 2021, which primarily related to foreign exchange transactions through our Australian subsidiary and with our foreign CROs and CMOs.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300" w:firstLine="382"/>
        <w:spacing w:after="0" w:line="267" w:lineRule="auto"/>
        <w:rPr>
          <w:sz w:val="20"/>
          <w:szCs w:val="20"/>
          <w:color w:val="auto"/>
        </w:rPr>
      </w:pPr>
      <w:r>
        <w:rPr>
          <w:rFonts w:ascii="Arial" w:cs="Arial" w:eastAsia="Arial" w:hAnsi="Arial"/>
          <w:sz w:val="14"/>
          <w:szCs w:val="14"/>
          <w:color w:val="auto"/>
        </w:rPr>
        <w:t>From our inception through March 31, 2022, we have received an aggregate of $1.1 billion to fund our operations, which included $627.7 million from the sale of equity securities, $250.0 million from the sale of future royalties, $227.6 million from our collaboration agreements and $19.1 million from venture debt. As of March 31, 2022, we had $596.8 million in cash, cash equivalents and investments.</w:t>
      </w:r>
    </w:p>
    <w:p>
      <w:pPr>
        <w:spacing w:after="0" w:line="57"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Our ability to earn these milestone and contingent payments and the timing of achieving these milestones is primarily dependent upon the outcome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3"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our collaborators’ research and development activities. Our rights to payments under our collaboration agreements are our only committed external source of funds.</w:t>
      </w:r>
    </w:p>
    <w:p>
      <w:pPr>
        <w:spacing w:after="0" w:line="94" w:lineRule="exact"/>
        <w:rPr>
          <w:sz w:val="20"/>
          <w:szCs w:val="20"/>
          <w:color w:val="auto"/>
        </w:rPr>
      </w:pPr>
    </w:p>
    <w:p>
      <w:pPr>
        <w:ind w:firstLine="382"/>
        <w:spacing w:after="0" w:line="256" w:lineRule="auto"/>
        <w:rPr>
          <w:sz w:val="20"/>
          <w:szCs w:val="20"/>
          <w:color w:val="auto"/>
        </w:rPr>
      </w:pPr>
      <w:r>
        <w:rPr>
          <w:rFonts w:ascii="Arial" w:cs="Arial" w:eastAsia="Arial" w:hAnsi="Arial"/>
          <w:sz w:val="14"/>
          <w:szCs w:val="14"/>
          <w:color w:val="auto"/>
        </w:rPr>
        <w:t>In October 2021, we signed the Royalty Monetization Agreement with Sagard. Pursuant to this transaction we received a $250.0 million payment upon closing in December 2021, in exchange for JEMPERLI royalties due to us on annual commercial sales below $1.0 billion and certain future milestones starting in October 2021. We treated the sale of future revenue from the Royalty Monetization Agreement with Sagard as debt, which will be amortized under the effective interest rate method over the estimated life of the related expected royalty stream. We recorded the upfront proceeds of $250.0 million, net of $0.4 million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we will record the royalty payments to Sagard as a reduction of the liability when paid. As such payments are made to Sagard, the balance of the liability will be effectively repaid over the life of the Royalty Monetization Agreement. For further discussion of the sale of future revenue, refer to Note 5 — Sale of Future Royalties in the accompanying notes to the consolidated financial statements.</w:t>
      </w:r>
    </w:p>
    <w:p>
      <w:pPr>
        <w:spacing w:after="0" w:line="67" w:lineRule="exact"/>
        <w:rPr>
          <w:sz w:val="20"/>
          <w:szCs w:val="20"/>
          <w:color w:val="auto"/>
        </w:rPr>
      </w:pPr>
    </w:p>
    <w:p>
      <w:pPr>
        <w:ind w:right="40" w:firstLine="382"/>
        <w:spacing w:after="0" w:line="297" w:lineRule="auto"/>
        <w:rPr>
          <w:sz w:val="20"/>
          <w:szCs w:val="20"/>
          <w:color w:val="auto"/>
        </w:rPr>
      </w:pPr>
      <w:r>
        <w:rPr>
          <w:rFonts w:ascii="Arial" w:cs="Arial" w:eastAsia="Arial" w:hAnsi="Arial"/>
          <w:sz w:val="13"/>
          <w:szCs w:val="13"/>
          <w:color w:val="auto"/>
        </w:rPr>
        <w:t>In December 2021, we entered into an Open Market Sales Agreement with Jefferies LLC, through which we may offer and sell shares of our common stock, having an aggregate offering of up to $150.0 million through Jefferies LLC as our sales agent. We will pay the agent a commission of up to 3% of the gross proceeds of sales made through the at-the-market offering program. During the three months ended March 31, 2022, we did not sell any shares under the at-the-market offering program and all $150.0 million remains available for sale.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Requirements</w:t>
      </w:r>
    </w:p>
    <w:p>
      <w:pPr>
        <w:spacing w:after="0" w:line="98"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47"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1" w:lineRule="exact"/>
        <w:rPr>
          <w:sz w:val="20"/>
          <w:szCs w:val="20"/>
          <w:color w:val="auto"/>
        </w:rPr>
      </w:pPr>
    </w:p>
    <w:p>
      <w:pPr>
        <w:ind w:right="100" w:firstLine="382"/>
        <w:spacing w:after="0" w:line="262" w:lineRule="auto"/>
        <w:rPr>
          <w:sz w:val="20"/>
          <w:szCs w:val="20"/>
          <w:color w:val="auto"/>
        </w:rPr>
      </w:pPr>
      <w:r>
        <w:rPr>
          <w:rFonts w:ascii="Arial" w:cs="Arial" w:eastAsia="Arial" w:hAnsi="Arial"/>
          <w:sz w:val="14"/>
          <w:szCs w:val="14"/>
          <w:color w:val="auto"/>
        </w:rPr>
        <w:t>Cash, cash equivalents and investments totaled $596.8 million as of March 31, 2022, compared to $615.2 million as of December 31, 2021.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cash flows for the three months ended March 31, 2022 and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Three Months Ended</w:t>
            </w:r>
          </w:p>
        </w:tc>
        <w:tc>
          <w:tcPr>
            <w:tcW w:w="1000" w:type="dxa"/>
            <w:vAlign w:val="bottom"/>
          </w:tcPr>
          <w:p>
            <w:pPr>
              <w:spacing w:after="0"/>
              <w:rPr>
                <w:sz w:val="10"/>
                <w:szCs w:val="10"/>
                <w:color w:val="auto"/>
              </w:rPr>
            </w:pPr>
          </w:p>
        </w:tc>
      </w:tr>
      <w:tr>
        <w:trPr>
          <w:trHeight w:val="147"/>
        </w:trPr>
        <w:tc>
          <w:tcPr>
            <w:tcW w:w="80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March 31,</w:t>
            </w:r>
          </w:p>
        </w:tc>
        <w:tc>
          <w:tcPr>
            <w:tcW w:w="1000" w:type="dxa"/>
            <w:vAlign w:val="bottom"/>
            <w:tcBorders>
              <w:bottom w:val="single" w:sz="8" w:color="auto"/>
            </w:tcBorders>
          </w:tcPr>
          <w:p>
            <w:pPr>
              <w:spacing w:after="0"/>
              <w:rPr>
                <w:sz w:val="12"/>
                <w:szCs w:val="12"/>
                <w:color w:val="auto"/>
              </w:rPr>
            </w:pPr>
          </w:p>
        </w:tc>
      </w:tr>
      <w:tr>
        <w:trPr>
          <w:trHeight w:val="140"/>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2021</w:t>
            </w:r>
          </w:p>
        </w:tc>
      </w:tr>
      <w:tr>
        <w:trPr>
          <w:trHeight w:val="161"/>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provided by:</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(21,014)</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(23,204)</w:t>
            </w:r>
          </w:p>
        </w:tc>
      </w:tr>
      <w:tr>
        <w:trPr>
          <w:trHeight w:val="181"/>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(312,912)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56,729</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4,609</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196"/>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(decrease) increase in cash and cash equivalents</w:t>
            </w:r>
          </w:p>
        </w:tc>
        <w:tc>
          <w:tcPr>
            <w:tcW w:w="38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(329,317)</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1" w:name="page32"/>
    <w:bookmarkEnd w:id="31"/>
    <w:p>
      <w:pPr>
        <w:ind w:left="320"/>
        <w:spacing w:after="0"/>
        <w:rPr>
          <w:sz w:val="20"/>
          <w:szCs w:val="20"/>
          <w:color w:val="auto"/>
        </w:rPr>
      </w:pPr>
      <w:r>
        <w:rPr>
          <w:rFonts w:ascii="Arial" w:cs="Arial" w:eastAsia="Arial" w:hAnsi="Arial"/>
          <w:sz w:val="14"/>
          <w:szCs w:val="14"/>
          <w:i w:val="1"/>
          <w:iCs w:val="1"/>
          <w:color w:val="auto"/>
        </w:rPr>
        <w:t>Operating Activities</w:t>
      </w:r>
    </w:p>
    <w:p>
      <w:pPr>
        <w:spacing w:after="0" w:line="94"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Net cash used in operating activities during the three months ended March 31, 2022 of $21.0 million was primarily due to our net loss of $36.3 million, adjusted for addbacks for non-cash expenses of $13.3 million, which includes stock-based compensation and amortization of operating right-of-use assets, and net increases in working capital of $2.0 million. Net cash used in operating activities during the three months ended March 31, 2021 of $23.2 million was primarily due to our net loss of $18.2 million, adjusted for non-cash expenses of $3.6 million, which includes stock-based compensation and amortization of operating right-of-use assets, and net decreases in working capital of $8.6 million.</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Investing Activities</w:t>
      </w:r>
    </w:p>
    <w:p>
      <w:pPr>
        <w:spacing w:after="0" w:line="94" w:lineRule="exact"/>
        <w:rPr>
          <w:sz w:val="20"/>
          <w:szCs w:val="20"/>
          <w:color w:val="auto"/>
        </w:rPr>
      </w:pPr>
    </w:p>
    <w:p>
      <w:pPr>
        <w:ind w:right="280" w:firstLine="382"/>
        <w:spacing w:after="0" w:line="281" w:lineRule="auto"/>
        <w:rPr>
          <w:sz w:val="20"/>
          <w:szCs w:val="20"/>
          <w:color w:val="auto"/>
        </w:rPr>
      </w:pPr>
      <w:r>
        <w:rPr>
          <w:rFonts w:ascii="Arial" w:cs="Arial" w:eastAsia="Arial" w:hAnsi="Arial"/>
          <w:sz w:val="14"/>
          <w:szCs w:val="14"/>
          <w:color w:val="auto"/>
        </w:rPr>
        <w:t>Net cash (used in) and provided by investing activities during the three months ended March 31, 2022 and 2021 of $(312.9) million and $56.7 million, respectively, primarily relates to the timing of our investments.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Financing Activities</w:t>
      </w:r>
    </w:p>
    <w:p>
      <w:pPr>
        <w:spacing w:after="0" w:line="94" w:lineRule="exact"/>
        <w:rPr>
          <w:sz w:val="20"/>
          <w:szCs w:val="20"/>
          <w:color w:val="auto"/>
        </w:rPr>
      </w:pPr>
    </w:p>
    <w:p>
      <w:pPr>
        <w:ind w:right="260" w:firstLine="382"/>
        <w:spacing w:after="0" w:line="267" w:lineRule="auto"/>
        <w:rPr>
          <w:sz w:val="20"/>
          <w:szCs w:val="20"/>
          <w:color w:val="auto"/>
        </w:rPr>
      </w:pPr>
      <w:r>
        <w:rPr>
          <w:rFonts w:ascii="Arial" w:cs="Arial" w:eastAsia="Arial" w:hAnsi="Arial"/>
          <w:sz w:val="14"/>
          <w:szCs w:val="14"/>
          <w:color w:val="auto"/>
        </w:rPr>
        <w:t>The net cash provided by financing activities during the three months ended March 31, 2022 of $4.6 million primarily related to the issuance of common stock upon the exercise of stock options. The net cash provided by financing activities during the three months ended March 31, 2021 of $0.2 million primarily related to the issuance of common stock upon the exercise of 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8"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61" w:lineRule="exact"/>
        <w:rPr>
          <w:sz w:val="20"/>
          <w:szCs w:val="20"/>
          <w:color w:val="auto"/>
        </w:rPr>
      </w:pPr>
    </w:p>
    <w:p>
      <w:pPr>
        <w:ind w:right="160" w:firstLine="382"/>
        <w:spacing w:after="0" w:line="281" w:lineRule="auto"/>
        <w:rPr>
          <w:sz w:val="20"/>
          <w:szCs w:val="20"/>
          <w:color w:val="auto"/>
        </w:rPr>
      </w:pPr>
      <w:r>
        <w:rPr>
          <w:rFonts w:ascii="Arial" w:cs="Arial" w:eastAsia="Arial" w:hAnsi="Arial"/>
          <w:sz w:val="14"/>
          <w:szCs w:val="14"/>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28"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8" w:lineRule="exact"/>
        <w:rPr>
          <w:sz w:val="20"/>
          <w:szCs w:val="20"/>
          <w:color w:val="auto"/>
        </w:rPr>
      </w:pPr>
    </w:p>
    <w:p>
      <w:pPr>
        <w:ind w:right="320" w:firstLine="382"/>
        <w:spacing w:after="0" w:line="281" w:lineRule="auto"/>
        <w:rPr>
          <w:sz w:val="20"/>
          <w:szCs w:val="20"/>
          <w:color w:val="auto"/>
        </w:rPr>
      </w:pPr>
      <w:r>
        <w:rPr>
          <w:rFonts w:ascii="Arial" w:cs="Arial" w:eastAsia="Arial" w:hAnsi="Arial"/>
          <w:sz w:val="14"/>
          <w:szCs w:val="14"/>
          <w:color w:val="auto"/>
        </w:rPr>
        <w:t>As of March 31, 2022,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7, 2022.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8"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2022,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49"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There were no changes in our internal control over financial reporting identified in connection with the evaluation required by Rules 13a-15(f) and 15d-15(f) of the Exchange Act that occurred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4"/>
          <w:szCs w:val="14"/>
          <w:b w:val="1"/>
          <w:bCs w:val="1"/>
          <w:color w:val="auto"/>
        </w:rPr>
        <w:t>PART II.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8"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further information related to our legal proceedings, see Note 9 — Commitments and Contingencies in the accompanying notes to the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Summary of Risk Factors</w:t>
      </w:r>
    </w:p>
    <w:p>
      <w:pPr>
        <w:spacing w:after="0" w:line="98"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47" w:lineRule="exact"/>
        <w:rPr>
          <w:sz w:val="20"/>
          <w:szCs w:val="20"/>
          <w:color w:val="auto"/>
        </w:rPr>
      </w:pPr>
    </w:p>
    <w:p>
      <w:pPr>
        <w:ind w:left="700" w:right="200" w:hanging="313"/>
        <w:spacing w:after="0" w:line="267"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6" w:lineRule="exact"/>
        <w:rPr>
          <w:rFonts w:ascii="Arial" w:cs="Arial" w:eastAsia="Arial" w:hAnsi="Arial"/>
          <w:sz w:val="14"/>
          <w:szCs w:val="14"/>
          <w:color w:val="auto"/>
        </w:rPr>
      </w:pPr>
    </w:p>
    <w:p>
      <w:pPr>
        <w:ind w:left="700" w:right="100" w:hanging="313"/>
        <w:spacing w:after="0" w:line="267"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6" w:lineRule="exact"/>
        <w:rPr>
          <w:rFonts w:ascii="Arial" w:cs="Arial" w:eastAsia="Arial" w:hAnsi="Arial"/>
          <w:sz w:val="14"/>
          <w:szCs w:val="14"/>
          <w:color w:val="auto"/>
        </w:rPr>
      </w:pPr>
    </w:p>
    <w:p>
      <w:pPr>
        <w:ind w:left="700" w:right="58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not be successful in our efforts to use our technology platform to expand our pipeline of product candidates and develop marketable products.</w:t>
      </w:r>
    </w:p>
    <w:p>
      <w:pPr>
        <w:spacing w:after="0" w:line="93" w:lineRule="exact"/>
        <w:rPr>
          <w:rFonts w:ascii="Arial" w:cs="Arial" w:eastAsia="Arial" w:hAnsi="Arial"/>
          <w:sz w:val="14"/>
          <w:szCs w:val="14"/>
          <w:color w:val="auto"/>
        </w:rPr>
      </w:pPr>
    </w:p>
    <w:p>
      <w:pPr>
        <w:ind w:left="700" w:right="16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recently commenced clinical development of imsidolimab, rosnilimab and ANB032 and no history of commercializing biotechnology products, which may make it difficult to evaluate the prospects for our future viability.</w:t>
      </w:r>
    </w:p>
    <w:p>
      <w:pPr>
        <w:spacing w:after="0" w:line="47" w:lineRule="exact"/>
        <w:rPr>
          <w:rFonts w:ascii="Arial" w:cs="Arial" w:eastAsia="Arial" w:hAnsi="Arial"/>
          <w:sz w:val="14"/>
          <w:szCs w:val="14"/>
          <w:color w:val="auto"/>
        </w:rPr>
      </w:pPr>
    </w:p>
    <w:p>
      <w:pPr>
        <w:ind w:left="700" w:right="54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face significant competition, and if our competitors develop and market products that are more effective, safer or less expensive than our product candidates, our commercial opportunities will be negatively impacted.</w:t>
      </w:r>
    </w:p>
    <w:p>
      <w:pPr>
        <w:spacing w:after="0" w:line="47" w:lineRule="exact"/>
        <w:rPr>
          <w:rFonts w:ascii="Arial" w:cs="Arial" w:eastAsia="Arial" w:hAnsi="Arial"/>
          <w:sz w:val="14"/>
          <w:szCs w:val="14"/>
          <w:color w:val="auto"/>
        </w:rPr>
      </w:pPr>
    </w:p>
    <w:p>
      <w:pPr>
        <w:ind w:left="700" w:right="36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product candidates may not achieve adequate market acceptance among physicians, patients, health care payors and others in the medical community necessary for commercial success.</w:t>
      </w:r>
    </w:p>
    <w:p>
      <w:pPr>
        <w:spacing w:after="0" w:line="47"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34" w:name="page35"/>
    <w:bookmarkEnd w:id="34"/>
    <w:p>
      <w:pPr>
        <w:ind w:left="700" w:hanging="313"/>
        <w:spacing w:after="0" w:line="267"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6" w:lineRule="exact"/>
        <w:rPr>
          <w:rFonts w:ascii="Arial" w:cs="Arial" w:eastAsia="Arial" w:hAnsi="Arial"/>
          <w:sz w:val="14"/>
          <w:szCs w:val="14"/>
          <w:color w:val="auto"/>
        </w:rPr>
      </w:pPr>
    </w:p>
    <w:p>
      <w:pPr>
        <w:ind w:left="700" w:right="40" w:hanging="313"/>
        <w:spacing w:after="0" w:line="281"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limited operating revenue and a history of operational losses and may not achieve or sustain profitability.</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no products approved for commercial sale, and to date we have not generated any revenue or profit from sales of our product candidates.</w:t>
      </w:r>
    </w:p>
    <w:p>
      <w:pPr>
        <w:spacing w:after="0" w:line="93" w:lineRule="exact"/>
        <w:rPr>
          <w:rFonts w:ascii="Arial" w:cs="Arial" w:eastAsia="Arial" w:hAnsi="Arial"/>
          <w:sz w:val="14"/>
          <w:szCs w:val="14"/>
          <w:color w:val="auto"/>
        </w:rPr>
      </w:pPr>
    </w:p>
    <w:p>
      <w:pPr>
        <w:ind w:left="700" w:right="460" w:hanging="313"/>
        <w:spacing w:after="0" w:line="281"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must attract and retain highly skilled employees in order to succeed.</w:t>
      </w:r>
    </w:p>
    <w:p>
      <w:pPr>
        <w:spacing w:after="0" w:line="93" w:lineRule="exact"/>
        <w:rPr>
          <w:rFonts w:ascii="Arial" w:cs="Arial" w:eastAsia="Arial" w:hAnsi="Arial"/>
          <w:sz w:val="14"/>
          <w:szCs w:val="14"/>
          <w:color w:val="auto"/>
        </w:rPr>
      </w:pPr>
    </w:p>
    <w:p>
      <w:pPr>
        <w:ind w:left="700" w:right="340" w:hanging="313"/>
        <w:spacing w:after="0" w:line="281"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47" w:lineRule="exact"/>
        <w:rPr>
          <w:rFonts w:ascii="Arial" w:cs="Arial" w:eastAsia="Arial" w:hAnsi="Arial"/>
          <w:sz w:val="14"/>
          <w:szCs w:val="14"/>
          <w:color w:val="auto"/>
        </w:rPr>
      </w:pPr>
    </w:p>
    <w:p>
      <w:pPr>
        <w:ind w:left="700" w:right="120" w:hanging="313"/>
        <w:spacing w:after="0" w:line="281"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existing collaborations, including the collaboration with GSK, are important to our business, and future collaborations may also be important to us. If we are unable to maintain any of these collaborations, or if these collaborations are not successful, our business could be adversely affected.</w:t>
      </w:r>
    </w:p>
    <w:p>
      <w:pPr>
        <w:spacing w:after="0" w:line="47" w:lineRule="exact"/>
        <w:rPr>
          <w:rFonts w:ascii="Arial" w:cs="Arial" w:eastAsia="Arial" w:hAnsi="Arial"/>
          <w:sz w:val="14"/>
          <w:szCs w:val="14"/>
          <w:color w:val="auto"/>
        </w:rPr>
      </w:pPr>
    </w:p>
    <w:p>
      <w:pPr>
        <w:ind w:left="700" w:hanging="313"/>
        <w:spacing w:after="0" w:line="281"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not succeed in establishing and maintaining additional development and commercialization collaborations, which could adversely affect our ability to develop and commercialize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Even if our product candidates receive regulatory approval, they will be subject to significant post-marketing regulatory requirements.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If we are unable to obtain or protect intellectual property rights, we may not be able to compete effectively in our market.</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not be able to protect our intellectual property rights throughout the world.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market price of our stock has been and may continue to be volatile, and you could lose all or part of your investment.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Discovery and Development of Our Product Candidates</w:t>
      </w:r>
    </w:p>
    <w:p>
      <w:pPr>
        <w:spacing w:after="0" w:line="94" w:lineRule="exact"/>
        <w:rPr>
          <w:sz w:val="20"/>
          <w:szCs w:val="20"/>
          <w:color w:val="auto"/>
        </w:rPr>
      </w:pPr>
    </w:p>
    <w:p>
      <w:pPr>
        <w:jc w:val="both"/>
        <w:ind w:right="220"/>
        <w:spacing w:after="0" w:line="270" w:lineRule="auto"/>
        <w:rPr>
          <w:sz w:val="20"/>
          <w:szCs w:val="20"/>
          <w:color w:val="auto"/>
        </w:rPr>
      </w:pPr>
      <w:r>
        <w:rPr>
          <w:rFonts w:ascii="Arial" w:cs="Arial" w:eastAsia="Arial" w:hAnsi="Arial"/>
          <w:sz w:val="14"/>
          <w:szCs w:val="14"/>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5"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We are using our proprietary technology platform to develop therapeutic antibodies, including our wholly-owned product candidates, as well as other programs that are being developed by our collaborators. However, all of our wholly-owned and most of partnered product candidates are in various stages of development, and, for a wide variety of reasons discussed below, may fail in development or suffer delays that adversely affect their commercial viability.</w:t>
      </w:r>
    </w:p>
    <w:p>
      <w:pPr>
        <w:spacing w:after="0" w:line="57" w:lineRule="exact"/>
        <w:rPr>
          <w:sz w:val="20"/>
          <w:szCs w:val="20"/>
          <w:color w:val="auto"/>
        </w:rPr>
      </w:pPr>
    </w:p>
    <w:p>
      <w:pPr>
        <w:ind w:right="140" w:firstLine="382"/>
        <w:spacing w:after="0" w:line="319" w:lineRule="auto"/>
        <w:rPr>
          <w:sz w:val="20"/>
          <w:szCs w:val="20"/>
          <w:color w:val="auto"/>
        </w:rPr>
      </w:pPr>
      <w:r>
        <w:rPr>
          <w:rFonts w:ascii="Arial" w:cs="Arial" w:eastAsia="Arial" w:hAnsi="Arial"/>
          <w:sz w:val="12"/>
          <w:szCs w:val="12"/>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35" w:name="page36"/>
    <w:bookmarkEnd w:id="35"/>
    <w:p>
      <w:pPr>
        <w:ind w:firstLine="382"/>
        <w:spacing w:after="0" w:line="284" w:lineRule="auto"/>
        <w:rPr>
          <w:sz w:val="20"/>
          <w:szCs w:val="20"/>
          <w:color w:val="auto"/>
        </w:rPr>
      </w:pPr>
      <w:r>
        <w:rPr>
          <w:rFonts w:ascii="Arial" w:cs="Arial" w:eastAsia="Arial" w:hAnsi="Arial"/>
          <w:sz w:val="13"/>
          <w:szCs w:val="13"/>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 For example, top-line data from our ACORN clinical trial of imsidolimab in moderate-to-severe acne did not demonstrate efficacy over placebo on primary or secondary endpoints, and we do not currently plan to conduct further development of imsidolimab in acne.</w:t>
      </w:r>
    </w:p>
    <w:p>
      <w:pPr>
        <w:spacing w:after="0" w:line="49"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If our other ongoing or future clinical trials of imsidolimab are unsuccessful, whether for one of the reasons mentioned above or otherwise, imsidolimab may be delayed in development or fail entirely, which would have a material adverse impact on our business.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success of our current product candidates, and any other product candidates we may develop in the future, will depend on many factors, including the following:</w:t>
      </w:r>
    </w:p>
    <w:p>
      <w:pPr>
        <w:spacing w:after="0" w:line="94" w:lineRule="exact"/>
        <w:rPr>
          <w:sz w:val="20"/>
          <w:szCs w:val="20"/>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obtaining regulatory permission to initiate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 enrollment of patients in, and the completion of, our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receiving marketing approvals from applicable regulatory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establishing commercial manufacturing capabilities and/or making arrangements with third-party manufacturers;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non-patent exclusivity for our product candidates and their components;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enforcing and defending intellectual property rights and claims;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achieving desirable therapeutic properties for our product candidates’ intended indications;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if and when approved, whether alone or in collaboration with third parties;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acceptance of our product candidates, if and when approved, by patients, the medical community and third-party payors;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maintaining an acceptable safety profile of our product candidates through clinical trials and following regulatory approval.</w:t>
      </w:r>
    </w:p>
    <w:p>
      <w:pPr>
        <w:spacing w:after="0" w:line="94" w:lineRule="exact"/>
        <w:rPr>
          <w:sz w:val="20"/>
          <w:szCs w:val="20"/>
          <w:color w:val="auto"/>
        </w:rPr>
      </w:pPr>
    </w:p>
    <w:p>
      <w:pPr>
        <w:ind w:right="300" w:firstLine="382"/>
        <w:spacing w:after="0" w:line="281" w:lineRule="auto"/>
        <w:rPr>
          <w:sz w:val="20"/>
          <w:szCs w:val="20"/>
          <w:color w:val="auto"/>
        </w:rPr>
      </w:pPr>
      <w:r>
        <w:rPr>
          <w:rFonts w:ascii="Arial" w:cs="Arial" w:eastAsia="Arial" w:hAnsi="Arial"/>
          <w:sz w:val="14"/>
          <w:szCs w:val="14"/>
          <w:color w:val="auto"/>
        </w:rPr>
        <w:t>If we do not achieve one or more of these factors in a timely manner or at all, we could experience significant delays or an inability to successfully commercialize our product candidates, which would harm our business.</w:t>
      </w:r>
    </w:p>
    <w:p>
      <w:pPr>
        <w:spacing w:after="0" w:line="47"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 We recently discontinued imsidolimab clinical development for EGFR-mediated skin toxicities due, in part, to slower than anticipated enrollment in planned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7" w:right="379" w:bottom="1440" w:gutter="0" w:footer="0" w:header="0"/>
        </w:sectPr>
      </w:pPr>
    </w:p>
    <w:bookmarkStart w:id="36" w:name="page37"/>
    <w:bookmarkEnd w:id="36"/>
    <w:p>
      <w:pPr>
        <w:ind w:right="120"/>
        <w:spacing w:after="0" w:line="270" w:lineRule="auto"/>
        <w:rPr>
          <w:sz w:val="20"/>
          <w:szCs w:val="20"/>
          <w:color w:val="auto"/>
        </w:rPr>
      </w:pPr>
      <w:r>
        <w:rPr>
          <w:rFonts w:ascii="Arial" w:cs="Arial" w:eastAsia="Arial" w:hAnsi="Arial"/>
          <w:sz w:val="14"/>
          <w:szCs w:val="14"/>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5"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61" w:lineRule="exact"/>
        <w:rPr>
          <w:sz w:val="20"/>
          <w:szCs w:val="20"/>
          <w:color w:val="auto"/>
        </w:rPr>
      </w:pPr>
    </w:p>
    <w:p>
      <w:pPr>
        <w:ind w:firstLine="382"/>
        <w:spacing w:after="0" w:line="307" w:lineRule="auto"/>
        <w:rPr>
          <w:sz w:val="20"/>
          <w:szCs w:val="20"/>
          <w:color w:val="auto"/>
        </w:rPr>
      </w:pPr>
      <w:r>
        <w:rPr>
          <w:rFonts w:ascii="Arial" w:cs="Arial" w:eastAsia="Arial" w:hAnsi="Arial"/>
          <w:sz w:val="12"/>
          <w:szCs w:val="12"/>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and other clinical trials with rosnilimab and ANB032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38" w:lineRule="exact"/>
        <w:rPr>
          <w:sz w:val="20"/>
          <w:szCs w:val="20"/>
          <w:color w:val="auto"/>
        </w:rPr>
      </w:pPr>
    </w:p>
    <w:p>
      <w:pPr>
        <w:ind w:right="60" w:firstLine="382"/>
        <w:spacing w:after="0" w:line="256" w:lineRule="auto"/>
        <w:rPr>
          <w:sz w:val="20"/>
          <w:szCs w:val="20"/>
          <w:color w:val="auto"/>
        </w:rPr>
      </w:pPr>
      <w:r>
        <w:rPr>
          <w:rFonts w:ascii="Arial" w:cs="Arial" w:eastAsia="Arial" w:hAnsi="Arial"/>
          <w:sz w:val="14"/>
          <w:szCs w:val="14"/>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65"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66"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8" w:right="339" w:bottom="1440" w:gutter="0" w:footer="0" w:header="0"/>
        </w:sectPr>
      </w:pPr>
    </w:p>
    <w:bookmarkStart w:id="37" w:name="page38"/>
    <w:bookmarkEnd w:id="37"/>
    <w:p>
      <w:pPr>
        <w:ind w:right="620"/>
        <w:spacing w:after="0" w:line="287" w:lineRule="auto"/>
        <w:rPr>
          <w:sz w:val="20"/>
          <w:szCs w:val="20"/>
          <w:color w:val="auto"/>
        </w:rPr>
      </w:pPr>
      <w:r>
        <w:rPr>
          <w:rFonts w:ascii="Arial" w:cs="Arial" w:eastAsia="Arial" w:hAnsi="Arial"/>
          <w:sz w:val="14"/>
          <w:szCs w:val="14"/>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3" w:lineRule="exact"/>
        <w:rPr>
          <w:sz w:val="20"/>
          <w:szCs w:val="20"/>
          <w:color w:val="auto"/>
        </w:rPr>
      </w:pPr>
    </w:p>
    <w:p>
      <w:pPr>
        <w:ind w:right="80" w:firstLine="382"/>
        <w:spacing w:after="0" w:line="277" w:lineRule="auto"/>
        <w:rPr>
          <w:sz w:val="20"/>
          <w:szCs w:val="20"/>
          <w:color w:val="auto"/>
        </w:rPr>
      </w:pPr>
      <w:r>
        <w:rPr>
          <w:rFonts w:ascii="Arial" w:cs="Arial" w:eastAsia="Arial" w:hAnsi="Arial"/>
          <w:sz w:val="13"/>
          <w:szCs w:val="13"/>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we have cleared an IND to conduct a clinical trial for rosnilimab in the United States and we have cleared a CTA to conduct a clinical trial for ANB032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57"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spacing w:after="0" w:line="54"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57" w:lineRule="exact"/>
        <w:rPr>
          <w:sz w:val="20"/>
          <w:szCs w:val="20"/>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imposition of a clinical hold for safety reasons or following an inspection of clinical trial operations or site by the FDA or other regulatory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manufacturing challenges;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insufficient supply or quality of product candidates or other materials necessary to conduct clinical trials;</w:t>
      </w:r>
    </w:p>
    <w:p>
      <w:pPr>
        <w:spacing w:after="0" w:line="93"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non-clinical or clinical sites becoming unavailable due to political, economic, or public health events, such as the COVID-19 pandemic;</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sites electing to terminate their participation in one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or unwillingness of patients or medical investigators to follow clinical trial protocols;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required clinical trial administrative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38" w:name="page39"/>
    <w:bookmarkEnd w:id="38"/>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slower than anticipated patient enrollment;</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changing standards of care;</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safety concerns;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availability or prevalence of use of a comparative drug or required prior therapy; or</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clinical outcomes or financial constraints.</w:t>
      </w:r>
    </w:p>
    <w:p>
      <w:pPr>
        <w:spacing w:after="0" w:line="94"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we experience any of the issues described above, or other similar or related issues, we may:</w:t>
      </w:r>
    </w:p>
    <w:p>
      <w:pPr>
        <w:spacing w:after="0" w:line="94" w:lineRule="exact"/>
        <w:rPr>
          <w:sz w:val="20"/>
          <w:szCs w:val="20"/>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obtain marketing approval in some countries and not in others;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or distribution restrictions or safety warnings, including boxed warnings;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successful in our efforts to use our technology platform to expand our pipeline of product candidates and develop marketable products.</w:t>
      </w:r>
    </w:p>
    <w:p>
      <w:pPr>
        <w:spacing w:after="0" w:line="98"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64"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9" w:name="page40"/>
    <w:bookmarkEnd w:id="39"/>
    <w:p>
      <w:pPr>
        <w:ind w:right="540"/>
        <w:spacing w:after="0" w:line="281" w:lineRule="auto"/>
        <w:rPr>
          <w:sz w:val="20"/>
          <w:szCs w:val="20"/>
          <w:color w:val="auto"/>
        </w:rPr>
      </w:pPr>
      <w:r>
        <w:rPr>
          <w:rFonts w:ascii="Arial" w:cs="Arial" w:eastAsia="Arial" w:hAnsi="Arial"/>
          <w:sz w:val="14"/>
          <w:szCs w:val="14"/>
          <w:color w:val="auto"/>
        </w:rPr>
        <w:t>rights to that product candidate through collaboration, licensing or other royalty arrangements in cases in which it would have been more advantageous for us to retain sole development and commercialization rights.</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We have recently commenced clinical development of imsidolimab, rosnilimab and ANB032 and no history of commercializing biotechnology products, which may make it difficult to evaluate the prospects for our future viability.</w:t>
      </w:r>
    </w:p>
    <w:p>
      <w:pPr>
        <w:spacing w:after="0" w:line="43"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49" w:lineRule="exact"/>
        <w:rPr>
          <w:sz w:val="20"/>
          <w:szCs w:val="20"/>
          <w:color w:val="auto"/>
        </w:rPr>
      </w:pPr>
    </w:p>
    <w:p>
      <w:pPr>
        <w:ind w:right="200" w:firstLine="382"/>
        <w:spacing w:after="0" w:line="281" w:lineRule="auto"/>
        <w:rPr>
          <w:sz w:val="20"/>
          <w:szCs w:val="20"/>
          <w:color w:val="auto"/>
        </w:rPr>
      </w:pPr>
      <w:r>
        <w:rPr>
          <w:rFonts w:ascii="Arial" w:cs="Arial" w:eastAsia="Arial" w:hAnsi="Arial"/>
          <w:sz w:val="14"/>
          <w:szCs w:val="14"/>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47" w:lineRule="exact"/>
        <w:rPr>
          <w:sz w:val="20"/>
          <w:szCs w:val="20"/>
          <w:color w:val="auto"/>
        </w:rPr>
      </w:pPr>
    </w:p>
    <w:p>
      <w:pPr>
        <w:ind w:left="700" w:right="300" w:hanging="313"/>
        <w:spacing w:after="0" w:line="281" w:lineRule="auto"/>
        <w:tabs>
          <w:tab w:leader="none" w:pos="6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47" w:lineRule="exact"/>
        <w:rPr>
          <w:rFonts w:ascii="Arial" w:cs="Arial" w:eastAsia="Arial" w:hAnsi="Arial"/>
          <w:sz w:val="14"/>
          <w:szCs w:val="14"/>
          <w:color w:val="auto"/>
        </w:rPr>
      </w:pPr>
    </w:p>
    <w:p>
      <w:pPr>
        <w:ind w:left="700" w:right="220" w:hanging="313"/>
        <w:spacing w:after="0" w:line="281" w:lineRule="auto"/>
        <w:tabs>
          <w:tab w:leader="none" w:pos="6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conditions imposed by the FDA or foreign regulatory authorities regarding the number, scope or design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delays in enrolling research subjects in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high drop-out rates of research subjects;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inadequate supply or quality of clinical trial materials or other supplies necessary for the conduct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greater than anticipated clinical trial costs;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poor effectiveness or unacceptable side effects of our product candidates during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unfavorable FDA or other regulatory agency inspection and review of a clinical trial site;</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failure of our third-party contractors or investigators to comply with regulatory requirements or otherwise meet their contractual obligations in a timely manner, or at all;</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serious and unexpected drug-related side effects experienced by participants in our planned clinical trials or by individuals using drugs similar to our product candidates;</w:t>
      </w:r>
    </w:p>
    <w:p>
      <w:pPr>
        <w:spacing w:after="0" w:line="93" w:lineRule="exact"/>
        <w:rPr>
          <w:rFonts w:ascii="Arial" w:cs="Arial" w:eastAsia="Arial" w:hAnsi="Arial"/>
          <w:sz w:val="14"/>
          <w:szCs w:val="14"/>
          <w:color w:val="auto"/>
        </w:rPr>
      </w:pPr>
    </w:p>
    <w:p>
      <w:pPr>
        <w:ind w:left="700" w:right="140" w:hanging="313"/>
        <w:spacing w:after="0" w:line="281" w:lineRule="auto"/>
        <w:tabs>
          <w:tab w:leader="none" w:pos="6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delays and changes in regulatory requirements, policy and guidelines, including the imposition of additional regulatory oversight around clinical testing generally or with respect to our technology in particular; or</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varying interpretations of data by the FDA and foreign regulatory authorities.</w:t>
      </w:r>
    </w:p>
    <w:p>
      <w:pPr>
        <w:spacing w:after="0" w:line="94"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40" w:name="page41"/>
    <w:bookmarkEnd w:id="40"/>
    <w:p>
      <w:pPr>
        <w:ind w:right="440" w:firstLine="382"/>
        <w:spacing w:after="0" w:line="281" w:lineRule="auto"/>
        <w:rPr>
          <w:sz w:val="20"/>
          <w:szCs w:val="20"/>
          <w:color w:val="auto"/>
        </w:rPr>
      </w:pPr>
      <w:r>
        <w:rPr>
          <w:rFonts w:ascii="Arial" w:cs="Arial" w:eastAsia="Arial" w:hAnsi="Arial"/>
          <w:sz w:val="14"/>
          <w:szCs w:val="14"/>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4"/>
          <w:szCs w:val="14"/>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43" w:lineRule="exact"/>
        <w:rPr>
          <w:sz w:val="20"/>
          <w:szCs w:val="20"/>
          <w:color w:val="auto"/>
        </w:rPr>
      </w:pPr>
    </w:p>
    <w:p>
      <w:pPr>
        <w:ind w:firstLine="382"/>
        <w:spacing w:after="0" w:line="304" w:lineRule="auto"/>
        <w:rPr>
          <w:sz w:val="20"/>
          <w:szCs w:val="20"/>
          <w:color w:val="auto"/>
        </w:rPr>
      </w:pPr>
      <w:r>
        <w:rPr>
          <w:rFonts w:ascii="Arial" w:cs="Arial" w:eastAsia="Arial" w:hAnsi="Arial"/>
          <w:sz w:val="12"/>
          <w:szCs w:val="12"/>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GPP, our competitors include other anti-IL-36 receptor antibodies called spesolimab or BI 655130 (Boehringer Ingelheim) and REGN6490 (Regeneron).</w:t>
      </w:r>
    </w:p>
    <w:p>
      <w:pPr>
        <w:spacing w:after="0" w:line="94"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For hidradenitis suppurativa, our competitors include adalimumab (Humira; Abbvie) which is approved for the treatment of moderate to severe hidradenitis suppurativa for patients 12 years of age or older, as well as therapies in development such as secukinumab (Cosentyx; Novartis), which binds IL-17A and bimekizumab (UCB) which block IL-17 cytokine function, bermekimab (Janssen) which blocks IL-1α cytokine function, and an anti-IL-36 receptor antibody called spesolimab or BI-655130 (Boehringer Ingelheim)</w:t>
      </w:r>
      <w:r>
        <w:rPr>
          <w:rFonts w:ascii="Arial" w:cs="Arial" w:eastAsia="Arial" w:hAnsi="Arial"/>
          <w:sz w:val="14"/>
          <w:szCs w:val="14"/>
          <w:color w:val="auto"/>
        </w:rPr>
        <w:t>.</w:t>
      </w:r>
    </w:p>
    <w:p>
      <w:pPr>
        <w:spacing w:after="0" w:line="57" w:lineRule="exact"/>
        <w:rPr>
          <w:sz w:val="20"/>
          <w:szCs w:val="20"/>
          <w:color w:val="auto"/>
        </w:rPr>
      </w:pPr>
    </w:p>
    <w:p>
      <w:pPr>
        <w:ind w:right="520" w:firstLine="382"/>
        <w:spacing w:after="0" w:line="321" w:lineRule="auto"/>
        <w:rPr>
          <w:sz w:val="20"/>
          <w:szCs w:val="20"/>
          <w:color w:val="auto"/>
        </w:rPr>
      </w:pPr>
      <w:r>
        <w:rPr>
          <w:rFonts w:ascii="Arial" w:cs="Arial" w:eastAsia="Arial" w:hAnsi="Arial"/>
          <w:sz w:val="13"/>
          <w:szCs w:val="13"/>
          <w:color w:val="auto"/>
        </w:rPr>
        <w:t>For our anti-PD-1 agonist antibody program, our competitors include other anti-PD-1 agonist antibodies LY3462817 (Eli Lilly) in P2 development, JNJ-67484703 (Janssen) in Phase 2 development, PT627 and PT001 (Pandion Therapeutics, which has been acquired by Merck) in preclinical development, and MB151 (MiroBio) in preclinical development.</w:t>
      </w:r>
    </w:p>
    <w:p>
      <w:pPr>
        <w:spacing w:after="0" w:line="24" w:lineRule="exact"/>
        <w:rPr>
          <w:sz w:val="20"/>
          <w:szCs w:val="20"/>
          <w:color w:val="auto"/>
        </w:rPr>
      </w:pPr>
    </w:p>
    <w:p>
      <w:pPr>
        <w:ind w:right="340" w:firstLine="382"/>
        <w:spacing w:after="0" w:line="321" w:lineRule="auto"/>
        <w:rPr>
          <w:sz w:val="20"/>
          <w:szCs w:val="20"/>
          <w:color w:val="auto"/>
        </w:rPr>
      </w:pPr>
      <w:r>
        <w:rPr>
          <w:rFonts w:ascii="Arial" w:cs="Arial" w:eastAsia="Arial" w:hAnsi="Arial"/>
          <w:sz w:val="13"/>
          <w:szCs w:val="13"/>
          <w:color w:val="auto"/>
        </w:rPr>
        <w:t>For moderate-to-severe alopecia areata, our competitors include topical and oral corticosteroids, topical immunotherapy (diphencyprone, dinitrochlorobenzene, squaric acid dibutyl ester), calcineurin inhibitors (tacrolimus, pimecrolimus), prostaglandins and janus kinase inhibitors (baricitinib, tofacitinib, ruxolitinib, and CTP-543) in clinical development.</w:t>
      </w:r>
    </w:p>
    <w:p>
      <w:pPr>
        <w:spacing w:after="0" w:line="24" w:lineRule="exact"/>
        <w:rPr>
          <w:sz w:val="20"/>
          <w:szCs w:val="20"/>
          <w:color w:val="auto"/>
        </w:rPr>
      </w:pPr>
    </w:p>
    <w:p>
      <w:pPr>
        <w:ind w:right="100" w:firstLine="382"/>
        <w:spacing w:after="0" w:line="321" w:lineRule="auto"/>
        <w:rPr>
          <w:sz w:val="20"/>
          <w:szCs w:val="20"/>
          <w:color w:val="auto"/>
        </w:rPr>
      </w:pPr>
      <w:r>
        <w:rPr>
          <w:rFonts w:ascii="Arial" w:cs="Arial" w:eastAsia="Arial" w:hAnsi="Arial"/>
          <w:sz w:val="13"/>
          <w:szCs w:val="13"/>
          <w:color w:val="auto"/>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in preclinical development.</w:t>
      </w:r>
    </w:p>
    <w:p>
      <w:pPr>
        <w:spacing w:after="0" w:line="24"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49" w:lineRule="exact"/>
        <w:rPr>
          <w:sz w:val="20"/>
          <w:szCs w:val="20"/>
          <w:color w:val="auto"/>
        </w:rPr>
      </w:pPr>
    </w:p>
    <w:p>
      <w:pPr>
        <w:ind w:right="100" w:firstLine="382"/>
        <w:spacing w:after="0" w:line="321" w:lineRule="auto"/>
        <w:rPr>
          <w:sz w:val="20"/>
          <w:szCs w:val="20"/>
          <w:color w:val="auto"/>
        </w:rPr>
      </w:pPr>
      <w:r>
        <w:rPr>
          <w:rFonts w:ascii="Arial" w:cs="Arial" w:eastAsia="Arial" w:hAnsi="Arial"/>
          <w:sz w:val="13"/>
          <w:szCs w:val="13"/>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1" w:name="page42"/>
    <w:bookmarkEnd w:id="41"/>
    <w:p>
      <w:pPr>
        <w:jc w:val="both"/>
        <w:ind w:right="400"/>
        <w:spacing w:after="0" w:line="267" w:lineRule="auto"/>
        <w:rPr>
          <w:sz w:val="20"/>
          <w:szCs w:val="20"/>
          <w:color w:val="auto"/>
        </w:rPr>
      </w:pPr>
      <w:r>
        <w:rPr>
          <w:rFonts w:ascii="Arial" w:cs="Arial" w:eastAsia="Arial" w:hAnsi="Arial"/>
          <w:sz w:val="14"/>
          <w:szCs w:val="14"/>
          <w:color w:val="auto"/>
        </w:rPr>
        <w:t>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57"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62"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42"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b w:val="1"/>
          <w:bCs w:val="1"/>
          <w:color w:val="auto"/>
        </w:rPr>
        <w:t>Our product candidates may not achieve adequate market acceptance among physicians, patients, health care payors and others in the medical community necessary for commercial success.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Even if our product candidates receive regulatory approval, they may not gain adequate market acceptance among physicians, patients, health care payors and others in the medical community.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degree of market acceptance of any of our approved product candidates will depend on a number of factors, including:</w:t>
      </w:r>
    </w:p>
    <w:p>
      <w:pPr>
        <w:spacing w:after="0" w:line="83" w:lineRule="exact"/>
        <w:rPr>
          <w:sz w:val="20"/>
          <w:szCs w:val="20"/>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efficacy and safety profile as demonstrated in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of market introduction of the product candidate as well as competitive products;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clinical indications for which the product candidate is approved;</w:t>
      </w:r>
    </w:p>
    <w:p>
      <w:pPr>
        <w:spacing w:after="0" w:line="93"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acceptance of the product candidate as a safe and effective treatment by physicians, clinics and patients;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potential and perceived advantages of product candidates over alternative treatments, including any similar generic treatments;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availability of coverage and adequate reimbursement and pricing by third parties and government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relative convenience and ease of administration;</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frequency and severity of adverse events;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effectiveness of sales and marketing efforts; and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unfavorable publicity relating to the product candidate.</w:t>
      </w:r>
    </w:p>
    <w:p>
      <w:pPr>
        <w:spacing w:after="0" w:line="147"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2" w:name="page43"/>
    <w:bookmarkEnd w:id="42"/>
    <w:p>
      <w:pPr>
        <w:ind w:right="120"/>
        <w:spacing w:after="0" w:line="287" w:lineRule="auto"/>
        <w:rPr>
          <w:sz w:val="20"/>
          <w:szCs w:val="20"/>
          <w:color w:val="auto"/>
        </w:rPr>
      </w:pPr>
      <w:r>
        <w:rPr>
          <w:rFonts w:ascii="Arial" w:cs="Arial" w:eastAsia="Arial" w:hAnsi="Arial"/>
          <w:sz w:val="14"/>
          <w:szCs w:val="14"/>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43"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we or our partners, or any third party, are unable to successfully develop companion diagnostics for our product candidates, or experience delays in doing so:</w:t>
      </w:r>
    </w:p>
    <w:p>
      <w:pPr>
        <w:spacing w:after="0" w:line="94" w:lineRule="exact"/>
        <w:rPr>
          <w:sz w:val="20"/>
          <w:szCs w:val="20"/>
          <w:color w:val="auto"/>
        </w:rPr>
      </w:pPr>
    </w:p>
    <w:p>
      <w:pPr>
        <w:ind w:left="700" w:hanging="313"/>
        <w:spacing w:after="0"/>
        <w:tabs>
          <w:tab w:leader="none" w:pos="7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development of our product candidates may be adversely affected if we are unable to appropriately select patients for enrollment in our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product candidates may not receive marketing approval if their safe and effective use depends on a companion diagnostic; and</w:t>
      </w:r>
    </w:p>
    <w:p>
      <w:pPr>
        <w:spacing w:after="0" w:line="93" w:lineRule="exact"/>
        <w:rPr>
          <w:rFonts w:ascii="Arial" w:cs="Arial" w:eastAsia="Arial" w:hAnsi="Arial"/>
          <w:sz w:val="14"/>
          <w:szCs w:val="14"/>
          <w:color w:val="auto"/>
        </w:rPr>
      </w:pPr>
    </w:p>
    <w:p>
      <w:pPr>
        <w:ind w:left="700" w:right="120" w:hanging="313"/>
        <w:spacing w:after="0" w:line="281" w:lineRule="auto"/>
        <w:tabs>
          <w:tab w:leader="none" w:pos="6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47" w:lineRule="exact"/>
        <w:rPr>
          <w:sz w:val="20"/>
          <w:szCs w:val="20"/>
          <w:color w:val="auto"/>
        </w:rPr>
      </w:pPr>
    </w:p>
    <w:p>
      <w:pPr>
        <w:ind w:right="240" w:firstLine="382"/>
        <w:spacing w:after="0" w:line="267" w:lineRule="auto"/>
        <w:rPr>
          <w:sz w:val="20"/>
          <w:szCs w:val="20"/>
          <w:color w:val="auto"/>
        </w:rPr>
      </w:pPr>
      <w:r>
        <w:rPr>
          <w:rFonts w:ascii="Arial" w:cs="Arial" w:eastAsia="Arial" w:hAnsi="Arial"/>
          <w:sz w:val="14"/>
          <w:szCs w:val="14"/>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any of these events were to occur, our business would be harmed, possibly materially.</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5"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The process of manufacturing biologics is complex, highly-regulated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current good manufacturing practices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53" w:lineRule="exact"/>
        <w:rPr>
          <w:sz w:val="20"/>
          <w:szCs w:val="20"/>
          <w:color w:val="auto"/>
        </w:rPr>
      </w:pPr>
    </w:p>
    <w:p>
      <w:pPr>
        <w:ind w:right="580" w:firstLine="382"/>
        <w:spacing w:after="0" w:line="281" w:lineRule="auto"/>
        <w:rPr>
          <w:sz w:val="20"/>
          <w:szCs w:val="20"/>
          <w:color w:val="auto"/>
        </w:rPr>
      </w:pPr>
      <w:r>
        <w:rPr>
          <w:rFonts w:ascii="Arial" w:cs="Arial" w:eastAsia="Arial" w:hAnsi="Arial"/>
          <w:sz w:val="14"/>
          <w:szCs w:val="14"/>
          <w:color w:val="auto"/>
        </w:rPr>
        <w:t>Furthermore, all of our therapeutic antibodies are manufactured by starting with cells which are stored in a cell bank. We have one master cell bank for each antibody manufactured in accordance with cGMP and multiple working cell banks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43" w:name="page44"/>
    <w:bookmarkEnd w:id="43"/>
    <w:p>
      <w:pPr>
        <w:ind w:right="400"/>
        <w:spacing w:after="0" w:line="281" w:lineRule="auto"/>
        <w:rPr>
          <w:sz w:val="20"/>
          <w:szCs w:val="20"/>
          <w:color w:val="auto"/>
        </w:rPr>
      </w:pPr>
      <w:r>
        <w:rPr>
          <w:rFonts w:ascii="Arial" w:cs="Arial" w:eastAsia="Arial" w:hAnsi="Arial"/>
          <w:sz w:val="14"/>
          <w:szCs w:val="14"/>
          <w:color w:val="auto"/>
        </w:rPr>
        <w:t>believe we would have adequate backup should any cell bank be lost in a catastrophic event. However, it is possible that we could lose multiple cell banks and have our manufacturing severely impacted by the need to replace the cell banks.</w:t>
      </w:r>
    </w:p>
    <w:p>
      <w:pPr>
        <w:spacing w:after="0" w:line="47"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57"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118"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43"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39"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The COVID-19 pandemic has caused us to modify our business practices (including but not limited to curtailing or modifying employee travel, temporarily moving to full remote work, and cancelling physical participation in meetings, events and conferences). As we begin to re-open our offices and continue to monitor developments of the COVID-19 pandemic, we will continue to allow some remote work, and we may take further actions as may be required by government authorities or that we determine are in the best interests of our employees and patients. In response to the COVID-19 pandemic, we initially limited our office to only those employees completing laboratory-based tasks essential to our development efforts, or “essential” employees, and are starting to allow other employees to work in our office with certain precautions in place that we believe will ensure our employees’ safety and wellbeing.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 care medical visits. Additionally, the emergence of new variant strains of COVID-19 in regions that have reopened has necessitated, and may in the future necessitate, renewed government restrictions.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and there can be no assurances that our measures will be sufficient to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4" w:name="page45"/>
    <w:bookmarkEnd w:id="44"/>
    <w:p>
      <w:pPr>
        <w:ind w:right="180"/>
        <w:spacing w:after="0" w:line="281" w:lineRule="auto"/>
        <w:rPr>
          <w:sz w:val="20"/>
          <w:szCs w:val="20"/>
          <w:color w:val="auto"/>
        </w:rPr>
      </w:pPr>
      <w:r>
        <w:rPr>
          <w:rFonts w:ascii="Arial" w:cs="Arial" w:eastAsia="Arial" w:hAnsi="Arial"/>
          <w:sz w:val="14"/>
          <w:szCs w:val="14"/>
          <w:color w:val="auto"/>
        </w:rPr>
        <w:t>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47" w:lineRule="exact"/>
        <w:rPr>
          <w:sz w:val="20"/>
          <w:szCs w:val="20"/>
          <w:color w:val="auto"/>
        </w:rPr>
      </w:pPr>
    </w:p>
    <w:p>
      <w:pPr>
        <w:ind w:right="20" w:firstLine="382"/>
        <w:spacing w:after="0" w:line="280" w:lineRule="auto"/>
        <w:rPr>
          <w:sz w:val="20"/>
          <w:szCs w:val="20"/>
          <w:color w:val="auto"/>
        </w:rPr>
      </w:pPr>
      <w:r>
        <w:rPr>
          <w:rFonts w:ascii="Arial" w:cs="Arial" w:eastAsia="Arial" w:hAnsi="Arial"/>
          <w:sz w:val="13"/>
          <w:szCs w:val="13"/>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or 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52" w:lineRule="exact"/>
        <w:rPr>
          <w:sz w:val="20"/>
          <w:szCs w:val="20"/>
          <w:color w:val="auto"/>
        </w:rPr>
      </w:pPr>
    </w:p>
    <w:p>
      <w:pPr>
        <w:jc w:val="both"/>
        <w:ind w:right="160" w:firstLine="382"/>
        <w:spacing w:after="0" w:line="262" w:lineRule="auto"/>
        <w:rPr>
          <w:sz w:val="20"/>
          <w:szCs w:val="20"/>
          <w:color w:val="auto"/>
        </w:rPr>
      </w:pPr>
      <w:r>
        <w:rPr>
          <w:rFonts w:ascii="Arial" w:cs="Arial" w:eastAsia="Arial" w:hAnsi="Arial"/>
          <w:sz w:val="14"/>
          <w:szCs w:val="14"/>
          <w:color w:val="auto"/>
        </w:rPr>
        <w:t>The COVID-19 pandemic has and may in the future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or clinical studies.</w:t>
      </w:r>
    </w:p>
    <w:p>
      <w:pPr>
        <w:spacing w:after="0" w:line="61" w:lineRule="exact"/>
        <w:rPr>
          <w:sz w:val="20"/>
          <w:szCs w:val="20"/>
          <w:color w:val="auto"/>
        </w:rPr>
      </w:pPr>
    </w:p>
    <w:p>
      <w:pPr>
        <w:ind w:right="320" w:firstLine="382"/>
        <w:spacing w:after="0" w:line="262" w:lineRule="auto"/>
        <w:rPr>
          <w:sz w:val="20"/>
          <w:szCs w:val="20"/>
          <w:color w:val="auto"/>
        </w:rPr>
      </w:pPr>
      <w:r>
        <w:rPr>
          <w:rFonts w:ascii="Arial" w:cs="Arial" w:eastAsia="Arial" w:hAnsi="Arial"/>
          <w:sz w:val="14"/>
          <w:szCs w:val="14"/>
          <w:color w:val="auto"/>
        </w:rPr>
        <w:t>Both the health and economic aspects of the COVID-19 virus are highly fluid, and depend in part on the emergence and spread of variant strains of the COVID-19 virus which cannot be predicted,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Capital Needs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43"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61"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Since our inception, we have incurred significant operating losses in every year except fiscal year 2014. We had $1.0 million in collaboration revenue and our net loss was $36.3 million for the three months ended March 31, 2022 and a net loss of $18.2 million for the three months ended March 31, 2021, with $11.2 million in collaboration revenue. As of March 31, 2022, we had an accumulated deficit of $358.0 million.</w:t>
      </w:r>
    </w:p>
    <w:p>
      <w:pPr>
        <w:spacing w:after="0" w:line="57" w:lineRule="exact"/>
        <w:rPr>
          <w:sz w:val="20"/>
          <w:szCs w:val="20"/>
          <w:color w:val="auto"/>
        </w:rPr>
      </w:pPr>
    </w:p>
    <w:p>
      <w:pPr>
        <w:ind w:right="80" w:firstLine="382"/>
        <w:spacing w:after="0" w:line="257" w:lineRule="auto"/>
        <w:rPr>
          <w:sz w:val="20"/>
          <w:szCs w:val="20"/>
          <w:color w:val="auto"/>
        </w:rPr>
      </w:pPr>
      <w:r>
        <w:rPr>
          <w:rFonts w:ascii="Arial" w:cs="Arial" w:eastAsia="Arial" w:hAnsi="Arial"/>
          <w:sz w:val="14"/>
          <w:szCs w:val="14"/>
          <w:color w:val="auto"/>
        </w:rPr>
        <w:t>We have financed our operations primarily through our initial public offering of common stock in January 2017, our follow-on public offerings of common stock in October 2017 and September 2018, private placements of our preferred stock, the issuance of debt, and our Royalty Monetization Agreement.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5" w:name="page46"/>
    <w:bookmarkEnd w:id="45"/>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continue research and preclinical development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identify additional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 existing and enter into new collaboration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conduct additional preclinical studies and initiate clinical trials for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 approvals for the product candidates we develop or developed under our collaboration arrangements;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establish a sales, marketing and distribution infrastructure to commercialize any product candidates for which we may obtain marketing approval;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hire additional executive, clinical, quality control and scientific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add operational, financial and management information systems and personnel, including personnel to support our product development and commercialization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establish and maintain supply and manufacturing relationships with third parties and ensure adequate and legally compliant manufacturing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 coverage and adequate product reimbursement from third-party payors, including government payors;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achieve market acceptance for our or our collaborators’ products, if any.</w:t>
      </w:r>
    </w:p>
    <w:p>
      <w:pPr>
        <w:spacing w:after="0" w:line="94" w:lineRule="exact"/>
        <w:rPr>
          <w:sz w:val="20"/>
          <w:szCs w:val="20"/>
          <w:color w:val="auto"/>
        </w:rPr>
      </w:pPr>
    </w:p>
    <w:p>
      <w:pPr>
        <w:ind w:right="180" w:firstLine="382"/>
        <w:spacing w:after="0" w:line="262" w:lineRule="auto"/>
        <w:rPr>
          <w:sz w:val="20"/>
          <w:szCs w:val="20"/>
          <w:color w:val="auto"/>
        </w:rPr>
      </w:pPr>
      <w:r>
        <w:rPr>
          <w:rFonts w:ascii="Arial" w:cs="Arial" w:eastAsia="Arial" w:hAnsi="Arial"/>
          <w:sz w:val="14"/>
          <w:szCs w:val="14"/>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 product candidates, is approved for commercial sale, we anticipate incurring significant costs associated with the commercial launch of any product candidate.</w:t>
      </w:r>
    </w:p>
    <w:p>
      <w:pPr>
        <w:spacing w:after="0" w:line="61"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47" w:lineRule="exact"/>
        <w:rPr>
          <w:sz w:val="20"/>
          <w:szCs w:val="20"/>
          <w:color w:val="auto"/>
        </w:rPr>
      </w:pPr>
    </w:p>
    <w:p>
      <w:pPr>
        <w:ind w:right="540"/>
        <w:spacing w:after="0" w:line="287" w:lineRule="auto"/>
        <w:rPr>
          <w:sz w:val="20"/>
          <w:szCs w:val="20"/>
          <w:color w:val="auto"/>
        </w:rPr>
      </w:pPr>
      <w:r>
        <w:rPr>
          <w:rFonts w:ascii="Arial" w:cs="Arial" w:eastAsia="Arial" w:hAnsi="Arial"/>
          <w:sz w:val="14"/>
          <w:szCs w:val="14"/>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3"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6" w:name="page47"/>
    <w:bookmarkEnd w:id="46"/>
    <w:p>
      <w:pPr>
        <w:spacing w:after="0" w:line="281" w:lineRule="auto"/>
        <w:rPr>
          <w:sz w:val="20"/>
          <w:szCs w:val="20"/>
          <w:color w:val="auto"/>
        </w:rPr>
      </w:pPr>
      <w:r>
        <w:rPr>
          <w:rFonts w:ascii="Arial" w:cs="Arial" w:eastAsia="Arial" w:hAnsi="Arial"/>
          <w:sz w:val="14"/>
          <w:szCs w:val="14"/>
          <w:color w:val="auto"/>
        </w:rPr>
        <w:t>events may increase our development costs more than we expect. We may need to raise additional funds or otherwise obtain funding through collaboration agreements to continue development of our product candidates.</w:t>
      </w:r>
    </w:p>
    <w:p>
      <w:pPr>
        <w:spacing w:after="0" w:line="47" w:lineRule="exact"/>
        <w:rPr>
          <w:sz w:val="20"/>
          <w:szCs w:val="20"/>
          <w:color w:val="auto"/>
        </w:rPr>
      </w:pPr>
    </w:p>
    <w:p>
      <w:pPr>
        <w:jc w:val="both"/>
        <w:ind w:right="20" w:firstLine="382"/>
        <w:spacing w:after="0" w:line="267" w:lineRule="auto"/>
        <w:rPr>
          <w:sz w:val="20"/>
          <w:szCs w:val="20"/>
          <w:color w:val="auto"/>
        </w:rPr>
      </w:pPr>
      <w:r>
        <w:rPr>
          <w:rFonts w:ascii="Arial" w:cs="Arial" w:eastAsia="Arial" w:hAnsi="Arial"/>
          <w:sz w:val="14"/>
          <w:szCs w:val="14"/>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7"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significantly delay, scale back or discontinue the development or commercialization of our product candidates or cease operations altogether;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seek strategic alliances for research and development programs at an earlier stage than we would otherwise desire or on terms less favorable than might otherwise be available;</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relinquish, or license on unfavorable terms, our rights to technologies or future product candidates that we otherwise would seek to develop or commercialize ourselves;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eliminate staff to conserve resources.</w:t>
      </w:r>
    </w:p>
    <w:p>
      <w:pPr>
        <w:spacing w:after="0" w:line="94"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62"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initiation, progress, timing, costs and results of preclinical studies and clinical trials for our product candidates and future product candidates we may develop;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number and size of clinical trials needed to show safety, efficacy and an acceptable risk/benefit profile for any of our product candidates;</w:t>
      </w:r>
    </w:p>
    <w:p>
      <w:pPr>
        <w:spacing w:after="0" w:line="93"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commercial success or failure of products sold by our collaborators, such as JEMPERLI and Zejula by GSK, and the timing thereof;</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maintain existing and enter into new collaboration agreements;</w:t>
      </w:r>
    </w:p>
    <w:p>
      <w:pPr>
        <w:spacing w:after="0" w:line="93"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market acceptance of any approved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costs of acquiring, licensing or investing in additional businesses, products, product candidates and technologies;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of recruiting and retaining key employees, including a search for a permanent replacement President and Chief Executive Officer, if applicable;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costs and fees associated with any delays or cancellations of forecasted manufacturing batches;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and timing of selecting, auditing and potentially validating manufacturing sites for commercial-scale manufacturing;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47" w:name="page48"/>
    <w:bookmarkEnd w:id="47"/>
    <w:p>
      <w:pPr>
        <w:ind w:left="520" w:right="44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47"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If we cannot expand our operations or otherwise capitalize on our business opportunities due to a lack of capital, our business, financial condition and results of operations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Raising additional capital may cause dilution to our existing stockholders, restrict our operations or require us to relinquish rights to our product candidates on unfavorable terms to us.</w:t>
      </w:r>
    </w:p>
    <w:p>
      <w:pPr>
        <w:spacing w:after="0" w:line="121"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Managing Growth, Operations and Macroeconomic Conditions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must attract and retain highly skilled employees in order to succeed.</w:t>
      </w:r>
    </w:p>
    <w:p>
      <w:pPr>
        <w:spacing w:after="0" w:line="98"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Interim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In March 2022, Hamza Suria, our former President and Chief Executive Officer resigned, and Daniel Faga, a Class I director of our Board, was appointed as our Interim President and Chief Executive Officer. We may in the future conduct a search to identify a permanent replacement to serve as our President and Chief Executive Officer. The competition for qualified personnel in the biotechnology field is intense and, as a result, we may be unable to continue to attract and retain qualified personnel necessary for the development of our business or to recruit suitable replacement personnel, permanent replacement to serve as our President and Chief Executive Officer.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54" w:lineRule="exact"/>
        <w:rPr>
          <w:sz w:val="20"/>
          <w:szCs w:val="20"/>
          <w:color w:val="auto"/>
        </w:rPr>
      </w:pPr>
    </w:p>
    <w:p>
      <w:pPr>
        <w:ind w:right="220" w:firstLine="382"/>
        <w:spacing w:after="0" w:line="262" w:lineRule="auto"/>
        <w:rPr>
          <w:sz w:val="20"/>
          <w:szCs w:val="20"/>
          <w:color w:val="auto"/>
        </w:rPr>
      </w:pPr>
      <w:r>
        <w:rPr>
          <w:rFonts w:ascii="Arial" w:cs="Arial" w:eastAsia="Arial" w:hAnsi="Arial"/>
          <w:sz w:val="14"/>
          <w:szCs w:val="14"/>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42" w:lineRule="exact"/>
        <w:rPr>
          <w:sz w:val="20"/>
          <w:szCs w:val="20"/>
          <w:color w:val="auto"/>
        </w:rPr>
      </w:pPr>
    </w:p>
    <w:p>
      <w:pPr>
        <w:ind w:right="340"/>
        <w:spacing w:after="0" w:line="287" w:lineRule="auto"/>
        <w:rPr>
          <w:sz w:val="20"/>
          <w:szCs w:val="20"/>
          <w:color w:val="auto"/>
        </w:rPr>
      </w:pPr>
      <w:r>
        <w:rPr>
          <w:rFonts w:ascii="Arial" w:cs="Arial" w:eastAsia="Arial" w:hAnsi="Arial"/>
          <w:sz w:val="14"/>
          <w:szCs w:val="14"/>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43" w:lineRule="exact"/>
        <w:rPr>
          <w:sz w:val="20"/>
          <w:szCs w:val="20"/>
          <w:color w:val="auto"/>
        </w:rPr>
      </w:pPr>
    </w:p>
    <w:p>
      <w:pPr>
        <w:ind w:right="720" w:firstLine="382"/>
        <w:spacing w:after="0" w:line="368" w:lineRule="auto"/>
        <w:rPr>
          <w:sz w:val="20"/>
          <w:szCs w:val="20"/>
          <w:color w:val="auto"/>
        </w:rPr>
      </w:pPr>
      <w:r>
        <w:rPr>
          <w:rFonts w:ascii="Arial" w:cs="Arial" w:eastAsia="Arial" w:hAnsi="Arial"/>
          <w:sz w:val="12"/>
          <w:szCs w:val="12"/>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8" w:name="page49"/>
    <w:bookmarkEnd w:id="48"/>
    <w:p>
      <w:pPr>
        <w:ind w:right="20"/>
        <w:spacing w:after="0" w:line="279" w:lineRule="auto"/>
        <w:rPr>
          <w:sz w:val="20"/>
          <w:szCs w:val="20"/>
          <w:color w:val="auto"/>
        </w:rPr>
      </w:pPr>
      <w:r>
        <w:rPr>
          <w:rFonts w:ascii="Arial" w:cs="Arial" w:eastAsia="Arial" w:hAnsi="Arial"/>
          <w:sz w:val="13"/>
          <w:szCs w:val="13"/>
          <w:color w:val="auto"/>
        </w:rPr>
        <w:t>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expect to expand our development and regulatory capabilities, and as a result, we may encounter difficulties in managing our growth, which could disrupt our operations.</w:t>
      </w:r>
    </w:p>
    <w:p>
      <w:pPr>
        <w:spacing w:after="0" w:line="109" w:lineRule="exact"/>
        <w:rPr>
          <w:sz w:val="20"/>
          <w:szCs w:val="20"/>
          <w:color w:val="auto"/>
        </w:rPr>
      </w:pPr>
    </w:p>
    <w:p>
      <w:pPr>
        <w:ind w:right="40" w:firstLine="382"/>
        <w:spacing w:after="0" w:line="284" w:lineRule="auto"/>
        <w:rPr>
          <w:sz w:val="20"/>
          <w:szCs w:val="20"/>
          <w:color w:val="auto"/>
        </w:rPr>
      </w:pPr>
      <w:r>
        <w:rPr>
          <w:rFonts w:ascii="Arial" w:cs="Arial" w:eastAsia="Arial" w:hAnsi="Arial"/>
          <w:sz w:val="13"/>
          <w:szCs w:val="13"/>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vulnerable to disruption, damage and financial obligation as a result of system failures.</w:t>
      </w:r>
    </w:p>
    <w:p>
      <w:pPr>
        <w:spacing w:after="0" w:line="98"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33"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4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9" w:name="page50"/>
    <w:bookmarkEnd w:id="49"/>
    <w:p>
      <w:pPr>
        <w:ind w:right="120" w:firstLine="382"/>
        <w:spacing w:after="0" w:line="281" w:lineRule="auto"/>
        <w:rPr>
          <w:sz w:val="20"/>
          <w:szCs w:val="20"/>
          <w:color w:val="auto"/>
        </w:rPr>
      </w:pPr>
      <w:r>
        <w:rPr>
          <w:rFonts w:ascii="Arial" w:cs="Arial" w:eastAsia="Arial" w:hAnsi="Arial"/>
          <w:sz w:val="14"/>
          <w:szCs w:val="14"/>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94"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b w:val="1"/>
          <w:bCs w:val="1"/>
          <w:color w:val="auto"/>
        </w:rPr>
        <w:t>Our existing collaborations, including the collaboration with GSK are important to our business, and future collaborations may also be important to us. If we are unable to maintain any of these collaborations, or if these collaborations are not successful, our business could be adversely affected.</w:t>
      </w:r>
    </w:p>
    <w:p>
      <w:pPr>
        <w:spacing w:after="0" w:line="43"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We have entered into collaborations with GSK and BMS to develop several of our product candidates. GSK has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57" w:lineRule="exact"/>
        <w:rPr>
          <w:sz w:val="20"/>
          <w:szCs w:val="20"/>
          <w:color w:val="auto"/>
        </w:rPr>
      </w:pPr>
    </w:p>
    <w:p>
      <w:pPr>
        <w:ind w:firstLine="382"/>
        <w:spacing w:after="0" w:line="297" w:lineRule="auto"/>
        <w:rPr>
          <w:sz w:val="20"/>
          <w:szCs w:val="20"/>
          <w:color w:val="auto"/>
        </w:rPr>
      </w:pPr>
      <w:r>
        <w:rPr>
          <w:rFonts w:ascii="Arial" w:cs="Arial" w:eastAsia="Arial" w:hAnsi="Arial"/>
          <w:sz w:val="12"/>
          <w:szCs w:val="12"/>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subsequently settled this matter in October 2020, but </w:t>
      </w:r>
      <w:r>
        <w:rPr>
          <w:rFonts w:ascii="Arial" w:cs="Arial" w:eastAsia="Arial" w:hAnsi="Arial"/>
          <w:sz w:val="15"/>
          <w:szCs w:val="15"/>
          <w:color w:val="auto"/>
        </w:rPr>
        <w:t>t</w:t>
      </w:r>
      <w:r>
        <w:rPr>
          <w:rFonts w:ascii="Arial" w:cs="Arial" w:eastAsia="Arial" w:hAnsi="Arial"/>
          <w:sz w:val="13"/>
          <w:szCs w:val="13"/>
          <w:color w:val="auto"/>
        </w:rPr>
        <w:t>here can be no assurance that we will not encounter such issues under our collaborations with GSK or other parties in the future.</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43" w:lineRule="exact"/>
        <w:rPr>
          <w:sz w:val="20"/>
          <w:szCs w:val="20"/>
          <w:color w:val="auto"/>
        </w:rPr>
      </w:pPr>
    </w:p>
    <w:p>
      <w:pPr>
        <w:ind w:right="60" w:firstLine="382"/>
        <w:spacing w:after="0" w:line="305" w:lineRule="auto"/>
        <w:rPr>
          <w:sz w:val="20"/>
          <w:szCs w:val="20"/>
          <w:color w:val="auto"/>
        </w:rPr>
      </w:pPr>
      <w:r>
        <w:rPr>
          <w:rFonts w:ascii="Arial" w:cs="Arial" w:eastAsia="Arial" w:hAnsi="Arial"/>
          <w:sz w:val="12"/>
          <w:szCs w:val="12"/>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Moreover, if we fail to establish and maintain additional collaborations related to our product candidates:</w:t>
      </w:r>
    </w:p>
    <w:p>
      <w:pPr>
        <w:spacing w:after="0" w:line="94"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development of certain of our current or future product candidates may be terminated or delayed;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cash expenditures related to development of certain of our current or future product candidates would increase significantly and we may need to seek additional financing;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be required to hire additional employees or otherwise develop expertise, such as sales and marketing expertise, for which we have not budgeted;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will bear all of the risk related to the development and commercialization of any such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0" w:name="page51"/>
    <w:bookmarkEnd w:id="50"/>
    <w:p>
      <w:pPr>
        <w:ind w:right="140"/>
        <w:spacing w:after="0" w:line="372" w:lineRule="auto"/>
        <w:rPr>
          <w:sz w:val="20"/>
          <w:szCs w:val="20"/>
          <w:color w:val="auto"/>
        </w:rPr>
      </w:pPr>
      <w:r>
        <w:rPr>
          <w:rFonts w:ascii="Arial" w:cs="Arial" w:eastAsia="Arial" w:hAnsi="Arial"/>
          <w:sz w:val="12"/>
          <w:szCs w:val="12"/>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 w:lineRule="exact"/>
        <w:rPr>
          <w:sz w:val="20"/>
          <w:szCs w:val="20"/>
          <w:color w:val="auto"/>
        </w:rPr>
      </w:pPr>
    </w:p>
    <w:p>
      <w:pPr>
        <w:ind w:right="60" w:firstLine="382"/>
        <w:spacing w:after="0" w:line="280" w:lineRule="auto"/>
        <w:rPr>
          <w:sz w:val="20"/>
          <w:szCs w:val="20"/>
          <w:color w:val="auto"/>
        </w:rPr>
      </w:pPr>
      <w:r>
        <w:rPr>
          <w:rFonts w:ascii="Arial" w:cs="Arial" w:eastAsia="Arial" w:hAnsi="Arial"/>
          <w:sz w:val="13"/>
          <w:szCs w:val="13"/>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52"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rely completely on third parties to manufacture our nonclinical, clinical and future commercial drug supplies of any approved products.</w:t>
      </w:r>
    </w:p>
    <w:p>
      <w:pPr>
        <w:spacing w:after="0" w:line="98"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53" w:lineRule="exact"/>
        <w:rPr>
          <w:sz w:val="20"/>
          <w:szCs w:val="20"/>
          <w:color w:val="auto"/>
        </w:rPr>
      </w:pPr>
    </w:p>
    <w:p>
      <w:pPr>
        <w:jc w:val="both"/>
        <w:ind w:right="160" w:firstLine="382"/>
        <w:spacing w:after="0" w:line="267" w:lineRule="auto"/>
        <w:rPr>
          <w:sz w:val="20"/>
          <w:szCs w:val="20"/>
          <w:color w:val="auto"/>
        </w:rPr>
      </w:pPr>
      <w:r>
        <w:rPr>
          <w:rFonts w:ascii="Arial" w:cs="Arial" w:eastAsia="Arial" w:hAnsi="Arial"/>
          <w:sz w:val="14"/>
          <w:szCs w:val="14"/>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57" w:lineRule="exact"/>
        <w:rPr>
          <w:sz w:val="20"/>
          <w:szCs w:val="20"/>
          <w:color w:val="auto"/>
        </w:rPr>
      </w:pPr>
    </w:p>
    <w:p>
      <w:pPr>
        <w:ind w:firstLine="382"/>
        <w:spacing w:after="0" w:line="319" w:lineRule="auto"/>
        <w:rPr>
          <w:sz w:val="20"/>
          <w:szCs w:val="20"/>
          <w:color w:val="auto"/>
        </w:rPr>
      </w:pPr>
      <w:r>
        <w:rPr>
          <w:rFonts w:ascii="Arial" w:cs="Arial" w:eastAsia="Arial" w:hAnsi="Arial"/>
          <w:sz w:val="12"/>
          <w:szCs w:val="12"/>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51" w:name="page52"/>
    <w:bookmarkEnd w:id="51"/>
    <w:p>
      <w:pPr>
        <w:ind w:right="340"/>
        <w:spacing w:after="0" w:line="287" w:lineRule="auto"/>
        <w:rPr>
          <w:sz w:val="20"/>
          <w:szCs w:val="20"/>
          <w:color w:val="auto"/>
        </w:rPr>
      </w:pPr>
      <w:r>
        <w:rPr>
          <w:rFonts w:ascii="Arial" w:cs="Arial" w:eastAsia="Arial" w:hAnsi="Arial"/>
          <w:sz w:val="14"/>
          <w:szCs w:val="14"/>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43" w:lineRule="exact"/>
        <w:rPr>
          <w:sz w:val="20"/>
          <w:szCs w:val="20"/>
          <w:color w:val="auto"/>
        </w:rPr>
      </w:pPr>
    </w:p>
    <w:p>
      <w:pPr>
        <w:ind w:right="20" w:firstLine="382"/>
        <w:spacing w:after="0" w:line="284" w:lineRule="auto"/>
        <w:rPr>
          <w:sz w:val="20"/>
          <w:szCs w:val="20"/>
          <w:color w:val="auto"/>
        </w:rPr>
      </w:pPr>
      <w:r>
        <w:rPr>
          <w:rFonts w:ascii="Arial" w:cs="Arial" w:eastAsia="Arial" w:hAnsi="Arial"/>
          <w:sz w:val="13"/>
          <w:szCs w:val="13"/>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Approval of Our Product Candidates and Other Legal Compliance Matters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 if our product candidates receive regulatory approval, they will be subject to significant post-marketing regulatory requirements.</w:t>
      </w:r>
    </w:p>
    <w:p>
      <w:pPr>
        <w:spacing w:after="0" w:line="98" w:lineRule="exact"/>
        <w:rPr>
          <w:sz w:val="20"/>
          <w:szCs w:val="20"/>
          <w:color w:val="auto"/>
        </w:rPr>
      </w:pPr>
    </w:p>
    <w:p>
      <w:pPr>
        <w:ind w:firstLine="382"/>
        <w:spacing w:after="0" w:line="302" w:lineRule="auto"/>
        <w:rPr>
          <w:sz w:val="20"/>
          <w:szCs w:val="20"/>
          <w:color w:val="auto"/>
        </w:rPr>
      </w:pPr>
      <w:r>
        <w:rPr>
          <w:rFonts w:ascii="Arial" w:cs="Arial" w:eastAsia="Arial" w:hAnsi="Arial"/>
          <w:sz w:val="12"/>
          <w:szCs w:val="12"/>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42"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our ability to conduct clinical trials, including full or partial clinical holds on ongoing or planned trials;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the products, manufacturers or manufacturing process;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civil and criminal penalties;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suspension or withdrawal of regulatory approvals;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product seizures, detentions or import bans;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voluntary or mandatory product recalls and publicity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imposition of restrictions on operations, including costly new manufacturing requirements;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refusal to approve pending BLAs or supplements to approved BLAs.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occurrence of any event or penalty described above may inhibit our ability to commercialize our product candidates and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98" w:right="359" w:bottom="1440" w:gutter="0" w:footer="0" w:header="0"/>
        </w:sectPr>
      </w:pPr>
    </w:p>
    <w:bookmarkStart w:id="52" w:name="page53"/>
    <w:bookmarkEnd w:id="52"/>
    <w:p>
      <w:pPr>
        <w:ind w:right="100" w:firstLine="318"/>
        <w:spacing w:after="0" w:line="262" w:lineRule="auto"/>
        <w:rPr>
          <w:sz w:val="20"/>
          <w:szCs w:val="20"/>
          <w:color w:val="auto"/>
        </w:rPr>
      </w:pPr>
      <w:r>
        <w:rPr>
          <w:rFonts w:ascii="Arial" w:cs="Arial" w:eastAsia="Arial" w:hAnsi="Arial"/>
          <w:sz w:val="14"/>
          <w:szCs w:val="14"/>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61"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failure to obtain regulatory approval in international jurisdictions would prevent us from marketing our product candidates outside the United States.</w:t>
      </w:r>
    </w:p>
    <w:p>
      <w:pPr>
        <w:spacing w:after="0" w:line="98"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49"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42"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b w:val="1"/>
          <w:bCs w:val="1"/>
          <w:color w:val="auto"/>
        </w:rPr>
        <w:t>We may not be able to maintain, for imsidolimab in GPP, or obtain, for other indications with imsidolimab or for certain of our other product candidates, Orphan Drug Designation or obtain the benefits associated with Orphan Drug status, including market exclusivity.</w:t>
      </w:r>
    </w:p>
    <w:p>
      <w:pPr>
        <w:spacing w:after="0" w:line="43" w:lineRule="exact"/>
        <w:rPr>
          <w:sz w:val="20"/>
          <w:szCs w:val="20"/>
          <w:color w:val="auto"/>
        </w:rPr>
      </w:pPr>
    </w:p>
    <w:p>
      <w:pPr>
        <w:ind w:right="100" w:firstLine="382"/>
        <w:spacing w:after="0" w:line="257" w:lineRule="auto"/>
        <w:rPr>
          <w:sz w:val="20"/>
          <w:szCs w:val="20"/>
          <w:color w:val="auto"/>
        </w:rPr>
      </w:pPr>
      <w:r>
        <w:rPr>
          <w:rFonts w:ascii="Arial" w:cs="Arial" w:eastAsia="Arial" w:hAnsi="Arial"/>
          <w:sz w:val="14"/>
          <w:szCs w:val="14"/>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generally a disease or condition that (i) affects fewer than 200,000 individuals in the United States, or (ii) affects more than 200,000 individuals in the United States and there is no reasonable expectation that the cost of developing and making a product available in the United States for such disease or condition will be recovered from sales of the product. We received Orphan Drug Designation from the FDA for imsidolimab for our GPP indication in 2020 and may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3" w:name="page54"/>
    <w:bookmarkEnd w:id="53"/>
    <w:p>
      <w:pPr>
        <w:spacing w:after="0" w:line="284" w:lineRule="auto"/>
        <w:rPr>
          <w:sz w:val="20"/>
          <w:szCs w:val="20"/>
          <w:color w:val="auto"/>
        </w:rPr>
      </w:pPr>
      <w:r>
        <w:rPr>
          <w:rFonts w:ascii="Arial" w:cs="Arial" w:eastAsia="Arial" w:hAnsi="Arial"/>
          <w:sz w:val="13"/>
          <w:szCs w:val="13"/>
          <w:color w:val="auto"/>
        </w:rPr>
        <w:t>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49"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We have not been granted Orphan Drug Designation for imsidolimab for any indication other than GPP, and there can be no assurance that any of our other product candidates will be designated as an orphan drug. For example, we may seek FDA Orphan Drug Designation for imsidolimab for the treatment of other indications, which will likely require that we demonstrate to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61" w:lineRule="exact"/>
        <w:rPr>
          <w:sz w:val="20"/>
          <w:szCs w:val="20"/>
          <w:color w:val="auto"/>
        </w:rPr>
      </w:pPr>
    </w:p>
    <w:p>
      <w:pPr>
        <w:ind w:right="40" w:firstLine="382"/>
        <w:spacing w:after="0" w:line="284" w:lineRule="auto"/>
        <w:rPr>
          <w:sz w:val="20"/>
          <w:szCs w:val="20"/>
          <w:color w:val="auto"/>
        </w:rPr>
      </w:pPr>
      <w:r>
        <w:rPr>
          <w:rFonts w:ascii="Arial" w:cs="Arial" w:eastAsia="Arial" w:hAnsi="Arial"/>
          <w:sz w:val="13"/>
          <w:szCs w:val="13"/>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drugs we develop may become subject to unfavorable third-party reimbursement practices and pricing regulations.</w:t>
      </w:r>
    </w:p>
    <w:p>
      <w:pPr>
        <w:spacing w:after="0" w:line="98"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52"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65" w:lineRule="exact"/>
        <w:rPr>
          <w:sz w:val="20"/>
          <w:szCs w:val="20"/>
          <w:color w:val="auto"/>
        </w:rPr>
      </w:pPr>
    </w:p>
    <w:p>
      <w:pPr>
        <w:ind w:right="20" w:firstLine="382"/>
        <w:spacing w:after="0" w:line="258" w:lineRule="auto"/>
        <w:rPr>
          <w:sz w:val="20"/>
          <w:szCs w:val="20"/>
          <w:color w:val="auto"/>
        </w:rPr>
      </w:pPr>
      <w:r>
        <w:rPr>
          <w:rFonts w:ascii="Arial" w:cs="Arial" w:eastAsia="Arial" w:hAnsi="Arial"/>
          <w:sz w:val="14"/>
          <w:szCs w:val="14"/>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reimbursement is available, what the level of reimbursement and the timing of achieving a reimbursement determination will be.</w:t>
      </w:r>
    </w:p>
    <w:p>
      <w:pPr>
        <w:spacing w:after="0" w:line="94" w:lineRule="exact"/>
        <w:rPr>
          <w:sz w:val="20"/>
          <w:szCs w:val="20"/>
          <w:color w:val="auto"/>
        </w:rPr>
      </w:pPr>
    </w:p>
    <w:p>
      <w:pPr>
        <w:ind w:right="100" w:firstLine="382"/>
        <w:spacing w:after="0" w:line="279" w:lineRule="auto"/>
        <w:rPr>
          <w:sz w:val="20"/>
          <w:szCs w:val="20"/>
          <w:color w:val="auto"/>
        </w:rPr>
      </w:pPr>
      <w:r>
        <w:rPr>
          <w:rFonts w:ascii="Arial" w:cs="Arial" w:eastAsia="Arial" w:hAnsi="Arial"/>
          <w:sz w:val="13"/>
          <w:szCs w:val="13"/>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3" w:lineRule="exact"/>
        <w:rPr>
          <w:sz w:val="20"/>
          <w:szCs w:val="20"/>
          <w:color w:val="auto"/>
        </w:rPr>
      </w:pPr>
    </w:p>
    <w:p>
      <w:pPr>
        <w:ind w:right="340" w:firstLine="382"/>
        <w:spacing w:after="0" w:line="284" w:lineRule="auto"/>
        <w:rPr>
          <w:sz w:val="20"/>
          <w:szCs w:val="20"/>
          <w:color w:val="auto"/>
        </w:rPr>
      </w:pPr>
      <w:r>
        <w:rPr>
          <w:rFonts w:ascii="Arial" w:cs="Arial" w:eastAsia="Arial" w:hAnsi="Arial"/>
          <w:sz w:val="13"/>
          <w:szCs w:val="13"/>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49" w:lineRule="exact"/>
        <w:rPr>
          <w:sz w:val="20"/>
          <w:szCs w:val="20"/>
          <w:color w:val="auto"/>
        </w:rPr>
      </w:pPr>
    </w:p>
    <w:p>
      <w:pPr>
        <w:jc w:val="both"/>
        <w:ind w:right="180" w:firstLine="382"/>
        <w:spacing w:after="0" w:line="331" w:lineRule="auto"/>
        <w:rPr>
          <w:sz w:val="20"/>
          <w:szCs w:val="20"/>
          <w:color w:val="auto"/>
        </w:rPr>
      </w:pPr>
      <w:r>
        <w:rPr>
          <w:rFonts w:ascii="Arial" w:cs="Arial" w:eastAsia="Arial" w:hAnsi="Arial"/>
          <w:sz w:val="12"/>
          <w:szCs w:val="12"/>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23"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57"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42"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b w:val="1"/>
          <w:bCs w:val="1"/>
          <w:color w:val="auto"/>
        </w:rPr>
        <w:t>Healthcare legislative reform measures may increase the difficulty and cost for us to obtain marketing approval of and commercialize our product candidates and affect the prices we may obtain.</w:t>
      </w:r>
    </w:p>
    <w:p>
      <w:pPr>
        <w:spacing w:after="0" w:line="43" w:lineRule="exact"/>
        <w:rPr>
          <w:sz w:val="20"/>
          <w:szCs w:val="20"/>
          <w:color w:val="auto"/>
        </w:rPr>
      </w:pPr>
    </w:p>
    <w:p>
      <w:pPr>
        <w:jc w:val="both"/>
        <w:ind w:right="220" w:firstLine="382"/>
        <w:spacing w:after="0" w:line="313" w:lineRule="auto"/>
        <w:rPr>
          <w:sz w:val="20"/>
          <w:szCs w:val="20"/>
          <w:color w:val="auto"/>
        </w:rPr>
      </w:pPr>
      <w:r>
        <w:rPr>
          <w:rFonts w:ascii="Arial" w:cs="Arial" w:eastAsia="Arial" w:hAnsi="Arial"/>
          <w:sz w:val="12"/>
          <w:szCs w:val="12"/>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are able to obtain marketing approval and commercialize our product candidates.</w:t>
      </w:r>
    </w:p>
    <w:p>
      <w:pPr>
        <w:spacing w:after="0" w:line="34"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For example, the ACA was enacted in 2010 with a goal, among others, of reducing the cost of healthcare and substantially changing the way healthcare is financed by both government and private insurers. The ACA,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5" w:name="page56"/>
    <w:bookmarkEnd w:id="55"/>
    <w:p>
      <w:pPr>
        <w:ind w:right="120"/>
        <w:spacing w:after="0" w:line="267" w:lineRule="auto"/>
        <w:rPr>
          <w:sz w:val="20"/>
          <w:szCs w:val="20"/>
          <w:color w:val="auto"/>
        </w:rPr>
      </w:pPr>
      <w:r>
        <w:rPr>
          <w:rFonts w:ascii="Arial" w:cs="Arial" w:eastAsia="Arial" w:hAnsi="Arial"/>
          <w:sz w:val="14"/>
          <w:szCs w:val="14"/>
          <w:color w:val="auto"/>
        </w:rPr>
        <w:t>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spacing w:after="0" w:line="57"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In addition, the Biden Administration has indicated an intent to address prescription drug pricing and recent Congressional hearings have brought increased public attention to the costs of prescription drugs. For example,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and to what extent these or any future legislation or regulations by the Biden administration will have on our business or future product candidates. In addition, former President Trump and President Biden both issued Executive Orders intended to favor government procurement from domestic manufacturers. These actions are likely to continue the downward pressure on pharmaceutical pricing and increase our regulatory burdens and operating costs.</w:t>
      </w:r>
    </w:p>
    <w:p>
      <w:pPr>
        <w:spacing w:after="0" w:line="54"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spacing w:after="0" w:line="62"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 19 pandemic and whether such action will adversely affect our ability to obtain marketing approval for or successfully commercialize our product candidates.</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43"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34"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Our relationships with customers and third-party payors will be subject to applicable anti-kickback, fraud and abuse, transparency and other health care laws and regulations, which could expose us to, among other things, criminal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auto"/>
        </w:rPr>
        <w:t>sanctions, civil penalties, contractual damages, reputational harm, administrative burdens and diminished profits and future earnings.</w:t>
      </w:r>
    </w:p>
    <w:p>
      <w:pPr>
        <w:spacing w:after="0" w:line="98"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61" w:lineRule="exact"/>
        <w:rPr>
          <w:sz w:val="20"/>
          <w:szCs w:val="20"/>
          <w:color w:val="auto"/>
        </w:rPr>
      </w:pPr>
    </w:p>
    <w:p>
      <w:pPr>
        <w:ind w:left="520" w:hanging="260"/>
        <w:spacing w:after="0" w:line="267"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56" w:lineRule="exact"/>
        <w:rPr>
          <w:rFonts w:ascii="Arial" w:cs="Arial" w:eastAsia="Arial" w:hAnsi="Arial"/>
          <w:sz w:val="14"/>
          <w:szCs w:val="14"/>
          <w:color w:val="auto"/>
        </w:rPr>
      </w:pPr>
    </w:p>
    <w:p>
      <w:pPr>
        <w:jc w:val="both"/>
        <w:ind w:left="520" w:right="80" w:hanging="260"/>
        <w:spacing w:after="0" w:line="267"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56"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47" w:lineRule="exact"/>
        <w:rPr>
          <w:rFonts w:ascii="Arial" w:cs="Arial" w:eastAsia="Arial" w:hAnsi="Arial"/>
          <w:sz w:val="14"/>
          <w:szCs w:val="14"/>
          <w:color w:val="auto"/>
        </w:rPr>
      </w:pPr>
    </w:p>
    <w:p>
      <w:pPr>
        <w:ind w:left="520" w:right="60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47" w:lineRule="exact"/>
        <w:rPr>
          <w:rFonts w:ascii="Arial" w:cs="Arial" w:eastAsia="Arial" w:hAnsi="Arial"/>
          <w:sz w:val="14"/>
          <w:szCs w:val="14"/>
          <w:color w:val="auto"/>
        </w:rPr>
      </w:pPr>
    </w:p>
    <w:p>
      <w:pPr>
        <w:ind w:left="520" w:right="60" w:hanging="260"/>
        <w:spacing w:after="0" w:line="262"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0"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47" w:lineRule="exact"/>
        <w:rPr>
          <w:sz w:val="20"/>
          <w:szCs w:val="20"/>
          <w:color w:val="auto"/>
        </w:rPr>
      </w:pPr>
    </w:p>
    <w:p>
      <w:pPr>
        <w:jc w:val="both"/>
        <w:ind w:right="220" w:firstLine="382"/>
        <w:spacing w:after="0" w:line="267" w:lineRule="auto"/>
        <w:rPr>
          <w:sz w:val="20"/>
          <w:szCs w:val="20"/>
          <w:color w:val="auto"/>
        </w:rPr>
      </w:pPr>
      <w:r>
        <w:rPr>
          <w:rFonts w:ascii="Arial" w:cs="Arial" w:eastAsia="Arial" w:hAnsi="Arial"/>
          <w:sz w:val="14"/>
          <w:szCs w:val="14"/>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57"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66" w:lineRule="exact"/>
        <w:rPr>
          <w:sz w:val="20"/>
          <w:szCs w:val="20"/>
          <w:color w:val="auto"/>
        </w:rPr>
      </w:pPr>
    </w:p>
    <w:p>
      <w:pPr>
        <w:ind w:right="60" w:firstLine="382"/>
        <w:spacing w:after="0" w:line="321" w:lineRule="auto"/>
        <w:rPr>
          <w:sz w:val="20"/>
          <w:szCs w:val="20"/>
          <w:color w:val="auto"/>
        </w:rPr>
      </w:pPr>
      <w:r>
        <w:rPr>
          <w:rFonts w:ascii="Arial" w:cs="Arial" w:eastAsia="Arial" w:hAnsi="Arial"/>
          <w:sz w:val="13"/>
          <w:szCs w:val="13"/>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and the UK is governed by the General Data Protection Regulation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8" w:right="339" w:bottom="1440" w:gutter="0" w:footer="0" w:header="0"/>
        </w:sectPr>
      </w:pPr>
    </w:p>
    <w:bookmarkStart w:id="57" w:name="page58"/>
    <w:bookmarkEnd w:id="57"/>
    <w:p>
      <w:pPr>
        <w:spacing w:after="0" w:line="275" w:lineRule="auto"/>
        <w:rPr>
          <w:sz w:val="20"/>
          <w:szCs w:val="20"/>
          <w:color w:val="auto"/>
        </w:rPr>
      </w:pPr>
      <w:r>
        <w:rPr>
          <w:rFonts w:ascii="Arial" w:cs="Arial" w:eastAsia="Arial" w:hAnsi="Arial"/>
          <w:sz w:val="13"/>
          <w:szCs w:val="13"/>
          <w:color w:val="auto"/>
        </w:rPr>
        <w:t>(“GDPR”), which became fully applicable in May 2018 and has been incorporated into the UK’s data protection laws following Brexit.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The UK has proposed a new form of international data transfer agreement that is expected to go into effect on March 21, 2022, and which imposes similar substantial obligations. Additionally, California enacted the California Consumer Privacy Act (“CCPA”), which became effective on January 1, 2020, and the California Privacy Rights Act (“CPRA”), which 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57"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employees may engage in misconduct or other improper activities, including noncompliance with regulatory standards and requirements and insider trading.</w:t>
      </w:r>
    </w:p>
    <w:p>
      <w:pPr>
        <w:spacing w:after="0" w:line="98" w:lineRule="exact"/>
        <w:rPr>
          <w:sz w:val="20"/>
          <w:szCs w:val="20"/>
          <w:color w:val="auto"/>
        </w:rPr>
      </w:pPr>
    </w:p>
    <w:p>
      <w:pPr>
        <w:ind w:right="160" w:firstLine="382"/>
        <w:spacing w:after="0" w:line="282"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8" w:name="page59"/>
    <w:bookmarkEnd w:id="58"/>
    <w:p>
      <w:pPr>
        <w:jc w:val="both"/>
        <w:ind w:right="340"/>
        <w:spacing w:after="0" w:line="267" w:lineRule="auto"/>
        <w:rPr>
          <w:sz w:val="20"/>
          <w:szCs w:val="20"/>
          <w:color w:val="auto"/>
        </w:rPr>
      </w:pPr>
      <w:r>
        <w:rPr>
          <w:rFonts w:ascii="Arial" w:cs="Arial" w:eastAsia="Arial" w:hAnsi="Arial"/>
          <w:sz w:val="14"/>
          <w:szCs w:val="14"/>
          <w:color w:val="auto"/>
        </w:rPr>
        <w:t>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are unable to obtain or protect intellectual property rights, we may not be able to compete effectively in our market.</w:t>
      </w:r>
    </w:p>
    <w:p>
      <w:pPr>
        <w:spacing w:after="0" w:line="98"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54"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53" w:lineRule="exact"/>
        <w:rPr>
          <w:sz w:val="20"/>
          <w:szCs w:val="20"/>
          <w:color w:val="auto"/>
        </w:rPr>
      </w:pPr>
    </w:p>
    <w:p>
      <w:pPr>
        <w:ind w:right="60" w:firstLine="382"/>
        <w:spacing w:after="0" w:line="284" w:lineRule="auto"/>
        <w:rPr>
          <w:sz w:val="20"/>
          <w:szCs w:val="20"/>
          <w:color w:val="auto"/>
        </w:rPr>
      </w:pPr>
      <w:r>
        <w:rPr>
          <w:rFonts w:ascii="Arial" w:cs="Arial" w:eastAsia="Arial" w:hAnsi="Arial"/>
          <w:sz w:val="13"/>
          <w:szCs w:val="13"/>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49" w:lineRule="exact"/>
        <w:rPr>
          <w:sz w:val="20"/>
          <w:szCs w:val="20"/>
          <w:color w:val="auto"/>
        </w:rPr>
      </w:pPr>
    </w:p>
    <w:p>
      <w:pPr>
        <w:ind w:right="100" w:firstLine="382"/>
        <w:spacing w:after="0" w:line="288" w:lineRule="auto"/>
        <w:rPr>
          <w:sz w:val="20"/>
          <w:szCs w:val="20"/>
          <w:color w:val="auto"/>
        </w:rPr>
      </w:pPr>
      <w:r>
        <w:rPr>
          <w:rFonts w:ascii="Arial" w:cs="Arial" w:eastAsia="Arial" w:hAnsi="Arial"/>
          <w:sz w:val="13"/>
          <w:szCs w:val="13"/>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9" w:name="page60"/>
    <w:bookmarkEnd w:id="59"/>
    <w:p>
      <w:pPr>
        <w:ind w:right="80"/>
        <w:spacing w:after="0" w:line="260" w:lineRule="auto"/>
        <w:rPr>
          <w:sz w:val="20"/>
          <w:szCs w:val="20"/>
          <w:color w:val="auto"/>
        </w:rPr>
      </w:pPr>
      <w:r>
        <w:rPr>
          <w:rFonts w:ascii="Arial" w:cs="Arial" w:eastAsia="Arial" w:hAnsi="Arial"/>
          <w:sz w:val="14"/>
          <w:szCs w:val="14"/>
          <w:color w:val="auto"/>
        </w:rPr>
        <w:t>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62"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protect our intellectual property rights throughout the world.</w:t>
      </w:r>
    </w:p>
    <w:p>
      <w:pPr>
        <w:spacing w:after="0" w:line="98"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53" w:lineRule="exact"/>
        <w:rPr>
          <w:sz w:val="20"/>
          <w:szCs w:val="20"/>
          <w:color w:val="auto"/>
        </w:rPr>
      </w:pPr>
    </w:p>
    <w:p>
      <w:pPr>
        <w:ind w:right="60" w:firstLine="382"/>
        <w:spacing w:after="0" w:line="279"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patent law could diminish the value of patents in general, thereby impairing our ability to protect our product candidates.</w:t>
      </w:r>
    </w:p>
    <w:p>
      <w:pPr>
        <w:spacing w:after="0" w:line="98"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0" w:name="page61"/>
    <w:bookmarkEnd w:id="60"/>
    <w:p>
      <w:pPr>
        <w:ind w:right="40" w:firstLine="382"/>
        <w:spacing w:after="0" w:line="297" w:lineRule="auto"/>
        <w:rPr>
          <w:sz w:val="20"/>
          <w:szCs w:val="20"/>
          <w:color w:val="auto"/>
        </w:rPr>
      </w:pPr>
      <w:r>
        <w:rPr>
          <w:rFonts w:ascii="Arial" w:cs="Arial" w:eastAsia="Arial" w:hAnsi="Arial"/>
          <w:sz w:val="13"/>
          <w:szCs w:val="13"/>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39"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61" w:lineRule="exact"/>
        <w:rPr>
          <w:sz w:val="20"/>
          <w:szCs w:val="20"/>
          <w:color w:val="auto"/>
        </w:rPr>
      </w:pPr>
    </w:p>
    <w:p>
      <w:pPr>
        <w:ind w:right="100" w:firstLine="382"/>
        <w:spacing w:after="0" w:line="282" w:lineRule="auto"/>
        <w:rPr>
          <w:sz w:val="20"/>
          <w:szCs w:val="20"/>
          <w:color w:val="auto"/>
        </w:rPr>
      </w:pPr>
      <w:r>
        <w:rPr>
          <w:rFonts w:ascii="Arial" w:cs="Arial" w:eastAsia="Arial" w:hAnsi="Arial"/>
          <w:sz w:val="13"/>
          <w:szCs w:val="13"/>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49" w:lineRule="exact"/>
        <w:rPr>
          <w:sz w:val="20"/>
          <w:szCs w:val="20"/>
          <w:color w:val="auto"/>
        </w:rPr>
      </w:pPr>
    </w:p>
    <w:p>
      <w:pPr>
        <w:ind w:right="60" w:firstLine="382"/>
        <w:spacing w:after="0" w:line="278" w:lineRule="auto"/>
        <w:rPr>
          <w:sz w:val="20"/>
          <w:szCs w:val="20"/>
          <w:color w:val="auto"/>
        </w:rPr>
      </w:pPr>
      <w:r>
        <w:rPr>
          <w:rFonts w:ascii="Arial" w:cs="Arial" w:eastAsia="Arial" w:hAnsi="Arial"/>
          <w:sz w:val="13"/>
          <w:szCs w:val="13"/>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3"/>
          <w:szCs w:val="13"/>
          <w:i w:val="1"/>
          <w:iCs w:val="1"/>
          <w:color w:val="auto"/>
        </w:rPr>
        <w:t>Association for Molecular Pathology v. Myriad Genetics, Inc.</w:t>
      </w:r>
      <w:r>
        <w:rPr>
          <w:rFonts w:ascii="Arial" w:cs="Arial" w:eastAsia="Arial" w:hAnsi="Arial"/>
          <w:sz w:val="13"/>
          <w:szCs w:val="13"/>
          <w:color w:val="auto"/>
        </w:rPr>
        <w:t xml:space="preserve">, </w:t>
      </w:r>
      <w:r>
        <w:rPr>
          <w:rFonts w:ascii="Arial" w:cs="Arial" w:eastAsia="Arial" w:hAnsi="Arial"/>
          <w:sz w:val="13"/>
          <w:szCs w:val="13"/>
          <w:i w:val="1"/>
          <w:iCs w:val="1"/>
          <w:color w:val="auto"/>
        </w:rPr>
        <w:t>BRCA1- &amp; BRCA2-Based Hereditary Cancer Test Patent Litig</w:t>
      </w:r>
      <w:r>
        <w:rPr>
          <w:rFonts w:ascii="Arial" w:cs="Arial" w:eastAsia="Arial" w:hAnsi="Arial"/>
          <w:sz w:val="13"/>
          <w:szCs w:val="13"/>
          <w:color w:val="auto"/>
        </w:rPr>
        <w:t>.,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1" w:name="page62"/>
    <w:bookmarkEnd w:id="61"/>
    <w:p>
      <w:pPr>
        <w:ind w:firstLine="382"/>
        <w:spacing w:after="0" w:line="280" w:lineRule="auto"/>
        <w:rPr>
          <w:sz w:val="20"/>
          <w:szCs w:val="20"/>
          <w:color w:val="auto"/>
        </w:rPr>
      </w:pPr>
      <w:r>
        <w:rPr>
          <w:rFonts w:ascii="Arial" w:cs="Arial" w:eastAsia="Arial" w:hAnsi="Arial"/>
          <w:sz w:val="13"/>
          <w:szCs w:val="13"/>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52" w:lineRule="exact"/>
        <w:rPr>
          <w:sz w:val="20"/>
          <w:szCs w:val="20"/>
          <w:color w:val="auto"/>
        </w:rPr>
      </w:pPr>
    </w:p>
    <w:p>
      <w:pPr>
        <w:ind w:right="80" w:firstLine="382"/>
        <w:spacing w:after="0" w:line="280" w:lineRule="auto"/>
        <w:rPr>
          <w:sz w:val="20"/>
          <w:szCs w:val="20"/>
          <w:color w:val="auto"/>
        </w:rPr>
      </w:pPr>
      <w:r>
        <w:rPr>
          <w:rFonts w:ascii="Arial" w:cs="Arial" w:eastAsia="Arial" w:hAnsi="Arial"/>
          <w:sz w:val="13"/>
          <w:szCs w:val="13"/>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33"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auto"/>
        </w:rPr>
        <w:t>We may become involved in lawsuits to protect or enforce our intellectual property, which could be expensive, time-consuming and unsuccessful and have an adverse effect on the success of our business.</w:t>
      </w:r>
    </w:p>
    <w:p>
      <w:pPr>
        <w:spacing w:after="0" w:line="43" w:lineRule="exact"/>
        <w:rPr>
          <w:sz w:val="20"/>
          <w:szCs w:val="20"/>
          <w:color w:val="auto"/>
        </w:rPr>
      </w:pPr>
    </w:p>
    <w:p>
      <w:pPr>
        <w:ind w:right="20" w:firstLine="382"/>
        <w:spacing w:after="0" w:line="278" w:lineRule="auto"/>
        <w:rPr>
          <w:sz w:val="20"/>
          <w:szCs w:val="20"/>
          <w:color w:val="auto"/>
        </w:rPr>
      </w:pPr>
      <w:r>
        <w:rPr>
          <w:rFonts w:ascii="Arial" w:cs="Arial" w:eastAsia="Arial" w:hAnsi="Arial"/>
          <w:sz w:val="13"/>
          <w:szCs w:val="13"/>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54" w:lineRule="exact"/>
        <w:rPr>
          <w:sz w:val="20"/>
          <w:szCs w:val="20"/>
          <w:color w:val="auto"/>
        </w:rPr>
      </w:pPr>
    </w:p>
    <w:p>
      <w:pPr>
        <w:ind w:right="520" w:firstLine="382"/>
        <w:spacing w:after="0" w:line="297" w:lineRule="auto"/>
        <w:rPr>
          <w:sz w:val="20"/>
          <w:szCs w:val="20"/>
          <w:color w:val="auto"/>
        </w:rPr>
      </w:pPr>
      <w:r>
        <w:rPr>
          <w:rFonts w:ascii="Arial" w:cs="Arial" w:eastAsia="Arial" w:hAnsi="Arial"/>
          <w:sz w:val="13"/>
          <w:szCs w:val="13"/>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39"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2" w:name="page63"/>
    <w:bookmarkEnd w:id="62"/>
    <w:p>
      <w:pPr>
        <w:ind w:right="660"/>
        <w:spacing w:after="0" w:line="267" w:lineRule="auto"/>
        <w:rPr>
          <w:sz w:val="20"/>
          <w:szCs w:val="20"/>
          <w:color w:val="auto"/>
        </w:rPr>
      </w:pPr>
      <w:r>
        <w:rPr>
          <w:rFonts w:ascii="Arial" w:cs="Arial" w:eastAsia="Arial" w:hAnsi="Arial"/>
          <w:sz w:val="14"/>
          <w:szCs w:val="14"/>
          <w:color w:val="auto"/>
        </w:rPr>
        <w:t>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57" w:lineRule="exact"/>
        <w:rPr>
          <w:sz w:val="20"/>
          <w:szCs w:val="20"/>
          <w:color w:val="auto"/>
        </w:rPr>
      </w:pPr>
    </w:p>
    <w:p>
      <w:pPr>
        <w:ind w:right="40" w:firstLine="382"/>
        <w:spacing w:after="0" w:line="331" w:lineRule="auto"/>
        <w:rPr>
          <w:sz w:val="20"/>
          <w:szCs w:val="20"/>
          <w:color w:val="auto"/>
        </w:rPr>
      </w:pPr>
      <w:r>
        <w:rPr>
          <w:rFonts w:ascii="Arial" w:cs="Arial" w:eastAsia="Arial" w:hAnsi="Arial"/>
          <w:sz w:val="12"/>
          <w:szCs w:val="12"/>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23" w:lineRule="exact"/>
        <w:rPr>
          <w:sz w:val="20"/>
          <w:szCs w:val="20"/>
          <w:color w:val="auto"/>
        </w:rPr>
      </w:pPr>
    </w:p>
    <w:p>
      <w:pPr>
        <w:ind w:right="300" w:firstLine="382"/>
        <w:spacing w:after="0" w:line="297" w:lineRule="auto"/>
        <w:rPr>
          <w:sz w:val="20"/>
          <w:szCs w:val="20"/>
          <w:color w:val="auto"/>
        </w:rPr>
      </w:pPr>
      <w:r>
        <w:rPr>
          <w:rFonts w:ascii="Arial" w:cs="Arial" w:eastAsia="Arial" w:hAnsi="Arial"/>
          <w:sz w:val="13"/>
          <w:szCs w:val="13"/>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breach the license agreements related to our product candidates, we could lose the ability to continue the development and commercialization of our product candidates.</w:t>
      </w:r>
    </w:p>
    <w:p>
      <w:pPr>
        <w:spacing w:after="0" w:line="109"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Disputes may arise regarding intellectual property subject to a licensing agreement, including:</w:t>
      </w:r>
    </w:p>
    <w:p>
      <w:pPr>
        <w:spacing w:after="0" w:line="94"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on intellectual property of the licensor that is not subject to the licensing agreement;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any collaboration relationships we might enter into in the future;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ownership of inventions and know-how resulting from the joint creation or use of intellectual property by us and our licensors, licensees or collaborators;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94"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28" w:lineRule="exact"/>
        <w:rPr>
          <w:sz w:val="20"/>
          <w:szCs w:val="20"/>
          <w:color w:val="auto"/>
        </w:rPr>
      </w:pPr>
    </w:p>
    <w:p>
      <w:pPr>
        <w:ind w:right="40"/>
        <w:spacing w:after="0" w:line="375" w:lineRule="auto"/>
        <w:rPr>
          <w:sz w:val="20"/>
          <w:szCs w:val="20"/>
          <w:color w:val="auto"/>
        </w:rPr>
      </w:pPr>
      <w:r>
        <w:rPr>
          <w:rFonts w:ascii="Arial" w:cs="Arial" w:eastAsia="Arial" w:hAnsi="Arial"/>
          <w:sz w:val="12"/>
          <w:szCs w:val="12"/>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3" w:name="page64"/>
    <w:bookmarkEnd w:id="63"/>
    <w:p>
      <w:pPr>
        <w:ind w:right="100" w:firstLine="382"/>
        <w:spacing w:after="0" w:line="260" w:lineRule="auto"/>
        <w:rPr>
          <w:sz w:val="20"/>
          <w:szCs w:val="20"/>
          <w:color w:val="auto"/>
        </w:rPr>
      </w:pPr>
      <w:r>
        <w:rPr>
          <w:rFonts w:ascii="Arial" w:cs="Arial" w:eastAsia="Arial" w:hAnsi="Arial"/>
          <w:sz w:val="14"/>
          <w:szCs w:val="14"/>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62" w:lineRule="exact"/>
        <w:rPr>
          <w:sz w:val="20"/>
          <w:szCs w:val="20"/>
          <w:color w:val="auto"/>
        </w:rPr>
      </w:pPr>
    </w:p>
    <w:p>
      <w:pPr>
        <w:ind w:right="40" w:firstLine="382"/>
        <w:spacing w:after="0" w:line="307"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18" w:lineRule="exact"/>
        <w:rPr>
          <w:sz w:val="20"/>
          <w:szCs w:val="20"/>
          <w:color w:val="auto"/>
        </w:rPr>
      </w:pPr>
    </w:p>
    <w:p>
      <w:pPr>
        <w:ind w:right="280"/>
        <w:spacing w:after="0" w:line="287" w:lineRule="auto"/>
        <w:rPr>
          <w:sz w:val="20"/>
          <w:szCs w:val="20"/>
          <w:color w:val="auto"/>
        </w:rPr>
      </w:pPr>
      <w:r>
        <w:rPr>
          <w:rFonts w:ascii="Arial" w:cs="Arial" w:eastAsia="Arial" w:hAnsi="Arial"/>
          <w:sz w:val="14"/>
          <w:szCs w:val="14"/>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43" w:lineRule="exact"/>
        <w:rPr>
          <w:sz w:val="20"/>
          <w:szCs w:val="20"/>
          <w:color w:val="auto"/>
        </w:rPr>
      </w:pPr>
    </w:p>
    <w:p>
      <w:pPr>
        <w:ind w:right="60" w:firstLine="382"/>
        <w:spacing w:after="0" w:line="288" w:lineRule="auto"/>
        <w:rPr>
          <w:sz w:val="20"/>
          <w:szCs w:val="20"/>
          <w:color w:val="auto"/>
        </w:rPr>
      </w:pPr>
      <w:r>
        <w:rPr>
          <w:rFonts w:ascii="Arial" w:cs="Arial" w:eastAsia="Arial" w:hAnsi="Arial"/>
          <w:sz w:val="13"/>
          <w:szCs w:val="13"/>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46"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inability to protect our confidential information and trade secrets would harm our business and competitive position.</w:t>
      </w:r>
    </w:p>
    <w:p>
      <w:pPr>
        <w:spacing w:after="0" w:line="98" w:lineRule="exact"/>
        <w:rPr>
          <w:sz w:val="20"/>
          <w:szCs w:val="20"/>
          <w:color w:val="auto"/>
        </w:rPr>
      </w:pPr>
    </w:p>
    <w:p>
      <w:pPr>
        <w:ind w:firstLine="382"/>
        <w:spacing w:after="0" w:line="305" w:lineRule="auto"/>
        <w:rPr>
          <w:sz w:val="20"/>
          <w:szCs w:val="20"/>
          <w:color w:val="auto"/>
        </w:rPr>
      </w:pPr>
      <w:r>
        <w:rPr>
          <w:rFonts w:ascii="Arial" w:cs="Arial" w:eastAsia="Arial" w:hAnsi="Arial"/>
          <w:sz w:val="12"/>
          <w:szCs w:val="12"/>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4" w:name="page65"/>
    <w:bookmarkEnd w:id="64"/>
    <w:p>
      <w:pPr>
        <w:ind w:right="440"/>
        <w:spacing w:after="0" w:line="287" w:lineRule="auto"/>
        <w:rPr>
          <w:sz w:val="20"/>
          <w:szCs w:val="20"/>
          <w:color w:val="auto"/>
        </w:rPr>
      </w:pPr>
      <w:r>
        <w:rPr>
          <w:rFonts w:ascii="Arial" w:cs="Arial" w:eastAsia="Arial" w:hAnsi="Arial"/>
          <w:sz w:val="14"/>
          <w:szCs w:val="14"/>
          <w:b w:val="1"/>
          <w:bCs w:val="1"/>
          <w:color w:val="auto"/>
        </w:rPr>
        <w:t>If we do not obtain protection under the Hatch-Waxman Amendments and similar foreign legislation for extending the term of patents covering each of our product candidates, our business may be harmed.</w:t>
      </w:r>
    </w:p>
    <w:p>
      <w:pPr>
        <w:spacing w:after="0" w:line="4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stock has been and may continue to be volatile, and you could lose all or part of your investment.</w:t>
      </w:r>
    </w:p>
    <w:p>
      <w:pPr>
        <w:spacing w:after="0" w:line="98"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47"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success of competitive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actions with respect to our products or our competitors’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anticipated changes in our growth rate relative to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collaborations, joint ventures, collaborations or capital commitments;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results of preclinical studies and clinical trials of our product candidates or those of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clinical development programs;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with respect to our existing collaboration agreements and announcements of new collaboration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disputes, breaches and terminations of our manufacturing agreements, collaborations agreements or other important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results of our efforts to in-license or acquire additional product candidates or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fluctuations in the valuation of companies perceived by investors to be comparable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share price and volume fluctuations attributable to inconsistent trading volume levels of our shares;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sales of our common stock by us, our insiders or our other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65" w:name="page66"/>
    <w:bookmarkEnd w:id="65"/>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market conditions in the biotechnology sector;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general economic uncertainty and capital markets disruptions, which have been substantially impacted by geopolitical instability due to the ongoing military conflict in Ukraine.</w:t>
      </w:r>
    </w:p>
    <w:p>
      <w:pPr>
        <w:spacing w:after="0" w:line="105"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broad discretion in the use of the net proceeds from our public offerings and may not use them effectively.</w:t>
      </w:r>
    </w:p>
    <w:p>
      <w:pPr>
        <w:spacing w:after="0" w:line="98" w:lineRule="exact"/>
        <w:rPr>
          <w:sz w:val="20"/>
          <w:szCs w:val="20"/>
          <w:color w:val="auto"/>
        </w:rPr>
      </w:pPr>
    </w:p>
    <w:p>
      <w:pPr>
        <w:ind w:right="20" w:firstLine="382"/>
        <w:spacing w:after="0" w:line="297" w:lineRule="auto"/>
        <w:rPr>
          <w:sz w:val="20"/>
          <w:szCs w:val="20"/>
          <w:color w:val="auto"/>
        </w:rPr>
      </w:pPr>
      <w:r>
        <w:rPr>
          <w:rFonts w:ascii="Arial" w:cs="Arial" w:eastAsia="Arial" w:hAnsi="Arial"/>
          <w:sz w:val="13"/>
          <w:szCs w:val="13"/>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subject to securities litigation, which is expensive and could divert management attention.</w:t>
      </w:r>
    </w:p>
    <w:p>
      <w:pPr>
        <w:spacing w:after="0" w:line="98" w:lineRule="exact"/>
        <w:rPr>
          <w:sz w:val="20"/>
          <w:szCs w:val="20"/>
          <w:color w:val="auto"/>
        </w:rPr>
      </w:pPr>
    </w:p>
    <w:p>
      <w:pPr>
        <w:ind w:right="320" w:firstLine="382"/>
        <w:spacing w:after="0" w:line="267" w:lineRule="auto"/>
        <w:rPr>
          <w:sz w:val="20"/>
          <w:szCs w:val="20"/>
          <w:color w:val="auto"/>
        </w:rPr>
      </w:pPr>
      <w:r>
        <w:rPr>
          <w:rFonts w:ascii="Arial" w:cs="Arial" w:eastAsia="Arial" w:hAnsi="Arial"/>
          <w:sz w:val="14"/>
          <w:szCs w:val="14"/>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38"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43"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54"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7" w:right="379" w:bottom="1440" w:gutter="0" w:footer="0" w:header="0"/>
        </w:sectPr>
      </w:pPr>
    </w:p>
    <w:bookmarkStart w:id="66" w:name="page67"/>
    <w:bookmarkEnd w:id="66"/>
    <w:p>
      <w:pPr>
        <w:ind w:right="160"/>
        <w:spacing w:after="0" w:line="281" w:lineRule="auto"/>
        <w:rPr>
          <w:sz w:val="20"/>
          <w:szCs w:val="20"/>
          <w:color w:val="auto"/>
        </w:rPr>
      </w:pPr>
      <w:r>
        <w:rPr>
          <w:rFonts w:ascii="Arial" w:cs="Arial" w:eastAsia="Arial" w:hAnsi="Arial"/>
          <w:sz w:val="14"/>
          <w:szCs w:val="14"/>
          <w:color w:val="auto"/>
        </w:rPr>
        <w:t>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28"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43"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disclosure controls and procedures may not prevent or detect all errors or acts of fraud.</w:t>
      </w:r>
    </w:p>
    <w:p>
      <w:pPr>
        <w:spacing w:after="0" w:line="98"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6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do not intend to pay dividends on our common stock, so any returns will be limited to the value of our stock.</w:t>
      </w:r>
    </w:p>
    <w:p>
      <w:pPr>
        <w:spacing w:after="0" w:line="98" w:lineRule="exact"/>
        <w:rPr>
          <w:sz w:val="20"/>
          <w:szCs w:val="20"/>
          <w:color w:val="auto"/>
        </w:rPr>
      </w:pPr>
    </w:p>
    <w:p>
      <w:pPr>
        <w:ind w:right="440" w:firstLine="382"/>
        <w:spacing w:after="0" w:line="321" w:lineRule="auto"/>
        <w:rPr>
          <w:sz w:val="20"/>
          <w:szCs w:val="20"/>
          <w:color w:val="auto"/>
        </w:rPr>
      </w:pPr>
      <w:r>
        <w:rPr>
          <w:rFonts w:ascii="Arial" w:cs="Arial" w:eastAsia="Arial" w:hAnsi="Arial"/>
          <w:sz w:val="13"/>
          <w:szCs w:val="13"/>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05"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47"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establish a classified board of directors so that not all members of our board are elected at one time;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permit only the board of directors to establish the number of directors and fill vacancies on the board;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provide that directors may only be removed “for cause” and only with the approval of two-thirds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restated bylaws;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could use to implement a stockholder rights plan (also known as a “poison pill”);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67" w:name="page68"/>
    <w:bookmarkEnd w:id="67"/>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prohibit cumulative voting;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nominations for election to our board or for proposing matters that can be acted upon by stockholders at annual stockholder meetings.</w:t>
      </w:r>
    </w:p>
    <w:p>
      <w:pPr>
        <w:spacing w:after="0" w:line="190" w:lineRule="exact"/>
        <w:rPr>
          <w:sz w:val="20"/>
          <w:szCs w:val="20"/>
          <w:color w:val="auto"/>
        </w:rPr>
      </w:pPr>
    </w:p>
    <w:p>
      <w:pPr>
        <w:ind w:right="60" w:firstLine="382"/>
        <w:spacing w:after="0" w:line="281" w:lineRule="auto"/>
        <w:rPr>
          <w:sz w:val="20"/>
          <w:szCs w:val="20"/>
          <w:color w:val="auto"/>
        </w:rPr>
      </w:pPr>
      <w:r>
        <w:rPr>
          <w:rFonts w:ascii="Arial" w:cs="Arial" w:eastAsia="Arial" w:hAnsi="Arial"/>
          <w:sz w:val="14"/>
          <w:szCs w:val="14"/>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128"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4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2"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43" w:lineRule="exact"/>
        <w:rPr>
          <w:sz w:val="20"/>
          <w:szCs w:val="20"/>
          <w:color w:val="auto"/>
        </w:rPr>
      </w:pPr>
    </w:p>
    <w:p>
      <w:pPr>
        <w:ind w:right="100" w:firstLine="382"/>
        <w:spacing w:after="0" w:line="256" w:lineRule="auto"/>
        <w:rPr>
          <w:sz w:val="20"/>
          <w:szCs w:val="20"/>
          <w:color w:val="auto"/>
        </w:rPr>
      </w:pPr>
      <w:r>
        <w:rPr>
          <w:rFonts w:ascii="Arial" w:cs="Arial" w:eastAsia="Arial" w:hAnsi="Arial"/>
          <w:sz w:val="14"/>
          <w:szCs w:val="14"/>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Internal Revenue Code of 1986, as amended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It is uncertain if and to what extent various states will conform to the TCJA.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7"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As of December 31, 2021, we have federal NOLs of approximately $293.4 million, which expire beginning December 31, 2028 through December 31, 2037, if not used to reduce income taxes payable in the future.</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43"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68" w:name="page69"/>
    <w:bookmarkEnd w:id="68"/>
    <w:p>
      <w:pPr>
        <w:ind w:firstLine="382"/>
        <w:spacing w:after="0" w:line="281" w:lineRule="auto"/>
        <w:rPr>
          <w:sz w:val="20"/>
          <w:szCs w:val="20"/>
          <w:color w:val="auto"/>
        </w:rPr>
      </w:pPr>
      <w:r>
        <w:rPr>
          <w:rFonts w:ascii="Arial" w:cs="Arial" w:eastAsia="Arial" w:hAnsi="Arial"/>
          <w:sz w:val="14"/>
          <w:szCs w:val="14"/>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69" w:name="page70"/>
    <w:bookmarkEnd w:id="69"/>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exhibits filed or furnished as part of this Quarterly Report on Form 10-Q are set forth on the Exhibit Index,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9300" w:type="dxa"/>
            <w:vAlign w:val="bottom"/>
            <w:gridSpan w:val="7"/>
          </w:tcPr>
          <w:p>
            <w:pPr>
              <w:ind w:left="39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261"/>
        </w:trPr>
        <w:tc>
          <w:tcPr>
            <w:tcW w:w="1160" w:type="dxa"/>
            <w:vAlign w:val="bottom"/>
          </w:tcPr>
          <w:p>
            <w:pPr>
              <w:ind w:left="300"/>
              <w:spacing w:after="0"/>
              <w:rPr>
                <w:sz w:val="20"/>
                <w:szCs w:val="20"/>
                <w:color w:val="auto"/>
              </w:rPr>
            </w:pPr>
            <w:r>
              <w:rPr>
                <w:rFonts w:ascii="Arial" w:cs="Arial" w:eastAsia="Arial" w:hAnsi="Arial"/>
                <w:sz w:val="13"/>
                <w:szCs w:val="13"/>
                <w:b w:val="1"/>
                <w:bCs w:val="1"/>
                <w:color w:val="auto"/>
              </w:rPr>
              <w:t>Exhibit</w:t>
            </w:r>
          </w:p>
        </w:tc>
        <w:tc>
          <w:tcPr>
            <w:tcW w:w="4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Number</w:t>
            </w:r>
          </w:p>
        </w:tc>
        <w:tc>
          <w:tcPr>
            <w:tcW w:w="9300" w:type="dxa"/>
            <w:vAlign w:val="bottom"/>
            <w:gridSpan w:val="7"/>
          </w:tcPr>
          <w:p>
            <w:pPr>
              <w:ind w:left="452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20"/>
                <w:szCs w:val="20"/>
                <w:color w:val="auto"/>
              </w:rPr>
            </w:pPr>
            <w:r>
              <w:rPr>
                <w:rFonts w:ascii="Arial" w:cs="Arial" w:eastAsia="Arial" w:hAnsi="Arial"/>
                <w:sz w:val="13"/>
                <w:szCs w:val="13"/>
                <w:color w:val="auto"/>
              </w:rPr>
              <w:t>10.20</w:t>
            </w:r>
          </w:p>
        </w:tc>
        <w:tc>
          <w:tcPr>
            <w:tcW w:w="4900" w:type="dxa"/>
            <w:vAlign w:val="bottom"/>
            <w:tcBorders>
              <w:bottom w:val="single" w:sz="8" w:color="0000FF"/>
            </w:tcBorders>
            <w:gridSpan w:val="2"/>
          </w:tcPr>
          <w:p>
            <w:pPr>
              <w:spacing w:after="0"/>
              <w:rPr>
                <w:rFonts w:ascii="Arial" w:cs="Arial" w:eastAsia="Arial" w:hAnsi="Arial"/>
                <w:sz w:val="13"/>
                <w:szCs w:val="13"/>
                <w:color w:val="0000FF"/>
                <w:w w:val="88"/>
              </w:rPr>
            </w:pPr>
            <w:hyperlink w:anchor="page72">
              <w:r>
                <w:rPr>
                  <w:rFonts w:ascii="Arial" w:cs="Arial" w:eastAsia="Arial" w:hAnsi="Arial"/>
                  <w:sz w:val="13"/>
                  <w:szCs w:val="13"/>
                  <w:color w:val="0000FF"/>
                  <w:w w:val="88"/>
                </w:rPr>
                <w:t>Employment Agreement, effective March 21, 2022, by and between Registrant and Daniel Faga</w:t>
              </w:r>
            </w:hyperlink>
          </w:p>
        </w:tc>
        <w:tc>
          <w:tcPr>
            <w:tcW w:w="44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10.21</w:t>
            </w:r>
          </w:p>
        </w:tc>
        <w:tc>
          <w:tcPr>
            <w:tcW w:w="4800" w:type="dxa"/>
            <w:vAlign w:val="bottom"/>
            <w:tcBorders>
              <w:bottom w:val="single" w:sz="8" w:color="0000FF"/>
            </w:tcBorders>
          </w:tcPr>
          <w:p>
            <w:pPr>
              <w:spacing w:after="0"/>
              <w:rPr>
                <w:rFonts w:ascii="Arial" w:cs="Arial" w:eastAsia="Arial" w:hAnsi="Arial"/>
                <w:sz w:val="13"/>
                <w:szCs w:val="13"/>
                <w:color w:val="0000FF"/>
                <w:w w:val="88"/>
              </w:rPr>
            </w:pPr>
            <w:hyperlink w:anchor="page88">
              <w:r>
                <w:rPr>
                  <w:rFonts w:ascii="Arial" w:cs="Arial" w:eastAsia="Arial" w:hAnsi="Arial"/>
                  <w:sz w:val="13"/>
                  <w:szCs w:val="13"/>
                  <w:color w:val="0000FF"/>
                  <w:w w:val="88"/>
                </w:rPr>
                <w:t>Separation Agreement effective March 20, 2022, by and between Registrant and Hamza Suria</w:t>
              </w:r>
            </w:hyperlink>
          </w:p>
        </w:tc>
        <w:tc>
          <w:tcPr>
            <w:tcW w:w="45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10.22</w:t>
            </w:r>
          </w:p>
        </w:tc>
        <w:tc>
          <w:tcPr>
            <w:tcW w:w="9300" w:type="dxa"/>
            <w:vAlign w:val="bottom"/>
            <w:gridSpan w:val="7"/>
          </w:tcPr>
          <w:p>
            <w:pPr>
              <w:spacing w:after="0"/>
              <w:rPr>
                <w:rFonts w:ascii="Arial" w:cs="Arial" w:eastAsia="Arial" w:hAnsi="Arial"/>
                <w:sz w:val="13"/>
                <w:szCs w:val="13"/>
                <w:color w:val="0000FF"/>
              </w:rPr>
            </w:pPr>
            <w:hyperlink w:anchor="page96">
              <w:r>
                <w:rPr>
                  <w:rFonts w:ascii="Arial" w:cs="Arial" w:eastAsia="Arial" w:hAnsi="Arial"/>
                  <w:sz w:val="13"/>
                  <w:szCs w:val="13"/>
                  <w:color w:val="0000FF"/>
                </w:rPr>
                <w:t xml:space="preserve">Consulting Agreement effective March </w:t>
              </w:r>
            </w:hyperlink>
            <w:r>
              <w:rPr>
                <w:rFonts w:ascii="Arial" w:cs="Arial" w:eastAsia="Arial" w:hAnsi="Arial"/>
                <w:sz w:val="13"/>
                <w:szCs w:val="13"/>
                <w:color w:val="0000FF"/>
              </w:rPr>
              <w:t xml:space="preserve">21, </w:t>
            </w:r>
            <w:hyperlink w:anchor="page96">
              <w:r>
                <w:rPr>
                  <w:rFonts w:ascii="Arial" w:cs="Arial" w:eastAsia="Arial" w:hAnsi="Arial"/>
                  <w:sz w:val="13"/>
                  <w:szCs w:val="13"/>
                  <w:color w:val="0000FF"/>
                </w:rPr>
                <w:t>2022, by and between Registrant and Hamza Suria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vMerge w:val="restart"/>
          </w:tcPr>
          <w:p>
            <w:pPr>
              <w:spacing w:after="0"/>
              <w:rPr>
                <w:sz w:val="20"/>
                <w:szCs w:val="20"/>
                <w:color w:val="auto"/>
              </w:rPr>
            </w:pPr>
            <w:r>
              <w:rPr>
                <w:rFonts w:ascii="Arial" w:cs="Arial" w:eastAsia="Arial" w:hAnsi="Arial"/>
                <w:sz w:val="13"/>
                <w:szCs w:val="13"/>
                <w:color w:val="auto"/>
              </w:rPr>
              <w:t>31.1</w:t>
            </w:r>
          </w:p>
        </w:tc>
        <w:tc>
          <w:tcPr>
            <w:tcW w:w="7860" w:type="dxa"/>
            <w:vAlign w:val="bottom"/>
            <w:tcBorders>
              <w:bottom w:val="single" w:sz="8" w:color="0000FF"/>
            </w:tcBorders>
            <w:gridSpan w:val="6"/>
          </w:tcPr>
          <w:p>
            <w:pPr>
              <w:spacing w:after="0" w:line="139" w:lineRule="exact"/>
              <w:rPr>
                <w:rFonts w:ascii="Arial" w:cs="Arial" w:eastAsia="Arial" w:hAnsi="Arial"/>
                <w:sz w:val="13"/>
                <w:szCs w:val="13"/>
                <w:color w:val="0000FF"/>
                <w:w w:val="89"/>
              </w:rPr>
            </w:pPr>
            <w:hyperlink w:anchor="page105">
              <w:r>
                <w:rPr>
                  <w:rFonts w:ascii="Arial" w:cs="Arial" w:eastAsia="Arial" w:hAnsi="Arial"/>
                  <w:sz w:val="13"/>
                  <w:szCs w:val="13"/>
                  <w:color w:val="0000FF"/>
                  <w:w w:val="89"/>
                </w:rPr>
                <w:t>Certification of Principal Executive Officer, pursuant to Rule 13a-14(a)/15d-14(a), as adopted pursuant to Section 302 of the Sarbanes-Oxley Act of 2002.</w:t>
              </w:r>
            </w:hyperlink>
          </w:p>
        </w:tc>
        <w:tc>
          <w:tcPr>
            <w:tcW w:w="1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820" w:type="dxa"/>
            <w:vAlign w:val="bottom"/>
            <w:gridSpan w:val="5"/>
            <w:vMerge w:val="restart"/>
          </w:tcPr>
          <w:p>
            <w:pPr>
              <w:spacing w:after="0"/>
              <w:rPr>
                <w:rFonts w:ascii="Arial" w:cs="Arial" w:eastAsia="Arial" w:hAnsi="Arial"/>
                <w:sz w:val="13"/>
                <w:szCs w:val="13"/>
                <w:color w:val="0000FF"/>
                <w:w w:val="89"/>
              </w:rPr>
            </w:pPr>
            <w:hyperlink w:anchor="page106">
              <w:r>
                <w:rPr>
                  <w:rFonts w:ascii="Arial" w:cs="Arial" w:eastAsia="Arial" w:hAnsi="Arial"/>
                  <w:sz w:val="13"/>
                  <w:szCs w:val="13"/>
                  <w:color w:val="0000FF"/>
                  <w:w w:val="89"/>
                </w:rPr>
                <w:t>Certification of Principal Financial Officer, pursuant to Rule 13a-14(a)/15d-14(a), as adopted pursuant to Section 302 of the Sarbanes-Oxley Act of 2002.</w:t>
              </w:r>
            </w:hyperlink>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restart"/>
          </w:tcPr>
          <w:p>
            <w:pPr>
              <w:spacing w:after="0"/>
              <w:rPr>
                <w:sz w:val="20"/>
                <w:szCs w:val="20"/>
                <w:color w:val="auto"/>
              </w:rPr>
            </w:pPr>
            <w:r>
              <w:rPr>
                <w:rFonts w:ascii="Arial" w:cs="Arial" w:eastAsia="Arial" w:hAnsi="Arial"/>
                <w:sz w:val="13"/>
                <w:szCs w:val="13"/>
                <w:color w:val="auto"/>
              </w:rPr>
              <w:t>31.2</w:t>
            </w:r>
          </w:p>
        </w:tc>
        <w:tc>
          <w:tcPr>
            <w:tcW w:w="7820" w:type="dxa"/>
            <w:vAlign w:val="bottom"/>
            <w:tcBorders>
              <w:bottom w:val="single" w:sz="8" w:color="0000FF"/>
            </w:tcBorders>
            <w:gridSpan w:val="5"/>
            <w:vMerge w:val="continue"/>
          </w:tcPr>
          <w:p>
            <w:pPr>
              <w:spacing w:after="0"/>
              <w:rPr>
                <w:sz w:val="16"/>
                <w:szCs w:val="16"/>
                <w:color w:val="auto"/>
              </w:rPr>
            </w:pPr>
          </w:p>
        </w:tc>
        <w:tc>
          <w:tcPr>
            <w:tcW w:w="148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56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60" w:type="dxa"/>
            <w:vAlign w:val="bottom"/>
          </w:tcPr>
          <w:p>
            <w:pPr>
              <w:spacing w:after="0"/>
              <w:rPr>
                <w:sz w:val="20"/>
                <w:szCs w:val="20"/>
                <w:color w:val="auto"/>
              </w:rPr>
            </w:pPr>
            <w:r>
              <w:rPr>
                <w:rFonts w:ascii="Arial" w:cs="Arial" w:eastAsia="Arial" w:hAnsi="Arial"/>
                <w:sz w:val="13"/>
                <w:szCs w:val="13"/>
                <w:color w:val="auto"/>
              </w:rPr>
              <w:t>32.1**</w:t>
            </w:r>
          </w:p>
        </w:tc>
        <w:tc>
          <w:tcPr>
            <w:tcW w:w="9300" w:type="dxa"/>
            <w:vAlign w:val="bottom"/>
            <w:gridSpan w:val="7"/>
          </w:tcPr>
          <w:p>
            <w:pPr>
              <w:spacing w:after="0"/>
              <w:rPr>
                <w:rFonts w:ascii="Arial" w:cs="Arial" w:eastAsia="Arial" w:hAnsi="Arial"/>
                <w:sz w:val="13"/>
                <w:szCs w:val="13"/>
                <w:color w:val="0000FF"/>
              </w:rPr>
            </w:pPr>
            <w:hyperlink w:anchor="page107">
              <w:r>
                <w:rPr>
                  <w:rFonts w:ascii="Arial" w:cs="Arial" w:eastAsia="Arial" w:hAnsi="Arial"/>
                  <w:sz w:val="13"/>
                  <w:szCs w:val="13"/>
                  <w:color w:val="0000FF"/>
                </w:rPr>
                <w:t>Certification of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3"/>
                <w:szCs w:val="13"/>
                <w:color w:val="auto"/>
              </w:rPr>
              <w:t>32.2**</w:t>
            </w:r>
          </w:p>
        </w:tc>
        <w:tc>
          <w:tcPr>
            <w:tcW w:w="7560" w:type="dxa"/>
            <w:vAlign w:val="bottom"/>
            <w:tcBorders>
              <w:top w:val="single" w:sz="8" w:color="0000FF"/>
              <w:bottom w:val="single" w:sz="8" w:color="0000FF"/>
            </w:tcBorders>
            <w:gridSpan w:val="3"/>
          </w:tcPr>
          <w:p>
            <w:pPr>
              <w:spacing w:after="0"/>
              <w:rPr>
                <w:rFonts w:ascii="Arial" w:cs="Arial" w:eastAsia="Arial" w:hAnsi="Arial"/>
                <w:sz w:val="13"/>
                <w:szCs w:val="13"/>
                <w:color w:val="0000FF"/>
                <w:w w:val="89"/>
              </w:rPr>
            </w:pPr>
            <w:hyperlink w:anchor="page108">
              <w:r>
                <w:rPr>
                  <w:rFonts w:ascii="Arial" w:cs="Arial" w:eastAsia="Arial" w:hAnsi="Arial"/>
                  <w:sz w:val="13"/>
                  <w:szCs w:val="13"/>
                  <w:color w:val="0000FF"/>
                  <w:w w:val="89"/>
                </w:rPr>
                <w:t>Certification of Chief Financial Officer, pursuant to 18 U.S.C. Section 1350, as adopted pursuant to Section 906 of the Sarbanes-Oxley Act of 2002.</w:t>
              </w:r>
            </w:hyperlink>
          </w:p>
        </w:tc>
        <w:tc>
          <w:tcPr>
            <w:tcW w:w="20" w:type="dxa"/>
            <w:vAlign w:val="bottom"/>
            <w:tcBorders>
              <w:top w:val="single" w:sz="8" w:color="0000FF"/>
            </w:tcBorders>
          </w:tcPr>
          <w:p>
            <w:pPr>
              <w:spacing w:after="0"/>
              <w:rPr>
                <w:sz w:val="19"/>
                <w:szCs w:val="19"/>
                <w:color w:val="auto"/>
              </w:rPr>
            </w:pPr>
          </w:p>
        </w:tc>
        <w:tc>
          <w:tcPr>
            <w:tcW w:w="1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Arial" w:cs="Arial" w:eastAsia="Arial" w:hAnsi="Arial"/>
                <w:sz w:val="13"/>
                <w:szCs w:val="13"/>
                <w:color w:val="auto"/>
              </w:rPr>
              <w:t>101.INS</w:t>
            </w:r>
          </w:p>
        </w:tc>
        <w:tc>
          <w:tcPr>
            <w:tcW w:w="9300" w:type="dxa"/>
            <w:vAlign w:val="bottom"/>
            <w:gridSpan w:val="7"/>
            <w:vMerge w:val="restart"/>
          </w:tcPr>
          <w:p>
            <w:pPr>
              <w:spacing w:after="0"/>
              <w:rPr>
                <w:sz w:val="20"/>
                <w:szCs w:val="20"/>
                <w:color w:val="auto"/>
              </w:rPr>
            </w:pPr>
            <w:r>
              <w:rPr>
                <w:rFonts w:ascii="Arial" w:cs="Arial" w:eastAsia="Arial" w:hAnsi="Arial"/>
                <w:sz w:val="13"/>
                <w:szCs w:val="13"/>
                <w:color w:val="auto"/>
                <w:w w:val="89"/>
              </w:rPr>
              <w:t>Inline XBRL Report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93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Arial" w:cs="Arial" w:eastAsia="Arial" w:hAnsi="Arial"/>
                <w:sz w:val="13"/>
                <w:szCs w:val="13"/>
                <w:color w:val="auto"/>
              </w:rPr>
              <w:t>101.SCH</w:t>
            </w:r>
          </w:p>
        </w:tc>
        <w:tc>
          <w:tcPr>
            <w:tcW w:w="9300" w:type="dxa"/>
            <w:vAlign w:val="bottom"/>
            <w:gridSpan w:val="7"/>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101.CAL</w:t>
            </w:r>
          </w:p>
        </w:tc>
        <w:tc>
          <w:tcPr>
            <w:tcW w:w="9300" w:type="dxa"/>
            <w:vAlign w:val="bottom"/>
            <w:gridSpan w:val="7"/>
          </w:tcPr>
          <w:p>
            <w:pPr>
              <w:spacing w:after="0"/>
              <w:rPr>
                <w:sz w:val="20"/>
                <w:szCs w:val="20"/>
                <w:color w:val="auto"/>
              </w:rPr>
            </w:pPr>
            <w:r>
              <w:rPr>
                <w:rFonts w:ascii="Arial" w:cs="Arial" w:eastAsia="Arial" w:hAnsi="Arial"/>
                <w:sz w:val="13"/>
                <w:szCs w:val="13"/>
                <w:color w:val="auto"/>
              </w:rPr>
              <w:t>Inline XBRL Taxonomy Calculation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101.LAB</w:t>
            </w:r>
          </w:p>
        </w:tc>
        <w:tc>
          <w:tcPr>
            <w:tcW w:w="9300" w:type="dxa"/>
            <w:vAlign w:val="bottom"/>
            <w:gridSpan w:val="7"/>
          </w:tcPr>
          <w:p>
            <w:pPr>
              <w:spacing w:after="0"/>
              <w:rPr>
                <w:sz w:val="20"/>
                <w:szCs w:val="20"/>
                <w:color w:val="auto"/>
              </w:rPr>
            </w:pPr>
            <w:r>
              <w:rPr>
                <w:rFonts w:ascii="Arial" w:cs="Arial" w:eastAsia="Arial" w:hAnsi="Arial"/>
                <w:sz w:val="13"/>
                <w:szCs w:val="13"/>
                <w:color w:val="auto"/>
              </w:rPr>
              <w:t>Inline XBRL Taxonomy Label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101.PRE</w:t>
            </w:r>
          </w:p>
        </w:tc>
        <w:tc>
          <w:tcPr>
            <w:tcW w:w="9300" w:type="dxa"/>
            <w:vAlign w:val="bottom"/>
            <w:gridSpan w:val="7"/>
          </w:tcPr>
          <w:p>
            <w:pPr>
              <w:spacing w:after="0"/>
              <w:rPr>
                <w:sz w:val="20"/>
                <w:szCs w:val="20"/>
                <w:color w:val="auto"/>
              </w:rPr>
            </w:pPr>
            <w:r>
              <w:rPr>
                <w:rFonts w:ascii="Arial" w:cs="Arial" w:eastAsia="Arial" w:hAnsi="Arial"/>
                <w:sz w:val="13"/>
                <w:szCs w:val="13"/>
                <w:color w:val="auto"/>
              </w:rPr>
              <w:t>Inline XBRL Presentation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101.DEF</w:t>
            </w:r>
          </w:p>
        </w:tc>
        <w:tc>
          <w:tcPr>
            <w:tcW w:w="9300" w:type="dxa"/>
            <w:vAlign w:val="bottom"/>
            <w:gridSpan w:val="7"/>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104</w:t>
            </w:r>
          </w:p>
        </w:tc>
        <w:tc>
          <w:tcPr>
            <w:tcW w:w="9300" w:type="dxa"/>
            <w:vAlign w:val="bottom"/>
            <w:gridSpan w:val="7"/>
          </w:tcPr>
          <w:p>
            <w:pPr>
              <w:spacing w:after="0"/>
              <w:rPr>
                <w:sz w:val="20"/>
                <w:szCs w:val="20"/>
                <w:color w:val="auto"/>
              </w:rPr>
            </w:pPr>
            <w:r>
              <w:rPr>
                <w:rFonts w:ascii="Arial" w:cs="Arial" w:eastAsia="Arial" w:hAnsi="Arial"/>
                <w:sz w:val="13"/>
                <w:szCs w:val="13"/>
                <w:color w:val="auto"/>
              </w:rPr>
              <w:t>Cover Page Interactive Data File -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0" w:name="page71"/>
    <w:bookmarkEnd w:id="70"/>
    <w:p>
      <w:pPr>
        <w:ind w:left="518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AnaptysBio, Inc.</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May 4,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19050</wp:posOffset>
            </wp:positionV>
            <wp:extent cx="38068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Interim President and Chief Executive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Executive Officer)</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May 4,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19050</wp:posOffset>
            </wp:positionV>
            <wp:extent cx="38068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0420"/>
          </w:cols>
          <w:pgMar w:left="300" w:top="1228" w:right="1179" w:bottom="1440"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 Daniel Faga, certify that:</w:t>
      </w:r>
    </w:p>
    <w:p>
      <w:pPr>
        <w:spacing w:after="0" w:line="125" w:lineRule="exact"/>
        <w:rPr>
          <w:sz w:val="20"/>
          <w:szCs w:val="20"/>
          <w:color w:val="auto"/>
        </w:rPr>
      </w:pPr>
    </w:p>
    <w:p>
      <w:pPr>
        <w:ind w:left="140" w:hanging="135"/>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AnaptysBio, Inc.;</w:t>
      </w:r>
    </w:p>
    <w:p>
      <w:pPr>
        <w:spacing w:after="0" w:line="93" w:lineRule="exact"/>
        <w:rPr>
          <w:rFonts w:ascii="Arial" w:cs="Arial" w:eastAsia="Arial" w:hAnsi="Arial"/>
          <w:sz w:val="14"/>
          <w:szCs w:val="14"/>
          <w:color w:val="auto"/>
        </w:rPr>
      </w:pPr>
    </w:p>
    <w:p>
      <w:pPr>
        <w:ind w:left="140" w:right="260" w:hanging="135"/>
        <w:spacing w:after="0" w:line="281" w:lineRule="auto"/>
        <w:tabs>
          <w:tab w:leader="none" w:pos="1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140" w:right="40" w:hanging="135"/>
        <w:spacing w:after="0" w:line="281" w:lineRule="auto"/>
        <w:tabs>
          <w:tab w:leader="none" w:pos="1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320" w:right="240" w:hanging="124"/>
        <w:spacing w:after="0" w:line="321" w:lineRule="auto"/>
        <w:tabs>
          <w:tab w:leader="none" w:pos="338"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320" w:right="80" w:hanging="124"/>
        <w:spacing w:after="0" w:line="321" w:lineRule="auto"/>
        <w:tabs>
          <w:tab w:leader="none" w:pos="346"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320" w:hanging="124"/>
        <w:spacing w:after="0" w:line="281" w:lineRule="auto"/>
        <w:tabs>
          <w:tab w:leader="none" w:pos="338"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320" w:right="60" w:hanging="124"/>
        <w:spacing w:after="0" w:line="321" w:lineRule="auto"/>
        <w:tabs>
          <w:tab w:leader="none" w:pos="346" w:val="left"/>
        </w:tabs>
        <w:numPr>
          <w:ilvl w:val="1"/>
          <w:numId w:val="3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140" w:right="120" w:hanging="135"/>
        <w:spacing w:after="0" w:line="281" w:lineRule="auto"/>
        <w:tabs>
          <w:tab w:leader="none" w:pos="1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320" w:right="140" w:hanging="124"/>
        <w:spacing w:after="0" w:line="281" w:lineRule="auto"/>
        <w:tabs>
          <w:tab w:leader="none" w:pos="338" w:val="left"/>
        </w:tabs>
        <w:numPr>
          <w:ilvl w:val="1"/>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340" w:hanging="144"/>
        <w:spacing w:after="0"/>
        <w:tabs>
          <w:tab w:leader="none" w:pos="3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May 4, 2022</w:t>
      </w:r>
    </w:p>
    <w:p>
      <w:pPr>
        <w:spacing w:after="0" w:line="28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12065</wp:posOffset>
            </wp:positionV>
            <wp:extent cx="30251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10"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4"/>
          <w:szCs w:val="14"/>
          <w:i w:val="1"/>
          <w:iCs w:val="1"/>
          <w:color w:val="auto"/>
        </w:rPr>
        <w:t>Interim President and Chief Executive Officer</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(Principal Executive Officer</w:t>
      </w:r>
      <w:r>
        <w:rPr>
          <w:rFonts w:ascii="Arial" w:cs="Arial" w:eastAsia="Arial" w:hAnsi="Arial"/>
          <w:sz w:val="14"/>
          <w:szCs w:val="14"/>
          <w:i w:val="1"/>
          <w:iCs w:val="1"/>
          <w:color w:val="auto"/>
        </w:rPr>
        <w:t>)</w:t>
      </w:r>
    </w:p>
    <w:p>
      <w:pPr>
        <w:sectPr>
          <w:pgSz w:w="11900" w:h="16838" w:orient="portrait"/>
          <w:cols w:equalWidth="0" w:num="1">
            <w:col w:w="11280"/>
          </w:cols>
          <w:pgMar w:left="300" w:top="1143"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 Dennis Mulroy, certify that:</w:t>
      </w:r>
    </w:p>
    <w:p>
      <w:pPr>
        <w:spacing w:after="0" w:line="168" w:lineRule="exact"/>
        <w:rPr>
          <w:sz w:val="20"/>
          <w:szCs w:val="20"/>
          <w:color w:val="auto"/>
        </w:rPr>
      </w:pPr>
    </w:p>
    <w:p>
      <w:pPr>
        <w:ind w:left="140" w:hanging="135"/>
        <w:spacing w:after="0"/>
        <w:tabs>
          <w:tab w:leader="none" w:pos="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AnaptysBio, Inc.;</w:t>
      </w:r>
    </w:p>
    <w:p>
      <w:pPr>
        <w:spacing w:after="0" w:line="125" w:lineRule="exact"/>
        <w:rPr>
          <w:rFonts w:ascii="Arial" w:cs="Arial" w:eastAsia="Arial" w:hAnsi="Arial"/>
          <w:sz w:val="14"/>
          <w:szCs w:val="14"/>
          <w:color w:val="auto"/>
        </w:rPr>
      </w:pPr>
    </w:p>
    <w:p>
      <w:pPr>
        <w:ind w:left="140" w:right="26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140" w:right="4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320" w:right="240" w:hanging="124"/>
        <w:spacing w:after="0" w:line="321" w:lineRule="auto"/>
        <w:tabs>
          <w:tab w:leader="none" w:pos="338"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320" w:right="80" w:hanging="124"/>
        <w:spacing w:after="0" w:line="321" w:lineRule="auto"/>
        <w:tabs>
          <w:tab w:leader="none" w:pos="346"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320" w:hanging="124"/>
        <w:spacing w:after="0" w:line="281" w:lineRule="auto"/>
        <w:tabs>
          <w:tab w:leader="none" w:pos="3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320" w:right="60" w:hanging="124"/>
        <w:spacing w:after="0" w:line="321" w:lineRule="auto"/>
        <w:tabs>
          <w:tab w:leader="none" w:pos="346" w:val="left"/>
        </w:tabs>
        <w:numPr>
          <w:ilvl w:val="1"/>
          <w:numId w:val="3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140" w:right="12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320" w:right="140" w:hanging="124"/>
        <w:spacing w:after="0" w:line="281" w:lineRule="auto"/>
        <w:tabs>
          <w:tab w:leader="none" w:pos="3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340" w:hanging="144"/>
        <w:spacing w:after="0"/>
        <w:tabs>
          <w:tab w:leader="none" w:pos="3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May 4, 2022</w:t>
      </w: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12065</wp:posOffset>
            </wp:positionV>
            <wp:extent cx="43592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59275" cy="6985"/>
                    </a:xfrm>
                    <a:prstGeom prst="rect">
                      <a:avLst/>
                    </a:prstGeom>
                    <a:noFill/>
                  </pic:spPr>
                </pic:pic>
              </a:graphicData>
            </a:graphic>
          </wp:anchor>
        </w:drawing>
      </w:r>
    </w:p>
    <w:p>
      <w:pPr>
        <w:spacing w:after="0" w:line="1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1143"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I, Daniel Faga, Chief Executive Officer of AnaptysBio, Inc. (Company), do hereby certify, pursuant to 18 U.S.C. Section 1350, as adopted pursuant to Section 906 of the Sarbanes-Oxley Act of 2002, that to the best of my knowledge:</w:t>
      </w:r>
    </w:p>
    <w:p>
      <w:pPr>
        <w:spacing w:after="0" w:line="47" w:lineRule="exact"/>
        <w:rPr>
          <w:sz w:val="20"/>
          <w:szCs w:val="20"/>
          <w:color w:val="auto"/>
        </w:rPr>
      </w:pPr>
    </w:p>
    <w:p>
      <w:pPr>
        <w:ind w:left="700" w:right="80" w:hanging="313"/>
        <w:spacing w:after="0" w:line="281" w:lineRule="auto"/>
        <w:tabs>
          <w:tab w:leader="none" w:pos="6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March 31, 2022 (the “Report”), as filed with the Securities and Exchange Commission, fully complies with the requirements of Section 13(a) or 15(d) of the Securities Exchange Act of 1934;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May 4, 2022</w:t>
      </w:r>
    </w:p>
    <w:p>
      <w:pPr>
        <w:spacing w:after="0" w:line="285"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12065</wp:posOffset>
            </wp:positionV>
            <wp:extent cx="30384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38475" cy="6985"/>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i w:val="1"/>
          <w:iCs w:val="1"/>
          <w:color w:val="auto"/>
        </w:rPr>
        <w:t>Interim President and 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(Principal Executive Officer</w:t>
      </w:r>
      <w:r>
        <w:rPr>
          <w:rFonts w:ascii="Arial" w:cs="Arial" w:eastAsia="Arial" w:hAnsi="Arial"/>
          <w:sz w:val="14"/>
          <w:szCs w:val="14"/>
          <w:i w:val="1"/>
          <w:iCs w:val="1"/>
          <w:color w:val="auto"/>
        </w:rPr>
        <w:t>)</w:t>
      </w:r>
    </w:p>
    <w:p>
      <w:pPr>
        <w:sectPr>
          <w:pgSz w:w="11900" w:h="16838" w:orient="portrait"/>
          <w:cols w:equalWidth="0" w:num="1">
            <w:col w:w="11280"/>
          </w:cols>
          <w:pgMar w:left="300" w:top="1143"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8"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I, Dennis Mulroy, Chief Financial Officer of AnaptysBio, Inc. (Company), do hereby certify, pursuant to 18 U.S.C. Section 1350, as adopted pursuant to Section 906 of the Sarbanes-Oxley Act of 2002, that to the best of my knowledge:</w:t>
      </w:r>
    </w:p>
    <w:p>
      <w:pPr>
        <w:spacing w:after="0" w:line="47" w:lineRule="exact"/>
        <w:rPr>
          <w:sz w:val="20"/>
          <w:szCs w:val="20"/>
          <w:color w:val="auto"/>
        </w:rPr>
      </w:pPr>
    </w:p>
    <w:p>
      <w:pPr>
        <w:ind w:left="700" w:right="80" w:hanging="313"/>
        <w:spacing w:after="0" w:line="281" w:lineRule="auto"/>
        <w:tabs>
          <w:tab w:leader="none" w:pos="6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March 31, 2022 (the “Report”), as filed with the Securities and Exchange Commission, fully complies with the requirements of Section 13(a) or 15(d) of the Securities Exchange Act of 1934;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May 4, 2022</w:t>
      </w:r>
    </w:p>
    <w:p>
      <w:pPr>
        <w:spacing w:after="0" w:line="285"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12065</wp:posOffset>
            </wp:positionV>
            <wp:extent cx="42576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57675" cy="6985"/>
                    </a:xfrm>
                    <a:prstGeom prst="rect">
                      <a:avLst/>
                    </a:prstGeom>
                    <a:noFill/>
                  </pic:spPr>
                </pic:pic>
              </a:graphicData>
            </a:graphic>
          </wp:anchor>
        </w:drawing>
      </w:r>
    </w:p>
    <w:p>
      <w:pPr>
        <w:spacing w:after="0" w:line="1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lowerRoman"/>
      <w:start w:val="1"/>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2022-05-04T15:43:40Z</dcterms:created>
  <dcterms:modified xsi:type="dcterms:W3CDTF">2022-05-04T15:43:40Z</dcterms:modified>
</cp:coreProperties>
</file>