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r>
        <w:rPr>
          <w:rFonts w:ascii="Arial" w:cs="Arial" w:eastAsia="Arial" w:hAnsi="Arial"/>
          <w:sz w:val="30"/>
          <w:szCs w:val="30"/>
          <w:color w:val="auto"/>
          <w:vertAlign w:val="superscript"/>
        </w:rPr>
        <w:t>1</w:t>
      </w:r>
    </w:p>
    <w:p>
      <w:pPr>
        <w:spacing w:after="0" w:line="200" w:lineRule="exact"/>
        <w:rPr>
          <w:sz w:val="24"/>
          <w:szCs w:val="24"/>
          <w:color w:val="auto"/>
        </w:rPr>
      </w:pPr>
    </w:p>
    <w:p>
      <w:pPr>
        <w:spacing w:after="0" w:line="38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AnaptysBio, Inc.</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032724106</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January 23, 2020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80" w:hanging="34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46"/>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46"/>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right="40"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032724106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733,882</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733,882</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733,882</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032724106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733,882</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733,882</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733,882</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032724106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564,092</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564,092</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564,092</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4</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032724106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6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6"/>
              </w:rPr>
              <w:t>BVF II GP LLC.</w:t>
            </w:r>
          </w:p>
        </w:tc>
        <w:tc>
          <w:tcPr>
            <w:tcW w:w="60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6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6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6"/>
                <w:szCs w:val="16"/>
                <w:color w:val="auto"/>
              </w:rPr>
            </w:pPr>
          </w:p>
        </w:tc>
        <w:tc>
          <w:tcPr>
            <w:tcW w:w="606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6"/>
                <w:szCs w:val="16"/>
                <w:color w:val="auto"/>
              </w:rPr>
            </w:pPr>
          </w:p>
        </w:tc>
        <w:tc>
          <w:tcPr>
            <w:tcW w:w="606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564,092</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564,092</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564,092</w:t>
            </w: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30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032724106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Biotechnology Value Trading Fund OS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99,383</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99,383</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99,383</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76200</wp:posOffset>
            </wp:positionV>
            <wp:extent cx="360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716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2860" w:type="dxa"/>
            <w:vAlign w:val="bottom"/>
          </w:tcPr>
          <w:p>
            <w:pPr>
              <w:spacing w:after="0"/>
              <w:rPr>
                <w:sz w:val="20"/>
                <w:szCs w:val="20"/>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BVF Partners OS Ltd.</w:t>
            </w:r>
          </w:p>
        </w:tc>
        <w:tc>
          <w:tcPr>
            <w:tcW w:w="2860" w:type="dxa"/>
            <w:vAlign w:val="bottom"/>
            <w:tcBorders>
              <w:bottom w:val="single" w:sz="8" w:color="auto"/>
            </w:tcBorders>
          </w:tcPr>
          <w:p>
            <w:pPr>
              <w:spacing w:after="0"/>
              <w:rPr>
                <w:sz w:val="24"/>
                <w:szCs w:val="24"/>
                <w:color w:val="auto"/>
              </w:rPr>
            </w:pPr>
          </w:p>
        </w:tc>
      </w:tr>
      <w:tr>
        <w:trPr>
          <w:trHeight w:val="163"/>
        </w:trPr>
        <w:tc>
          <w:tcPr>
            <w:tcW w:w="1400" w:type="dxa"/>
            <w:vAlign w:val="bottom"/>
          </w:tcPr>
          <w:p>
            <w:pPr>
              <w:jc w:val="right"/>
              <w:ind w:right="390"/>
              <w:spacing w:after="0" w:line="163" w:lineRule="exact"/>
              <w:rPr>
                <w:sz w:val="20"/>
                <w:szCs w:val="20"/>
                <w:color w:val="auto"/>
              </w:rPr>
            </w:pPr>
            <w:r>
              <w:rPr>
                <w:rFonts w:ascii="Arial" w:cs="Arial" w:eastAsia="Arial" w:hAnsi="Arial"/>
                <w:sz w:val="18"/>
                <w:szCs w:val="18"/>
                <w:color w:val="auto"/>
              </w:rPr>
              <w:t>2</w:t>
            </w:r>
          </w:p>
        </w:tc>
        <w:tc>
          <w:tcPr>
            <w:tcW w:w="716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60" w:type="dxa"/>
            <w:vAlign w:val="bottom"/>
          </w:tcPr>
          <w:p>
            <w:pPr>
              <w:ind w:left="17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4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60" w:type="dxa"/>
            <w:vAlign w:val="bottom"/>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40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r>
      <w:tr>
        <w:trPr>
          <w:trHeight w:val="224"/>
        </w:trPr>
        <w:tc>
          <w:tcPr>
            <w:tcW w:w="140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716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2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-994410</wp:posOffset>
            </wp:positionV>
            <wp:extent cx="360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97" w:lineRule="exact"/>
        <w:rPr>
          <w:sz w:val="20"/>
          <w:szCs w:val="20"/>
          <w:color w:val="auto"/>
        </w:rPr>
      </w:pPr>
    </w:p>
    <w:p>
      <w:pPr>
        <w:ind w:left="1880" w:hanging="1046"/>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16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16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99,383</w:t>
            </w:r>
          </w:p>
        </w:tc>
        <w:tc>
          <w:tcPr>
            <w:tcW w:w="172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99,383</w:t>
            </w: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99,383</w:t>
            </w:r>
          </w:p>
        </w:tc>
        <w:tc>
          <w:tcPr>
            <w:tcW w:w="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032724106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1,297,974</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1,297,974</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1,297,974</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8</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p>
      <w:pPr>
        <w:ind w:left="1880" w:hanging="1046"/>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BVF Partners L.P.</w:t>
            </w:r>
          </w:p>
        </w:tc>
        <w:tc>
          <w:tcPr>
            <w:tcW w:w="2860" w:type="dxa"/>
            <w:vAlign w:val="bottom"/>
            <w:tcBorders>
              <w:bottom w:val="single" w:sz="8" w:color="auto"/>
            </w:tcBorders>
          </w:tcPr>
          <w:p>
            <w:pPr>
              <w:spacing w:after="0"/>
              <w:rPr>
                <w:sz w:val="20"/>
                <w:szCs w:val="20"/>
                <w:color w:val="auto"/>
              </w:rPr>
            </w:pPr>
          </w:p>
        </w:tc>
      </w:tr>
      <w:tr>
        <w:trPr>
          <w:trHeight w:val="163"/>
        </w:trPr>
        <w:tc>
          <w:tcPr>
            <w:tcW w:w="1400" w:type="dxa"/>
            <w:vAlign w:val="bottom"/>
          </w:tcPr>
          <w:p>
            <w:pPr>
              <w:jc w:val="right"/>
              <w:ind w:right="390"/>
              <w:spacing w:after="0" w:line="163" w:lineRule="exact"/>
              <w:rPr>
                <w:sz w:val="20"/>
                <w:szCs w:val="20"/>
                <w:color w:val="auto"/>
              </w:rPr>
            </w:pPr>
            <w:r>
              <w:rPr>
                <w:rFonts w:ascii="Arial" w:cs="Arial" w:eastAsia="Arial" w:hAnsi="Arial"/>
                <w:sz w:val="18"/>
                <w:szCs w:val="18"/>
                <w:color w:val="auto"/>
              </w:rPr>
              <w:t>2</w:t>
            </w:r>
          </w:p>
        </w:tc>
        <w:tc>
          <w:tcPr>
            <w:tcW w:w="716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60" w:type="dxa"/>
            <w:vAlign w:val="bottom"/>
          </w:tcPr>
          <w:p>
            <w:pPr>
              <w:ind w:left="17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4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60" w:type="dxa"/>
            <w:vAlign w:val="bottom"/>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80" w:hanging="1046"/>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80" w:hanging="1046"/>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172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1,441,565</w:t>
            </w:r>
          </w:p>
        </w:tc>
        <w:tc>
          <w:tcPr>
            <w:tcW w:w="6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032724106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10</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032724106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Mark N. Lampert</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United States</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1,441,565</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11</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032724106</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AnaptysBio, Inc., a Delaware corporation (the “Issuer”).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Biotechnology Value Fund, L.P. (“BVF”)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 GP LLC (“BVF GP”),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Biotechnology Value Fund II, L.P. (“BVF2”)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II GP LLC (“BVF2 GP”)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Biotechnology Value Trading Fund OS LP (“Trading Fund OS”)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Cayman Islands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OS Ltd. (“Partners OS”)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Cayman Islands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GP Holdings LLC (“BVF GPH”)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Each of the foregoing is referred to as a “Reporting Person” and collectively as the “Reporting Persons.”</w:t>
      </w:r>
    </w:p>
    <w:p>
      <w:pPr>
        <w:sectPr>
          <w:pgSz w:w="11900" w:h="16838" w:orient="portrait"/>
          <w:cols w:equalWidth="0" w:num="1">
            <w:col w:w="10219"/>
          </w:cols>
          <w:pgMar w:left="240" w:top="226" w:right="1440" w:bottom="1136" w:gutter="0" w:footer="0" w:header="0"/>
        </w:sectPr>
      </w:pP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6" w:right="1440" w:bottom="1136"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color w:val="auto"/>
        </w:rPr>
        <w:t>CUSIP No. 032724106</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Common Stock, $0.001 par value per share (the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5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0"/>
              </w:rPr>
              <w:t>032724106</w:t>
            </w:r>
          </w:p>
        </w:tc>
        <w:tc>
          <w:tcPr>
            <w:tcW w:w="62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/x/</w:t>
            </w:r>
          </w:p>
        </w:tc>
        <w:tc>
          <w:tcPr>
            <w:tcW w:w="856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(a)</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(b)</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(c)</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(d)</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(e)</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(g)</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(h)</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(i)</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w w:val="99"/>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(j)</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(k)</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560" w:type="dxa"/>
            <w:vAlign w:val="bottom"/>
          </w:tcPr>
          <w:p>
            <w:pPr>
              <w:ind w:left="240"/>
              <w:spacing w:after="0"/>
              <w:rPr>
                <w:sz w:val="20"/>
                <w:szCs w:val="20"/>
                <w:color w:val="auto"/>
              </w:rPr>
            </w:pPr>
            <w:r>
              <w:rPr>
                <w:rFonts w:ascii="Arial" w:cs="Arial" w:eastAsia="Arial" w:hAnsi="Arial"/>
                <w:sz w:val="18"/>
                <w:szCs w:val="18"/>
                <w:color w:val="auto"/>
                <w:w w:val="94"/>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120" w:type="dxa"/>
            <w:vAlign w:val="bottom"/>
          </w:tcPr>
          <w:p>
            <w:pPr>
              <w:ind w:left="280"/>
              <w:spacing w:after="0"/>
              <w:rPr>
                <w:sz w:val="20"/>
                <w:szCs w:val="20"/>
                <w:color w:val="auto"/>
              </w:rPr>
            </w:pPr>
            <w:r>
              <w:rPr>
                <w:rFonts w:ascii="Arial" w:cs="Arial" w:eastAsia="Arial" w:hAnsi="Arial"/>
                <w:sz w:val="18"/>
                <w:szCs w:val="18"/>
                <w:color w:val="auto"/>
                <w:w w:val="95"/>
              </w:rPr>
              <w:t>Ownership</w:t>
            </w:r>
          </w:p>
        </w:tc>
        <w:tc>
          <w:tcPr>
            <w:tcW w:w="620" w:type="dxa"/>
            <w:vAlign w:val="bottom"/>
          </w:tcPr>
          <w:p>
            <w:pPr>
              <w:spacing w:after="0"/>
              <w:rPr>
                <w:sz w:val="24"/>
                <w:szCs w:val="24"/>
                <w:color w:val="auto"/>
              </w:rPr>
            </w:pPr>
          </w:p>
        </w:tc>
        <w:tc>
          <w:tcPr>
            <w:tcW w:w="856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February 3, 2020 (i) BVF beneficially owned 733,882 Shares, (ii) BVF2 beneficially owned 564,092 Shares, and (iii) Trading Fund OS beneficially owned 99,383 Shares.</w:t>
      </w:r>
    </w:p>
    <w:p>
      <w:pPr>
        <w:spacing w:after="0" w:line="170" w:lineRule="exact"/>
        <w:rPr>
          <w:rFonts w:ascii="Arial" w:cs="Arial" w:eastAsia="Arial" w:hAnsi="Arial"/>
          <w:sz w:val="18"/>
          <w:szCs w:val="18"/>
          <w:color w:val="auto"/>
        </w:rPr>
      </w:pPr>
    </w:p>
    <w:p>
      <w:pPr>
        <w:ind w:left="1300" w:right="86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733,882 Shares beneficially owned by BVF. BVF2 GP, as the general partner of BVF2, may be deemed to beneficially own the 564,092 Shares beneficially owned by BVF2.</w:t>
      </w:r>
    </w:p>
    <w:p>
      <w:pPr>
        <w:spacing w:after="0" w:line="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Partners OS, as the general partner of Trading Fund OS, may be deemed to beneficially own the 99,383 Shares beneficially owned by Trading Fund OS.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032724106</w:t>
      </w:r>
    </w:p>
    <w:p>
      <w:pPr>
        <w:spacing w:after="0" w:line="10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GPH, as the sole member of each of BVF GP and BVF2 GP, may be deemed to beneficially own the 1,297,974 Shares beneficially owned in the aggregate by BVF and BVF2.</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Partners, as the investment manager of BVF, BVF2 and Trading Fund OS, and the sole member of Partners OS, may be deemed to beneficially own the 1,441,565 Shares beneficially owned in the aggregate by BVF, BVF2, Trading Fund OS, and a certain Partners Managed account (the “Partners Managed Account”), including 44,208 Shares held in the Partners Managed Account.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BVF Inc., as the general partner of Partners, may be deemed to beneficially own the 1,441,565 Shares beneficially owned by Partners.</w:t>
      </w:r>
    </w:p>
    <w:p>
      <w:pPr>
        <w:spacing w:after="0" w:line="23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1,441,565 Shares beneficially owned by BVF Inc.</w:t>
      </w:r>
    </w:p>
    <w:p>
      <w:pPr>
        <w:spacing w:after="0" w:line="1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8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27,133,459 Shares outstanding, as of November 5, 2019, as disclosed in the Issuer’s Quarterly Report on Form 10-Q filed with the Securities and Exchange Commission on November 8, 2019.</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February 3, 2020 (i) BVF beneficially owned approximately 2.7% of the outstanding Shares, (ii) BVF2 beneficially owned approximately 2.1% of the outstanding Shares, (iii) Trading Fund OS beneficially owned less than 1% of the outstanding Shares, (iv) BVF GP may be deemed to beneficially own approximately 2.7% of the outstanding Shares, (v) BVF2 GP may be deemed to beneficially own approximately 2.1% of the outstanding Shares, (vi) Partners OS may be deemed to beneficially own less than 1% of the outstanding Shares, (vii) BVF GPH may be deemed to beneficially own approximately 4.8% of the outstanding Shares, and (viii) each of Partners, BVF Inc. and Mr. Lampert may be deemed to beneficially own approximately 5.3% of the outstanding Shares (less than 1% of the outstanding Shares are held in the Partners Managed Account).</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300" w:hanging="644"/>
        <w:spacing w:after="0" w:line="50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0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0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300" w:right="6220" w:hanging="644"/>
        <w:spacing w:after="0" w:line="50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032724106</w:t>
      </w: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beneficially owned by BVF, BVF2, Trading Fund OS, and the Partners Managed Account.</w:t>
      </w:r>
    </w:p>
    <w:p>
      <w:pPr>
        <w:spacing w:after="0" w:line="170"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032724106</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400"/>
          </w:cols>
          <w:pgMar w:left="240" w:top="226"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BIOTECHNOLOGY VALUE TRADING FUND OS LP</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BVF Partners L.P., its investment manager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BVF Inc., its general partner</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-130810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BVF GP HOLDINGS LLC</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BVF Inc., its general partner</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-130810</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BVF INC.</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-130810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-130810</wp:posOffset>
            </wp:positionV>
            <wp:extent cx="3542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900" w:space="720"/>
            <w:col w:w="5780"/>
          </w:cols>
          <w:pgMar w:left="240" w:top="226" w:right="25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dated February 3, 2020 with respect to the shares of Common Stock of AnaptysBio, Inc., and any further amendments thereto executed by each and any of the undersigned shall be filed on behalf of each of the undersigned pursuant to and in accordance with the provisions of Rule 13d-1(k)(1) under the Securities Exchange Act of 1934, as amended.</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BVF Partners L.P., its investment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BVF Inc., 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-130810</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GP HOLDINGS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-130810</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BVF Inc., its general partner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-130810</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Mark N. Lampert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-130810</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542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sectPr>
      <w:pgSz w:w="11900" w:h="16838" w:orient="portrait"/>
      <w:cols w:equalWidth="0" w:num="2">
        <w:col w:w="5120" w:space="720"/>
        <w:col w:w="558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1"/>
      <w:numFmt w:val="decimal"/>
      <w:start w:val="12"/>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2020-02-04T05:06:13Z</dcterms:created>
  <dcterms:modified xsi:type="dcterms:W3CDTF">2020-02-04T05:06:13Z</dcterms:modified>
</cp:coreProperties>
</file>