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form4-08072026_090814.xml.htm"/>
      <w:bookmarkStart w:id="1" w:name="ksform408072026_090814"/>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Faga Daniel</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ANAPTYSBIO,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10770 WATERIDGE CIRCLE, SUITE 210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SAN DIEGO</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92121</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ANAPTYSBIO, INC</w:t>
              </w:r>
            </w:hyperlink>
            <w:r>
              <w:rPr/>
              <w:t xml:space="preserve"> [ </w:t>
            </w:r>
            <w:r>
              <w:rPr>
                <w:rFonts w:ascii="Times;serif" w:hAnsi="Times;serif"/>
                <w:color w:val="0000FF"/>
                <w:sz w:val="24"/>
                <w:shd w:fill="FFFFFF" w:val="clear"/>
              </w:rPr>
              <w:t>ANAB</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President, CEO</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03/12/2026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78"/>
        <w:gridCol w:w="906"/>
        <w:gridCol w:w="774"/>
        <w:gridCol w:w="602"/>
        <w:gridCol w:w="355"/>
        <w:gridCol w:w="829"/>
        <w:gridCol w:w="473"/>
        <w:gridCol w:w="635"/>
        <w:gridCol w:w="1195"/>
        <w:gridCol w:w="1021"/>
        <w:gridCol w:w="937"/>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78"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37"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9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2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3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78"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90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602"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29"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73"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3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95"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02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7"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12374" w:type="dxa"/>
        <w:jc w:val="left"/>
        <w:tblInd w:w="-7" w:type="dxa"/>
        <w:tblLayout w:type="fixed"/>
        <w:tblCellMar>
          <w:top w:w="60" w:type="dxa"/>
          <w:left w:w="60" w:type="dxa"/>
          <w:bottom w:w="60" w:type="dxa"/>
          <w:right w:w="60" w:type="dxa"/>
        </w:tblCellMar>
      </w:tblPr>
      <w:tblGrid>
        <w:gridCol w:w="1160"/>
        <w:gridCol w:w="861"/>
        <w:gridCol w:w="891"/>
        <w:gridCol w:w="771"/>
        <w:gridCol w:w="591"/>
        <w:gridCol w:w="300"/>
        <w:gridCol w:w="711"/>
        <w:gridCol w:w="276"/>
        <w:gridCol w:w="906"/>
        <w:gridCol w:w="801"/>
        <w:gridCol w:w="891"/>
        <w:gridCol w:w="801"/>
        <w:gridCol w:w="801"/>
        <w:gridCol w:w="936"/>
        <w:gridCol w:w="831"/>
        <w:gridCol w:w="846"/>
      </w:tblGrid>
      <w:tr>
        <w:trPr>
          <w:tblHeader w:val="true"/>
        </w:trPr>
        <w:tc>
          <w:tcPr>
            <w:tcW w:w="12374"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116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98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69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1160"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71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1160"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0"/>
                <w:shd w:fill="FFFFFF" w:val="clear"/>
              </w:rPr>
              <w:t>Performance Stock Units</w:t>
            </w:r>
            <w:r>
              <w:rPr>
                <w:rFonts w:ascii="Times;serif" w:hAnsi="Times;serif"/>
                <w:color w:val="008000"/>
                <w:position w:val="7"/>
                <w:sz w:val="16"/>
                <w:sz w:val="20"/>
                <w:shd w:fill="FFFFFF" w:val="clear"/>
              </w:rPr>
              <w:t>(1)</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(2)</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03/12/2026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53,334</w:t>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(3)</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(3)</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53,334</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53,334</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Represents performance-based restricted stock units ("PSUs") that were earned by the Reporting Person upon the achievement of certain performance criteria as certified by the Compensation Committee of the Issuer's Board of Directors on March 12, 2026.</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Each PSU represents a conditional right to receive one share of the Issuer's Common Stock.</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The PSUs vest and settle over two years; 50% vests on March 12 2027 and 50% vests on March 12, 2028, subject to the continuing service of the Reporting Person on each vesting date.</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Christopher Murphy,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08/07/2026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673528" TargetMode="External"/><Relationship Id="rId5" Type="http://schemas.openxmlformats.org/officeDocument/2006/relationships/hyperlink" Target="http://www.sec.gov/cgi-bin/browse-edgar?action=getcompany&amp;CIK=0001370053"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image" Target="https://cdn.kscope.io/box-checked.jpg" TargetMode="External"/><Relationship Id="rId9" Type="http://schemas.openxmlformats.org/officeDocument/2006/relationships/fontTable" Target="fontTable.xml"/><Relationship Id="rId1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659</Words>
  <Characters>3568</Characters>
  <CharactersWithSpaces>4153</CharactersWithSpaces>
  <Paragraphs>103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