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5, 2024</w:t>
      </w:r>
    </w:p>
    <w:p>
      <w:pPr>
        <w:spacing w:after="0" w:line="77"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7"/>
          <w:szCs w:val="17"/>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9"/>
        <w:spacing w:after="0" w:line="233"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139700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20-3828755</w:t>
      </w:r>
    </w:p>
    <w:p>
      <w:pPr>
        <w:spacing w:after="0" w:line="24" w:lineRule="exact"/>
        <w:rPr>
          <w:sz w:val="24"/>
          <w:szCs w:val="24"/>
          <w:color w:val="auto"/>
        </w:rPr>
      </w:pPr>
    </w:p>
    <w:p>
      <w:pPr>
        <w:sectPr>
          <w:pgSz w:w="11900" w:h="16838" w:orient="portrait"/>
          <w:cols w:equalWidth="0" w:num="2">
            <w:col w:w="7420" w:space="720"/>
            <w:col w:w="3100"/>
          </w:cols>
          <w:pgMar w:left="320" w:top="1440"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7"/>
          <w:szCs w:val="17"/>
          <w:b w:val="1"/>
          <w:bCs w:val="1"/>
          <w:color w:val="auto"/>
        </w:rPr>
        <w:t>10770 Wateridge Circle, Suite 210</w:t>
      </w:r>
    </w:p>
    <w:p>
      <w:pPr>
        <w:jc w:val="center"/>
        <w:spacing w:after="0" w:line="223" w:lineRule="auto"/>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362-6295</w:t>
      </w:r>
    </w:p>
    <w:p>
      <w:pPr>
        <w:sectPr>
          <w:pgSz w:w="11900" w:h="16838" w:orient="portrait"/>
          <w:cols w:equalWidth="0" w:num="1">
            <w:col w:w="11240"/>
          </w:cols>
          <w:pgMar w:left="320" w:top="1440" w:right="339" w:bottom="1440" w:gutter="0" w:footer="0" w:header="0"/>
          <w:type w:val="continuous"/>
        </w:sectPr>
      </w:pPr>
    </w:p>
    <w:p>
      <w:pPr>
        <w:jc w:val="center"/>
        <w:spacing w:after="0" w:line="197"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Amended and Restated Equity Incentive Plan</w:t>
      </w: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Faga</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AnaptysBio, Inc.</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10770 Wateridge Circle, Suite 210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San Diego, CA 92121</w:t>
      </w:r>
    </w:p>
    <w:p>
      <w:pPr>
        <w:jc w:val="center"/>
        <w:spacing w:after="0" w:line="194" w:lineRule="auto"/>
        <w:rPr>
          <w:sz w:val="20"/>
          <w:szCs w:val="20"/>
          <w:color w:val="auto"/>
        </w:rPr>
      </w:pPr>
      <w:r>
        <w:rPr>
          <w:rFonts w:ascii="Times New Roman" w:cs="Times New Roman" w:eastAsia="Times New Roman" w:hAnsi="Times New Roman"/>
          <w:sz w:val="18"/>
          <w:szCs w:val="18"/>
          <w:b w:val="1"/>
          <w:bCs w:val="1"/>
          <w:color w:val="auto"/>
        </w:rPr>
        <w:t>(858) 362-6295</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Effie Toshav, Esq.</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Ryan Mitteness, Esq.</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Fenwick &amp; West LLP</w:t>
      </w:r>
    </w:p>
    <w:p>
      <w:pPr>
        <w:ind w:left="4660"/>
        <w:spacing w:after="0" w:line="204" w:lineRule="auto"/>
        <w:rPr>
          <w:sz w:val="20"/>
          <w:szCs w:val="20"/>
          <w:color w:val="auto"/>
        </w:rPr>
      </w:pPr>
      <w:r>
        <w:rPr>
          <w:rFonts w:ascii="Times New Roman" w:cs="Times New Roman" w:eastAsia="Times New Roman" w:hAnsi="Times New Roman"/>
          <w:sz w:val="18"/>
          <w:szCs w:val="18"/>
          <w:b w:val="1"/>
          <w:bCs w:val="1"/>
          <w:color w:val="auto"/>
        </w:rPr>
        <w:t>401 Union Street, Floor 5</w:t>
      </w:r>
    </w:p>
    <w:p>
      <w:pPr>
        <w:ind w:left="4920"/>
        <w:spacing w:after="0" w:line="203" w:lineRule="auto"/>
        <w:rPr>
          <w:sz w:val="20"/>
          <w:szCs w:val="20"/>
          <w:color w:val="auto"/>
        </w:rPr>
      </w:pPr>
      <w:r>
        <w:rPr>
          <w:rFonts w:ascii="Times New Roman" w:cs="Times New Roman" w:eastAsia="Times New Roman" w:hAnsi="Times New Roman"/>
          <w:sz w:val="18"/>
          <w:szCs w:val="18"/>
          <w:b w:val="1"/>
          <w:bCs w:val="1"/>
          <w:color w:val="auto"/>
        </w:rPr>
        <w:t>Seattle, WA 98101</w:t>
      </w:r>
    </w:p>
    <w:p>
      <w:pPr>
        <w:ind w:left="5500" w:hanging="438"/>
        <w:spacing w:after="0" w:line="222" w:lineRule="auto"/>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389-4510</w:t>
      </w:r>
    </w:p>
    <w:p>
      <w:pPr>
        <w:ind w:left="4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u w:val="single" w:color="auto"/>
          <w:color w:val="auto"/>
        </w:rPr>
        <w:t>______________________</w:t>
      </w:r>
    </w:p>
    <w:p>
      <w:pPr>
        <w:spacing w:after="0" w:line="26"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2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740"/>
              <w:spacing w:after="0"/>
              <w:rPr>
                <w:sz w:val="20"/>
                <w:szCs w:val="20"/>
                <w:color w:val="auto"/>
              </w:rPr>
            </w:pPr>
            <w:r>
              <w:rPr>
                <w:rFonts w:ascii="Wingdings" w:cs="Wingdings" w:eastAsia="Wingdings" w:hAnsi="Wingdings"/>
                <w:sz w:val="14"/>
                <w:szCs w:val="14"/>
                <w:b w:val="1"/>
                <w:bCs w:val="1"/>
                <w:color w:val="auto"/>
              </w:rPr>
              <w:t>x</w:t>
            </w: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40"/>
              <w:spacing w:after="0"/>
              <w:rPr>
                <w:sz w:val="20"/>
                <w:szCs w:val="20"/>
                <w:color w:val="auto"/>
              </w:rPr>
            </w:pPr>
            <w:r>
              <w:rPr>
                <w:rFonts w:ascii="Wingdings" w:cs="Wingdings" w:eastAsia="Wingdings" w:hAnsi="Wingdings"/>
                <w:sz w:val="14"/>
                <w:szCs w:val="14"/>
                <w:b w:val="1"/>
                <w:bCs w:val="1"/>
                <w:color w:val="auto"/>
                <w:w w:val="94"/>
              </w:rPr>
              <w:t>x</w:t>
            </w:r>
          </w:p>
        </w:tc>
      </w:tr>
      <w:tr>
        <w:trPr>
          <w:trHeight w:val="292"/>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72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366"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0960"/>
          </w:cols>
          <w:pgMar w:left="360" w:top="1440" w:right="579" w:bottom="1440" w:gutter="0" w:footer="0" w:header="0"/>
        </w:sectPr>
      </w:pPr>
    </w:p>
    <w:bookmarkStart w:id="2" w:name="page3"/>
    <w:bookmarkEnd w:id="2"/>
    <w:p>
      <w:pPr>
        <w:spacing w:after="0" w:line="1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13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Pursuant to General Instruction E of Form S-8, AnaptysBio, Inc. (the “Registrant”) is filing this Registration Statement with the Securities and Exchange Commission (the “Commission”) to register 2,700,000 additional shares of the Registrant's Common Stock under the Registrant’s Amended and Restated 2017 Equity Incentive Plan (the “Amended Plan”), pursuant to stockholder approval of the Amended Plan on June 12, 2024.</w:t>
      </w:r>
    </w:p>
    <w:p>
      <w:pPr>
        <w:spacing w:after="0" w:line="68"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This Registration Statement hereby incorporates by reference the contents of the Registrant’s registration statements on Form S-8 filed with the Commission on January 26, 2017 (Registration No. 333-215741), March 5, 2018 (Registration No. 333-223446), February 28, 2019 (Registration No. 333-229927), March 2, 2020 (Registration No. 333-236805), February 25, 2021 (Registration No. 333-253504), March 7, 2022 (Registration No. 333-263332), March 1, 2023 (Registration No. 333-270175), and March 11, 2024 (Registration No. 333-277823).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440" w:right="399" w:bottom="1440" w:gutter="0" w:footer="0" w:header="0"/>
        </w:sectPr>
      </w:pPr>
    </w:p>
    <w:bookmarkStart w:id="3" w:name="page4"/>
    <w:bookmarkEnd w:id="3"/>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85" w:lineRule="exact"/>
        <w:rPr>
          <w:sz w:val="20"/>
          <w:szCs w:val="20"/>
          <w:color w:val="auto"/>
        </w:rPr>
      </w:pPr>
    </w:p>
    <w:p>
      <w:pPr>
        <w:ind w:right="120" w:firstLine="405"/>
        <w:spacing w:after="0" w:line="286"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are incorporated herein by reference:</w:t>
      </w:r>
    </w:p>
    <w:p>
      <w:pPr>
        <w:spacing w:after="0" w:line="159" w:lineRule="exact"/>
        <w:rPr>
          <w:sz w:val="20"/>
          <w:szCs w:val="20"/>
          <w:color w:val="auto"/>
        </w:rPr>
      </w:pPr>
    </w:p>
    <w:p>
      <w:pPr>
        <w:ind w:left="660" w:right="200" w:hanging="328"/>
        <w:spacing w:after="0" w:line="282"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with the Commission on March 11, 2024 pursuant to Section 13 of the Exchange Act;</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Registrant’s Annual Report on Form 10-K referred to in (a) above;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the Registrant’s common stock contained in the Registrant’s registration statement on Form 8-A (File No. 001-37985) filed on January 17, 2017, under Section 12(b) of the Exchange Act, including any amendment or report filed for the purpose of updating such description.</w:t>
      </w:r>
    </w:p>
    <w:p>
      <w:pPr>
        <w:spacing w:after="0" w:line="3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vMerge w:val="restart"/>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3"/>
        </w:trPr>
        <w:tc>
          <w:tcPr>
            <w:tcW w:w="1320" w:type="dxa"/>
            <w:vAlign w:val="bottom"/>
            <w:vMerge w:val="continue"/>
          </w:tcPr>
          <w:p>
            <w:pPr>
              <w:spacing w:after="0"/>
              <w:rPr>
                <w:sz w:val="2"/>
                <w:szCs w:val="2"/>
                <w:color w:val="auto"/>
              </w:rPr>
            </w:pPr>
          </w:p>
        </w:tc>
        <w:tc>
          <w:tcPr>
            <w:tcW w:w="55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80" w:type="dxa"/>
            <w:vAlign w:val="bottom"/>
            <w:gridSpan w:val="10"/>
            <w:vMerge w:val="continue"/>
          </w:tcPr>
          <w:p>
            <w:pPr>
              <w:spacing w:after="0"/>
              <w:rPr>
                <w:sz w:val="16"/>
                <w:szCs w:val="16"/>
                <w:color w:val="auto"/>
              </w:rPr>
            </w:pPr>
          </w:p>
        </w:tc>
        <w:tc>
          <w:tcPr>
            <w:tcW w:w="60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80" w:type="dxa"/>
            <w:vAlign w:val="bottom"/>
            <w:gridSpan w:val="10"/>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Amended and Restated Certificate of Incorporation of the Registrant</w:t>
              </w:r>
            </w:hyperlink>
          </w:p>
        </w:tc>
        <w:tc>
          <w:tcPr>
            <w:tcW w:w="6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10-Q</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001-37985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92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Second Amended and Restated Bylaws of the Registrant</w:t>
              </w:r>
            </w:hyperlink>
          </w:p>
        </w:tc>
        <w:tc>
          <w:tcPr>
            <w:tcW w:w="660" w:type="dxa"/>
            <w:vAlign w:val="bottom"/>
          </w:tcPr>
          <w:p>
            <w:pPr>
              <w:spacing w:after="0"/>
              <w:rPr>
                <w:sz w:val="24"/>
                <w:szCs w:val="24"/>
                <w:color w:val="auto"/>
              </w:rPr>
            </w:pPr>
          </w:p>
        </w:tc>
        <w:tc>
          <w:tcPr>
            <w:tcW w:w="6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8-K</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001-37985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4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8"/>
              </w:rPr>
            </w:pPr>
            <w:hyperlink r:id="rId15">
              <w:r>
                <w:rPr>
                  <w:rFonts w:ascii="Times New Roman" w:cs="Times New Roman" w:eastAsia="Times New Roman" w:hAnsi="Times New Roman"/>
                  <w:sz w:val="18"/>
                  <w:szCs w:val="18"/>
                  <w:color w:val="0000FF"/>
                  <w:w w:val="98"/>
                </w:rPr>
                <w:t>Form of Registrant’s Common Stock certificate</w:t>
              </w:r>
            </w:hyperlink>
          </w:p>
        </w:tc>
        <w:tc>
          <w:tcPr>
            <w:tcW w:w="640" w:type="dxa"/>
            <w:vAlign w:val="bottom"/>
            <w:tcBorders>
              <w:top w:val="single" w:sz="8" w:color="0000FF"/>
            </w:tcBorders>
            <w:gridSpan w:val="2"/>
          </w:tcPr>
          <w:p>
            <w:pPr>
              <w:spacing w:after="0"/>
              <w:rPr>
                <w:sz w:val="24"/>
                <w:szCs w:val="24"/>
                <w:color w:val="auto"/>
              </w:rPr>
            </w:pPr>
          </w:p>
        </w:tc>
        <w:tc>
          <w:tcPr>
            <w:tcW w:w="1520" w:type="dxa"/>
            <w:vAlign w:val="bottom"/>
            <w:gridSpan w:val="4"/>
          </w:tcPr>
          <w:p>
            <w:pPr>
              <w:spacing w:after="0"/>
              <w:rPr>
                <w:sz w:val="24"/>
                <w:szCs w:val="24"/>
                <w:color w:val="auto"/>
              </w:rPr>
            </w:pPr>
          </w:p>
        </w:tc>
        <w:tc>
          <w:tcPr>
            <w:tcW w:w="6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5"/>
              </w:rPr>
              <w:t>S-1</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333-206849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6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Amended and Restated 2017 Equity Incentive Plan</w:t>
              </w:r>
            </w:hyperlink>
          </w:p>
        </w:tc>
        <w:tc>
          <w:tcPr>
            <w:tcW w:w="1900" w:type="dxa"/>
            <w:vAlign w:val="bottom"/>
            <w:gridSpan w:val="5"/>
          </w:tcPr>
          <w:p>
            <w:pPr>
              <w:spacing w:after="0"/>
              <w:rPr>
                <w:sz w:val="24"/>
                <w:szCs w:val="24"/>
                <w:color w:val="auto"/>
              </w:rPr>
            </w:pPr>
          </w:p>
        </w:tc>
        <w:tc>
          <w:tcPr>
            <w:tcW w:w="6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8-K</w:t>
            </w: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001-37985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Opinion of Fenwick &amp; West LLP</w:t>
            </w:r>
          </w:p>
        </w:tc>
        <w:tc>
          <w:tcPr>
            <w:tcW w:w="3180" w:type="dxa"/>
            <w:vAlign w:val="bottom"/>
            <w:gridSpan w:val="7"/>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Fenwick &amp; West LLP (contained in Exhibit 5.1)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KPMG, independent registered public accounting firm</w:t>
            </w:r>
          </w:p>
        </w:tc>
        <w:tc>
          <w:tcPr>
            <w:tcW w:w="8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Power of Attorney</w:t>
            </w:r>
          </w:p>
        </w:tc>
        <w:tc>
          <w:tcPr>
            <w:tcW w:w="424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440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II-1</w:t>
      </w:r>
    </w:p>
    <w:p>
      <w:pPr>
        <w:sectPr>
          <w:pgSz w:w="11900" w:h="16838" w:orient="portrait"/>
          <w:cols w:equalWidth="0" w:num="1">
            <w:col w:w="11240"/>
          </w:cols>
          <w:pgMar w:left="320" w:top="1440"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w:t>
      </w:r>
    </w:p>
    <w:p>
      <w:pPr>
        <w:spacing w:after="0" w:line="2" w:lineRule="exact"/>
        <w:rPr>
          <w:sz w:val="20"/>
          <w:szCs w:val="20"/>
          <w:color w:val="auto"/>
        </w:rPr>
      </w:pPr>
    </w:p>
    <w:p>
      <w:pPr>
        <w:ind w:right="700"/>
        <w:spacing w:after="0" w:line="233" w:lineRule="auto"/>
        <w:rPr>
          <w:sz w:val="20"/>
          <w:szCs w:val="20"/>
          <w:color w:val="auto"/>
        </w:rPr>
      </w:pPr>
      <w:r>
        <w:rPr>
          <w:rFonts w:ascii="Times New Roman" w:cs="Times New Roman" w:eastAsia="Times New Roman" w:hAnsi="Times New Roman"/>
          <w:sz w:val="18"/>
          <w:szCs w:val="18"/>
          <w:color w:val="auto"/>
        </w:rPr>
        <w:t>requirements for filing on Form S-8 and has duly caused this Registration Statement to be signed on its behalf by the undersigned, thereunto duly authorized, in the City of San Diego, State of California, on this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August,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Faga</w:t>
      </w:r>
    </w:p>
    <w:p>
      <w:pPr>
        <w:spacing w:after="0" w:line="203" w:lineRule="auto"/>
        <w:rPr>
          <w:sz w:val="20"/>
          <w:szCs w:val="20"/>
          <w:color w:val="auto"/>
        </w:rPr>
      </w:pPr>
      <w:r>
        <w:rPr>
          <w:rFonts w:ascii="Times New Roman" w:cs="Times New Roman" w:eastAsia="Times New Roman" w:hAnsi="Times New Roman"/>
          <w:sz w:val="18"/>
          <w:szCs w:val="18"/>
          <w:color w:val="auto"/>
        </w:rPr>
        <w:t>Daniel Faga</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2"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7"/>
          <w:szCs w:val="17"/>
          <w:b w:val="1"/>
          <w:bCs w:val="1"/>
          <w:color w:val="auto"/>
        </w:rPr>
        <w:t>KNOW ALL PERSONS BY THESE PRESENTS</w:t>
      </w:r>
      <w:r>
        <w:rPr>
          <w:rFonts w:ascii="Times New Roman" w:cs="Times New Roman" w:eastAsia="Times New Roman" w:hAnsi="Times New Roman"/>
          <w:sz w:val="17"/>
          <w:szCs w:val="17"/>
          <w:color w:val="auto"/>
        </w:rPr>
        <w:t>, that the undersigned officers and directors of AnaptysBio, Inc., a Delaware corporation, do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constitute and appoint Daniel Faga, Dennis Mulroy and Eric Loumeau, and each of them, the lawful attorneys-in-fact and agents with full power</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thereof, and each of the undersigned hereby ratifies and confirms that all said attorneys and agents, or any one of them, shall do or cause to be done by virtue hereof.</w:t>
      </w:r>
    </w:p>
    <w:p>
      <w:pPr>
        <w:spacing w:after="0" w:line="18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in the capacities and on the dates indicated.</w:t>
      </w:r>
    </w:p>
    <w:p>
      <w:pPr>
        <w:sectPr>
          <w:pgSz w:w="11900" w:h="16838" w:orient="portrait"/>
          <w:cols w:equalWidth="0" w:num="1">
            <w:col w:w="11180"/>
          </w:cols>
          <w:pgMar w:left="320" w:top="1400" w:right="399" w:bottom="1440" w:gutter="0" w:footer="0" w:header="0"/>
        </w:sectPr>
      </w:pPr>
    </w:p>
    <w:bookmarkStart w:id="5" w:name="page6"/>
    <w:bookmarkEnd w:id="5"/>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Daniel Faga</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Dennis Mulroy</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 Dennis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Dennis Fenton Ph.D.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Rita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251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Rita Jain, M.D</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Magda Marquet, Ph.D.</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Oleg Nodelman</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/s/John Orwin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251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John Orwin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Hollings Renton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Hollings Renton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John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John Schmid</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J. Anthony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2511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 Anthony Ware, M.D.</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19685</wp:posOffset>
            </wp:positionV>
            <wp:extent cx="3068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6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3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19685</wp:posOffset>
            </wp:positionV>
            <wp:extent cx="123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5, 2024</w:t>
      </w:r>
    </w:p>
    <w:p>
      <w:pPr>
        <w:sectPr>
          <w:pgSz w:w="11900" w:h="16838" w:orient="portrait"/>
          <w:cols w:equalWidth="0" w:num="3">
            <w:col w:w="3080" w:space="720"/>
            <w:col w:w="4080" w:space="720"/>
            <w:col w:w="1100"/>
          </w:cols>
          <w:pgMar w:left="1440" w:top="1440" w:right="759" w:bottom="1440" w:gutter="0" w:footer="0" w:header="0"/>
        </w:sectPr>
      </w:pPr>
    </w:p>
    <w:bookmarkStart w:id="6" w:name="page7"/>
    <w:bookmarkEnd w:id="6"/>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6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2"/>
          <w:szCs w:val="22"/>
          <w:color w:val="auto"/>
        </w:rPr>
        <w:t>Calculation of Filing Fee Tables</w:t>
      </w:r>
    </w:p>
    <w:p>
      <w:pPr>
        <w:spacing w:after="0" w:line="2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Form S-8</w:t>
      </w:r>
    </w:p>
    <w:p>
      <w:pPr>
        <w:spacing w:after="0" w:line="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(Form Type)</w:t>
      </w:r>
    </w:p>
    <w:p>
      <w:pPr>
        <w:spacing w:after="0" w:line="2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AnaptysBio, Inc.</w:t>
      </w:r>
    </w:p>
    <w:p>
      <w:pPr>
        <w:spacing w:after="0" w:line="2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ind w:left="4940"/>
        <w:spacing w:after="0"/>
        <w:rPr>
          <w:sz w:val="20"/>
          <w:szCs w:val="20"/>
          <w:color w:val="auto"/>
        </w:rPr>
      </w:pPr>
      <w:r>
        <w:rPr>
          <w:rFonts w:ascii="Times New Roman" w:cs="Times New Roman" w:eastAsia="Times New Roman" w:hAnsi="Times New Roman"/>
          <w:sz w:val="18"/>
          <w:szCs w:val="18"/>
          <w:color w:val="auto"/>
        </w:rPr>
        <w:t>Newly Registered Securities</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0" w:type="dxa"/>
            <w:vAlign w:val="bottom"/>
            <w:tcBorders>
              <w:top w:val="single" w:sz="8" w:color="auto"/>
              <w:left w:val="single" w:sz="8" w:color="auto"/>
              <w:right w:val="single" w:sz="8" w:color="auto"/>
            </w:tcBorders>
          </w:tcPr>
          <w:p>
            <w:pPr>
              <w:spacing w:after="0"/>
              <w:rPr>
                <w:sz w:val="16"/>
                <w:szCs w:val="16"/>
                <w:color w:val="auto"/>
              </w:rPr>
            </w:pPr>
          </w:p>
        </w:tc>
        <w:tc>
          <w:tcPr>
            <w:tcW w:w="238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Proposed</w:t>
            </w:r>
          </w:p>
        </w:tc>
        <w:tc>
          <w:tcPr>
            <w:tcW w:w="152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Security</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Security Class Title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 Calculation Rule</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Amount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 Aggregate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 Rate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Amount of</w:t>
            </w:r>
          </w:p>
        </w:tc>
        <w:tc>
          <w:tcPr>
            <w:tcW w:w="0" w:type="dxa"/>
            <w:vAlign w:val="bottom"/>
          </w:tcPr>
          <w:p>
            <w:pPr>
              <w:spacing w:after="0"/>
              <w:rPr>
                <w:sz w:val="1"/>
                <w:szCs w:val="1"/>
                <w:color w:val="auto"/>
              </w:rPr>
            </w:pPr>
          </w:p>
        </w:tc>
      </w:tr>
      <w:tr>
        <w:trPr>
          <w:trHeight w:val="81"/>
        </w:trPr>
        <w:tc>
          <w:tcPr>
            <w:tcW w:w="860" w:type="dxa"/>
            <w:vAlign w:val="bottom"/>
            <w:tcBorders>
              <w:left w:val="single" w:sz="8" w:color="auto"/>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Type</w:t>
            </w:r>
          </w:p>
        </w:tc>
        <w:tc>
          <w:tcPr>
            <w:tcW w:w="238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 xml:space="preserve">Registered </w:t>
            </w:r>
            <w:r>
              <w:rPr>
                <w:rFonts w:ascii="Times New Roman" w:cs="Times New Roman" w:eastAsia="Times New Roman" w:hAnsi="Times New Roman"/>
                <w:sz w:val="21"/>
                <w:szCs w:val="21"/>
                <w:color w:val="auto"/>
                <w:w w:val="94"/>
                <w:vertAlign w:val="superscript"/>
              </w:rPr>
              <w:t>(1)</w:t>
            </w:r>
          </w:p>
        </w:tc>
        <w:tc>
          <w:tcPr>
            <w:tcW w:w="130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Offering Price Per</w:t>
            </w:r>
          </w:p>
        </w:tc>
        <w:tc>
          <w:tcPr>
            <w:tcW w:w="152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Offering Price</w:t>
            </w:r>
          </w:p>
        </w:tc>
        <w:tc>
          <w:tcPr>
            <w:tcW w:w="118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Registration Fee</w:t>
            </w:r>
          </w:p>
        </w:tc>
        <w:tc>
          <w:tcPr>
            <w:tcW w:w="0" w:type="dxa"/>
            <w:vAlign w:val="bottom"/>
          </w:tcPr>
          <w:p>
            <w:pPr>
              <w:spacing w:after="0"/>
              <w:rPr>
                <w:sz w:val="1"/>
                <w:szCs w:val="1"/>
                <w:color w:val="auto"/>
              </w:rPr>
            </w:pPr>
          </w:p>
        </w:tc>
      </w:tr>
      <w:tr>
        <w:trPr>
          <w:trHeight w:val="223"/>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Unit</w:t>
            </w:r>
          </w:p>
        </w:tc>
        <w:tc>
          <w:tcPr>
            <w:tcW w:w="152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23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Common Stock, $0.001 par value</w:t>
            </w:r>
          </w:p>
        </w:tc>
        <w:tc>
          <w:tcPr>
            <w:tcW w:w="15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spacing w:after="0"/>
              <w:rPr>
                <w:sz w:val="14"/>
                <w:szCs w:val="14"/>
                <w:color w:val="auto"/>
              </w:rPr>
            </w:pPr>
          </w:p>
        </w:tc>
        <w:tc>
          <w:tcPr>
            <w:tcW w:w="23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per share, reserved for issuance</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Rule 457(c) and Rule</w:t>
            </w:r>
          </w:p>
        </w:tc>
        <w:tc>
          <w:tcPr>
            <w:tcW w:w="13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860" w:type="dxa"/>
            <w:vAlign w:val="bottom"/>
            <w:tcBorders>
              <w:left w:val="single" w:sz="8" w:color="auto"/>
              <w:right w:val="single" w:sz="8" w:color="auto"/>
            </w:tcBorders>
          </w:tcPr>
          <w:p>
            <w:pPr>
              <w:spacing w:after="0"/>
              <w:rPr>
                <w:sz w:val="7"/>
                <w:szCs w:val="7"/>
                <w:color w:val="auto"/>
              </w:rPr>
            </w:pPr>
          </w:p>
        </w:tc>
        <w:tc>
          <w:tcPr>
            <w:tcW w:w="23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pursuant to the Amended and</w:t>
            </w:r>
          </w:p>
        </w:tc>
        <w:tc>
          <w:tcPr>
            <w:tcW w:w="150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60" w:type="dxa"/>
            <w:vAlign w:val="bottom"/>
            <w:tcBorders>
              <w:left w:val="single" w:sz="8" w:color="auto"/>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13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60" w:type="dxa"/>
            <w:vAlign w:val="bottom"/>
            <w:tcBorders>
              <w:left w:val="single" w:sz="8" w:color="auto"/>
              <w:right w:val="single" w:sz="8" w:color="auto"/>
            </w:tcBorders>
          </w:tcPr>
          <w:p>
            <w:pPr>
              <w:spacing w:after="0"/>
              <w:rPr>
                <w:sz w:val="11"/>
                <w:szCs w:val="11"/>
                <w:color w:val="auto"/>
              </w:rPr>
            </w:pPr>
          </w:p>
        </w:tc>
        <w:tc>
          <w:tcPr>
            <w:tcW w:w="23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Restated 2017 Equity Incentive</w:t>
            </w:r>
          </w:p>
        </w:tc>
        <w:tc>
          <w:tcPr>
            <w:tcW w:w="150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2,700,000</w:t>
            </w:r>
            <w:r>
              <w:rPr>
                <w:rFonts w:ascii="Times New Roman" w:cs="Times New Roman" w:eastAsia="Times New Roman" w:hAnsi="Times New Roman"/>
                <w:sz w:val="21"/>
                <w:szCs w:val="21"/>
                <w:color w:val="auto"/>
                <w:w w:val="94"/>
                <w:vertAlign w:val="superscript"/>
              </w:rPr>
              <w:t>(2)</w:t>
            </w:r>
          </w:p>
        </w:tc>
        <w:tc>
          <w:tcPr>
            <w:tcW w:w="13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$94,392,000</w:t>
            </w:r>
          </w:p>
        </w:tc>
        <w:tc>
          <w:tcPr>
            <w:tcW w:w="118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$13,932</w:t>
            </w:r>
          </w:p>
        </w:tc>
        <w:tc>
          <w:tcPr>
            <w:tcW w:w="0" w:type="dxa"/>
            <w:vAlign w:val="bottom"/>
          </w:tcPr>
          <w:p>
            <w:pPr>
              <w:spacing w:after="0"/>
              <w:rPr>
                <w:sz w:val="1"/>
                <w:szCs w:val="1"/>
                <w:color w:val="auto"/>
              </w:rPr>
            </w:pPr>
          </w:p>
        </w:tc>
      </w:tr>
      <w:tr>
        <w:trPr>
          <w:trHeight w:val="33"/>
        </w:trPr>
        <w:tc>
          <w:tcPr>
            <w:tcW w:w="860" w:type="dxa"/>
            <w:vAlign w:val="bottom"/>
            <w:tcBorders>
              <w:left w:val="single" w:sz="8" w:color="auto"/>
              <w:right w:val="single" w:sz="8" w:color="auto"/>
            </w:tcBorders>
          </w:tcPr>
          <w:p>
            <w:pPr>
              <w:spacing w:after="0"/>
              <w:rPr>
                <w:sz w:val="2"/>
                <w:szCs w:val="2"/>
                <w:color w:val="auto"/>
              </w:rPr>
            </w:pPr>
          </w:p>
        </w:tc>
        <w:tc>
          <w:tcPr>
            <w:tcW w:w="2380" w:type="dxa"/>
            <w:vAlign w:val="bottom"/>
            <w:tcBorders>
              <w:right w:val="single" w:sz="8" w:color="auto"/>
            </w:tcBorders>
            <w:vMerge w:val="continue"/>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vMerge w:val="continue"/>
          </w:tcPr>
          <w:p>
            <w:pPr>
              <w:spacing w:after="0"/>
              <w:rPr>
                <w:sz w:val="2"/>
                <w:szCs w:val="2"/>
                <w:color w:val="auto"/>
              </w:rPr>
            </w:pPr>
          </w:p>
        </w:tc>
        <w:tc>
          <w:tcPr>
            <w:tcW w:w="1300" w:type="dxa"/>
            <w:vAlign w:val="bottom"/>
            <w:tcBorders>
              <w:right w:val="single" w:sz="8" w:color="auto"/>
            </w:tcBorders>
            <w:vMerge w:val="restart"/>
          </w:tcPr>
          <w:p>
            <w:pPr>
              <w:jc w:val="right"/>
              <w:ind w:right="606"/>
              <w:spacing w:after="0"/>
              <w:rPr>
                <w:sz w:val="20"/>
                <w:szCs w:val="20"/>
                <w:color w:val="auto"/>
              </w:rPr>
            </w:pPr>
            <w:r>
              <w:rPr>
                <w:rFonts w:ascii="Times New Roman" w:cs="Times New Roman" w:eastAsia="Times New Roman" w:hAnsi="Times New Roman"/>
                <w:sz w:val="16"/>
                <w:szCs w:val="16"/>
                <w:color w:val="auto"/>
                <w:w w:val="93"/>
              </w:rPr>
              <w:t xml:space="preserve">$34.96 </w:t>
            </w:r>
            <w:r>
              <w:rPr>
                <w:rFonts w:ascii="Times New Roman" w:cs="Times New Roman" w:eastAsia="Times New Roman" w:hAnsi="Times New Roman"/>
                <w:sz w:val="21"/>
                <w:szCs w:val="21"/>
                <w:color w:val="auto"/>
                <w:w w:val="93"/>
                <w:vertAlign w:val="superscript"/>
              </w:rPr>
              <w:t>(3)</w:t>
            </w:r>
          </w:p>
        </w:tc>
        <w:tc>
          <w:tcPr>
            <w:tcW w:w="1520" w:type="dxa"/>
            <w:vAlign w:val="bottom"/>
            <w:tcBorders>
              <w:right w:val="single" w:sz="8" w:color="auto"/>
            </w:tcBorders>
            <w:vMerge w:val="continue"/>
          </w:tcPr>
          <w:p>
            <w:pPr>
              <w:spacing w:after="0"/>
              <w:rPr>
                <w:sz w:val="2"/>
                <w:szCs w:val="2"/>
                <w:color w:val="auto"/>
              </w:rPr>
            </w:pPr>
          </w:p>
        </w:tc>
        <w:tc>
          <w:tcPr>
            <w:tcW w:w="1180" w:type="dxa"/>
            <w:vAlign w:val="bottom"/>
            <w:tcBorders>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0.00014760</w:t>
            </w:r>
          </w:p>
        </w:tc>
        <w:tc>
          <w:tcPr>
            <w:tcW w:w="12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Plan</w:t>
            </w:r>
          </w:p>
        </w:tc>
        <w:tc>
          <w:tcPr>
            <w:tcW w:w="15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1520" w:type="dxa"/>
            <w:vAlign w:val="bottom"/>
            <w:tcBorders>
              <w:bottom w:val="single" w:sz="8" w:color="auto"/>
              <w:right w:val="single" w:sz="8" w:color="auto"/>
            </w:tcBorders>
            <w:vMerge w:val="continue"/>
          </w:tcPr>
          <w:p>
            <w:pPr>
              <w:spacing w:after="0"/>
              <w:rPr>
                <w:sz w:val="19"/>
                <w:szCs w:val="19"/>
                <w:color w:val="auto"/>
              </w:rPr>
            </w:pPr>
          </w:p>
        </w:tc>
        <w:tc>
          <w:tcPr>
            <w:tcW w:w="1180" w:type="dxa"/>
            <w:vAlign w:val="bottom"/>
            <w:tcBorders>
              <w:bottom w:val="single" w:sz="8" w:color="auto"/>
              <w:right w:val="single" w:sz="8" w:color="auto"/>
            </w:tcBorders>
            <w:vMerge w:val="continue"/>
          </w:tcPr>
          <w:p>
            <w:pPr>
              <w:spacing w:after="0"/>
              <w:rPr>
                <w:sz w:val="19"/>
                <w:szCs w:val="19"/>
                <w:color w:val="auto"/>
              </w:rPr>
            </w:pPr>
          </w:p>
        </w:tc>
        <w:tc>
          <w:tcPr>
            <w:tcW w:w="1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0" w:type="dxa"/>
            <w:vAlign w:val="bottom"/>
            <w:tcBorders>
              <w:left w:val="single" w:sz="8" w:color="auto"/>
            </w:tcBorders>
          </w:tcPr>
          <w:p>
            <w:pPr>
              <w:spacing w:after="0"/>
              <w:rPr>
                <w:sz w:val="20"/>
                <w:szCs w:val="20"/>
                <w:color w:val="auto"/>
              </w:rPr>
            </w:pPr>
          </w:p>
        </w:tc>
        <w:tc>
          <w:tcPr>
            <w:tcW w:w="3880" w:type="dxa"/>
            <w:vAlign w:val="bottom"/>
            <w:gridSpan w:val="2"/>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3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$94,392,000</w:t>
            </w:r>
          </w:p>
        </w:tc>
        <w:tc>
          <w:tcPr>
            <w:tcW w:w="11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$13,932</w:t>
            </w:r>
          </w:p>
        </w:tc>
        <w:tc>
          <w:tcPr>
            <w:tcW w:w="0" w:type="dxa"/>
            <w:vAlign w:val="bottom"/>
          </w:tcPr>
          <w:p>
            <w:pPr>
              <w:spacing w:after="0"/>
              <w:rPr>
                <w:sz w:val="1"/>
                <w:szCs w:val="1"/>
                <w:color w:val="auto"/>
              </w:rPr>
            </w:pPr>
          </w:p>
        </w:tc>
      </w:tr>
      <w:tr>
        <w:trPr>
          <w:trHeight w:val="53"/>
        </w:trPr>
        <w:tc>
          <w:tcPr>
            <w:tcW w:w="860" w:type="dxa"/>
            <w:vAlign w:val="bottom"/>
            <w:tcBorders>
              <w:left w:val="single" w:sz="8" w:color="auto"/>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60" w:type="dxa"/>
            <w:vAlign w:val="bottom"/>
            <w:tcBorders>
              <w:left w:val="single" w:sz="8" w:color="auto"/>
              <w:bottom w:val="single" w:sz="8" w:color="auto"/>
            </w:tcBorders>
          </w:tcPr>
          <w:p>
            <w:pPr>
              <w:spacing w:after="0"/>
              <w:rPr>
                <w:sz w:val="19"/>
                <w:szCs w:val="19"/>
                <w:color w:val="auto"/>
              </w:rPr>
            </w:pPr>
          </w:p>
        </w:tc>
        <w:tc>
          <w:tcPr>
            <w:tcW w:w="3880" w:type="dxa"/>
            <w:vAlign w:val="bottom"/>
            <w:tcBorders>
              <w:bottom w:val="single" w:sz="8" w:color="auto"/>
            </w:tcBorders>
            <w:gridSpan w:val="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130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7"/>
        </w:trPr>
        <w:tc>
          <w:tcPr>
            <w:tcW w:w="860" w:type="dxa"/>
            <w:vAlign w:val="bottom"/>
            <w:tcBorders>
              <w:left w:val="single" w:sz="8" w:color="auto"/>
            </w:tcBorders>
          </w:tcPr>
          <w:p>
            <w:pPr>
              <w:spacing w:after="0"/>
              <w:rPr>
                <w:sz w:val="20"/>
                <w:szCs w:val="20"/>
                <w:color w:val="auto"/>
              </w:rPr>
            </w:pPr>
          </w:p>
        </w:tc>
        <w:tc>
          <w:tcPr>
            <w:tcW w:w="388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3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$13,932</w:t>
            </w:r>
          </w:p>
        </w:tc>
        <w:tc>
          <w:tcPr>
            <w:tcW w:w="0" w:type="dxa"/>
            <w:vAlign w:val="bottom"/>
          </w:tcPr>
          <w:p>
            <w:pPr>
              <w:spacing w:after="0"/>
              <w:rPr>
                <w:sz w:val="1"/>
                <w:szCs w:val="1"/>
                <w:color w:val="auto"/>
              </w:rPr>
            </w:pPr>
          </w:p>
        </w:tc>
      </w:tr>
      <w:tr>
        <w:trPr>
          <w:trHeight w:val="53"/>
        </w:trPr>
        <w:tc>
          <w:tcPr>
            <w:tcW w:w="860" w:type="dxa"/>
            <w:vAlign w:val="bottom"/>
            <w:tcBorders>
              <w:left w:val="single" w:sz="8" w:color="auto"/>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right="40" w:hanging="332"/>
        <w:spacing w:after="0" w:line="271" w:lineRule="auto"/>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under the Securities Act of 1933, as amended (the “Securities Act”), this Registration Statement shall also cover any additional shares of the Registrant’s Common Stock that becomes issuable under the Registrant’s Amended and Restated 2017 Equity Incentive Plan (the “2017 EIP”) by reason of any stock dividend, stock split, recapitalization or other similar transaction effected without the receipt of consideration that increases the number of the Registrant’s outstanding shares of Common Stock.</w:t>
      </w:r>
    </w:p>
    <w:p>
      <w:pPr>
        <w:spacing w:after="0" w:line="2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additional shares reserved for issuance under the 2017 EIP as of the date of this Registration Statement.</w:t>
      </w:r>
    </w:p>
    <w:p>
      <w:pPr>
        <w:spacing w:after="0" w:line="68" w:lineRule="exact"/>
        <w:rPr>
          <w:rFonts w:ascii="Times New Roman" w:cs="Times New Roman" w:eastAsia="Times New Roman" w:hAnsi="Times New Roman"/>
          <w:sz w:val="14"/>
          <w:szCs w:val="14"/>
          <w:color w:val="auto"/>
        </w:rPr>
      </w:pPr>
    </w:p>
    <w:p>
      <w:pPr>
        <w:ind w:left="340" w:right="40" w:hanging="332"/>
        <w:spacing w:after="0" w:line="302" w:lineRule="auto"/>
        <w:tabs>
          <w:tab w:leader="none" w:pos="22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solely for the purposes of this offering under Rules 457(c) and (h) of the Securities Act on the basis of the average of the high and low prices of the Registrant’s Common Stock as reported on the Nasdaq Global Select Market on July 31, 2024.</w:t>
      </w:r>
    </w:p>
    <w:p>
      <w:pPr>
        <w:sectPr>
          <w:pgSz w:w="11900" w:h="16838" w:orient="portrait"/>
          <w:cols w:equalWidth="0" w:num="1">
            <w:col w:w="11260"/>
          </w:cols>
          <w:pgMar w:left="320" w:top="1413"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wp:posOffset>
            </wp:positionV>
            <wp:extent cx="6471920" cy="746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4719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5,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10770 Wateridge Circle, Suite 210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 92121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As counsel to AnaptysBio,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we have examined the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to be filed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or about August 5, 2024 in connection with the registration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an aggregate of 2,700,000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Common Stock, $0.001 par value per share, that consists of (a) 2,700,000 Shares that are subject to issuance by the Company upon the exercise or settlement of awards to be granted under the Amended and Restated 2017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as approved by the stockholders of the Company on June 12, 2024.</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documents filed with the Commission via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 except for required EDGAR formatting changes, to physical copies submitted for our examination.</w:t>
      </w:r>
    </w:p>
    <w:p>
      <w:pPr>
        <w:spacing w:after="0" w:line="1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opinions in this letter are limited to the existing General Corporation Law of the State of Delaware now in effect. We express no opinion with respect to any other laws.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the Shares, when issued and sold by the Company in accordance with the terms (including, without limitation, payment and authorization provisions) of the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FENWICK &amp; WEST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FENWICK &amp; WEST LLP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11, 2024, with respect to the consolidated financial statements of AnaptysBio, Inc., incorporated herein by reference.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2024</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6"/>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jpeg"/><Relationship Id="rId13" Type="http://schemas.openxmlformats.org/officeDocument/2006/relationships/hyperlink" Target="https://www.sec.gov/Archives/edgar/data/1370053/000137005323000049/anaptysbioinc-derestated.htm" TargetMode="External"/><Relationship Id="rId14" Type="http://schemas.openxmlformats.org/officeDocument/2006/relationships/hyperlink" Target="https://www.sec.gov/Archives/edgar/data/1370053/000137005323000013/anaptysbio-secondamended.htm" TargetMode="External"/><Relationship Id="rId15" Type="http://schemas.openxmlformats.org/officeDocument/2006/relationships/hyperlink" Target="https://www.sec.gov/Archives/edgar/data/1370053/000119312515412604/d942137dex41.htm" TargetMode="External"/><Relationship Id="rId16" Type="http://schemas.openxmlformats.org/officeDocument/2006/relationships/hyperlink" Target="https://www.sec.gov/Archives/edgar/data/1370053/000137005324000029/anab-ar2017equityinc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2024-08-05T15:53:01Z</dcterms:created>
  <dcterms:modified xsi:type="dcterms:W3CDTF">2024-08-05T15:53:01Z</dcterms:modified>
</cp:coreProperties>
</file>