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91440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87"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r>
      <w:tr>
        <w:trPr>
          <w:trHeight w:val="20"/>
        </w:trPr>
        <w:tc>
          <w:tcPr>
            <w:tcW w:w="2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25"/>
        </w:trPr>
        <w:tc>
          <w:tcPr>
            <w:tcW w:w="3020" w:type="dxa"/>
            <w:vAlign w:val="bottom"/>
            <w:gridSpan w:val="2"/>
          </w:tcPr>
          <w:p>
            <w:pPr>
              <w:ind w:left="680"/>
              <w:spacing w:after="0"/>
              <w:rPr>
                <w:sz w:val="20"/>
                <w:szCs w:val="20"/>
                <w:color w:val="auto"/>
              </w:rPr>
            </w:pPr>
            <w:r>
              <w:rPr>
                <w:rFonts w:ascii="Arial" w:cs="Arial" w:eastAsia="Arial" w:hAnsi="Arial"/>
                <w:sz w:val="14"/>
                <w:szCs w:val="14"/>
                <w:b w:val="1"/>
                <w:bCs w:val="1"/>
                <w:color w:val="auto"/>
                <w:w w:val="94"/>
              </w:rPr>
              <w:t>Commission File Number: 001-37985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50800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435"/>
        </w:trPr>
        <w:tc>
          <w:tcPr>
            <w:tcW w:w="7480" w:type="dxa"/>
            <w:vAlign w:val="bottom"/>
            <w:gridSpan w:val="5"/>
          </w:tcPr>
          <w:p>
            <w:pPr>
              <w:jc w:val="center"/>
              <w:ind w:left="3862"/>
              <w:spacing w:after="0"/>
              <w:rPr>
                <w:sz w:val="20"/>
                <w:szCs w:val="20"/>
                <w:color w:val="auto"/>
              </w:rPr>
            </w:pPr>
            <w:r>
              <w:rPr>
                <w:rFonts w:ascii="Arial" w:cs="Arial" w:eastAsia="Arial" w:hAnsi="Arial"/>
                <w:sz w:val="36"/>
                <w:szCs w:val="36"/>
                <w:b w:val="1"/>
                <w:bCs w:val="1"/>
                <w:color w:val="auto"/>
              </w:rPr>
              <w:t>ANAPTYSBIO, INC.</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480" w:type="dxa"/>
            <w:vAlign w:val="bottom"/>
            <w:gridSpan w:val="5"/>
          </w:tcPr>
          <w:p>
            <w:pPr>
              <w:jc w:val="center"/>
              <w:ind w:left="386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00" w:type="dxa"/>
            <w:vAlign w:val="bottom"/>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4"/>
              </w:rPr>
              <w:t>Delaware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20-3828755</w:t>
            </w:r>
          </w:p>
        </w:tc>
        <w:tc>
          <w:tcPr>
            <w:tcW w:w="0" w:type="dxa"/>
            <w:vAlign w:val="bottom"/>
          </w:tcPr>
          <w:p>
            <w:pPr>
              <w:spacing w:after="0"/>
              <w:rPr>
                <w:sz w:val="1"/>
                <w:szCs w:val="1"/>
                <w:color w:val="auto"/>
              </w:rPr>
            </w:pPr>
          </w:p>
        </w:tc>
      </w:tr>
      <w:tr>
        <w:trPr>
          <w:trHeight w:val="135"/>
        </w:trPr>
        <w:tc>
          <w:tcPr>
            <w:tcW w:w="6920" w:type="dxa"/>
            <w:vAlign w:val="bottom"/>
            <w:gridSpan w:val="2"/>
          </w:tcPr>
          <w:p>
            <w:pPr>
              <w:jc w:val="center"/>
              <w:ind w:right="130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tcPr>
          <w:p>
            <w:pPr>
              <w:jc w:val="center"/>
              <w:ind w:left="452"/>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31"/>
        </w:trPr>
        <w:tc>
          <w:tcPr>
            <w:tcW w:w="6920" w:type="dxa"/>
            <w:vAlign w:val="bottom"/>
            <w:gridSpan w:val="2"/>
          </w:tcPr>
          <w:p>
            <w:pPr>
              <w:jc w:val="center"/>
              <w:ind w:right="1300"/>
              <w:spacing w:after="0" w:line="131" w:lineRule="exact"/>
              <w:rPr>
                <w:sz w:val="20"/>
                <w:szCs w:val="20"/>
                <w:color w:val="auto"/>
              </w:rPr>
            </w:pPr>
            <w:r>
              <w:rPr>
                <w:rFonts w:ascii="Arial" w:cs="Arial" w:eastAsia="Arial" w:hAnsi="Arial"/>
                <w:sz w:val="13"/>
                <w:szCs w:val="13"/>
                <w:b w:val="1"/>
                <w:bCs w:val="1"/>
                <w:color w:val="auto"/>
                <w:w w:val="89"/>
              </w:rPr>
              <w:t>incorporation or organization)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tcPr>
          <w:p>
            <w:pPr>
              <w:jc w:val="center"/>
              <w:ind w:left="452"/>
              <w:spacing w:after="0" w:line="131" w:lineRule="exact"/>
              <w:rPr>
                <w:sz w:val="20"/>
                <w:szCs w:val="20"/>
                <w:color w:val="auto"/>
              </w:rPr>
            </w:pPr>
            <w:r>
              <w:rPr>
                <w:rFonts w:ascii="Arial" w:cs="Arial" w:eastAsia="Arial" w:hAnsi="Arial"/>
                <w:sz w:val="13"/>
                <w:szCs w:val="13"/>
                <w:b w:val="1"/>
                <w:bCs w:val="1"/>
                <w:color w:val="auto"/>
                <w:w w:val="89"/>
              </w:rPr>
              <w:t>Identification Number)</w:t>
            </w:r>
          </w:p>
        </w:tc>
        <w:tc>
          <w:tcPr>
            <w:tcW w:w="0" w:type="dxa"/>
            <w:vAlign w:val="bottom"/>
          </w:tcPr>
          <w:p>
            <w:pPr>
              <w:spacing w:after="0"/>
              <w:rPr>
                <w:sz w:val="1"/>
                <w:szCs w:val="1"/>
                <w:color w:val="auto"/>
              </w:rPr>
            </w:pPr>
          </w:p>
        </w:tc>
      </w:tr>
      <w:tr>
        <w:trPr>
          <w:trHeight w:val="149"/>
        </w:trPr>
        <w:tc>
          <w:tcPr>
            <w:tcW w:w="69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3"/>
              </w:rPr>
              <w:t>10421 Pacific Center Court, Suite 200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153"/>
        </w:trPr>
        <w:tc>
          <w:tcPr>
            <w:tcW w:w="6920" w:type="dxa"/>
            <w:vAlign w:val="bottom"/>
            <w:gridSpan w:val="2"/>
          </w:tcPr>
          <w:p>
            <w:pPr>
              <w:jc w:val="center"/>
              <w:ind w:right="1300"/>
              <w:spacing w:after="0" w:line="153" w:lineRule="exact"/>
              <w:rPr>
                <w:sz w:val="20"/>
                <w:szCs w:val="20"/>
                <w:color w:val="auto"/>
              </w:rPr>
            </w:pPr>
            <w:r>
              <w:rPr>
                <w:rFonts w:ascii="Arial" w:cs="Arial" w:eastAsia="Arial" w:hAnsi="Arial"/>
                <w:sz w:val="14"/>
                <w:szCs w:val="14"/>
                <w:b w:val="1"/>
                <w:bCs w:val="1"/>
                <w:color w:val="auto"/>
                <w:w w:val="93"/>
              </w:rPr>
              <w:t>San Diego, CA</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920" w:type="dxa"/>
            <w:vAlign w:val="bottom"/>
            <w:gridSpan w:val="2"/>
          </w:tcPr>
          <w:p>
            <w:pPr>
              <w:jc w:val="center"/>
              <w:ind w:right="130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left="452"/>
              <w:spacing w:after="0"/>
              <w:rPr>
                <w:sz w:val="20"/>
                <w:szCs w:val="20"/>
                <w:color w:val="auto"/>
              </w:rPr>
            </w:pPr>
            <w:r>
              <w:rPr>
                <w:rFonts w:ascii="Arial" w:cs="Arial" w:eastAsia="Arial" w:hAnsi="Arial"/>
                <w:sz w:val="13"/>
                <w:szCs w:val="13"/>
                <w:b w:val="1"/>
                <w:bCs w:val="1"/>
                <w:color w:val="auto"/>
                <w:w w:val="92"/>
              </w:rPr>
              <w:t>{Zip Code)</w:t>
            </w:r>
          </w:p>
        </w:tc>
        <w:tc>
          <w:tcPr>
            <w:tcW w:w="0" w:type="dxa"/>
            <w:vAlign w:val="bottom"/>
          </w:tcPr>
          <w:p>
            <w:pPr>
              <w:spacing w:after="0"/>
              <w:rPr>
                <w:sz w:val="1"/>
                <w:szCs w:val="1"/>
                <w:color w:val="auto"/>
              </w:rPr>
            </w:pPr>
          </w:p>
        </w:tc>
      </w:tr>
      <w:tr>
        <w:trPr>
          <w:trHeight w:val="209"/>
        </w:trPr>
        <w:tc>
          <w:tcPr>
            <w:tcW w:w="6920" w:type="dxa"/>
            <w:vAlign w:val="bottom"/>
            <w:gridSpan w:val="2"/>
          </w:tcPr>
          <w:p>
            <w:pPr>
              <w:jc w:val="center"/>
              <w:ind w:left="4422"/>
              <w:spacing w:after="0"/>
              <w:rPr>
                <w:sz w:val="20"/>
                <w:szCs w:val="20"/>
                <w:color w:val="auto"/>
              </w:rPr>
            </w:pPr>
            <w:r>
              <w:rPr>
                <w:rFonts w:ascii="Arial" w:cs="Arial" w:eastAsia="Arial" w:hAnsi="Arial"/>
                <w:sz w:val="14"/>
                <w:szCs w:val="14"/>
                <w:b w:val="1"/>
                <w:bCs w:val="1"/>
                <w:color w:val="auto"/>
                <w:w w:val="93"/>
              </w:rPr>
              <w:t>(858) 362-6295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480" w:type="dxa"/>
            <w:vAlign w:val="bottom"/>
            <w:gridSpan w:val="5"/>
          </w:tcPr>
          <w:p>
            <w:pPr>
              <w:jc w:val="center"/>
              <w:ind w:left="386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400" w:type="dxa"/>
            <w:vAlign w:val="bottom"/>
          </w:tcPr>
          <w:p>
            <w:pPr>
              <w:spacing w:after="0"/>
              <w:rPr>
                <w:sz w:val="8"/>
                <w:szCs w:val="8"/>
                <w:color w:val="auto"/>
              </w:rPr>
            </w:pPr>
          </w:p>
        </w:tc>
        <w:tc>
          <w:tcPr>
            <w:tcW w:w="2640" w:type="dxa"/>
            <w:vAlign w:val="bottom"/>
            <w:tcBorders>
              <w:bottom w:val="single" w:sz="8" w:color="auto"/>
            </w:tcBorders>
            <w:gridSpan w:val="2"/>
          </w:tcPr>
          <w:p>
            <w:pPr>
              <w:spacing w:after="0"/>
              <w:rPr>
                <w:sz w:val="8"/>
                <w:szCs w:val="8"/>
                <w:color w:val="auto"/>
              </w:rPr>
            </w:pPr>
          </w:p>
        </w:tc>
        <w:tc>
          <w:tcPr>
            <w:tcW w:w="22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9240" w:type="dxa"/>
            <w:vAlign w:val="bottom"/>
            <w:gridSpan w:val="6"/>
          </w:tcPr>
          <w:p>
            <w:pPr>
              <w:spacing w:after="0"/>
              <w:rPr>
                <w:sz w:val="20"/>
                <w:szCs w:val="20"/>
                <w:color w:val="auto"/>
              </w:rPr>
            </w:pPr>
            <w:r>
              <w:rPr>
                <w:rFonts w:ascii="Arial" w:cs="Arial" w:eastAsia="Arial" w:hAnsi="Arial"/>
                <w:sz w:val="14"/>
                <w:szCs w:val="14"/>
                <w:color w:val="auto"/>
                <w:w w:val="94"/>
              </w:rPr>
              <w:t>Securities registered pursuant to Section 12(b) of the Act: Common Stock, Par Value $0.001 Per Share; Common stock traded on the NASDAQ stock market</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920" w:type="dxa"/>
            <w:vAlign w:val="bottom"/>
            <w:gridSpan w:val="2"/>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300" w:type="dxa"/>
            <w:vAlign w:val="bottom"/>
            <w:gridSpan w:val="2"/>
          </w:tcPr>
          <w:p>
            <w:pPr>
              <w:ind w:left="40"/>
              <w:spacing w:after="0"/>
              <w:rPr>
                <w:sz w:val="20"/>
                <w:szCs w:val="20"/>
                <w:color w:val="auto"/>
              </w:rPr>
            </w:pPr>
            <w:r>
              <w:rPr>
                <w:rFonts w:ascii="Arial" w:cs="Arial" w:eastAsia="Arial" w:hAnsi="Arial"/>
                <w:sz w:val="14"/>
                <w:szCs w:val="14"/>
                <w:color w:val="auto"/>
                <w:w w:val="85"/>
              </w:rPr>
              <w:t>YES</w:t>
            </w:r>
          </w:p>
        </w:tc>
        <w:tc>
          <w:tcPr>
            <w:tcW w:w="2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76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6920" w:type="dxa"/>
            <w:vAlign w:val="bottom"/>
            <w:gridSpan w:val="2"/>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NO</w:t>
            </w:r>
          </w:p>
        </w:tc>
        <w:tc>
          <w:tcPr>
            <w:tcW w:w="17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2" w:lineRule="exact"/>
        <w:rPr>
          <w:sz w:val="24"/>
          <w:szCs w:val="24"/>
          <w:color w:val="auto"/>
        </w:rPr>
      </w:pPr>
    </w:p>
    <w:p>
      <w:pPr>
        <w:ind w:right="1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420"/>
          </w:cols>
          <w:pgMar w:left="240" w:top="607" w:right="239" w:bottom="1440" w:gutter="0" w:footer="0" w:header="0"/>
        </w:sectPr>
      </w:pPr>
    </w:p>
    <w:p>
      <w:pPr>
        <w:spacing w:after="0" w:line="66"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2280" w:space="720"/>
            <w:col w:w="4400" w:space="720"/>
            <w:col w:w="2240" w:space="720"/>
            <w:col w:w="340"/>
          </w:cols>
          <w:pgMar w:left="240" w:top="607" w:right="2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5">
            <w:col w:w="2280" w:space="720"/>
            <w:col w:w="120" w:space="340"/>
            <w:col w:w="3940" w:space="720"/>
            <w:col w:w="2240" w:space="720"/>
            <w:col w:w="340"/>
          </w:cols>
          <w:pgMar w:left="240" w:top="607"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4">
            <w:col w:w="6600" w:space="140"/>
            <w:col w:w="260" w:space="80"/>
            <w:col w:w="120" w:space="160"/>
            <w:col w:w="4060"/>
          </w:cols>
          <w:pgMar w:left="240" w:top="607" w:right="239" w:bottom="1440" w:gutter="0" w:footer="0" w:header="0"/>
          <w:type w:val="continuous"/>
        </w:sectPr>
      </w:pPr>
    </w:p>
    <w:p>
      <w:pPr>
        <w:ind w:right="140"/>
        <w:spacing w:after="0" w:line="253" w:lineRule="auto"/>
        <w:rPr>
          <w:sz w:val="20"/>
          <w:szCs w:val="20"/>
          <w:color w:val="auto"/>
        </w:rPr>
      </w:pPr>
      <w:r>
        <w:rPr>
          <w:rFonts w:ascii="Arial" w:cs="Arial" w:eastAsia="Arial" w:hAnsi="Arial"/>
          <w:sz w:val="14"/>
          <w:szCs w:val="14"/>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28, 2017 was 20,173,740.</w:t>
      </w:r>
    </w:p>
    <w:p>
      <w:pPr>
        <w:spacing w:after="0" w:line="69"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565785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20" w:type="dxa"/>
            <w:vAlign w:val="bottom"/>
            <w:gridSpan w:val="10"/>
          </w:tcPr>
          <w:p>
            <w:pPr>
              <w:ind w:left="6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6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940" w:type="dxa"/>
            <w:vAlign w:val="bottom"/>
            <w:gridSpan w:val="2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58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9580" w:type="dxa"/>
            <w:vAlign w:val="bottom"/>
            <w:gridSpan w:val="2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Unresolved Staff Comments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Properties</w:t>
              </w:r>
            </w:hyperlink>
          </w:p>
        </w:tc>
        <w:tc>
          <w:tcPr>
            <w:tcW w:w="754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Legal Proceedings</w:t>
              </w:r>
            </w:hyperlink>
          </w:p>
        </w:tc>
        <w:tc>
          <w:tcPr>
            <w:tcW w:w="824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580" w:type="dxa"/>
            <w:vAlign w:val="bottom"/>
            <w:gridSpan w:val="2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280" w:type="dxa"/>
            <w:vAlign w:val="bottom"/>
            <w:gridSpan w:val="5"/>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2"/>
          </w:tcPr>
          <w:p>
            <w:pPr>
              <w:ind w:left="140"/>
              <w:spacing w:after="0"/>
              <w:rPr>
                <w:sz w:val="20"/>
                <w:szCs w:val="20"/>
                <w:color w:val="auto"/>
              </w:rPr>
            </w:pPr>
            <w:r>
              <w:rPr>
                <w:rFonts w:ascii="Arial" w:cs="Arial" w:eastAsia="Arial" w:hAnsi="Arial"/>
                <w:sz w:val="18"/>
                <w:szCs w:val="18"/>
                <w:color w:val="auto"/>
                <w:w w:val="90"/>
              </w:rPr>
              <w:t>Item 5.</w:t>
            </w:r>
          </w:p>
        </w:tc>
        <w:tc>
          <w:tcPr>
            <w:tcW w:w="620" w:type="dxa"/>
            <w:vAlign w:val="bottom"/>
            <w:gridSpan w:val="3"/>
          </w:tcPr>
          <w:p>
            <w:pPr>
              <w:spacing w:after="0"/>
              <w:rPr>
                <w:sz w:val="18"/>
                <w:szCs w:val="18"/>
                <w:color w:val="auto"/>
              </w:rPr>
            </w:pPr>
          </w:p>
        </w:tc>
        <w:tc>
          <w:tcPr>
            <w:tcW w:w="8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Market for Registrant’s Common Equity, Related Stockholder Matters and Issuer Purchases of Equity Securities</w:t>
              </w:r>
            </w:hyperlink>
          </w:p>
        </w:tc>
        <w:tc>
          <w:tcPr>
            <w:tcW w:w="15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958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Selected Consolidated Financial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gridSpan w:val="4"/>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Quantitative and Qualitative Disclosures About Market Risk</w:t>
              </w:r>
            </w:hyperlink>
          </w:p>
        </w:tc>
        <w:tc>
          <w:tcPr>
            <w:tcW w:w="5220" w:type="dxa"/>
            <w:vAlign w:val="bottom"/>
            <w:gridSpan w:val="6"/>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9580" w:type="dxa"/>
            <w:vAlign w:val="bottom"/>
            <w:gridSpan w:val="2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Consolidated Financial Statements and Supplementary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580" w:type="dxa"/>
            <w:vAlign w:val="bottom"/>
            <w:gridSpan w:val="2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9"/>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Controls and Procedures</w:t>
              </w:r>
            </w:hyperlink>
          </w:p>
        </w:tc>
        <w:tc>
          <w:tcPr>
            <w:tcW w:w="3080" w:type="dxa"/>
            <w:vAlign w:val="bottom"/>
            <w:gridSpan w:val="3"/>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7820" w:type="dxa"/>
            <w:vAlign w:val="bottom"/>
            <w:gridSpan w:val="14"/>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PART III</w:t>
              </w:r>
            </w:hyperlink>
          </w:p>
        </w:tc>
        <w:tc>
          <w:tcPr>
            <w:tcW w:w="5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Directors, Executive Officers and Corporate Governance</w:t>
              </w:r>
            </w:hyperlink>
          </w:p>
        </w:tc>
        <w:tc>
          <w:tcPr>
            <w:tcW w:w="548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9580" w:type="dxa"/>
            <w:vAlign w:val="bottom"/>
            <w:gridSpan w:val="2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28">
              <w:r>
                <w:rPr>
                  <w:rFonts w:ascii="Arial" w:cs="Arial" w:eastAsia="Arial" w:hAnsi="Arial"/>
                  <w:sz w:val="18"/>
                  <w:szCs w:val="18"/>
                  <w:color w:val="0000EE"/>
                  <w:w w:val="90"/>
                </w:rPr>
                <w:t>Security Ownership of Certain Beneficial Owners and Management and Related Stockholder Matters</w:t>
              </w:r>
            </w:hyperlink>
          </w:p>
        </w:tc>
        <w:tc>
          <w:tcPr>
            <w:tcW w:w="228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9580" w:type="dxa"/>
            <w:vAlign w:val="bottom"/>
            <w:gridSpan w:val="22"/>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Certain Relationships and Related Transactions, and Director Independence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Principal Accounting Fees and Services</w:t>
              </w:r>
            </w:hyperlink>
          </w:p>
        </w:tc>
        <w:tc>
          <w:tcPr>
            <w:tcW w:w="414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280" w:type="dxa"/>
            <w:vAlign w:val="bottom"/>
            <w:gridSpan w:val="5"/>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3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34">
              <w:r>
                <w:rPr>
                  <w:rFonts w:ascii="Arial" w:cs="Arial" w:eastAsia="Arial" w:hAnsi="Arial"/>
                  <w:sz w:val="18"/>
                  <w:szCs w:val="18"/>
                  <w:color w:val="0000EE"/>
                  <w:w w:val="89"/>
                </w:rPr>
                <w:t>Exhibits, Consolidated Financial Statement Schedules</w:t>
              </w:r>
            </w:hyperlink>
          </w:p>
        </w:tc>
        <w:tc>
          <w:tcPr>
            <w:tcW w:w="568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9580" w:type="dxa"/>
            <w:vAlign w:val="bottom"/>
            <w:gridSpan w:val="2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Form 10-K Summary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Borders>
              <w:top w:val="single" w:sz="8" w:color="0000EE"/>
            </w:tcBorders>
            <w:gridSpan w:val="7"/>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Signatures</w:t>
              </w:r>
            </w:hyperlink>
          </w:p>
        </w:tc>
        <w:tc>
          <w:tcPr>
            <w:tcW w:w="804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6"/>
        </w:trPr>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This Annual Report on Form 10-K (Annual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1200" w:right="44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62" w:lineRule="exact"/>
        <w:rPr>
          <w:rFonts w:ascii="Arial" w:cs="Arial" w:eastAsia="Arial" w:hAnsi="Arial"/>
          <w:sz w:val="18"/>
          <w:szCs w:val="18"/>
          <w:color w:val="auto"/>
        </w:rPr>
      </w:pPr>
    </w:p>
    <w:p>
      <w:pPr>
        <w:ind w:left="1200" w:hanging="598"/>
        <w:spacing w:after="0" w:line="342"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likelihood that the clinical data generated in any study we are performing or plan to perform in a non-US jurisdiction will be subsequently accepted by the FDA and/or by foreign regulatory authorities outside of the jurisdiction where the study was being performed;</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1200" w:right="60" w:hanging="598"/>
        <w:spacing w:after="0" w:line="342"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15" w:lineRule="exact"/>
        <w:rPr>
          <w:rFonts w:ascii="Arial" w:cs="Arial" w:eastAsia="Arial" w:hAnsi="Arial"/>
          <w:sz w:val="16"/>
          <w:szCs w:val="16"/>
          <w:color w:val="auto"/>
        </w:rPr>
      </w:pPr>
    </w:p>
    <w:p>
      <w:pPr>
        <w:ind w:left="1200" w:right="16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ANB020 and ANB019 and our other product candidates;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the net proceeds from our initial public offering;</w:t>
      </w:r>
    </w:p>
    <w:p>
      <w:pPr>
        <w:spacing w:after="0" w:line="117"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ind w:right="80" w:firstLine="598"/>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7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87" w:lineRule="exact"/>
        <w:rPr>
          <w:sz w:val="20"/>
          <w:szCs w:val="20"/>
          <w:color w:val="auto"/>
        </w:rPr>
      </w:pPr>
    </w:p>
    <w:p>
      <w:pPr>
        <w:ind w:right="1040" w:firstLine="598"/>
        <w:spacing w:after="0" w:line="277" w:lineRule="auto"/>
        <w:rPr>
          <w:sz w:val="20"/>
          <w:szCs w:val="20"/>
          <w:color w:val="auto"/>
        </w:rPr>
      </w:pPr>
      <w:r>
        <w:rPr>
          <w:rFonts w:ascii="Arial" w:cs="Arial" w:eastAsia="Arial" w:hAnsi="Arial"/>
          <w:sz w:val="18"/>
          <w:szCs w:val="18"/>
          <w:color w:val="auto"/>
        </w:rPr>
        <w:t>You should read this Annual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Unless the context indicates otherwise, as used in this Annual Report, the terms “AnaptysBio,”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58"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ANB019 inhibits the interleukin-36 receptor, or IL-36R, for the treatment of rare inflammatory diseases including generalized pustular psoriasis, or GPP, and palmo-plantar pustular psoriasis, or PPP. The current status of our clinical development activities for ANB020 and ANB019 is outlined in the chart and bullet points below under “Our Product Candidates”.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67" w:lineRule="exact"/>
        <w:rPr>
          <w:sz w:val="20"/>
          <w:szCs w:val="20"/>
          <w:color w:val="auto"/>
        </w:rPr>
      </w:pPr>
    </w:p>
    <w:p>
      <w:pPr>
        <w:ind w:right="380" w:firstLine="598"/>
        <w:spacing w:after="0" w:line="312" w:lineRule="auto"/>
        <w:rPr>
          <w:sz w:val="20"/>
          <w:szCs w:val="20"/>
          <w:color w:val="auto"/>
        </w:rPr>
      </w:pPr>
      <w:r>
        <w:rPr>
          <w:rFonts w:ascii="Arial" w:cs="Arial" w:eastAsia="Arial" w:hAnsi="Arial"/>
          <w:sz w:val="16"/>
          <w:szCs w:val="16"/>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 which are further described below under “TESARO Programs” and “Celgene Programs”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124460</wp:posOffset>
            </wp:positionV>
            <wp:extent cx="5342890" cy="3319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289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13" w:lineRule="exact"/>
        <w:rPr>
          <w:sz w:val="20"/>
          <w:szCs w:val="20"/>
          <w:color w:val="auto"/>
        </w:rPr>
      </w:pPr>
    </w:p>
    <w:p>
      <w:pPr>
        <w:ind w:left="1200" w:hanging="598"/>
        <w:spacing w:after="0" w:line="286" w:lineRule="auto"/>
        <w:tabs>
          <w:tab w:leader="none" w:pos="1200" w:val="left"/>
        </w:tabs>
        <w:numPr>
          <w:ilvl w:val="0"/>
          <w:numId w:val="4"/>
        </w:numPr>
        <w:rPr>
          <w:rFonts w:ascii="Arial" w:cs="Arial" w:eastAsia="Arial" w:hAnsi="Arial"/>
          <w:sz w:val="16"/>
          <w:szCs w:val="16"/>
          <w:color w:val="231F20"/>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is 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The role of IL-33 in peanut allergy is supported by translational research data, recently presented at the American Academy of Allergy, Asthma and Immunology, or AAAAI, conference in early March 2017, which concluded that IL-33-sensitive T cells are found in elevated frequency in peanut allergy patients and, upon stimulus with IL-33, are responsible for elevated secretion of effector cytokines involved in severe peanut allergy. We have completed a Phase 1 trial of ANB020 in healthy volunteers in Australia under an approved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have disclosed detailed data from this Phase 1 trial at the 2017 American Academy of Dermatology, or AAD and the AAAAI conferences in early March 2017. We have cleared an Investigational New Drug application, or IND, with the U.S. Food and Drug Administration, or FDA, and a Clinical Trial Authorisation, or CTA, with the U.K. Medicines and Healthcare Products Regulatory Agency, or MHRA, to initiate Phase 2a trials of ANB020 in patients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ind w:left="598"/>
        <w:spacing w:after="0" w:line="286" w:lineRule="auto"/>
        <w:rPr>
          <w:sz w:val="20"/>
          <w:szCs w:val="20"/>
          <w:color w:val="auto"/>
        </w:rPr>
      </w:pPr>
      <w:r>
        <w:rPr>
          <w:rFonts w:ascii="Arial" w:cs="Arial" w:eastAsia="Arial" w:hAnsi="Arial"/>
          <w:sz w:val="16"/>
          <w:szCs w:val="16"/>
          <w:color w:val="auto"/>
        </w:rPr>
        <w:t>with severe adult peanut allergy and moderate-to-severe adult atopic dermatitis, respectively, each of which are currently enrolling patients. We anticipate top-line data from these trials to be announced in the second half of 2017. In addition, we plan to submit a regulatory filing to seek regulatory clearance during the first half of 2017 to initiate a Phase 2a trial in patients with severe adult eosinophilic asthma. We anticipate top-line data from this trial to be announced during the first half of 2018. Based on our analysis of publicly available data sources and interviews with physicians and key opinion leaders in the field of atopic dermatitis, we estimate approximately 1.4 million adults are affected by atopic dermatitis, of which approximately 280,000 are diagnosed with a moderate-to-severe form of this disease, of which 98,000 are believed to be suitable for treatment with systemic biological therapies in the United States.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1.1 million have severe disease that cannot be controlled by standard-of-care therapy.</w:t>
      </w:r>
    </w:p>
    <w:p>
      <w:pPr>
        <w:spacing w:after="0" w:line="63" w:lineRule="exact"/>
        <w:rPr>
          <w:sz w:val="20"/>
          <w:szCs w:val="20"/>
          <w:color w:val="auto"/>
        </w:rPr>
      </w:pPr>
    </w:p>
    <w:p>
      <w:pPr>
        <w:ind w:left="598" w:right="40" w:hanging="598"/>
        <w:spacing w:after="0" w:line="287" w:lineRule="auto"/>
        <w:tabs>
          <w:tab w:leader="none" w:pos="598" w:val="left"/>
        </w:tabs>
        <w:numPr>
          <w:ilvl w:val="0"/>
          <w:numId w:val="5"/>
        </w:numPr>
        <w:rPr>
          <w:rFonts w:ascii="Arial" w:cs="Arial" w:eastAsia="Arial" w:hAnsi="Arial"/>
          <w:sz w:val="16"/>
          <w:szCs w:val="16"/>
          <w:color w:val="231F20"/>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IL-36R, which we are initially developing as a potential first-in-class therapy for GPP</w:t>
      </w:r>
      <w:r>
        <w:rPr>
          <w:rFonts w:ascii="Arial" w:cs="Arial" w:eastAsia="Arial" w:hAnsi="Arial"/>
          <w:sz w:val="16"/>
          <w:szCs w:val="16"/>
          <w:b w:val="1"/>
          <w:bCs w:val="1"/>
          <w:color w:val="auto"/>
        </w:rPr>
        <w:t xml:space="preserve"> </w:t>
      </w:r>
      <w:r>
        <w:rPr>
          <w:rFonts w:ascii="Arial" w:cs="Arial" w:eastAsia="Arial" w:hAnsi="Arial"/>
          <w:sz w:val="16"/>
          <w:szCs w:val="16"/>
          <w:color w:val="auto"/>
        </w:rPr>
        <w:t>and 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 signaling pathway. PPP is a non-fatal form of pustular psoriasis that we estimate affects approximately 150,000 patients in the United States alone. PPP is believed to be caused by increased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We have cleared an Australian CTN for ANB019 and plan to initiate Phase 1 trials in Australia in the first half of 2017, and anticipate announcing top-line data from this trial during the second half of 2017. We subsequently plan to seek regulatory clearance to initiate Phase 2 studies of ANB019 in GPP and PPP patients during 2018 and plan to seek FDA Orphan Drug Designation for the treatment of GPP and PPP.</w:t>
      </w:r>
    </w:p>
    <w:p>
      <w:pPr>
        <w:spacing w:after="0" w:line="60" w:lineRule="exact"/>
        <w:rPr>
          <w:rFonts w:ascii="Arial" w:cs="Arial" w:eastAsia="Arial" w:hAnsi="Arial"/>
          <w:sz w:val="16"/>
          <w:szCs w:val="16"/>
          <w:color w:val="231F20"/>
        </w:rPr>
      </w:pPr>
    </w:p>
    <w:p>
      <w:pPr>
        <w:ind w:left="598" w:right="20" w:hanging="598"/>
        <w:spacing w:after="0" w:line="277" w:lineRule="auto"/>
        <w:tabs>
          <w:tab w:leader="none" w:pos="598" w:val="left"/>
        </w:tabs>
        <w:numPr>
          <w:ilvl w:val="0"/>
          <w:numId w:val="5"/>
        </w:numPr>
        <w:rPr>
          <w:rFonts w:ascii="Arial" w:cs="Arial" w:eastAsia="Arial" w:hAnsi="Arial"/>
          <w:sz w:val="17"/>
          <w:szCs w:val="17"/>
          <w:color w:val="231F20"/>
        </w:rPr>
      </w:pPr>
      <w:r>
        <w:rPr>
          <w:rFonts w:ascii="Arial" w:cs="Arial" w:eastAsia="Arial" w:hAnsi="Arial"/>
          <w:sz w:val="17"/>
          <w:szCs w:val="17"/>
          <w:b w:val="1"/>
          <w:bCs w:val="1"/>
          <w:color w:val="auto"/>
        </w:rPr>
        <w:t xml:space="preserve">Checkpoint receptor agonist </w:t>
      </w:r>
      <w:r>
        <w:rPr>
          <w:rFonts w:ascii="Arial" w:cs="Arial" w:eastAsia="Arial" w:hAnsi="Arial"/>
          <w:sz w:val="17"/>
          <w:szCs w:val="17"/>
          <w:color w:val="auto"/>
        </w:rPr>
        <w:t>antibodies are being developed by AnaptysBio to multiple different immune checkpoint receptors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172" w:lineRule="exact"/>
        <w:rPr>
          <w:sz w:val="20"/>
          <w:szCs w:val="20"/>
          <w:color w:val="auto"/>
        </w:rPr>
      </w:pPr>
    </w:p>
    <w:p>
      <w:pPr>
        <w:ind w:left="505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98"/>
          </w:cols>
          <w:pgMar w:left="842" w:top="449"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The Advantages of Our SHM Platform</w:t>
      </w:r>
    </w:p>
    <w:p>
      <w:pPr>
        <w:spacing w:after="0" w:line="121"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76" w:lineRule="exact"/>
        <w:rPr>
          <w:sz w:val="20"/>
          <w:szCs w:val="20"/>
          <w:color w:val="auto"/>
        </w:rPr>
      </w:pPr>
    </w:p>
    <w:p>
      <w:pPr>
        <w:ind w:left="1200" w:right="160" w:hanging="598"/>
        <w:spacing w:after="0" w:line="266" w:lineRule="auto"/>
        <w:tabs>
          <w:tab w:leader="none" w:pos="120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68" w:lineRule="exact"/>
        <w:rPr>
          <w:rFonts w:ascii="Arial" w:cs="Arial" w:eastAsia="Arial" w:hAnsi="Arial"/>
          <w:sz w:val="18"/>
          <w:szCs w:val="18"/>
          <w:color w:val="231F20"/>
        </w:rPr>
      </w:pPr>
    </w:p>
    <w:p>
      <w:pPr>
        <w:ind w:left="1200" w:right="540" w:hanging="598"/>
        <w:spacing w:after="0" w:line="347" w:lineRule="auto"/>
        <w:tabs>
          <w:tab w:leader="none" w:pos="1200" w:val="left"/>
        </w:tabs>
        <w:numPr>
          <w:ilvl w:val="0"/>
          <w:numId w:val="6"/>
        </w:numPr>
        <w:rPr>
          <w:rFonts w:ascii="Arial" w:cs="Arial" w:eastAsia="Arial" w:hAnsi="Arial"/>
          <w:sz w:val="16"/>
          <w:szCs w:val="16"/>
          <w:color w:val="231F20"/>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8" w:lineRule="exact"/>
        <w:rPr>
          <w:rFonts w:ascii="Arial" w:cs="Arial" w:eastAsia="Arial" w:hAnsi="Arial"/>
          <w:sz w:val="16"/>
          <w:szCs w:val="16"/>
          <w:color w:val="231F20"/>
        </w:rPr>
      </w:pPr>
    </w:p>
    <w:p>
      <w:pPr>
        <w:ind w:left="1200" w:hanging="598"/>
        <w:spacing w:after="0" w:line="266" w:lineRule="auto"/>
        <w:tabs>
          <w:tab w:leader="none" w:pos="120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68" w:lineRule="exact"/>
        <w:rPr>
          <w:rFonts w:ascii="Arial" w:cs="Arial" w:eastAsia="Arial" w:hAnsi="Arial"/>
          <w:sz w:val="18"/>
          <w:szCs w:val="18"/>
          <w:color w:val="231F20"/>
        </w:rPr>
      </w:pPr>
    </w:p>
    <w:p>
      <w:pPr>
        <w:ind w:left="1200" w:right="360" w:hanging="598"/>
        <w:spacing w:after="0" w:line="261" w:lineRule="auto"/>
        <w:tabs>
          <w:tab w:leader="none" w:pos="120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subsequently advance preclinical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71" w:lineRule="exact"/>
        <w:rPr>
          <w:rFonts w:ascii="Arial" w:cs="Arial" w:eastAsia="Arial" w:hAnsi="Arial"/>
          <w:sz w:val="18"/>
          <w:szCs w:val="18"/>
          <w:color w:val="231F20"/>
        </w:rPr>
      </w:pPr>
    </w:p>
    <w:p>
      <w:pPr>
        <w:ind w:left="1200" w:right="620" w:hanging="598"/>
        <w:spacing w:after="0" w:line="282" w:lineRule="auto"/>
        <w:tabs>
          <w:tab w:leader="none" w:pos="1200" w:val="left"/>
        </w:tabs>
        <w:numPr>
          <w:ilvl w:val="0"/>
          <w:numId w:val="6"/>
        </w:numPr>
        <w:rPr>
          <w:rFonts w:ascii="Arial" w:cs="Arial" w:eastAsia="Arial" w:hAnsi="Arial"/>
          <w:sz w:val="18"/>
          <w:szCs w:val="18"/>
          <w:color w:val="231F20"/>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antibody expression, formulation and stability during the antibody generation process.</w:t>
      </w:r>
    </w:p>
    <w:p>
      <w:pPr>
        <w:spacing w:after="0" w:line="53" w:lineRule="exact"/>
        <w:rPr>
          <w:rFonts w:ascii="Arial" w:cs="Arial" w:eastAsia="Arial" w:hAnsi="Arial"/>
          <w:sz w:val="18"/>
          <w:szCs w:val="18"/>
          <w:color w:val="231F20"/>
        </w:rPr>
      </w:pPr>
    </w:p>
    <w:p>
      <w:pPr>
        <w:ind w:left="1200" w:hanging="598"/>
        <w:spacing w:after="0" w:line="271" w:lineRule="auto"/>
        <w:tabs>
          <w:tab w:leader="none" w:pos="1200" w:val="left"/>
        </w:tabs>
        <w:numPr>
          <w:ilvl w:val="0"/>
          <w:numId w:val="6"/>
        </w:numPr>
        <w:rPr>
          <w:rFonts w:ascii="Arial" w:cs="Arial" w:eastAsia="Arial" w:hAnsi="Arial"/>
          <w:sz w:val="17"/>
          <w:szCs w:val="17"/>
          <w:color w:val="231F20"/>
        </w:rPr>
      </w:pPr>
      <w:r>
        <w:rPr>
          <w:rFonts w:ascii="Arial" w:cs="Arial" w:eastAsia="Arial" w:hAnsi="Arial"/>
          <w:sz w:val="17"/>
          <w:szCs w:val="17"/>
          <w:b w:val="1"/>
          <w:bCs w:val="1"/>
          <w:color w:val="auto"/>
        </w:rPr>
        <w:t xml:space="preserve">Bispecific antibodies. </w:t>
      </w:r>
      <w:r>
        <w:rPr>
          <w:rFonts w:ascii="Arial" w:cs="Arial" w:eastAsia="Arial" w:hAnsi="Arial"/>
          <w:sz w:val="17"/>
          <w:szCs w:val="17"/>
          <w:color w:val="auto"/>
        </w:rPr>
        <w:t>A bispecific antibody is a single therapeutic molecule designed to bind two different targets. Bispecific antibodies</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w:t>
      </w:r>
    </w:p>
    <w:p>
      <w:pPr>
        <w:spacing w:after="0" w:line="62"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Advancing our wholly-owned lead product candidates to clinical milestones, such as our ANB020 and ANB019 programs.</w:t>
      </w:r>
    </w:p>
    <w:p>
      <w:pPr>
        <w:spacing w:after="0" w:line="117" w:lineRule="exact"/>
        <w:rPr>
          <w:rFonts w:ascii="Arial" w:cs="Arial" w:eastAsia="Arial" w:hAnsi="Arial"/>
          <w:sz w:val="18"/>
          <w:szCs w:val="18"/>
          <w:color w:val="231F20"/>
        </w:rPr>
      </w:pPr>
    </w:p>
    <w:p>
      <w:pPr>
        <w:ind w:left="1200" w:right="200" w:hanging="598"/>
        <w:spacing w:after="0" w:line="277" w:lineRule="auto"/>
        <w:tabs>
          <w:tab w:leader="none" w:pos="1200" w:val="left"/>
        </w:tabs>
        <w:numPr>
          <w:ilvl w:val="0"/>
          <w:numId w:val="7"/>
        </w:numPr>
        <w:rPr>
          <w:rFonts w:ascii="Arial" w:cs="Arial" w:eastAsia="Arial" w:hAnsi="Arial"/>
          <w:sz w:val="18"/>
          <w:szCs w:val="18"/>
          <w:color w:val="231F20"/>
        </w:rPr>
      </w:pPr>
      <w:r>
        <w:rPr>
          <w:rFonts w:ascii="Arial" w:cs="Arial" w:eastAsia="Arial" w:hAnsi="Arial"/>
          <w:sz w:val="18"/>
          <w:szCs w:val="18"/>
          <w:color w:val="auto"/>
        </w:rPr>
        <w:t>Continuing to expand our proprietary pipeline by generating new product candidates using our technology platform, such as our preclinical checkpoint receptor agonist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left="1200" w:hanging="598"/>
        <w:spacing w:after="0"/>
        <w:tabs>
          <w:tab w:leader="none" w:pos="120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Identifying emerging opportunities in key therapeutic areas.</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Retaining rights to strategic products in key commercial markets.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chart describes milestones anticipated during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152400</wp:posOffset>
            </wp:positionV>
            <wp:extent cx="5342890" cy="48882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2890" cy="488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Multiple antibodies, generated by us prior to or during a strategic collaboration, are currently being advanced through development by our collaborators. Our collaborations with TESARO and Celgene are described below: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62" w:lineRule="exact"/>
        <w:rPr>
          <w:sz w:val="20"/>
          <w:szCs w:val="20"/>
          <w:color w:val="auto"/>
        </w:rPr>
      </w:pPr>
    </w:p>
    <w:p>
      <w:pPr>
        <w:ind w:left="1200" w:right="160" w:hanging="598"/>
        <w:spacing w:after="0" w:line="277" w:lineRule="auto"/>
        <w:tabs>
          <w:tab w:leader="none" w:pos="120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Phase 1 clinical trial dosing initiated in the first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finalize registration strategy and initiate a registration program in H1 2017;</w:t>
      </w:r>
    </w:p>
    <w:p>
      <w:pPr>
        <w:spacing w:after="0" w:line="62" w:lineRule="exact"/>
        <w:rPr>
          <w:rFonts w:ascii="Arial" w:cs="Arial" w:eastAsia="Arial" w:hAnsi="Arial"/>
          <w:sz w:val="18"/>
          <w:szCs w:val="18"/>
          <w:color w:val="231F20"/>
        </w:rPr>
      </w:pPr>
    </w:p>
    <w:p>
      <w:pPr>
        <w:ind w:left="1200" w:right="40" w:hanging="598"/>
        <w:spacing w:after="0" w:line="277" w:lineRule="auto"/>
        <w:tabs>
          <w:tab w:leader="none" w:pos="120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auto"/>
        </w:rPr>
        <w:t xml:space="preserve">Anti-TIM-3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TSR-022</w:t>
      </w:r>
      <w:r>
        <w:rPr>
          <w:rFonts w:ascii="Arial" w:cs="Arial" w:eastAsia="Arial" w:hAnsi="Arial"/>
          <w:sz w:val="18"/>
          <w:szCs w:val="18"/>
          <w:color w:val="auto"/>
        </w:rPr>
        <w:t>): Phase 1 clinical trial dosing initiated in the third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initiation of an anti-PD-1 combination trial in mid-2017;</w:t>
      </w:r>
    </w:p>
    <w:p>
      <w:pPr>
        <w:spacing w:after="0" w:line="62" w:lineRule="exact"/>
        <w:rPr>
          <w:rFonts w:ascii="Arial" w:cs="Arial" w:eastAsia="Arial" w:hAnsi="Arial"/>
          <w:sz w:val="18"/>
          <w:szCs w:val="18"/>
          <w:color w:val="231F20"/>
        </w:rPr>
      </w:pPr>
    </w:p>
    <w:p>
      <w:pPr>
        <w:ind w:left="1200" w:right="80" w:hanging="598"/>
        <w:spacing w:after="0" w:line="277" w:lineRule="auto"/>
        <w:tabs>
          <w:tab w:leader="none" w:pos="120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auto"/>
        </w:rPr>
        <w:t xml:space="preserve">Anti-LAG-3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TSR-033</w:t>
      </w:r>
      <w:r>
        <w:rPr>
          <w:rFonts w:ascii="Arial" w:cs="Arial" w:eastAsia="Arial" w:hAnsi="Arial"/>
          <w:sz w:val="18"/>
          <w:szCs w:val="18"/>
          <w:color w:val="auto"/>
        </w:rPr>
        <w:t>): currently in preclinical development, expect the initiation of a Phase 1 trial in Q2</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62" w:lineRule="exact"/>
        <w:rPr>
          <w:rFonts w:ascii="Arial" w:cs="Arial" w:eastAsia="Arial" w:hAnsi="Arial"/>
          <w:sz w:val="18"/>
          <w:szCs w:val="18"/>
          <w:color w:val="231F20"/>
        </w:rPr>
      </w:pPr>
    </w:p>
    <w:p>
      <w:pPr>
        <w:ind w:left="1200" w:hanging="598"/>
        <w:spacing w:after="0"/>
        <w:tabs>
          <w:tab w:leader="none" w:pos="120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lead candidate identified; and</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and has initiated a Phase 1 trial for one of these two antibodies known as CC-90006, a PD-1 agonist antibody, which is indicated for psoriasis.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Anti-IL-33 Antibody</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ANB020 is a potentially first-in-class antibody that inhibits the activity of IL-33 and is being developed to treat atopic diseases, including moderate-to-severe adult atopic dermatitis, severe adult peanut allergy and severe adult eosinophilic asthma.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have completed a Phase 1 trial of ANB020 in healthy volunteers in Australia under an approved CTN, and are currently enrolling a Phase 2a clinical trial of ANB020 in severe peanut allergy patients under an approved US IND and a Phase 2a clinical trial of ANB020 in moderate-to-severe atopic dermatitis under an approved UK CTA.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IL-33 Target Biology</w:t>
      </w:r>
    </w:p>
    <w:p>
      <w:pPr>
        <w:spacing w:after="0" w:line="121"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atopic dermatitis, food allergies, asthma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0" w:name="page11"/>
    <w:bookmarkEnd w:id="10"/>
    <w:p>
      <w:pPr>
        <w:ind w:right="360"/>
        <w:spacing w:after="0" w:line="277" w:lineRule="auto"/>
        <w:rPr>
          <w:sz w:val="20"/>
          <w:szCs w:val="20"/>
          <w:color w:val="auto"/>
        </w:rPr>
      </w:pPr>
      <w:r>
        <w:rPr>
          <w:rFonts w:ascii="Arial" w:cs="Arial" w:eastAsia="Arial" w:hAnsi="Arial"/>
          <w:sz w:val="18"/>
          <w:szCs w:val="18"/>
          <w:color w:val="auto"/>
        </w:rPr>
        <w:t>associated with atopic diseases. IL-33 also acts on T helper 2, or Th2, effector cells and Innate Lymphoid Cell Type 2, or ILC2, two types of white blood cells that initiate and orchestrate atopic responses.</w:t>
      </w:r>
    </w:p>
    <w:p>
      <w:pPr>
        <w:spacing w:after="0" w:line="170" w:lineRule="exact"/>
        <w:rPr>
          <w:sz w:val="20"/>
          <w:szCs w:val="20"/>
          <w:color w:val="auto"/>
        </w:rPr>
      </w:pPr>
    </w:p>
    <w:p>
      <w:pPr>
        <w:ind w:right="440" w:firstLine="598"/>
        <w:spacing w:after="0" w:line="342" w:lineRule="auto"/>
        <w:rPr>
          <w:sz w:val="20"/>
          <w:szCs w:val="20"/>
          <w:color w:val="auto"/>
        </w:rPr>
      </w:pPr>
      <w:r>
        <w:rPr>
          <w:rFonts w:ascii="Arial" w:cs="Arial" w:eastAsia="Arial" w:hAnsi="Arial"/>
          <w:sz w:val="16"/>
          <w:szCs w:val="16"/>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124"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The role of IL-33 in peanut allergy is supported by translational research data, generated under our scientific collaboration with the Benaroya Research Institute at Virginia Mason (BRI), which was presented at the AAAAI’s 2017 Annual Meeting on March 4th. This study, assessed the biology of a distinct subset of T cells, called TH2A cells, which are found in elevated frequency in peanut allergic patients when compared to non-allergic individuals. TH2A cells isolated from peanut allergy patients demonstrated increased sensitivity to IL-33 signaling as a result of elevated expression of the IL-33 receptor. Data showed that, upon stimulus with IL-33, TH2A cells express significantly greater levels of effector cytokines IL-4, IL-5, and IL-13, which are believed to be associated with severe peanut allergy. The research concluded that IL-33 is a key checkpoint of allergic responses, and blocking IL-33 has the potential to reduce expression of the effector cytokines involved in severe peanut allergy. These findings provide further scientific support for the development of AnaptysBio’s proprietary anti-IL-33 antibody, known as ANB020, for the treatment of severe adult peanut allergy.</w:t>
      </w:r>
    </w:p>
    <w:p>
      <w:pPr>
        <w:spacing w:after="0" w:line="179"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181"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Description</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 xml:space="preserve">ANB020, which is a potential first-in-class therapeutic antibody, is our wholly-owned anti-IL-33 antibody product candidate generated using our SHM technology platform. Our preclinical studies have provided evidence of ANB020’s favorable potency and functional activity in human and cynomolgus monkey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The high potency and functional activity of ANB020 for human and cynomolgus monkey IL-33 was measured using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equilibrium dissociation constant, or K D, and half-maximal inhibitory concentration values, or IC50. ANB020 demonstrated highly potent KD values of approximately 1 pM and 37 pM for human and cynomolgus monkey IL-33, respectively. ANB020 inhibits secretion of IL-5 from primary basophils purified from peripheral blood of healthy human subjects with an IC50 of approximately 1.5 nM, which is approximately 15-fold greater than that of the soluble ST2 antagonist, as shown in Figure 3 below. Lower KD and IC50 values indicate higher potency and functional activity, respectively.</w:t>
      </w:r>
    </w:p>
    <w:p>
      <w:pPr>
        <w:spacing w:after="0" w:line="167"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Using peripheral blood mononuclear cells, or PBMC, ANB020 inhibited human and cynomolgus monkey interferon-gamma release with an IC50 of approximately 1.1 nM and approximately 20.4 nM, respectively. We have developed a whole blood version of the PBMC assay, which we are utilizing in our Phase 1 trial to understand the pharmacodynamic activity of ANB020 in clinical trials.</w:t>
      </w:r>
    </w:p>
    <w:p>
      <w:pPr>
        <w:spacing w:after="0" w:line="181"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 proved to be fully active in cynomolgus monkey sera two weeks after dosing. We have conducted preclinical toxicology studies under GLPs for ANB020. In addition, we have conducted manufacturing under good manufacturing practice to produce ANB020 in quantities for initial clinical use.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Clinical Development Plan</w:t>
      </w:r>
    </w:p>
    <w:p>
      <w:pPr>
        <w:spacing w:after="0" w:line="121"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 xml:space="preserve">We have completed a Phase 1 trial of ANB020 in healthy volunteers in Australia under an approved CTN. Our Phase 1 trial assessed, in single ascending doses, or SAD, and multiple ascending doses, or MAD, safety, tolerability and pharmacokinetic characteristics of ANB020. The SAD cohorts of this Phase 1 trial have been completed and, subsequent to review of the clinical data generated under the SAD, the Australian regulatory authority approved the initiation of MAD cohorts, which have also been completed. In the double-blind, placebo- controlled Phase 1 trial, 96 healthy volunteer subjects were dosed with either a single subcutaneous or intravenous dose of ANB020 ranging between 10 mg and 750 mg, or four multiple doses of ANB020 ranging between 40 mg and 300 mg over a period of four consecutive weeks. In the SAD portion of our Phase 1 clinical trial of ANB020, 51 subjects (80%) experienced at least one treatment-emergent adverse events (AE) however the occurrence of AEs was similar between ANB020 (38 of 48; 79%) versus placebo (13 of 16, 81%) dosed individuals, and the most common AEs were upper respiratory tract infection (ANB020 48% vs. placebo 50%) and headache (ANB020 27% vs. placebo 31%). The only serious adverse event reported in the SAD portion of the trial was severe neutropenia 22 days post single dose of intravenous 750 mg ANB020 in a single subject. Neutrophil levels in this subject returned to normal by 29 days post-dose and this event was preceded by prodromal viral symptoms consistent with an on-going viral infection. In the MAD portion of the Phase 1 clinical trial of ANB020, 24 subjects (75%) experienced an AE, however there was no difference in the percentage of AEs observed amongst subjects dosed with ANB020 (18 of 24, 75%) versus placebo (6 of 8, 75%), and the most common AEs were upper respiratory tract infections (ANB020 21% versus placebo 38%) and headache (ANB020 33% versus placebo 38%). No severe adverse events were reported in the MAD portion of the clinical trial. None of these adverse events were determined to be drug-related and no dose-limiting toxicities were observed at any dose level. We concurrently evaluated the pharmacodynamics of ANB020 in the SAD portion of the Phase 1 study using a whole blood ex-vivo assay upon stimulation with IL-33/IL-12, where ANB020 inhibition of IFN-gamma release was measured. Persistent and nearly complete inhibition was observed at 1032 hours (day 43) post-dosing for all SAD cohorts dosed with 40 mg ANB020 or greater, regardless of whether such dose was through a subcutaneous or intravenous route of administration. In the 300 mg and 750 mg IV dosed cohorts of the SAD portion of the study, the pharmacodynamic assay was also performed at 2040 hours (day 85) post-dosing, and nearly complete IFN-gamma inhibition was observed through this time point. Pharmacokinetic testing indicated that the terminal half-life of ANB020 among the SAD cohorts was approximately 372 hours (15–16 days) with comparable values across all doses and regardless of intravenous or subcutaneous route of administration. Anti-drug antibodies were detected at only low titer levels, and were observed in 5 of 48 ANB020 dosed subjects in the SAD cohorts and 2 of 24 ANB020 dosed subjects in the MAD cohorts, and no effect was observed on pharmacokinetic parameters in any of the subjects with anti-drug antibody titers. All safety information generated under the single-ascending dose segment of our Phase 1 clinical trial was included in the US IND and UK CTA submissions which have been subsequent cleared. There were no adverse events that were determined to be drug-related, and no dose-limiting toxicities were observed at any dose level. We have concurrently utilized a whole blood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assay to evaluate pharmacodynamics, and we believe the results of this assay suggest that the pharmacodynamic activity of ANB020 can, at certain dose levels, extend to three months subsequent to a single administration. We have disclosed detailed data from this Phase 1 trial at the AAD and AAAAI conferences in early March 2017.</w:t>
      </w:r>
    </w:p>
    <w:p>
      <w:pPr>
        <w:spacing w:after="0" w:line="388"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have a cleared U.S. IND and U.K. CTA to initiate Phase 2a trials for ANB020 in patients with severe adult peanut allergy and moderate-to-severe adult atopic dermatitis, respectively, each of which are currently enrolling patients. We anticipate announcing top-line data from both of these trials during the second half of 2017. In addition, we plan to submit a regulatory filing to during the first half of 2017, the approval of which is anticipated to permit initiation of a Phase 2a trial in patients with severe adult eosinophilic asthma, and we anticipate announcing top-line data from the trial during the first half of 2018. Our planned Phase 2a trial in the U.K. in moderate-to-severe atopic dermatitis patients will assess the efficacy and safety of ANB020, as measured by mechanistic inflammatory cells and cytokines within lesions and clinical disease remission, among 12 moderate-to-severe adult atopic dermatitis patients treated with a single dose of ANB020. Our planned Phase 2a trial in severe adult peanut allergy in the United States will assess the efficacy and safety of ANB020, as measured by oral food challenge, among 20 severe adult peanut allergy patients treated with either a single dose of ANB020 or placebo. Our planned Phase 2a trial in severe adult eosinophilic asthma is intended to assess the efficacy and safety of ANB020 among 20 severe adult eosinophilic asthma patients treated with one or more doses of ANB020. Each of the aforementioned clinical trials are subject to regulatory review by the respective regulatory authority applicable to the jurisdiction of the trial.</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2" w:name="page13"/>
    <w:bookmarkEnd w:id="12"/>
    <w:p>
      <w:pPr>
        <w:ind w:right="220" w:firstLine="598"/>
        <w:spacing w:after="0" w:line="264" w:lineRule="auto"/>
        <w:rPr>
          <w:sz w:val="20"/>
          <w:szCs w:val="20"/>
          <w:color w:val="auto"/>
        </w:rPr>
      </w:pPr>
      <w:r>
        <w:rPr>
          <w:rFonts w:ascii="Arial" w:cs="Arial" w:eastAsia="Arial" w:hAnsi="Arial"/>
          <w:sz w:val="18"/>
          <w:szCs w:val="18"/>
          <w:color w:val="auto"/>
        </w:rPr>
        <w:t>Upon demonstrating initial efficacy in Phase 2a trials, we intend to conduct subsequent Phase 2 trials and Phase 3 registration trials for ANB020 in one or more of the aforementioned clinical indications. These later-stage trials may be conducted through collaboration with a leading pharmaceutical company with strong commercial infrastructure in respiratory and allergic therapeutic areas.</w:t>
      </w:r>
    </w:p>
    <w:p>
      <w:pPr>
        <w:spacing w:after="0" w:line="181"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 from the description in the figure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Market Opportunity</w:t>
      </w:r>
    </w:p>
    <w:p>
      <w:pPr>
        <w:spacing w:after="0" w:line="121"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three indications: severe adult eosinophilic asthma, severe adult peanut allergy and moderate-to-severe adult atopic dermatitis.</w:t>
      </w:r>
    </w:p>
    <w:p>
      <w:pPr>
        <w:spacing w:after="0" w:line="154"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w:t>
      </w:r>
      <w:r>
        <w:rPr>
          <w:rFonts w:ascii="Arial" w:cs="Arial" w:eastAsia="Arial" w:hAnsi="Arial"/>
          <w:sz w:val="18"/>
          <w:szCs w:val="18"/>
          <w:i w:val="1"/>
          <w:iCs w:val="1"/>
          <w:color w:val="auto"/>
        </w:rPr>
        <w:t xml:space="preserve"> </w:t>
      </w:r>
      <w:r>
        <w:rPr>
          <w:rFonts w:ascii="Arial" w:cs="Arial" w:eastAsia="Arial" w:hAnsi="Arial"/>
          <w:sz w:val="18"/>
          <w:szCs w:val="18"/>
          <w:color w:val="auto"/>
        </w:rPr>
        <w:t>asthma affects approximately 7.7% of the adult U.S. population, or 19.0 million individuals, of which 1.1 million individuals, have severe disease that cannot be controlled by standard-of-care therapy.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92"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and Nucala, which the FDA recently approved for the add-on maintenance treatment in patients aged 12 years or older with severe eosinophilic asthma. Other emerging therapies currently in development, such as lebrikizumab, benralizumab, tralokinumab, anrukinzumab, dupilumab, AMG 317 and CNTO 7160, have yet to be approved by the FDA for treatment of asthma, while the FDA’s Pulmonary-Allergy Drugs Advisory Committee recommended that the FDA approve reslizumab in adult patients aged 18 years and older for the treatment of inadequately controlled asthma in patients with elevated eosinophils, despite an inhaled corticosteroids treatment regimen. Xolair is a difficult drug to prescribe due to complex dosing algorithms, frequent administration and risk of anaphylaxis, and we expect the indications for Nucala, reslizumab and lebrikizumab will be limited to asthma patients defined by biomarkers. We believe that ANB020 may have therapeutic benefit across a broad range of ICS-refractory severe adult eosinophilic asthma patients, and plan to utilize biomarkers during development to differentiate ANB020 relative to competitors.</w:t>
      </w:r>
    </w:p>
    <w:p>
      <w:pPr>
        <w:spacing w:after="0" w:line="178" w:lineRule="exact"/>
        <w:rPr>
          <w:sz w:val="20"/>
          <w:szCs w:val="20"/>
          <w:color w:val="auto"/>
        </w:rPr>
      </w:pPr>
    </w:p>
    <w:p>
      <w:pPr>
        <w:ind w:right="320" w:firstLine="598"/>
        <w:spacing w:after="0" w:line="279" w:lineRule="auto"/>
        <w:rPr>
          <w:sz w:val="20"/>
          <w:szCs w:val="20"/>
          <w:color w:val="auto"/>
        </w:rPr>
      </w:pPr>
      <w:r>
        <w:rPr>
          <w:rFonts w:ascii="Arial" w:cs="Arial" w:eastAsia="Arial" w:hAnsi="Arial"/>
          <w:sz w:val="17"/>
          <w:szCs w:val="17"/>
          <w:i w:val="1"/>
          <w:iCs w:val="1"/>
          <w:color w:val="auto"/>
        </w:rPr>
        <w:t xml:space="preserve">Peanut Allergy. </w:t>
      </w:r>
      <w:r>
        <w:rPr>
          <w:rFonts w:ascii="Arial" w:cs="Arial" w:eastAsia="Arial" w:hAnsi="Arial"/>
          <w:sz w:val="17"/>
          <w:szCs w:val="17"/>
          <w:color w:val="auto"/>
        </w:rPr>
        <w:t>Peanuts are the most common cause of food-induced allergy in the United States. We estimate, based on our analysis of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71" w:lineRule="exact"/>
        <w:rPr>
          <w:sz w:val="20"/>
          <w:szCs w:val="20"/>
          <w:color w:val="auto"/>
        </w:rPr>
      </w:pPr>
    </w:p>
    <w:p>
      <w:pPr>
        <w:ind w:right="420" w:firstLine="598"/>
        <w:spacing w:after="0" w:line="279" w:lineRule="auto"/>
        <w:rPr>
          <w:sz w:val="20"/>
          <w:szCs w:val="20"/>
          <w:color w:val="auto"/>
        </w:rPr>
      </w:pPr>
      <w:r>
        <w:rPr>
          <w:rFonts w:ascii="Arial" w:cs="Arial" w:eastAsia="Arial" w:hAnsi="Arial"/>
          <w:sz w:val="17"/>
          <w:szCs w:val="17"/>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increasing quantities of peanut antigens over time. If patients are able to overcome the toxicities of this allergen- based approach, therapeutic benefit, on an allergen-specific basis, may be observed after 12 to 24 months of oral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right="360"/>
        <w:spacing w:after="0" w:line="277" w:lineRule="auto"/>
        <w:rPr>
          <w:sz w:val="20"/>
          <w:szCs w:val="20"/>
          <w:color w:val="auto"/>
        </w:rPr>
      </w:pPr>
      <w:r>
        <w:rPr>
          <w:rFonts w:ascii="Arial" w:cs="Arial" w:eastAsia="Arial" w:hAnsi="Arial"/>
          <w:sz w:val="18"/>
          <w:szCs w:val="18"/>
          <w:color w:val="auto"/>
        </w:rPr>
        <w:t>skin patch based delivery of peanut allergens. The long-term safety and efficacy of immunotherapy is still uncertain, and these desensitization treatments have not yet been approved by the FDA.</w:t>
      </w:r>
    </w:p>
    <w:p>
      <w:pPr>
        <w:spacing w:after="0" w:line="170" w:lineRule="exact"/>
        <w:rPr>
          <w:sz w:val="20"/>
          <w:szCs w:val="20"/>
          <w:color w:val="auto"/>
        </w:rPr>
      </w:pPr>
    </w:p>
    <w:p>
      <w:pPr>
        <w:ind w:right="240" w:firstLine="598"/>
        <w:spacing w:after="0" w:line="286"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Atopic Dermatitis. </w:t>
      </w:r>
      <w:r>
        <w:rPr>
          <w:rFonts w:ascii="Arial" w:cs="Arial" w:eastAsia="Arial" w:hAnsi="Arial"/>
          <w:sz w:val="18"/>
          <w:szCs w:val="18"/>
          <w:color w:val="auto"/>
        </w:rPr>
        <w:t>Atopic dermatitis is a chronic inflammatory skin disease that affects approximately 1.4 million adults in the United</w:t>
      </w:r>
    </w:p>
    <w:p>
      <w:pPr>
        <w:spacing w:after="0" w:line="23"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States. Human studies have demonstrated that IL-33 is highly expressed in atopic dermatitis lesions and leads to the recruitment of downstream cytokines (IL-4, IL-5 and IL-13) and eosinophils to the disease site in patients. By inhibiting IL-33 function in patients, we believe ANB020 will suppress the production of the aforementioned downstream cytokines and lead to therapeutic benefit in moderate to severe adult atopic dermatitis.</w:t>
      </w:r>
    </w:p>
    <w:p>
      <w:pPr>
        <w:spacing w:after="0" w:line="173" w:lineRule="exact"/>
        <w:rPr>
          <w:sz w:val="20"/>
          <w:szCs w:val="20"/>
          <w:color w:val="auto"/>
        </w:rPr>
      </w:pPr>
    </w:p>
    <w:p>
      <w:pPr>
        <w:ind w:right="220" w:firstLine="598"/>
        <w:spacing w:after="0" w:line="286" w:lineRule="auto"/>
        <w:rPr>
          <w:sz w:val="20"/>
          <w:szCs w:val="20"/>
          <w:color w:val="auto"/>
        </w:rPr>
      </w:pPr>
      <w:r>
        <w:rPr>
          <w:rFonts w:ascii="Arial" w:cs="Arial" w:eastAsia="Arial" w:hAnsi="Arial"/>
          <w:sz w:val="17"/>
          <w:szCs w:val="17"/>
          <w:color w:val="auto"/>
        </w:rPr>
        <w:t>Current therapies for atopic dermatitis are generally focused on the topical use of non-biologic small molecules. Dupilumab is currently in development for the treatment of atopic dermatitis, and has shown some benefit in disease remission, but requires the administration of a significantly large antibody dose (300 mg) every week or every other week, which we believe may not be convenient for atopic dermatitis patients.</w:t>
      </w:r>
    </w:p>
    <w:p>
      <w:pPr>
        <w:spacing w:after="0" w:line="166" w:lineRule="exact"/>
        <w:rPr>
          <w:sz w:val="20"/>
          <w:szCs w:val="20"/>
          <w:color w:val="auto"/>
        </w:rPr>
      </w:pPr>
    </w:p>
    <w:p>
      <w:pPr>
        <w:ind w:right="300" w:firstLine="598"/>
        <w:spacing w:after="0" w:line="257" w:lineRule="auto"/>
        <w:rPr>
          <w:sz w:val="20"/>
          <w:szCs w:val="20"/>
          <w:color w:val="auto"/>
        </w:rPr>
      </w:pPr>
      <w:r>
        <w:rPr>
          <w:rFonts w:ascii="Arial" w:cs="Arial" w:eastAsia="Arial" w:hAnsi="Arial"/>
          <w:sz w:val="18"/>
          <w:szCs w:val="18"/>
          <w:color w:val="auto"/>
        </w:rPr>
        <w:t>Based upon public data analyses and discussions with physicians and key opinion leaders in the field, we believe approximately 280,000 atopic dermatitis patients in the United States are diagnosed with a moderate-to- severe form of this disease that significantly impairs their daily professional and social lifestyle. Existing therapies include topical steroids and related therapies, however such approaches have not demonstrated significant benefit for moderate-to-severe patients. We estimate that 98,000 atopic dermatitis patients would be eligible for treatment with a systemic biologic therapy such as ANB020.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ANB019 is an antibody that inhibits the function of IL-36R, which we are initially developing as a potential first-in-class therapy for GPP and PPP patients. GPP is a life-threatening, rare systemic inflammatory disorder reported to affect approximately 3,000 patients in the United States alone, with no currently approved therapies.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 We believe ANB019 is the most advanced antibody targeting the IL-36R in development.</w:t>
      </w:r>
    </w:p>
    <w:p>
      <w:pPr>
        <w:spacing w:after="0" w:line="179"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We have cleared an Australian CTN for ANB019 and plan to initiate a Phase 1 trial in Australia in the first half of 2017. We anticipate announcing top-line data from this trial in the second half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IL-36R Target Biology</w:t>
      </w:r>
    </w:p>
    <w:p>
      <w:pPr>
        <w:spacing w:after="0" w:line="121"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166"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stimulus. Additionally, immuno-deficient mice transplanted with human psoriatic skin have been shown to require the IL-36R signaling to maintain disease.</w:t>
      </w:r>
    </w:p>
    <w:p>
      <w:pPr>
        <w:spacing w:after="0" w:line="24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Recent human studies have demonstrated that mutations in the IL-36RA can lead to the occurrence of GPP by dysregulating the IL-36R signaling pathway</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conducted by AnaptysBio have also demonstrated that a significant number of GPP patients do not have mutations in the IL- 36RA but are likely to have excessive levels of IL-36 cytokines leading to the same disease as patients with mutations. These findings support our hypothesis that IL-36 signaling plays a significant role in GPP.</w:t>
      </w:r>
    </w:p>
    <w:p>
      <w:pPr>
        <w:spacing w:after="0" w:line="187"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 and PPP.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Description</w:t>
      </w:r>
    </w:p>
    <w:p>
      <w:pPr>
        <w:spacing w:after="0" w:line="121"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ANB019 was generated using our SHM technology platform and has demonstrated high functional potency in blocking human and cynomolgus monkey IL-36 signaling in preclinical studies.</w:t>
      </w:r>
    </w:p>
    <w:p>
      <w:pPr>
        <w:spacing w:after="0" w:line="170"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to determine K D, and IC 50 values. ANB019 has demonstrated potent K D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human systems, which is measured as the IC 50 of inhibition of interleukin-8, or IL-8, release from human keratinocytes.</w:t>
      </w:r>
    </w:p>
    <w:p>
      <w:pPr>
        <w:spacing w:after="0" w:line="178" w:lineRule="exact"/>
        <w:rPr>
          <w:sz w:val="20"/>
          <w:szCs w:val="20"/>
          <w:color w:val="auto"/>
        </w:rPr>
      </w:pPr>
    </w:p>
    <w:p>
      <w:pPr>
        <w:ind w:right="60" w:firstLine="598"/>
        <w:spacing w:after="0" w:line="286" w:lineRule="auto"/>
        <w:rPr>
          <w:sz w:val="20"/>
          <w:szCs w:val="20"/>
          <w:color w:val="auto"/>
        </w:rPr>
      </w:pPr>
      <w:r>
        <w:rPr>
          <w:rFonts w:ascii="Arial" w:cs="Arial" w:eastAsia="Arial" w:hAnsi="Arial"/>
          <w:sz w:val="17"/>
          <w:szCs w:val="17"/>
          <w:color w:val="auto"/>
        </w:rPr>
        <w:t>ANB019 functional activity has been demonstrated through inhibition of IL-8 secretion from human primary keratinocytes when stimulated by IL-36 gamma of approximately 0.15 nM and 1.2 nM, respectively. Lower K D and IC 50 values indicate higher potency and functional activity, respectively. Similar IC 50 values were observed in those same preclinical studies when keratinocytes were stimulated with IL-36 alpha or beta.</w:t>
      </w:r>
    </w:p>
    <w:p>
      <w:pPr>
        <w:spacing w:after="0" w:line="166"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 xml:space="preserve">We have cleared an Australian CTN for ANB019 and plan to commence a Phase 1 clinical trial in the first half of 2017. We anticipate announcing top-line data from this trial during the second half of 2017. This Phase 1 clinical trial will test single and multiple ascending doses of ANB019 in healthy volunteers, while also utilizing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assays to determine ANB019’s pharmacodynamic activity range. Following completion of this initial Phase 1 trial, we plan to submit a U.S. IND and/or a U.K. CTA to support further clinical testing of ANB019 in patients.</w:t>
      </w:r>
    </w:p>
    <w:p>
      <w:pPr>
        <w:spacing w:after="0" w:line="187"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Our initial patient testing of ANB019 will focus primarily on GPP and PPP patients. We currently plan to conduct GPP efficacy testing of ANB019 in the United States and/or the United Kingdom using a Phase 2 clinical trial expected to be initiated in 2018 that enrolls GPP patients irrespective of mutation status. We believe a small trial, potentially with fewer than 100 patients, may be sufficient to demonstrate substantial evidence of efficacy and safety of ANB019 in GPP. We intend to obtain input from FDA on clinical trial design before conducting a pivotal clinical trial in patients with GPP.</w:t>
      </w:r>
    </w:p>
    <w:p>
      <w:pPr>
        <w:spacing w:after="0" w:line="154"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We also intend to develop ANB019 for PPP. We anticipate initiating a Phase 2 trial for PPP within the United States and/or United Kingdom during 2018, followed by one or more Phase 3 pivotal registration trials. If we use a diagnostic test to select patients for inclusion in our registration program, such as a genetic test for IL- 36RA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mutations, the FDA may require that the companion diagnostic be approved or cleared for use at the time the product receives marketing approval.</w:t>
      </w:r>
    </w:p>
    <w:p>
      <w:pPr>
        <w:spacing w:after="0" w:line="23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88"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 from the description in the figure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Market Opportunity</w:t>
      </w:r>
    </w:p>
    <w:p>
      <w:pPr>
        <w:spacing w:after="0" w:line="121"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ind w:right="300" w:firstLine="598"/>
        <w:spacing w:after="0" w:line="302" w:lineRule="auto"/>
        <w:rPr>
          <w:sz w:val="20"/>
          <w:szCs w:val="20"/>
          <w:color w:val="auto"/>
        </w:rPr>
      </w:pPr>
      <w:r>
        <w:rPr>
          <w:rFonts w:ascii="Arial" w:cs="Arial" w:eastAsia="Arial" w:hAnsi="Arial"/>
          <w:sz w:val="16"/>
          <w:szCs w:val="16"/>
          <w:i w:val="1"/>
          <w:iCs w:val="1"/>
          <w:color w:val="auto"/>
        </w:rPr>
        <w:t xml:space="preserve">Generalized Pustular Psoriasis. </w:t>
      </w:r>
      <w:r>
        <w:rPr>
          <w:rFonts w:ascii="Arial" w:cs="Arial" w:eastAsia="Arial" w:hAnsi="Arial"/>
          <w:sz w:val="16"/>
          <w:szCs w:val="16"/>
          <w:color w:val="auto"/>
        </w:rPr>
        <w:t>GPP is a chronic, life-threatening, rare disease with no currently approved therapies. GPP is a systemic</w:t>
      </w:r>
      <w:r>
        <w:rPr>
          <w:rFonts w:ascii="Arial" w:cs="Arial" w:eastAsia="Arial" w:hAnsi="Arial"/>
          <w:sz w:val="16"/>
          <w:szCs w:val="16"/>
          <w:i w:val="1"/>
          <w:iCs w:val="1"/>
          <w:color w:val="auto"/>
        </w:rPr>
        <w:t xml:space="preserve"> </w:t>
      </w:r>
      <w:r>
        <w:rPr>
          <w:rFonts w:ascii="Arial" w:cs="Arial" w:eastAsia="Arial" w:hAnsi="Arial"/>
          <w:sz w:val="16"/>
          <w:szCs w:val="16"/>
          <w:color w:val="auto"/>
        </w:rPr>
        <w:t>inflammatory disease 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translational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 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7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i w:val="1"/>
          <w:iCs w:val="1"/>
          <w:color w:val="auto"/>
        </w:rPr>
        <w:t>Refractory Psoriasis Vulgaris</w:t>
      </w:r>
      <w:r>
        <w:rPr>
          <w:rFonts w:ascii="Arial" w:cs="Arial" w:eastAsia="Arial" w:hAnsi="Arial"/>
          <w:sz w:val="17"/>
          <w:szCs w:val="17"/>
          <w:color w:val="auto"/>
        </w:rPr>
        <w:t>. Refractory psoriasis vulgaris is another potential market opportunity for the development of ANB019. While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 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Checkpoint Receptor Agonist Programs</w:t>
      </w:r>
    </w:p>
    <w:p>
      <w:pPr>
        <w:spacing w:after="0" w:line="121"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Our strategy includes the discovery and development of therapeutic antibodies targeting emerging opportunities in inflammation. Checkpoint receptor agonist antibodies are being developed by AnaptysBio, to multiple different immune checkpoint receptors, for the treatment of certain autoimmune diseases where we believe checkpoint receptor function is insufficiently activated. Known human immune checkpoint receptors include CTLA-4, PD-1, LAG-3, BTLA and TIGIT. Certain checkpoint receptor agonist antibodies developed by AnaptysBio have demonstrated efficacy in a rodent model of graft-versus-host disease. We anticipate that, subsequent to regulatory clearance, one of our checkpoint receptor antibodies will initiate human testing during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Overview</w:t>
      </w:r>
    </w:p>
    <w:p>
      <w:pPr>
        <w:spacing w:after="0" w:line="121"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192"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5" w:lineRule="exact"/>
        <w:rPr>
          <w:sz w:val="20"/>
          <w:szCs w:val="20"/>
          <w:color w:val="auto"/>
        </w:rPr>
      </w:pPr>
    </w:p>
    <w:p>
      <w:pPr>
        <w:jc w:val="both"/>
        <w:ind w:left="1200" w:right="100" w:hanging="598"/>
        <w:spacing w:after="0" w:line="266" w:lineRule="auto"/>
        <w:tabs>
          <w:tab w:leader="none" w:pos="1200" w:val="left"/>
        </w:tabs>
        <w:numPr>
          <w:ilvl w:val="0"/>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desired therapeutic target and tend to exhibit less off-target binding to unrelated proteins, which lowers the risk of unintended biological side effects such as toxicity.</w:t>
      </w:r>
    </w:p>
    <w:p>
      <w:pPr>
        <w:spacing w:after="0" w:line="68" w:lineRule="exact"/>
        <w:rPr>
          <w:rFonts w:ascii="Arial" w:cs="Arial" w:eastAsia="Arial" w:hAnsi="Arial"/>
          <w:sz w:val="18"/>
          <w:szCs w:val="18"/>
          <w:color w:val="231F20"/>
        </w:rPr>
      </w:pPr>
    </w:p>
    <w:p>
      <w:pPr>
        <w:ind w:left="1200" w:right="80" w:hanging="598"/>
        <w:spacing w:after="0" w:line="266" w:lineRule="auto"/>
        <w:tabs>
          <w:tab w:leader="none" w:pos="1200" w:val="left"/>
        </w:tabs>
        <w:numPr>
          <w:ilvl w:val="0"/>
          <w:numId w:val="10"/>
        </w:numPr>
        <w:rPr>
          <w:rFonts w:ascii="Arial" w:cs="Arial" w:eastAsia="Arial" w:hAnsi="Arial"/>
          <w:sz w:val="18"/>
          <w:szCs w:val="18"/>
          <w:color w:val="231F20"/>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w:t>
      </w:r>
      <w:r>
        <w:rPr>
          <w:rFonts w:ascii="Arial" w:cs="Arial" w:eastAsia="Arial" w:hAnsi="Arial"/>
          <w:sz w:val="18"/>
          <w:szCs w:val="18"/>
          <w:b w:val="1"/>
          <w:bCs w:val="1"/>
          <w:color w:val="auto"/>
        </w:rPr>
        <w:t xml:space="preserve"> </w:t>
      </w:r>
      <w:r>
        <w:rPr>
          <w:rFonts w:ascii="Arial" w:cs="Arial" w:eastAsia="Arial" w:hAnsi="Arial"/>
          <w:sz w:val="18"/>
          <w:szCs w:val="18"/>
          <w:color w:val="auto"/>
        </w:rPr>
        <w:t>molecules. Full length antibodies tend to exhibit serum half-lives of seven to 24 days in humans, leading to bi-weekly or monthly dosing as typical practice for therapeutic antibodies.</w:t>
      </w:r>
    </w:p>
    <w:p>
      <w:pPr>
        <w:spacing w:after="0" w:line="68" w:lineRule="exact"/>
        <w:rPr>
          <w:rFonts w:ascii="Arial" w:cs="Arial" w:eastAsia="Arial" w:hAnsi="Arial"/>
          <w:sz w:val="18"/>
          <w:szCs w:val="18"/>
          <w:color w:val="231F20"/>
        </w:rPr>
      </w:pPr>
    </w:p>
    <w:p>
      <w:pPr>
        <w:ind w:left="1200" w:right="120" w:hanging="598"/>
        <w:spacing w:after="0" w:line="266" w:lineRule="auto"/>
        <w:tabs>
          <w:tab w:leader="none" w:pos="1200" w:val="left"/>
        </w:tabs>
        <w:numPr>
          <w:ilvl w:val="0"/>
          <w:numId w:val="10"/>
        </w:numPr>
        <w:rPr>
          <w:rFonts w:ascii="Arial" w:cs="Arial" w:eastAsia="Arial" w:hAnsi="Arial"/>
          <w:sz w:val="18"/>
          <w:szCs w:val="18"/>
          <w:color w:val="231F20"/>
        </w:rPr>
      </w:pPr>
      <w:r>
        <w:rPr>
          <w:rFonts w:ascii="Arial" w:cs="Arial" w:eastAsia="Arial" w:hAnsi="Arial"/>
          <w:sz w:val="18"/>
          <w:szCs w:val="18"/>
          <w:b w:val="1"/>
          <w:bCs w:val="1"/>
          <w:color w:val="auto"/>
        </w:rPr>
        <w:t xml:space="preserve">Potency and Dose Quantities. </w:t>
      </w:r>
      <w:r>
        <w:rPr>
          <w:rFonts w:ascii="Arial" w:cs="Arial" w:eastAsia="Arial" w:hAnsi="Arial"/>
          <w:sz w:val="18"/>
          <w:szCs w:val="18"/>
          <w:color w:val="auto"/>
        </w:rPr>
        <w:t>Antibodies are typically highly potent in binding to their desired target, with binding dissociation constants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low nanomolar to picomolar range. Hence, antibodies tend to be dosed at low amounts (less than 1 gram quantities per course of therapy).</w:t>
      </w:r>
    </w:p>
    <w:p>
      <w:pPr>
        <w:spacing w:after="0" w:line="180"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Competing Antibody Technologies</w:t>
      </w:r>
    </w:p>
    <w:p>
      <w:pPr>
        <w:spacing w:after="0" w:line="12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Despite the promise of antibodies as a therapeutic modality, historically it has been difficult and time- consuming to generate therapeutic-grade antibodies utilizing competing antibody discovery technologies. Such technologies have relied primarily on mouse immunization methodologies (such as wild-type or engineered mice),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7" w:name="page18"/>
    <w:bookmarkEnd w:id="17"/>
    <w:p>
      <w:pPr>
        <w:ind w:right="520"/>
        <w:spacing w:after="0" w:line="277" w:lineRule="auto"/>
        <w:rPr>
          <w:sz w:val="20"/>
          <w:szCs w:val="20"/>
          <w:color w:val="auto"/>
        </w:rPr>
      </w:pPr>
      <w:r>
        <w:rPr>
          <w:rFonts w:ascii="Arial" w:cs="Arial" w:eastAsia="Arial" w:hAnsi="Arial"/>
          <w:sz w:val="18"/>
          <w:szCs w:val="18"/>
          <w:color w:val="auto"/>
        </w:rPr>
        <w:t>microbial antibody display libraries (such as phage or yeast cell display) or human B cell screening to generate antibodies against therapeutic targets of interest. We believe the key limitations of these competitive approaches include:</w:t>
      </w:r>
    </w:p>
    <w:p>
      <w:pPr>
        <w:spacing w:after="0" w:line="58" w:lineRule="exact"/>
        <w:rPr>
          <w:sz w:val="20"/>
          <w:szCs w:val="20"/>
          <w:color w:val="auto"/>
        </w:rPr>
      </w:pPr>
    </w:p>
    <w:p>
      <w:pPr>
        <w:jc w:val="both"/>
        <w:ind w:left="1200" w:right="480" w:hanging="598"/>
        <w:spacing w:after="0" w:line="314" w:lineRule="auto"/>
        <w:tabs>
          <w:tab w:leader="none" w:pos="1200" w:val="left"/>
        </w:tabs>
        <w:numPr>
          <w:ilvl w:val="0"/>
          <w:numId w:val="11"/>
        </w:numPr>
        <w:rPr>
          <w:rFonts w:ascii="Arial" w:cs="Arial" w:eastAsia="Arial" w:hAnsi="Arial"/>
          <w:sz w:val="16"/>
          <w:szCs w:val="16"/>
          <w:color w:val="231F20"/>
        </w:rPr>
      </w:pPr>
      <w:r>
        <w:rPr>
          <w:rFonts w:ascii="Arial" w:cs="Arial" w:eastAsia="Arial" w:hAnsi="Arial"/>
          <w:sz w:val="16"/>
          <w:szCs w:val="16"/>
          <w:b w:val="1"/>
          <w:bCs w:val="1"/>
          <w:color w:val="auto"/>
        </w:rPr>
        <w:t>Insufficient Diversity</w:t>
      </w:r>
      <w:r>
        <w:rPr>
          <w:rFonts w:ascii="Arial" w:cs="Arial" w:eastAsia="Arial" w:hAnsi="Arial"/>
          <w:sz w:val="16"/>
          <w:szCs w:val="16"/>
          <w:color w:val="auto"/>
        </w:rPr>
        <w:t>. Each of the prior technologies has limited, and often static, diversity of antibodies available for selection.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34" w:lineRule="exact"/>
        <w:rPr>
          <w:rFonts w:ascii="Arial" w:cs="Arial" w:eastAsia="Arial" w:hAnsi="Arial"/>
          <w:sz w:val="16"/>
          <w:szCs w:val="16"/>
          <w:color w:val="231F20"/>
        </w:rPr>
      </w:pPr>
    </w:p>
    <w:p>
      <w:pPr>
        <w:ind w:left="1200" w:right="80" w:hanging="598"/>
        <w:spacing w:after="0" w:line="266" w:lineRule="auto"/>
        <w:tabs>
          <w:tab w:leader="none" w:pos="120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68" w:lineRule="exact"/>
        <w:rPr>
          <w:rFonts w:ascii="Arial" w:cs="Arial" w:eastAsia="Arial" w:hAnsi="Arial"/>
          <w:sz w:val="18"/>
          <w:szCs w:val="18"/>
          <w:color w:val="231F20"/>
        </w:rPr>
      </w:pPr>
    </w:p>
    <w:p>
      <w:pPr>
        <w:ind w:left="1200" w:right="260" w:hanging="598"/>
        <w:spacing w:after="0" w:line="266" w:lineRule="auto"/>
        <w:tabs>
          <w:tab w:leader="none" w:pos="120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may not result in therapeutic effect that is sufficient to change disease outcomes, or require impractically high doses to convey therapeutic benefit; and</w:t>
      </w:r>
    </w:p>
    <w:p>
      <w:pPr>
        <w:spacing w:after="0" w:line="68" w:lineRule="exact"/>
        <w:rPr>
          <w:rFonts w:ascii="Arial" w:cs="Arial" w:eastAsia="Arial" w:hAnsi="Arial"/>
          <w:sz w:val="18"/>
          <w:szCs w:val="18"/>
          <w:color w:val="231F20"/>
        </w:rPr>
      </w:pPr>
    </w:p>
    <w:p>
      <w:pPr>
        <w:ind w:left="1200" w:right="180" w:hanging="598"/>
        <w:spacing w:after="0" w:line="266" w:lineRule="auto"/>
        <w:tabs>
          <w:tab w:leader="none" w:pos="1200" w:val="left"/>
        </w:tabs>
        <w:numPr>
          <w:ilvl w:val="0"/>
          <w:numId w:val="11"/>
        </w:numPr>
        <w:rPr>
          <w:rFonts w:ascii="Arial" w:cs="Arial" w:eastAsia="Arial" w:hAnsi="Arial"/>
          <w:sz w:val="18"/>
          <w:szCs w:val="18"/>
          <w:color w:val="231F20"/>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180"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w:t>
      </w:r>
      <w:r>
        <w:rPr>
          <w:rFonts w:ascii="Arial" w:cs="Arial" w:eastAsia="Arial" w:hAnsi="Arial"/>
          <w:sz w:val="18"/>
          <w:szCs w:val="18"/>
          <w:i w:val="1"/>
          <w:iCs w:val="1"/>
          <w:color w:val="auto"/>
        </w:rPr>
        <w:t xml:space="preserve"> </w:t>
      </w:r>
      <w:r>
        <w:rPr>
          <w:rFonts w:ascii="Arial" w:cs="Arial" w:eastAsia="Arial" w:hAnsi="Arial"/>
          <w:sz w:val="18"/>
          <w:szCs w:val="18"/>
          <w:color w:val="auto"/>
        </w:rPr>
        <w:t>or 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ind w:right="160" w:firstLine="598"/>
        <w:spacing w:after="0" w:line="271" w:lineRule="auto"/>
        <w:rPr>
          <w:sz w:val="20"/>
          <w:szCs w:val="20"/>
          <w:color w:val="auto"/>
        </w:rPr>
      </w:pPr>
      <w:r>
        <w:rPr>
          <w:rFonts w:ascii="Arial" w:cs="Arial" w:eastAsia="Arial" w:hAnsi="Arial"/>
          <w:sz w:val="17"/>
          <w:szCs w:val="17"/>
          <w:i w:val="1"/>
          <w:iCs w:val="1"/>
          <w:color w:val="auto"/>
        </w:rPr>
        <w:t>Microbial antibody display systems</w:t>
      </w:r>
      <w:r>
        <w:rPr>
          <w:rFonts w:ascii="Arial" w:cs="Arial" w:eastAsia="Arial" w:hAnsi="Arial"/>
          <w:sz w:val="17"/>
          <w:szCs w:val="17"/>
          <w:color w:val="auto"/>
        </w:rPr>
        <w:t>. Microbial antibody display systems require screening of antibodies, typically formatted as antibody fragments,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79"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w:t>
      </w:r>
      <w:r>
        <w:rPr>
          <w:rFonts w:ascii="Arial" w:cs="Arial" w:eastAsia="Arial" w:hAnsi="Arial"/>
          <w:sz w:val="18"/>
          <w:szCs w:val="18"/>
          <w:i w:val="1"/>
          <w:iCs w:val="1"/>
          <w:color w:val="auto"/>
        </w:rPr>
        <w:t xml:space="preserve"> </w:t>
      </w:r>
      <w:r>
        <w:rPr>
          <w:rFonts w:ascii="Arial" w:cs="Arial" w:eastAsia="Arial" w:hAnsi="Arial"/>
          <w:sz w:val="18"/>
          <w:szCs w:val="18"/>
          <w:color w:val="auto"/>
        </w:rPr>
        <w:t>human 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Solution</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8"/>
          <w:szCs w:val="18"/>
          <w:i w:val="1"/>
          <w:iCs w:val="1"/>
          <w:color w:val="auto"/>
        </w:rPr>
        <w:t>in vitro</w:t>
      </w:r>
      <w:r>
        <w:rPr>
          <w:rFonts w:ascii="Arial" w:cs="Arial" w:eastAsia="Arial" w:hAnsi="Arial"/>
          <w:sz w:val="18"/>
          <w:szCs w:val="18"/>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right="460"/>
        <w:spacing w:after="0" w:line="277" w:lineRule="auto"/>
        <w:rPr>
          <w:sz w:val="20"/>
          <w:szCs w:val="20"/>
          <w:color w:val="auto"/>
        </w:rPr>
      </w:pPr>
      <w:r>
        <w:rPr>
          <w:rFonts w:ascii="Arial" w:cs="Arial" w:eastAsia="Arial" w:hAnsi="Arial"/>
          <w:sz w:val="18"/>
          <w:szCs w:val="18"/>
          <w:color w:val="auto"/>
        </w:rPr>
        <w:t>immune system to expand the limited diversity encoded within our genomes to the billions of antibody specificities required to defend ourselves against external pathogens.</w:t>
      </w:r>
    </w:p>
    <w:p>
      <w:pPr>
        <w:spacing w:after="0" w:line="170"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we believe have been challenging for competing antibody technology platforms to generate such as IL-33 and TIM-3.</w:t>
      </w:r>
    </w:p>
    <w:p>
      <w:pPr>
        <w:spacing w:after="0" w:line="188"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 throughput fashion for the desired functional activity relevant to the therapeutic mechanism.</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13" w:lineRule="exact"/>
        <w:rPr>
          <w:sz w:val="20"/>
          <w:szCs w:val="20"/>
          <w:color w:val="auto"/>
        </w:rPr>
      </w:pPr>
    </w:p>
    <w:p>
      <w:pPr>
        <w:ind w:left="1200" w:right="20" w:hanging="598"/>
        <w:spacing w:after="0" w:line="266" w:lineRule="auto"/>
        <w:tabs>
          <w:tab w:leader="none" w:pos="120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68" w:lineRule="exact"/>
        <w:rPr>
          <w:rFonts w:ascii="Arial" w:cs="Arial" w:eastAsia="Arial" w:hAnsi="Arial"/>
          <w:sz w:val="18"/>
          <w:szCs w:val="18"/>
          <w:color w:val="231F20"/>
        </w:rPr>
      </w:pPr>
    </w:p>
    <w:p>
      <w:pPr>
        <w:ind w:left="1200" w:right="540" w:hanging="598"/>
        <w:spacing w:after="0" w:line="347" w:lineRule="auto"/>
        <w:tabs>
          <w:tab w:leader="none" w:pos="1200" w:val="left"/>
        </w:tabs>
        <w:numPr>
          <w:ilvl w:val="0"/>
          <w:numId w:val="12"/>
        </w:numPr>
        <w:rPr>
          <w:rFonts w:ascii="Arial" w:cs="Arial" w:eastAsia="Arial" w:hAnsi="Arial"/>
          <w:sz w:val="16"/>
          <w:szCs w:val="16"/>
          <w:color w:val="231F20"/>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8" w:lineRule="exact"/>
        <w:rPr>
          <w:rFonts w:ascii="Arial" w:cs="Arial" w:eastAsia="Arial" w:hAnsi="Arial"/>
          <w:sz w:val="16"/>
          <w:szCs w:val="16"/>
          <w:color w:val="231F20"/>
        </w:rPr>
      </w:pPr>
    </w:p>
    <w:p>
      <w:pPr>
        <w:ind w:left="1200" w:hanging="598"/>
        <w:spacing w:after="0" w:line="266" w:lineRule="auto"/>
        <w:tabs>
          <w:tab w:leader="none" w:pos="120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68" w:lineRule="exact"/>
        <w:rPr>
          <w:rFonts w:ascii="Arial" w:cs="Arial" w:eastAsia="Arial" w:hAnsi="Arial"/>
          <w:sz w:val="18"/>
          <w:szCs w:val="18"/>
          <w:color w:val="231F20"/>
        </w:rPr>
      </w:pPr>
    </w:p>
    <w:p>
      <w:pPr>
        <w:ind w:left="1200" w:right="60" w:hanging="598"/>
        <w:spacing w:after="0" w:line="266" w:lineRule="auto"/>
        <w:tabs>
          <w:tab w:leader="none" w:pos="1200" w:val="left"/>
        </w:tabs>
        <w:numPr>
          <w:ilvl w:val="0"/>
          <w:numId w:val="12"/>
        </w:numPr>
        <w:rPr>
          <w:rFonts w:ascii="Arial" w:cs="Arial" w:eastAsia="Arial" w:hAnsi="Arial"/>
          <w:sz w:val="18"/>
          <w:szCs w:val="18"/>
          <w:color w:val="231F20"/>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and toxicology studies, typically in less than 12 months. We believe this timeline is significantly shorter than conventional approaches based upon mouse immunization and microbial display systems.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left="1200" w:right="540" w:hanging="598"/>
        <w:spacing w:after="0" w:line="266" w:lineRule="auto"/>
        <w:tabs>
          <w:tab w:leader="none" w:pos="1200" w:val="left"/>
        </w:tabs>
        <w:numPr>
          <w:ilvl w:val="0"/>
          <w:numId w:val="13"/>
        </w:numPr>
        <w:rPr>
          <w:rFonts w:ascii="Arial" w:cs="Arial" w:eastAsia="Arial" w:hAnsi="Arial"/>
          <w:sz w:val="18"/>
          <w:szCs w:val="18"/>
          <w:color w:val="231F20"/>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68" w:lineRule="exact"/>
        <w:rPr>
          <w:rFonts w:ascii="Arial" w:cs="Arial" w:eastAsia="Arial" w:hAnsi="Arial"/>
          <w:sz w:val="18"/>
          <w:szCs w:val="18"/>
          <w:color w:val="231F20"/>
        </w:rPr>
      </w:pPr>
    </w:p>
    <w:p>
      <w:pPr>
        <w:ind w:left="1200" w:hanging="598"/>
        <w:spacing w:after="0" w:line="271" w:lineRule="auto"/>
        <w:tabs>
          <w:tab w:leader="none" w:pos="1200" w:val="left"/>
        </w:tabs>
        <w:numPr>
          <w:ilvl w:val="0"/>
          <w:numId w:val="13"/>
        </w:numPr>
        <w:rPr>
          <w:rFonts w:ascii="Arial" w:cs="Arial" w:eastAsia="Arial" w:hAnsi="Arial"/>
          <w:sz w:val="17"/>
          <w:szCs w:val="17"/>
          <w:color w:val="231F20"/>
        </w:rPr>
      </w:pPr>
      <w:r>
        <w:rPr>
          <w:rFonts w:ascii="Arial" w:cs="Arial" w:eastAsia="Arial" w:hAnsi="Arial"/>
          <w:sz w:val="17"/>
          <w:szCs w:val="17"/>
          <w:b w:val="1"/>
          <w:bCs w:val="1"/>
          <w:color w:val="auto"/>
        </w:rPr>
        <w:t xml:space="preserve">Bispecific antibodies. </w:t>
      </w:r>
      <w:r>
        <w:rPr>
          <w:rFonts w:ascii="Arial" w:cs="Arial" w:eastAsia="Arial" w:hAnsi="Arial"/>
          <w:sz w:val="17"/>
          <w:szCs w:val="17"/>
          <w:color w:val="auto"/>
        </w:rPr>
        <w:t>A bispecific antibody is a single therapeutic molecule designed to bind two different targets. Bispecific antibodies</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w:t>
      </w:r>
    </w:p>
    <w:p>
      <w:pPr>
        <w:spacing w:after="0" w:line="121" w:lineRule="exact"/>
        <w:rPr>
          <w:sz w:val="20"/>
          <w:szCs w:val="20"/>
          <w:color w:val="auto"/>
        </w:rPr>
      </w:pPr>
    </w:p>
    <w:p>
      <w:pPr>
        <w:ind w:right="40" w:firstLine="598"/>
        <w:spacing w:after="0" w:line="268" w:lineRule="auto"/>
        <w:rPr>
          <w:sz w:val="20"/>
          <w:szCs w:val="20"/>
          <w:color w:val="auto"/>
        </w:rPr>
      </w:pPr>
      <w:r>
        <w:rPr>
          <w:rFonts w:ascii="Arial" w:cs="Arial" w:eastAsia="Arial" w:hAnsi="Arial"/>
          <w:sz w:val="17"/>
          <w:szCs w:val="17"/>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(TSR-022), LAG-3 (TSR-033)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TIM- 3, as single agents or in combination with other therapies. We have completed our responsibilities under the terms of the agreement as of December 31, 2016 to generate and develop antibodies to certain defined stages of preclinical development.</w:t>
      </w:r>
    </w:p>
    <w:p>
      <w:pPr>
        <w:spacing w:after="0" w:line="18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Under the terms of this agreement, TESARO made up-front, non-creditable and non-refundable cash payments aggregating $19.0 million to us during 2014. TESARO is also required to reimburse us on a quarterly 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TESARO will also be required to pay us tiered single-digit royalties, on a product- by-product basis, on worldwide annual net sales, and additional commercial milestone payments if specified levels of annual net sales of a product are attained.</w:t>
      </w:r>
    </w:p>
    <w:p>
      <w:pPr>
        <w:spacing w:after="0" w:line="178"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Celgene</w:t>
      </w:r>
    </w:p>
    <w:p>
      <w:pPr>
        <w:spacing w:after="0" w:line="121" w:lineRule="exact"/>
        <w:rPr>
          <w:sz w:val="20"/>
          <w:szCs w:val="20"/>
          <w:color w:val="auto"/>
        </w:rPr>
      </w:pPr>
    </w:p>
    <w:p>
      <w:pPr>
        <w:ind w:right="420" w:firstLine="598"/>
        <w:spacing w:after="0" w:line="297" w:lineRule="auto"/>
        <w:rPr>
          <w:sz w:val="20"/>
          <w:szCs w:val="20"/>
          <w:color w:val="auto"/>
        </w:rPr>
      </w:pPr>
      <w:r>
        <w:rPr>
          <w:rFonts w:ascii="Arial" w:cs="Arial" w:eastAsia="Arial" w:hAnsi="Arial"/>
          <w:sz w:val="16"/>
          <w:szCs w:val="16"/>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during fiscal 2014.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anti-inflammatory antibodies to the clinic.</w:t>
      </w:r>
    </w:p>
    <w:p>
      <w:pPr>
        <w:spacing w:after="0" w:line="15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 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 License Agreement with MRC</w:t>
      </w:r>
    </w:p>
    <w:p>
      <w:pPr>
        <w:spacing w:after="0" w:line="121"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78"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19 patents and three pending patent applications worldwide.</w:t>
      </w:r>
    </w:p>
    <w:p>
      <w:pPr>
        <w:spacing w:after="0" w:line="193"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Millipore</w:t>
      </w:r>
    </w:p>
    <w:p>
      <w:pPr>
        <w:spacing w:after="0" w:line="121" w:lineRule="exact"/>
        <w:rPr>
          <w:sz w:val="20"/>
          <w:szCs w:val="20"/>
          <w:color w:val="auto"/>
        </w:rPr>
      </w:pPr>
    </w:p>
    <w:p>
      <w:pPr>
        <w:ind w:right="520" w:firstLine="598"/>
        <w:spacing w:after="0" w:line="264"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line="257" w:lineRule="auto"/>
        <w:rPr>
          <w:sz w:val="20"/>
          <w:szCs w:val="20"/>
          <w:color w:val="auto"/>
        </w:rPr>
      </w:pPr>
      <w:r>
        <w:rPr>
          <w:rFonts w:ascii="Arial" w:cs="Arial" w:eastAsia="Arial" w:hAnsi="Arial"/>
          <w:sz w:val="18"/>
          <w:szCs w:val="18"/>
          <w:color w:val="auto"/>
        </w:rPr>
        <w:t>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8" w:lineRule="exact"/>
        <w:rPr>
          <w:sz w:val="20"/>
          <w:szCs w:val="20"/>
          <w:color w:val="auto"/>
        </w:rPr>
      </w:pPr>
    </w:p>
    <w:p>
      <w:pPr>
        <w:jc w:val="both"/>
        <w:ind w:right="380" w:firstLine="598"/>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45.0%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w:t>
      </w:r>
    </w:p>
    <w:p>
      <w:pPr>
        <w:spacing w:after="0" w:line="19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80" w:firstLine="598"/>
        <w:spacing w:after="0" w:line="302" w:lineRule="auto"/>
        <w:rPr>
          <w:sz w:val="20"/>
          <w:szCs w:val="20"/>
          <w:color w:val="auto"/>
        </w:rPr>
      </w:pPr>
      <w:r>
        <w:rPr>
          <w:rFonts w:ascii="Arial" w:cs="Arial" w:eastAsia="Arial" w:hAnsi="Arial"/>
          <w:sz w:val="16"/>
          <w:szCs w:val="16"/>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MRC and patents licensed from Kyoto University, consisted of 38 issued patents and 43 pending patent applications as of December 31, 2016.</w:t>
      </w:r>
    </w:p>
    <w:p>
      <w:pPr>
        <w:spacing w:after="0" w:line="154"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w:t>
      </w:r>
    </w:p>
    <w:p>
      <w:pPr>
        <w:spacing w:after="0" w:line="12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As of December 31, 2016, we owned 15 patent applications in various countries directed to the antibody sequence of ANB020 and its variants, epitopes, methods of use and related matters. We intend to prosecute the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2" w:name="page23"/>
    <w:bookmarkEnd w:id="22"/>
    <w:p>
      <w:pPr>
        <w:ind w:right="340"/>
        <w:spacing w:after="0" w:line="277" w:lineRule="auto"/>
        <w:rPr>
          <w:sz w:val="20"/>
          <w:szCs w:val="20"/>
          <w:color w:val="auto"/>
        </w:rPr>
      </w:pPr>
      <w:r>
        <w:rPr>
          <w:rFonts w:ascii="Arial" w:cs="Arial" w:eastAsia="Arial" w:hAnsi="Arial"/>
          <w:sz w:val="18"/>
          <w:szCs w:val="18"/>
          <w:color w:val="auto"/>
        </w:rPr>
        <w:t>pending applications and pursue patent issuance and protection in key commercial markets where significant product sales may occur. Patents that may issue from these pending applications would provide protection until January 2037.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As of December 31, 2016, we owned one international patent application, filed under the PCT, which is directed to the antibody sequence of ANB019 and its variants, epitopes, methods of use and related matters. We intend to prosecute the pending international application, and pursue patent issuance and protection in key commercial markets where significant product sales may occur. Patents that may issue from the expected international application would provide protection until April 2036.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wholly-owned portfolio, currently under prosecution in various jurisdictions.</w:t>
      </w:r>
    </w:p>
    <w:p>
      <w:pPr>
        <w:spacing w:after="0" w:line="170"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Our wholly-owned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4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file, the patent term is 20 years from the earliest date of filing a non-provisional patent application related to the patent. A U.S. patent also may be accorded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PTA under certain circumstances to compensate for delays in obtaining the patent from the USPTO. In some instances, such a PTA may result in a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patent term extending beyond 20 years from the earliest date of filing a non-provisional patent application related to the U.S. patent. In addition,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States, the term of a U.S. patent that covers an FDA-approved drug may also be eligible for patent term extension, which permits patent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restoration as compensation for the patent term lost during the FDA regulatory review process. The Hatch-Waxman Act permits a patent term extension of 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five years beyond the expiration of the patent. The length of the patent term extension is related to the length of time the drug is under regulatory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review. Patent term extension cannot extend the remaining term of a patent beyond a total of 14 years from the date of product approval and only one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to an approved drug may be extended. Similar provisions are available in Europe and other foreign jurisdictions to extend the term of a patent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covers an approved drug. In the future, if and when our products receive FDA approval, we expect to apply for patent term extensions on patents covering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those products. We plan to seek patent term extensions to any of our issued patents in any jurisdiction where these are available, however there is no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guarantee that the applicable authorities, including the FDA in the United States, will agree with our assessment of whether such extensions should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granted, and if granted, the length of such extensions.</w:t>
      </w:r>
    </w:p>
    <w:p>
      <w:pPr>
        <w:spacing w:after="0" w:line="21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ind w:right="80"/>
        <w:spacing w:after="0" w:line="297" w:lineRule="auto"/>
        <w:rPr>
          <w:sz w:val="20"/>
          <w:szCs w:val="20"/>
          <w:color w:val="auto"/>
        </w:rPr>
      </w:pPr>
      <w:r>
        <w:rPr>
          <w:rFonts w:ascii="Arial" w:cs="Arial" w:eastAsia="Arial" w:hAnsi="Arial"/>
          <w:sz w:val="16"/>
          <w:szCs w:val="16"/>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20" w:firstLine="598"/>
        <w:spacing w:after="0" w:line="29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81" w:lineRule="exact"/>
        <w:rPr>
          <w:sz w:val="20"/>
          <w:szCs w:val="20"/>
          <w:color w:val="auto"/>
        </w:rPr>
      </w:pPr>
    </w:p>
    <w:p>
      <w:pPr>
        <w:ind w:right="40" w:firstLine="598"/>
        <w:spacing w:after="0" w:line="29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67"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140" w:firstLine="598"/>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Sanofi) and AMG 317 (Amgen) each in clinical testing; and an ST2-binding antibody which Roche has in-licensed from Amgen (previously known as AMG 282) and plans to advance into Phase 2 clinical</w:t>
      </w:r>
    </w:p>
    <w:p>
      <w:pPr>
        <w:spacing w:after="0" w:line="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trials. Regeneron has recently announced an IL-33 related program (REGN 3500) in a Phase I clinical trial and is indicated for asthma and chronic obstructive pulmonary disease.</w:t>
      </w:r>
    </w:p>
    <w:p>
      <w:pPr>
        <w:spacing w:after="0" w:line="184"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w:t>
      </w:r>
    </w:p>
    <w:p>
      <w:pPr>
        <w:spacing w:after="0" w:line="170" w:lineRule="exact"/>
        <w:rPr>
          <w:sz w:val="20"/>
          <w:szCs w:val="20"/>
          <w:color w:val="auto"/>
        </w:rPr>
      </w:pPr>
    </w:p>
    <w:p>
      <w:pPr>
        <w:ind w:right="260" w:firstLine="598"/>
        <w:spacing w:after="0" w:line="308" w:lineRule="auto"/>
        <w:rPr>
          <w:sz w:val="20"/>
          <w:szCs w:val="20"/>
          <w:color w:val="auto"/>
        </w:rPr>
      </w:pPr>
      <w:r>
        <w:rPr>
          <w:rFonts w:ascii="Arial" w:cs="Arial" w:eastAsia="Arial" w:hAnsi="Arial"/>
          <w:sz w:val="17"/>
          <w:szCs w:val="17"/>
          <w:color w:val="auto"/>
        </w:rPr>
        <w:t>For atopic dermatitis, our competitors include dupilumab (Regeneron, Sanofi), which has recently been filed for approval by the FDA, crisaborole (Anacor, Pfizer) which has recently been filed for approval by the FDA and VTP-38543 (Vitae) which is currently in a Phase 2 trial.</w:t>
      </w:r>
    </w:p>
    <w:p>
      <w:pPr>
        <w:spacing w:after="0" w:line="147"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which binds IL-1 beta and BI-655130 (Boehringer Ingelheim).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21" w:lineRule="exact"/>
        <w:rPr>
          <w:sz w:val="20"/>
          <w:szCs w:val="20"/>
          <w:color w:val="auto"/>
        </w:rPr>
      </w:pPr>
    </w:p>
    <w:p>
      <w:pPr>
        <w:ind w:right="360" w:firstLine="598"/>
        <w:spacing w:after="0" w:line="312"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80"/>
        <w:spacing w:after="0" w:line="272" w:lineRule="auto"/>
        <w:rPr>
          <w:sz w:val="20"/>
          <w:szCs w:val="20"/>
          <w:color w:val="auto"/>
        </w:rPr>
      </w:pPr>
      <w:r>
        <w:rPr>
          <w:rFonts w:ascii="Arial" w:cs="Arial" w:eastAsia="Arial" w:hAnsi="Arial"/>
          <w:sz w:val="17"/>
          <w:szCs w:val="17"/>
          <w:color w:val="auto"/>
        </w:rPr>
        <w:t>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598"/>
        <w:spacing w:after="0" w:line="288" w:lineRule="auto"/>
        <w:rPr>
          <w:sz w:val="20"/>
          <w:szCs w:val="20"/>
          <w:color w:val="auto"/>
        </w:rPr>
      </w:pPr>
      <w:r>
        <w:rPr>
          <w:rFonts w:ascii="Arial" w:cs="Arial" w:eastAsia="Arial" w:hAnsi="Arial"/>
          <w:sz w:val="16"/>
          <w:szCs w:val="16"/>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 controlled clinical trials to establish the safety and effectiveness of the drug for each indication for which FDA approval is</w:t>
      </w:r>
    </w:p>
    <w:p>
      <w:pPr>
        <w:ind w:right="20"/>
        <w:spacing w:after="0" w:line="261" w:lineRule="auto"/>
        <w:rPr>
          <w:sz w:val="20"/>
          <w:szCs w:val="20"/>
          <w:color w:val="auto"/>
        </w:rPr>
      </w:pPr>
      <w:r>
        <w:rPr>
          <w:rFonts w:ascii="Arial" w:cs="Arial" w:eastAsia="Arial" w:hAnsi="Arial"/>
          <w:sz w:val="18"/>
          <w:szCs w:val="18"/>
          <w:color w:val="auto"/>
        </w:rPr>
        <w:t>sought. Satisfaction of FDA pre-market approval requirements typically takes many years and the actual time required may vary substantially based upon the type, complexity, and novelty of the product or disease.</w:t>
      </w:r>
    </w:p>
    <w:p>
      <w:pPr>
        <w:spacing w:after="0" w:line="184"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3"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right="100" w:firstLine="598"/>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80"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Foreign clinical studies to support an IND</w:t>
      </w:r>
    </w:p>
    <w:p>
      <w:pPr>
        <w:spacing w:after="0" w:line="121"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39"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investigator’s qualifications;</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 description of the research facilities;</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 detailed summary of the protocol and study results and, if requested, case records or additional background data;</w:t>
      </w:r>
    </w:p>
    <w:p>
      <w:pPr>
        <w:spacing w:after="0" w:line="117" w:lineRule="exact"/>
        <w:rPr>
          <w:rFonts w:ascii="Arial" w:cs="Arial" w:eastAsia="Arial" w:hAnsi="Arial"/>
          <w:sz w:val="18"/>
          <w:szCs w:val="18"/>
          <w:color w:val="231F20"/>
        </w:rPr>
      </w:pPr>
    </w:p>
    <w:p>
      <w:pPr>
        <w:ind w:left="1200" w:right="900" w:hanging="598"/>
        <w:spacing w:after="0" w:line="277" w:lineRule="auto"/>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62" w:lineRule="exact"/>
        <w:rPr>
          <w:rFonts w:ascii="Arial" w:cs="Arial" w:eastAsia="Arial" w:hAnsi="Arial"/>
          <w:sz w:val="18"/>
          <w:szCs w:val="18"/>
          <w:color w:val="231F20"/>
        </w:rPr>
      </w:pPr>
    </w:p>
    <w:p>
      <w:pPr>
        <w:ind w:left="1200" w:hanging="598"/>
        <w:spacing w:after="0"/>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information showing that the study is adequate and well controlled;</w:t>
      </w:r>
    </w:p>
    <w:p>
      <w:pPr>
        <w:spacing w:after="0" w:line="117" w:lineRule="exact"/>
        <w:rPr>
          <w:rFonts w:ascii="Arial" w:cs="Arial" w:eastAsia="Arial" w:hAnsi="Arial"/>
          <w:sz w:val="18"/>
          <w:szCs w:val="18"/>
          <w:color w:val="231F20"/>
        </w:rPr>
      </w:pPr>
    </w:p>
    <w:p>
      <w:pPr>
        <w:ind w:left="1200" w:right="340" w:hanging="598"/>
        <w:spacing w:after="0" w:line="277" w:lineRule="auto"/>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62" w:lineRule="exact"/>
        <w:rPr>
          <w:rFonts w:ascii="Arial" w:cs="Arial" w:eastAsia="Arial" w:hAnsi="Arial"/>
          <w:sz w:val="18"/>
          <w:szCs w:val="18"/>
          <w:color w:val="231F20"/>
        </w:rPr>
      </w:pPr>
    </w:p>
    <w:p>
      <w:pPr>
        <w:ind w:left="1200" w:hanging="598"/>
        <w:spacing w:after="0"/>
        <w:tabs>
          <w:tab w:leader="none" w:pos="1200" w:val="left"/>
        </w:tabs>
        <w:numPr>
          <w:ilvl w:val="0"/>
          <w:numId w:val="14"/>
        </w:numPr>
        <w:rPr>
          <w:rFonts w:ascii="Arial" w:cs="Arial" w:eastAsia="Arial" w:hAnsi="Arial"/>
          <w:sz w:val="16"/>
          <w:szCs w:val="16"/>
          <w:color w:val="231F20"/>
        </w:rPr>
      </w:pPr>
      <w:r>
        <w:rPr>
          <w:rFonts w:ascii="Arial" w:cs="Arial" w:eastAsia="Arial" w:hAnsi="Arial"/>
          <w:sz w:val="16"/>
          <w:szCs w:val="16"/>
          <w:color w:val="auto"/>
        </w:rPr>
        <w:t>a summary of the independent ethics committee’s decision to approve or modify and approve the study, or to provide a favorable opinion;</w:t>
      </w:r>
    </w:p>
    <w:p>
      <w:pPr>
        <w:spacing w:after="0" w:line="140" w:lineRule="exact"/>
        <w:rPr>
          <w:rFonts w:ascii="Arial" w:cs="Arial" w:eastAsia="Arial" w:hAnsi="Arial"/>
          <w:sz w:val="16"/>
          <w:szCs w:val="16"/>
          <w:color w:val="231F20"/>
        </w:rPr>
      </w:pPr>
    </w:p>
    <w:p>
      <w:pPr>
        <w:ind w:left="1200" w:hanging="598"/>
        <w:spacing w:after="0"/>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 description of how informed consent was obtained;</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 description of what incentives, if any, were provided to subjects to participate;</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 description of how the sponsors monitored the study and ensured that the study was consistent with the protocol;</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28" w:lineRule="exact"/>
        <w:rPr>
          <w:rFonts w:ascii="Arial" w:cs="Arial" w:eastAsia="Arial" w:hAnsi="Arial"/>
          <w:sz w:val="17"/>
          <w:szCs w:val="17"/>
          <w:color w:val="231F20"/>
        </w:rPr>
      </w:pPr>
    </w:p>
    <w:p>
      <w:pPr>
        <w:ind w:left="1200" w:hanging="598"/>
        <w:spacing w:after="0"/>
        <w:tabs>
          <w:tab w:leader="none" w:pos="12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 statement on whether written commitments by investigators to comply with GCP and the protocol were obtained.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 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w:t>
      </w:r>
    </w:p>
    <w:p>
      <w:pPr>
        <w:spacing w:after="0" w:line="121"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controls for biologics</w:t>
      </w:r>
    </w:p>
    <w:p>
      <w:pPr>
        <w:spacing w:after="0" w:line="121"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12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Biosimilars</w:t>
      </w:r>
    </w:p>
    <w:p>
      <w:pPr>
        <w:spacing w:after="0" w:line="12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8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companion diagnostics</w:t>
      </w:r>
    </w:p>
    <w:p>
      <w:pPr>
        <w:spacing w:after="0" w:line="121" w:lineRule="exact"/>
        <w:rPr>
          <w:sz w:val="20"/>
          <w:szCs w:val="20"/>
          <w:color w:val="auto"/>
        </w:rPr>
      </w:pPr>
    </w:p>
    <w:p>
      <w:pPr>
        <w:ind w:right="240" w:firstLine="598"/>
        <w:spacing w:after="0" w:line="257" w:lineRule="auto"/>
        <w:rPr>
          <w:sz w:val="20"/>
          <w:szCs w:val="20"/>
          <w:color w:val="auto"/>
        </w:rPr>
      </w:pPr>
      <w:r>
        <w:rPr>
          <w:rFonts w:ascii="Arial" w:cs="Arial" w:eastAsia="Arial" w:hAnsi="Arial"/>
          <w:sz w:val="18"/>
          <w:szCs w:val="18"/>
          <w:color w:val="auto"/>
        </w:rPr>
        <w:t xml:space="preserve">If use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0" w:name="page31"/>
    <w:bookmarkEnd w:id="30"/>
    <w:p>
      <w:pPr>
        <w:spacing w:after="0" w:line="254" w:lineRule="auto"/>
        <w:rPr>
          <w:sz w:val="20"/>
          <w:szCs w:val="20"/>
          <w:color w:val="auto"/>
        </w:rPr>
      </w:pPr>
      <w:r>
        <w:rPr>
          <w:rFonts w:ascii="Arial" w:cs="Arial" w:eastAsia="Arial" w:hAnsi="Arial"/>
          <w:sz w:val="18"/>
          <w:szCs w:val="18"/>
          <w:color w:val="auto"/>
        </w:rPr>
        <w:t>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92" w:lineRule="exact"/>
        <w:rPr>
          <w:sz w:val="20"/>
          <w:szCs w:val="20"/>
          <w:color w:val="auto"/>
        </w:rPr>
      </w:pPr>
    </w:p>
    <w:p>
      <w:pPr>
        <w:ind w:right="160" w:firstLine="598"/>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12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right="60" w:firstLine="598"/>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 Kickback Statute constitutes a false or fraudulent claim for purposes of the federal False Claims Act (discussed below).</w:t>
      </w:r>
    </w:p>
    <w:p>
      <w:pPr>
        <w:spacing w:after="0" w:line="18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jc w:val="both"/>
        <w:ind w:right="260" w:firstLine="598"/>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2" w:name="page33"/>
    <w:bookmarkEnd w:id="32"/>
    <w:p>
      <w:pPr>
        <w:ind w:right="100"/>
        <w:spacing w:after="0" w:line="277" w:lineRule="auto"/>
        <w:rPr>
          <w:sz w:val="20"/>
          <w:szCs w:val="20"/>
          <w:color w:val="auto"/>
        </w:rPr>
      </w:pPr>
      <w:r>
        <w:rPr>
          <w:rFonts w:ascii="Arial" w:cs="Arial" w:eastAsia="Arial" w:hAnsi="Arial"/>
          <w:sz w:val="18"/>
          <w:szCs w:val="18"/>
          <w:color w:val="auto"/>
        </w:rPr>
        <w:t>pharmaceutical products related to product tracking and tracing. Legislative and regulatory proposals have been made to expand post-approval requirements and restrict sales and promotional activities for pharmaceutical products.</w:t>
      </w:r>
    </w:p>
    <w:p>
      <w:pPr>
        <w:spacing w:after="0" w:line="170"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1"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Different pricing and reimbursement schemes exist in other countries. In the EU, governments influence the price of pharmaceutical products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through their pricing and reimbursement rules and control of national health care systems that fund a large part of the cost of those products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consumers. Some jurisdictions operate positive and negative list systems under which products may only be marketed once a reimbursement price has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agreed. To obtain reimbursement or pricing approval, some of these countries may require the completion of clinical trials that compare the cost effectiveness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particular product candidate to currently available therapies. Other member states allow companies to fix their own prices for medicines, but monitor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company profits. The downward pressure on health care costs has become intense. As a result, increasingly high barriers are being erected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entry of new products. In addition, in some countries, cross-border imports from low-priced markets exert a commercial pressure on pricing within a country.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120" w:firstLine="598"/>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62" w:lineRule="exact"/>
        <w:rPr>
          <w:sz w:val="20"/>
          <w:szCs w:val="20"/>
          <w:color w:val="auto"/>
        </w:rPr>
      </w:pPr>
    </w:p>
    <w:p>
      <w:pPr>
        <w:ind w:left="1200" w:right="380" w:hanging="598"/>
        <w:spacing w:after="0" w:line="342" w:lineRule="auto"/>
        <w:tabs>
          <w:tab w:leader="none" w:pos="1200" w:val="left"/>
        </w:tabs>
        <w:numPr>
          <w:ilvl w:val="0"/>
          <w:numId w:val="15"/>
        </w:numPr>
        <w:rPr>
          <w:rFonts w:ascii="Arial" w:cs="Arial" w:eastAsia="Arial" w:hAnsi="Arial"/>
          <w:sz w:val="16"/>
          <w:szCs w:val="16"/>
          <w:color w:val="231F20"/>
        </w:rPr>
      </w:pPr>
      <w:r>
        <w:rPr>
          <w:rFonts w:ascii="Arial" w:cs="Arial" w:eastAsia="Arial" w:hAnsi="Arial"/>
          <w:sz w:val="16"/>
          <w:szCs w:val="16"/>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15" w:lineRule="exact"/>
        <w:rPr>
          <w:rFonts w:ascii="Arial" w:cs="Arial" w:eastAsia="Arial" w:hAnsi="Arial"/>
          <w:sz w:val="16"/>
          <w:szCs w:val="16"/>
          <w:color w:val="231F20"/>
        </w:rPr>
      </w:pPr>
    </w:p>
    <w:p>
      <w:pPr>
        <w:ind w:left="1200" w:right="240" w:hanging="598"/>
        <w:spacing w:after="0" w:line="264" w:lineRule="auto"/>
        <w:tabs>
          <w:tab w:leader="none" w:pos="12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73" w:lineRule="exact"/>
        <w:rPr>
          <w:rFonts w:ascii="Arial" w:cs="Arial" w:eastAsia="Arial" w:hAnsi="Arial"/>
          <w:sz w:val="18"/>
          <w:szCs w:val="18"/>
          <w:color w:val="231F20"/>
        </w:rPr>
      </w:pPr>
    </w:p>
    <w:p>
      <w:pPr>
        <w:ind w:left="1200" w:right="220" w:hanging="598"/>
        <w:spacing w:after="0" w:line="264" w:lineRule="auto"/>
        <w:tabs>
          <w:tab w:leader="none" w:pos="12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231F20"/>
        </w:rPr>
      </w:pPr>
    </w:p>
    <w:p>
      <w:pPr>
        <w:ind w:left="1200" w:right="140" w:hanging="598"/>
        <w:spacing w:after="0" w:line="277" w:lineRule="auto"/>
        <w:tabs>
          <w:tab w:leader="none" w:pos="12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231F20"/>
        </w:rPr>
      </w:pPr>
    </w:p>
    <w:p>
      <w:pPr>
        <w:jc w:val="both"/>
        <w:ind w:left="1200" w:right="480" w:hanging="598"/>
        <w:spacing w:after="0" w:line="264" w:lineRule="auto"/>
        <w:tabs>
          <w:tab w:leader="none" w:pos="12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73" w:lineRule="exact"/>
        <w:rPr>
          <w:rFonts w:ascii="Arial" w:cs="Arial" w:eastAsia="Arial" w:hAnsi="Arial"/>
          <w:sz w:val="18"/>
          <w:szCs w:val="18"/>
          <w:color w:val="231F20"/>
        </w:rPr>
      </w:pPr>
    </w:p>
    <w:p>
      <w:pPr>
        <w:ind w:left="1200" w:hanging="598"/>
        <w:spacing w:after="0"/>
        <w:tabs>
          <w:tab w:leader="none" w:pos="12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231F20"/>
        </w:rPr>
      </w:pPr>
    </w:p>
    <w:p>
      <w:pPr>
        <w:ind w:left="1200" w:right="640" w:hanging="598"/>
        <w:spacing w:after="0" w:line="277" w:lineRule="auto"/>
        <w:tabs>
          <w:tab w:leader="none" w:pos="12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231F20"/>
        </w:rPr>
      </w:pPr>
    </w:p>
    <w:p>
      <w:pPr>
        <w:ind w:left="1200" w:right="120" w:hanging="598"/>
        <w:spacing w:after="0" w:line="277" w:lineRule="auto"/>
        <w:tabs>
          <w:tab w:leader="none" w:pos="12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231F20"/>
        </w:rPr>
      </w:pPr>
    </w:p>
    <w:p>
      <w:pPr>
        <w:ind w:left="1200" w:right="400" w:hanging="598"/>
        <w:spacing w:after="0" w:line="277" w:lineRule="auto"/>
        <w:tabs>
          <w:tab w:leader="none" w:pos="12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231F20"/>
        </w:rPr>
      </w:pPr>
    </w:p>
    <w:p>
      <w:pPr>
        <w:ind w:left="1200" w:hanging="598"/>
        <w:spacing w:after="0"/>
        <w:tabs>
          <w:tab w:leader="none" w:pos="120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requirements to report certain financial arrangements with physicians and teaching hospitals; and</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15"/>
        </w:numPr>
        <w:rPr>
          <w:rFonts w:ascii="Arial" w:cs="Arial" w:eastAsia="Arial" w:hAnsi="Arial"/>
          <w:sz w:val="17"/>
          <w:szCs w:val="17"/>
          <w:color w:val="231F20"/>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ind w:right="300" w:firstLine="598"/>
        <w:spacing w:after="0" w:line="279" w:lineRule="auto"/>
        <w:rPr>
          <w:sz w:val="20"/>
          <w:szCs w:val="20"/>
          <w:color w:val="auto"/>
        </w:rPr>
      </w:pPr>
      <w:r>
        <w:rPr>
          <w:rFonts w:ascii="Arial" w:cs="Arial" w:eastAsia="Arial" w:hAnsi="Arial"/>
          <w:sz w:val="17"/>
          <w:szCs w:val="17"/>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4" w:name="page35"/>
    <w:bookmarkEnd w:id="34"/>
    <w:p>
      <w:pPr>
        <w:jc w:val="both"/>
        <w:ind w:right="100"/>
        <w:spacing w:after="0" w:line="264" w:lineRule="auto"/>
        <w:rPr>
          <w:sz w:val="20"/>
          <w:szCs w:val="20"/>
          <w:color w:val="auto"/>
        </w:rPr>
      </w:pPr>
      <w:r>
        <w:rPr>
          <w:rFonts w:ascii="Arial" w:cs="Arial" w:eastAsia="Arial" w:hAnsi="Arial"/>
          <w:sz w:val="18"/>
          <w:szCs w:val="18"/>
          <w:color w:val="auto"/>
        </w:rPr>
        <w:t>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1" w:lineRule="exact"/>
        <w:rPr>
          <w:sz w:val="20"/>
          <w:szCs w:val="20"/>
          <w:color w:val="auto"/>
        </w:rPr>
      </w:pPr>
    </w:p>
    <w:p>
      <w:pPr>
        <w:ind w:right="140" w:firstLine="598"/>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1"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121"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 rest of world government regulation</w:t>
      </w:r>
    </w:p>
    <w:p>
      <w:pPr>
        <w:spacing w:after="0" w:line="121"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and other countries in the EU, for example, a clinical trial authorisation must be submitted to each country’s national health authority and an independent ethics committee, much like the FDA and IRB, respectively. Once the clinical trial authorisation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ind w:right="80" w:firstLine="598"/>
        <w:spacing w:after="0" w:line="255" w:lineRule="auto"/>
        <w:rPr>
          <w:sz w:val="20"/>
          <w:szCs w:val="20"/>
          <w:color w:val="auto"/>
        </w:rPr>
      </w:pPr>
      <w:r>
        <w:rPr>
          <w:rFonts w:ascii="Arial" w:cs="Arial" w:eastAsia="Arial" w:hAnsi="Arial"/>
          <w:sz w:val="18"/>
          <w:szCs w:val="18"/>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93" w:lineRule="exact"/>
        <w:rPr>
          <w:sz w:val="20"/>
          <w:szCs w:val="20"/>
          <w:color w:val="auto"/>
        </w:rPr>
      </w:pPr>
    </w:p>
    <w:p>
      <w:pPr>
        <w:ind w:right="80" w:firstLine="598"/>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00" w:firstLine="598"/>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ind w:right="240" w:firstLine="598"/>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CTN process broadly involves:</w:t>
      </w:r>
    </w:p>
    <w:p>
      <w:pPr>
        <w:spacing w:after="0" w:line="117"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completion of pre-clinical laboratory and animal testing;</w:t>
      </w:r>
    </w:p>
    <w:p>
      <w:pPr>
        <w:spacing w:after="0" w:line="117" w:lineRule="exact"/>
        <w:rPr>
          <w:rFonts w:ascii="Arial" w:cs="Arial" w:eastAsia="Arial" w:hAnsi="Arial"/>
          <w:sz w:val="18"/>
          <w:szCs w:val="18"/>
          <w:color w:val="231F20"/>
        </w:rPr>
      </w:pPr>
    </w:p>
    <w:p>
      <w:pPr>
        <w:ind w:left="1200" w:right="220" w:hanging="598"/>
        <w:spacing w:after="0" w:line="277" w:lineRule="auto"/>
        <w:tabs>
          <w:tab w:leader="none" w:pos="12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62" w:lineRule="exact"/>
        <w:rPr>
          <w:rFonts w:ascii="Arial" w:cs="Arial" w:eastAsia="Arial" w:hAnsi="Arial"/>
          <w:sz w:val="18"/>
          <w:szCs w:val="18"/>
          <w:color w:val="231F20"/>
        </w:rPr>
      </w:pPr>
    </w:p>
    <w:p>
      <w:pPr>
        <w:ind w:left="1200" w:right="120" w:hanging="598"/>
        <w:spacing w:after="0" w:line="277" w:lineRule="auto"/>
        <w:tabs>
          <w:tab w:leader="none" w:pos="12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62" w:lineRule="exact"/>
        <w:rPr>
          <w:rFonts w:ascii="Arial" w:cs="Arial" w:eastAsia="Arial" w:hAnsi="Arial"/>
          <w:sz w:val="18"/>
          <w:szCs w:val="18"/>
          <w:color w:val="231F20"/>
        </w:rPr>
      </w:pPr>
    </w:p>
    <w:p>
      <w:pPr>
        <w:ind w:left="1200" w:hanging="598"/>
        <w:spacing w:after="0"/>
        <w:tabs>
          <w:tab w:leader="none" w:pos="120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CTN trials cannot commence until the trial has been notified to the TGA.</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Under the CTX process:</w:t>
      </w:r>
    </w:p>
    <w:p>
      <w:pPr>
        <w:spacing w:after="0" w:line="117"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 sponsor submits an application to conduct a clinical trial to the TGA for evaluation and comment; and</w:t>
      </w:r>
    </w:p>
    <w:p>
      <w:pPr>
        <w:spacing w:after="0" w:line="117" w:lineRule="exact"/>
        <w:rPr>
          <w:rFonts w:ascii="Arial" w:cs="Arial" w:eastAsia="Arial" w:hAnsi="Arial"/>
          <w:sz w:val="18"/>
          <w:szCs w:val="18"/>
          <w:color w:val="231F20"/>
        </w:rPr>
      </w:pPr>
    </w:p>
    <w:p>
      <w:pPr>
        <w:ind w:left="1200" w:right="40" w:hanging="598"/>
        <w:spacing w:after="0" w:line="308" w:lineRule="auto"/>
        <w:tabs>
          <w:tab w:leader="none" w:pos="1200" w:val="left"/>
        </w:tabs>
        <w:numPr>
          <w:ilvl w:val="0"/>
          <w:numId w:val="17"/>
        </w:numPr>
        <w:rPr>
          <w:rFonts w:ascii="Arial" w:cs="Arial" w:eastAsia="Arial" w:hAnsi="Arial"/>
          <w:sz w:val="17"/>
          <w:szCs w:val="17"/>
          <w:color w:val="231F20"/>
        </w:rPr>
      </w:pPr>
      <w:r>
        <w:rPr>
          <w:rFonts w:ascii="Arial" w:cs="Arial" w:eastAsia="Arial" w:hAnsi="Arial"/>
          <w:sz w:val="17"/>
          <w:szCs w:val="17"/>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each case, it is required that:</w:t>
      </w:r>
    </w:p>
    <w:p>
      <w:pPr>
        <w:spacing w:after="0" w:line="117"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adequate and well-controlled clinical trials demonstrate the quality, safety and efficacy of the therapeutic product;</w:t>
      </w:r>
    </w:p>
    <w:p>
      <w:pPr>
        <w:spacing w:after="0" w:line="117" w:lineRule="exact"/>
        <w:rPr>
          <w:rFonts w:ascii="Arial" w:cs="Arial" w:eastAsia="Arial" w:hAnsi="Arial"/>
          <w:sz w:val="18"/>
          <w:szCs w:val="18"/>
          <w:color w:val="231F20"/>
        </w:rPr>
      </w:pPr>
    </w:p>
    <w:p>
      <w:pPr>
        <w:ind w:left="1200" w:hanging="598"/>
        <w:spacing w:after="0"/>
        <w:tabs>
          <w:tab w:leader="none" w:pos="1200" w:val="left"/>
        </w:tabs>
        <w:numPr>
          <w:ilvl w:val="0"/>
          <w:numId w:val="18"/>
        </w:numPr>
        <w:rPr>
          <w:rFonts w:ascii="Arial" w:cs="Arial" w:eastAsia="Arial" w:hAnsi="Arial"/>
          <w:sz w:val="17"/>
          <w:szCs w:val="17"/>
          <w:color w:val="231F20"/>
        </w:rPr>
      </w:pPr>
      <w:r>
        <w:rPr>
          <w:rFonts w:ascii="Arial" w:cs="Arial" w:eastAsia="Arial" w:hAnsi="Arial"/>
          <w:sz w:val="17"/>
          <w:szCs w:val="17"/>
          <w:color w:val="auto"/>
        </w:rPr>
        <w:t>evidence is compiled which demonstrates that the manufacture of the therapeutic drug product complies with the principles of cGMP;</w:t>
      </w:r>
    </w:p>
    <w:p>
      <w:pPr>
        <w:spacing w:after="0" w:line="128" w:lineRule="exact"/>
        <w:rPr>
          <w:rFonts w:ascii="Arial" w:cs="Arial" w:eastAsia="Arial" w:hAnsi="Arial"/>
          <w:sz w:val="17"/>
          <w:szCs w:val="17"/>
          <w:color w:val="231F20"/>
        </w:rPr>
      </w:pPr>
    </w:p>
    <w:p>
      <w:pPr>
        <w:ind w:left="1200" w:hanging="598"/>
        <w:spacing w:after="0" w:line="277" w:lineRule="auto"/>
        <w:tabs>
          <w:tab w:leader="none" w:pos="12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62" w:lineRule="exact"/>
        <w:rPr>
          <w:rFonts w:ascii="Arial" w:cs="Arial" w:eastAsia="Arial" w:hAnsi="Arial"/>
          <w:sz w:val="18"/>
          <w:szCs w:val="18"/>
          <w:color w:val="231F20"/>
        </w:rPr>
      </w:pPr>
    </w:p>
    <w:p>
      <w:pPr>
        <w:ind w:left="1200" w:hanging="598"/>
        <w:spacing w:after="0"/>
        <w:tabs>
          <w:tab w:leader="none" w:pos="120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36" w:name="page37"/>
    <w:bookmarkEnd w:id="36"/>
    <w:p>
      <w:pPr>
        <w:ind w:right="160" w:firstLine="598"/>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160" w:firstLine="598"/>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 human study under ICH guidelines are applicable in Australia. Requirements related to adverse event reporting in Australia are similar to those required in other major jurisdictions.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1"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As of December 31, 2016, we had 49 full-time employees. Of these employees, 41 were primarily engaged in research and development activities and 14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2016, 2015 and 2014 and our total assets as of December 31, 2016 and 2015, is included in our Consolidated Financial Statements in Item 8 of this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under the “Investors” tab as soon as reasonably practicable after we electronically file such material with, or furnish it to, the SEC. You may also read and copy, at SEC prescribed rates, any document we file with the SEC at the SEC’s Public Reference Room located at 100 F Street, N.E., Washington D.C. 20549. You can call the SEC at 1-800-SEC-0330 to obtain information on the operation of the Public Reference Room.</w:t>
      </w:r>
    </w:p>
    <w:p>
      <w:pPr>
        <w:spacing w:after="0" w:line="2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47"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and non-patent exclusivity for our product candidates and their components;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launching commercial sales of our product candidates, if and when approved, whether alone or in collaboration with third parties;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8" w:name="page39"/>
    <w:bookmarkEnd w:id="38"/>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2"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We currently have only limited data regarding the safety profile of our wholly-owned product candidates when dosed in humans. We have recently conducted our Phase 1 clinical trial for ANB020 in healthy humans, and have only recently initiated patient studies with ANB020, and have not yet initiated clinical studies with ANB019.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 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In the single-ascending dose segment of our Phase 1 clinical trial of ANB020, the most common adverse events were upper respiratory tract infection and headache, and we observed one case of severe neutropenia in one individual, which was acute and not persistent, and was considered not to be drug-related. All safety information generated under the single-ascending dose segment of our Phase 1 clinical trial was included in the US IND and UK CTA submissions which have been subsequent cleared. No adverse events were determined to be drug related. Subjects in our ongoing and planned clinical trials may in the future suffer significant adverse events or other side effects not observed in our preclinical studies or in our ongoing Phase 1 clinical trial.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right="420"/>
        <w:spacing w:after="0" w:line="279" w:lineRule="auto"/>
        <w:rPr>
          <w:sz w:val="20"/>
          <w:szCs w:val="20"/>
          <w:color w:val="auto"/>
        </w:rPr>
      </w:pPr>
      <w:r>
        <w:rPr>
          <w:rFonts w:ascii="Arial" w:cs="Arial" w:eastAsia="Arial" w:hAnsi="Arial"/>
          <w:sz w:val="17"/>
          <w:szCs w:val="17"/>
          <w:color w:val="auto"/>
        </w:rPr>
        <w:t>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1"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jc w:val="both"/>
        <w:ind w:right="200" w:firstLine="598"/>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ANB020 in the United States and United Kingdom, respectively, and a CTN for ANB019 in Australia,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73"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obtaining clearance for our CTA for a Phase 2a clinical trial of ANB020 in moderate-to-severe adult atopic dermatitis in the United Kingdom and obtaining clearance for our CTN for ANB019 in Australia, we have not yet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right="40"/>
        <w:spacing w:after="0" w:line="270" w:lineRule="auto"/>
        <w:rPr>
          <w:sz w:val="20"/>
          <w:szCs w:val="20"/>
          <w:color w:val="auto"/>
        </w:rPr>
      </w:pPr>
      <w:r>
        <w:rPr>
          <w:rFonts w:ascii="Arial" w:cs="Arial" w:eastAsia="Arial" w:hAnsi="Arial"/>
          <w:sz w:val="17"/>
          <w:szCs w:val="17"/>
          <w:color w:val="auto"/>
        </w:rPr>
        <w:t>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 In addition, with regard to ANB020, although we intend for our investigators for our Phase 2a study to enroll only patients with severe adult peanut allergy, the protocol does not preclude enrollment of patients with non-severe adult peanut allergy. It is possible that our investigator could enroll patients with non-severe peanut allergy, which could provide us with less information than anticipated with regard to ANB020’s effect on severe peanut allergy.</w:t>
      </w:r>
    </w:p>
    <w:p>
      <w:pPr>
        <w:spacing w:after="0" w:line="182"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Products, on average, take ten to 15 years to be developed from the time they are discovered to the time they are approved and available for treating patients. The start or end of a clinical trial is often delayed or halted for many reasons, including:</w:t>
      </w:r>
    </w:p>
    <w:p>
      <w:pPr>
        <w:spacing w:after="0" w:line="73" w:lineRule="exact"/>
        <w:rPr>
          <w:sz w:val="20"/>
          <w:szCs w:val="20"/>
          <w:color w:val="auto"/>
        </w:rPr>
      </w:pPr>
    </w:p>
    <w:p>
      <w:pPr>
        <w:ind w:left="1200" w:right="74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jc w:val="both"/>
        <w:ind w:left="1200" w:right="80" w:hanging="598"/>
        <w:spacing w:after="0" w:line="264"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left="1200" w:right="12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 including boxed warnings;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may not be successful in our efforts to use and expand our technology platform to build a pipeline of product candidates and develop marketable products.</w:t>
      </w:r>
    </w:p>
    <w:p>
      <w:pPr>
        <w:spacing w:after="0" w:line="58" w:lineRule="exact"/>
        <w:rPr>
          <w:sz w:val="20"/>
          <w:szCs w:val="20"/>
          <w:color w:val="auto"/>
        </w:rPr>
      </w:pPr>
    </w:p>
    <w:p>
      <w:pPr>
        <w:ind w:right="160" w:firstLine="598"/>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6"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58"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Our operations to date have been largely limited to financing and staffing our company, developing our technology and developing our two lead product candidates, ANB019 and ANB020, and other product candidates with and without our collaborators. As a company, we have only very limited experience conducting clinical trials and have not had previous experience commercializing product candidates, including submitting an IND or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ind w:right="520" w:firstLine="598"/>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3" w:lineRule="exact"/>
        <w:rPr>
          <w:sz w:val="20"/>
          <w:szCs w:val="20"/>
          <w:color w:val="auto"/>
        </w:rPr>
      </w:pPr>
    </w:p>
    <w:p>
      <w:pPr>
        <w:ind w:left="1200" w:right="48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200" w:right="14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200" w:right="50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1200" w:right="38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360" w:firstLine="598"/>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right="180" w:firstLine="598"/>
        <w:spacing w:after="0" w:line="291" w:lineRule="auto"/>
        <w:rPr>
          <w:sz w:val="20"/>
          <w:szCs w:val="20"/>
          <w:color w:val="auto"/>
        </w:rPr>
      </w:pPr>
      <w:r>
        <w:rPr>
          <w:rFonts w:ascii="Arial" w:cs="Arial" w:eastAsia="Arial" w:hAnsi="Arial"/>
          <w:sz w:val="16"/>
          <w:szCs w:val="16"/>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right="20"/>
        <w:spacing w:after="0" w:line="276" w:lineRule="auto"/>
        <w:rPr>
          <w:sz w:val="20"/>
          <w:szCs w:val="20"/>
          <w:color w:val="auto"/>
        </w:rPr>
      </w:pPr>
      <w:r>
        <w:rPr>
          <w:rFonts w:ascii="Arial" w:cs="Arial" w:eastAsia="Arial" w:hAnsi="Arial"/>
          <w:sz w:val="17"/>
          <w:szCs w:val="17"/>
          <w:color w:val="auto"/>
        </w:rPr>
        <w:t>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73" w:lineRule="exact"/>
        <w:rPr>
          <w:sz w:val="20"/>
          <w:szCs w:val="20"/>
          <w:color w:val="auto"/>
        </w:rPr>
      </w:pPr>
    </w:p>
    <w:p>
      <w:pPr>
        <w:ind w:right="20" w:firstLine="598"/>
        <w:spacing w:after="0" w:line="267"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Sanofi) and AMG 317 (Amgen) each in clinical testing, an ST2-binding antibody which Roche has in-licensed from Amgen (previously known as AMG 282) and plans to advance into Phase 2 clinical trials, and CNTO 7160, which is another ST2-binding antibody that GSK in-licensed from Janssen. Regeneron has recently announced an IL-33 related program (REGN 3500) in a Phase 1 clinical trial and is indicated for asthma and chronic obstructive pulmonary disease.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(Regeneron, Sanofi), which has recently been filed for approval by the FDA, crisaborole (Anacor, Pfizer), which has recently been filed for approval by the FDA, and VTP-38543 (Vitae), which is currently in a Phase 2 trial.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which binds IL-1 beta and BI-655130 (Boehringer Ingelheim).</w:t>
      </w:r>
    </w:p>
    <w:p>
      <w:pPr>
        <w:spacing w:after="0" w:line="193"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To date, only a handful of biosimilar products have been approved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jc w:val="both"/>
        <w:ind w:right="240" w:firstLine="598"/>
        <w:spacing w:after="0" w:line="312"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ind w:right="100"/>
        <w:spacing w:after="0" w:line="286" w:lineRule="auto"/>
        <w:rPr>
          <w:sz w:val="20"/>
          <w:szCs w:val="20"/>
          <w:color w:val="auto"/>
        </w:rPr>
      </w:pPr>
      <w:r>
        <w:rPr>
          <w:rFonts w:ascii="Arial" w:cs="Arial" w:eastAsia="Arial" w:hAnsi="Arial"/>
          <w:sz w:val="17"/>
          <w:szCs w:val="17"/>
          <w:color w:val="auto"/>
        </w:rPr>
        <w:t>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6"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healthcare payors and others in the medical community necessary for commercial success.</w:t>
      </w:r>
    </w:p>
    <w:p>
      <w:pPr>
        <w:spacing w:after="0" w:line="58"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73"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200" w:right="700" w:hanging="598"/>
        <w:spacing w:after="0" w:line="342" w:lineRule="auto"/>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right="20"/>
        <w:spacing w:after="0" w:line="273" w:lineRule="auto"/>
        <w:rPr>
          <w:sz w:val="20"/>
          <w:szCs w:val="20"/>
          <w:color w:val="auto"/>
        </w:rPr>
      </w:pPr>
      <w:r>
        <w:rPr>
          <w:rFonts w:ascii="Arial" w:cs="Arial" w:eastAsia="Arial" w:hAnsi="Arial"/>
          <w:sz w:val="17"/>
          <w:szCs w:val="17"/>
          <w:color w:val="auto"/>
        </w:rPr>
        <w:t>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7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1200" w:right="18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28" w:lineRule="exact"/>
        <w:rPr>
          <w:rFonts w:ascii="Arial" w:cs="Arial" w:eastAsia="Arial" w:hAnsi="Arial"/>
          <w:sz w:val="17"/>
          <w:szCs w:val="17"/>
          <w:color w:val="auto"/>
        </w:rPr>
      </w:pPr>
    </w:p>
    <w:p>
      <w:pPr>
        <w:ind w:left="1200" w:right="160" w:hanging="598"/>
        <w:spacing w:after="0" w:line="308" w:lineRule="auto"/>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cGMPs, the FDA may deny BLA approval until the deficiencies are corrected or we replace the manufacturer in our BLA with a manufacturer that is in compliance.</w:t>
      </w:r>
    </w:p>
    <w:p>
      <w:pPr>
        <w:spacing w:after="0" w:line="192"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6" w:name="page47"/>
    <w:bookmarkEnd w:id="46"/>
    <w:p>
      <w:pPr>
        <w:ind w:firstLine="598"/>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Since our inception, we have incurred significant operating losses in every year except fiscal year 2014. Our collaboration revenue was $15.8 million and our net income was $3.5 million for the year ended December 31, 2014 and our collaboration revenue was $17.6 million and our net loss was $(5.4) million for the year ended December 31, 2015. For the year ended December 31, 2016, our collaboration revenue was $16.7 million and our net loss was $(4.3) million. As of December 31, 2016, we had an accumulated deficit of $54.9 million.</w:t>
      </w:r>
    </w:p>
    <w:p>
      <w:pPr>
        <w:spacing w:after="0" w:line="18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have financed our operations primarily through private placements of our preferred stock, our initial public offering of common stock in January 2017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70" w:lineRule="exact"/>
        <w:rPr>
          <w:sz w:val="20"/>
          <w:szCs w:val="20"/>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1200" w:right="44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left="1200" w:hanging="598"/>
        <w:spacing w:after="0"/>
        <w:tabs>
          <w:tab w:leader="none" w:pos="1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w:t>
      </w:r>
    </w:p>
    <w:p>
      <w:pPr>
        <w:spacing w:after="0" w:line="140" w:lineRule="exact"/>
        <w:rPr>
          <w:rFonts w:ascii="Arial" w:cs="Arial" w:eastAsia="Arial" w:hAnsi="Arial"/>
          <w:sz w:val="16"/>
          <w:szCs w:val="16"/>
          <w:color w:val="auto"/>
        </w:rPr>
      </w:pPr>
    </w:p>
    <w:p>
      <w:pPr>
        <w:ind w:left="1200" w:hanging="598"/>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and cash equivalents and funding we expect to receive under existing collaboration agreements will fund our projected operating expenses and capital requirements through at least the next 24 months.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80"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39"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40" w:lineRule="exact"/>
        <w:rPr>
          <w:rFonts w:ascii="Arial" w:cs="Arial" w:eastAsia="Arial" w:hAnsi="Arial"/>
          <w:sz w:val="16"/>
          <w:szCs w:val="16"/>
          <w:color w:val="auto"/>
        </w:rPr>
      </w:pPr>
    </w:p>
    <w:p>
      <w:pPr>
        <w:ind w:left="1200" w:right="14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left="1200" w:right="46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0" w:lineRule="exact"/>
        <w:rPr>
          <w:sz w:val="20"/>
          <w:szCs w:val="20"/>
          <w:color w:val="auto"/>
        </w:rPr>
      </w:pPr>
    </w:p>
    <w:p>
      <w:pPr>
        <w:ind w:left="1200" w:right="62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and size of clinical trials needed to show safety, efficacy and an acceptable risk/benefit profile for any of our product candidates;</w:t>
      </w:r>
    </w:p>
    <w:p>
      <w:pPr>
        <w:spacing w:after="0" w:line="140" w:lineRule="exact"/>
        <w:rPr>
          <w:rFonts w:ascii="Arial" w:cs="Arial" w:eastAsia="Arial" w:hAnsi="Arial"/>
          <w:sz w:val="16"/>
          <w:szCs w:val="16"/>
          <w:color w:val="auto"/>
        </w:rPr>
      </w:pPr>
    </w:p>
    <w:p>
      <w:pPr>
        <w:ind w:left="1200" w:right="220" w:hanging="598"/>
        <w:spacing w:after="0" w:line="308" w:lineRule="auto"/>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ind w:left="1200" w:right="300" w:hanging="598"/>
        <w:spacing w:after="0" w:line="264"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17" w:lineRule="exact"/>
        <w:rPr>
          <w:rFonts w:ascii="Arial" w:cs="Arial" w:eastAsia="Arial" w:hAnsi="Arial"/>
          <w:sz w:val="18"/>
          <w:szCs w:val="18"/>
          <w:color w:val="auto"/>
        </w:rPr>
      </w:pPr>
    </w:p>
    <w:p>
      <w:pPr>
        <w:ind w:left="1200" w:right="66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ind w:right="120"/>
        <w:spacing w:after="0" w:line="277" w:lineRule="auto"/>
        <w:rPr>
          <w:sz w:val="20"/>
          <w:szCs w:val="20"/>
          <w:color w:val="auto"/>
        </w:rPr>
      </w:pPr>
      <w:r>
        <w:rPr>
          <w:rFonts w:ascii="Arial" w:cs="Arial" w:eastAsia="Arial" w:hAnsi="Arial"/>
          <w:sz w:val="18"/>
          <w:szCs w:val="18"/>
          <w:color w:val="auto"/>
        </w:rPr>
        <w:t>not favorable to us. In addition, we may seek additional capital due to favorable market conditions or strategic considerations even if we believe we have sufficient funds for our current or future operating plans.</w:t>
      </w:r>
    </w:p>
    <w:p>
      <w:pPr>
        <w:spacing w:after="0" w:line="275"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40" w:firstLine="598"/>
        <w:spacing w:after="0" w:line="290"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have worked together for only a relatively short period of time and it may be difficult to evaluate their effectiveness, on an individual or collective basis, and ability to address future challenges to our business.</w:t>
      </w:r>
    </w:p>
    <w:p>
      <w:pPr>
        <w:spacing w:after="0" w:line="166"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5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right="400"/>
        <w:spacing w:after="0" w:line="264" w:lineRule="auto"/>
        <w:rPr>
          <w:sz w:val="20"/>
          <w:szCs w:val="20"/>
          <w:color w:val="auto"/>
        </w:rPr>
      </w:pPr>
      <w:r>
        <w:rPr>
          <w:rFonts w:ascii="Arial" w:cs="Arial" w:eastAsia="Arial" w:hAnsi="Arial"/>
          <w:sz w:val="18"/>
          <w:szCs w:val="18"/>
          <w:color w:val="auto"/>
        </w:rPr>
        <w:t>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72" w:lineRule="exact"/>
        <w:rPr>
          <w:sz w:val="20"/>
          <w:szCs w:val="20"/>
          <w:color w:val="auto"/>
        </w:rPr>
      </w:pPr>
    </w:p>
    <w:p>
      <w:pPr>
        <w:ind w:right="200" w:firstLine="598"/>
        <w:spacing w:after="0" w:line="297" w:lineRule="auto"/>
        <w:rPr>
          <w:sz w:val="20"/>
          <w:szCs w:val="20"/>
          <w:color w:val="auto"/>
        </w:rPr>
      </w:pPr>
      <w:r>
        <w:rPr>
          <w:rFonts w:ascii="Arial" w:cs="Arial" w:eastAsia="Arial" w:hAnsi="Arial"/>
          <w:sz w:val="16"/>
          <w:szCs w:val="16"/>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58"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45.0%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1"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1" w:lineRule="exact"/>
        <w:rPr>
          <w:sz w:val="20"/>
          <w:szCs w:val="20"/>
          <w:color w:val="auto"/>
        </w:rPr>
      </w:pPr>
    </w:p>
    <w:p>
      <w:pPr>
        <w:ind w:right="200" w:firstLine="598"/>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40" w:firstLine="598"/>
        <w:spacing w:after="0" w:line="254" w:lineRule="auto"/>
        <w:rPr>
          <w:sz w:val="20"/>
          <w:szCs w:val="20"/>
          <w:color w:val="auto"/>
        </w:rPr>
      </w:pPr>
      <w:r>
        <w:rPr>
          <w:rFonts w:ascii="Arial" w:cs="Arial" w:eastAsia="Arial" w:hAnsi="Arial"/>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1" w:name="page52"/>
    <w:bookmarkEnd w:id="51"/>
    <w:p>
      <w:pPr>
        <w:ind w:right="40"/>
        <w:spacing w:after="0" w:line="257" w:lineRule="auto"/>
        <w:rPr>
          <w:sz w:val="20"/>
          <w:szCs w:val="20"/>
          <w:color w:val="auto"/>
        </w:rPr>
      </w:pPr>
      <w:r>
        <w:rPr>
          <w:rFonts w:ascii="Arial" w:cs="Arial" w:eastAsia="Arial" w:hAnsi="Arial"/>
          <w:sz w:val="18"/>
          <w:szCs w:val="18"/>
          <w:color w:val="auto"/>
        </w:rPr>
        <w:t>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operations are vulnerable to interruption by fire, earthquake, power loss, telecommunications failure, terrorist activity and other events beyond our control, which could harm our business.</w:t>
      </w:r>
    </w:p>
    <w:p>
      <w:pPr>
        <w:spacing w:after="0" w:line="58" w:lineRule="exact"/>
        <w:rPr>
          <w:sz w:val="20"/>
          <w:szCs w:val="20"/>
          <w:color w:val="auto"/>
        </w:rPr>
      </w:pPr>
    </w:p>
    <w:p>
      <w:pPr>
        <w:ind w:right="200" w:firstLine="598"/>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180" w:firstLine="598"/>
        <w:spacing w:after="0" w:line="254" w:lineRule="auto"/>
        <w:rPr>
          <w:sz w:val="20"/>
          <w:szCs w:val="20"/>
          <w:color w:val="auto"/>
        </w:rPr>
      </w:pPr>
      <w:r>
        <w:rPr>
          <w:rFonts w:ascii="Arial" w:cs="Arial" w:eastAsia="Arial" w:hAnsi="Arial"/>
          <w:sz w:val="18"/>
          <w:szCs w:val="18"/>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92" w:lineRule="exact"/>
        <w:rPr>
          <w:sz w:val="20"/>
          <w:szCs w:val="20"/>
          <w:color w:val="auto"/>
        </w:rPr>
      </w:pPr>
    </w:p>
    <w:p>
      <w:pPr>
        <w:jc w:val="both"/>
        <w:ind w:right="160" w:firstLine="598"/>
        <w:spacing w:after="0" w:line="312" w:lineRule="auto"/>
        <w:rPr>
          <w:sz w:val="20"/>
          <w:szCs w:val="20"/>
          <w:color w:val="auto"/>
        </w:rPr>
      </w:pPr>
      <w:r>
        <w:rPr>
          <w:rFonts w:ascii="Arial" w:cs="Arial" w:eastAsia="Arial" w:hAnsi="Arial"/>
          <w:sz w:val="16"/>
          <w:szCs w:val="16"/>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ind w:right="20"/>
        <w:spacing w:after="0" w:line="273" w:lineRule="auto"/>
        <w:rPr>
          <w:sz w:val="20"/>
          <w:szCs w:val="20"/>
          <w:color w:val="auto"/>
        </w:rPr>
      </w:pPr>
      <w:r>
        <w:rPr>
          <w:rFonts w:ascii="Arial" w:cs="Arial" w:eastAsia="Arial" w:hAnsi="Arial"/>
          <w:sz w:val="17"/>
          <w:szCs w:val="17"/>
          <w:color w:val="auto"/>
        </w:rPr>
        <w:t>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8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8"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32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firstLine="598"/>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64" w:lineRule="exact"/>
        <w:rPr>
          <w:sz w:val="20"/>
          <w:szCs w:val="20"/>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40"/>
        <w:spacing w:after="0" w:line="312" w:lineRule="auto"/>
        <w:rPr>
          <w:sz w:val="20"/>
          <w:szCs w:val="20"/>
          <w:color w:val="auto"/>
        </w:rPr>
      </w:pPr>
      <w:r>
        <w:rPr>
          <w:rFonts w:ascii="Arial" w:cs="Arial" w:eastAsia="Arial" w:hAnsi="Arial"/>
          <w:sz w:val="16"/>
          <w:szCs w:val="16"/>
          <w:color w:val="auto"/>
        </w:rPr>
        <w:t>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4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5"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have conducted,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72"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We have conducted our initial clinical trial for ANB020 in Australia and plan to conduct our initial clinical trial for ANB019 in Australia. We believe that clinical data generated in Australia will be accepted by the FDA and its foreign equivalents outside of Australia, and therefore may enable us to commence Phase 2 and possibly registration clinical trials in the United States or the United Kingdom following submission of an IND or CTA, without the need for us to repeat our Phase 1 trials in the United States or the United Kingdom. While we have received clearance from the FDA and MHRA to begin Phase 2 clinical trials for ANB020, there can be no assurance the FDA, MHRA or other foreign equivalents will accept data from the clinical trials we plan to conduct in Australia for ANB019.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20" w:firstLine="598"/>
        <w:spacing w:after="0" w:line="273"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17" w:lineRule="exact"/>
        <w:rPr>
          <w:sz w:val="20"/>
          <w:szCs w:val="20"/>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jc w:val="both"/>
        <w:ind w:right="160" w:firstLine="598"/>
        <w:spacing w:after="0" w:line="279"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76"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34"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9"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firstLine="598"/>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00" w:firstLine="598"/>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7" w:name="page58"/>
    <w:bookmarkEnd w:id="57"/>
    <w:p>
      <w:pPr>
        <w:ind w:right="340"/>
        <w:spacing w:after="0" w:line="259" w:lineRule="auto"/>
        <w:rPr>
          <w:sz w:val="20"/>
          <w:szCs w:val="20"/>
          <w:color w:val="auto"/>
        </w:rPr>
      </w:pPr>
      <w:r>
        <w:rPr>
          <w:rFonts w:ascii="Arial" w:cs="Arial" w:eastAsia="Arial" w:hAnsi="Arial"/>
          <w:sz w:val="18"/>
          <w:szCs w:val="18"/>
          <w:color w:val="auto"/>
        </w:rPr>
        <w:t>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58"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For example, in March 2010, former President Barack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left="60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1200" w:hanging="598"/>
        <w:spacing w:after="0"/>
        <w:tabs>
          <w:tab w:leader="none" w:pos="12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200" w:right="380" w:hanging="598"/>
        <w:spacing w:after="0" w:line="264"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73" w:lineRule="exact"/>
        <w:rPr>
          <w:rFonts w:ascii="Arial" w:cs="Arial" w:eastAsia="Arial" w:hAnsi="Arial"/>
          <w:sz w:val="18"/>
          <w:szCs w:val="18"/>
          <w:color w:val="auto"/>
        </w:rPr>
      </w:pPr>
    </w:p>
    <w:p>
      <w:pPr>
        <w:ind w:left="1200" w:right="140" w:hanging="598"/>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200" w:right="400" w:hanging="598"/>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physicians; and</w:t>
      </w:r>
    </w:p>
    <w:p>
      <w:pPr>
        <w:spacing w:after="0" w:line="140" w:lineRule="exact"/>
        <w:rPr>
          <w:rFonts w:ascii="Arial" w:cs="Arial" w:eastAsia="Arial" w:hAnsi="Arial"/>
          <w:sz w:val="16"/>
          <w:szCs w:val="16"/>
          <w:color w:val="auto"/>
        </w:rPr>
      </w:pPr>
    </w:p>
    <w:p>
      <w:pPr>
        <w:ind w:left="1200" w:right="640" w:hanging="598"/>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More recently, President Trump has signed an executive order and made statements that suggest he plans to seek repeal of all or portions of the ACA, and has stated that he will ask Congress to replace the current legislation with new legislation. There is uncertainty with respect to the impact President Trump’s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ind w:firstLine="598"/>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6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46" w:lineRule="exact"/>
        <w:rPr>
          <w:sz w:val="20"/>
          <w:szCs w:val="20"/>
          <w:color w:val="auto"/>
        </w:rPr>
      </w:pPr>
    </w:p>
    <w:p>
      <w:pPr>
        <w:ind w:left="1200" w:right="60" w:hanging="598"/>
        <w:spacing w:after="0" w:line="259"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1200" w:hanging="598"/>
        <w:spacing w:after="0" w:line="259"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200" w:right="380" w:hanging="598"/>
        <w:spacing w:after="0" w:line="264"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73" w:lineRule="exact"/>
        <w:rPr>
          <w:rFonts w:ascii="Arial" w:cs="Arial" w:eastAsia="Arial" w:hAnsi="Arial"/>
          <w:sz w:val="18"/>
          <w:szCs w:val="18"/>
          <w:color w:val="auto"/>
        </w:rPr>
      </w:pPr>
    </w:p>
    <w:p>
      <w:pPr>
        <w:ind w:left="1200" w:right="360" w:hanging="598"/>
        <w:spacing w:after="0" w:line="264"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200" w:right="80" w:hanging="598"/>
        <w:spacing w:after="0" w:line="297" w:lineRule="auto"/>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50" w:lineRule="exact"/>
        <w:rPr>
          <w:rFonts w:ascii="Arial" w:cs="Arial" w:eastAsia="Arial" w:hAnsi="Arial"/>
          <w:sz w:val="16"/>
          <w:szCs w:val="16"/>
          <w:color w:val="auto"/>
        </w:rPr>
      </w:pPr>
    </w:p>
    <w:p>
      <w:pPr>
        <w:ind w:left="1200" w:right="540" w:hanging="598"/>
        <w:spacing w:after="0" w:line="264"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81" w:lineRule="exact"/>
        <w:rPr>
          <w:sz w:val="20"/>
          <w:szCs w:val="20"/>
          <w:color w:val="auto"/>
        </w:rPr>
      </w:pPr>
    </w:p>
    <w:p>
      <w:pPr>
        <w:ind w:right="380" w:firstLine="598"/>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1" w:name="page62"/>
    <w:bookmarkEnd w:id="61"/>
    <w:p>
      <w:pPr>
        <w:ind w:right="80"/>
        <w:spacing w:after="0" w:line="276" w:lineRule="auto"/>
        <w:rPr>
          <w:sz w:val="20"/>
          <w:szCs w:val="20"/>
          <w:color w:val="auto"/>
        </w:rPr>
      </w:pPr>
      <w:r>
        <w:rPr>
          <w:rFonts w:ascii="Arial" w:cs="Arial" w:eastAsia="Arial" w:hAnsi="Arial"/>
          <w:sz w:val="17"/>
          <w:szCs w:val="17"/>
          <w:color w:val="auto"/>
        </w:rPr>
        <w:t>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75" w:lineRule="exact"/>
        <w:rPr>
          <w:sz w:val="20"/>
          <w:szCs w:val="20"/>
          <w:color w:val="auto"/>
        </w:rPr>
      </w:pPr>
    </w:p>
    <w:p>
      <w:pPr>
        <w:jc w:val="both"/>
        <w:ind w:right="120" w:firstLine="598"/>
        <w:spacing w:after="0" w:line="259" w:lineRule="auto"/>
        <w:rPr>
          <w:sz w:val="20"/>
          <w:szCs w:val="20"/>
          <w:color w:val="auto"/>
        </w:rPr>
      </w:pPr>
      <w:r>
        <w:rPr>
          <w:rFonts w:ascii="Arial" w:cs="Arial" w:eastAsia="Arial" w:hAnsi="Arial"/>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2" w:name="page63"/>
    <w:bookmarkEnd w:id="62"/>
    <w:p>
      <w:pPr>
        <w:ind w:right="100"/>
        <w:spacing w:after="0" w:line="255" w:lineRule="auto"/>
        <w:rPr>
          <w:sz w:val="20"/>
          <w:szCs w:val="20"/>
          <w:color w:val="auto"/>
        </w:rPr>
      </w:pPr>
      <w:r>
        <w:rPr>
          <w:rFonts w:ascii="Arial" w:cs="Arial" w:eastAsia="Arial" w:hAnsi="Arial"/>
          <w:sz w:val="18"/>
          <w:szCs w:val="18"/>
          <w:color w:val="auto"/>
        </w:rPr>
        <w:t>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8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260" w:firstLine="598"/>
        <w:spacing w:after="0" w:line="276"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100"/>
        <w:spacing w:after="0" w:line="276" w:lineRule="auto"/>
        <w:rPr>
          <w:sz w:val="20"/>
          <w:szCs w:val="20"/>
          <w:color w:val="auto"/>
        </w:rPr>
      </w:pPr>
      <w:r>
        <w:rPr>
          <w:rFonts w:ascii="Arial" w:cs="Arial" w:eastAsia="Arial" w:hAnsi="Arial"/>
          <w:sz w:val="17"/>
          <w:szCs w:val="17"/>
          <w:color w:val="auto"/>
        </w:rPr>
        <w:t>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3" w:lineRule="exact"/>
        <w:rPr>
          <w:sz w:val="20"/>
          <w:szCs w:val="20"/>
          <w:color w:val="auto"/>
        </w:rPr>
      </w:pPr>
    </w:p>
    <w:p>
      <w:pPr>
        <w:ind w:right="160" w:firstLine="598"/>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The USPTO recently developed new regulations and procedures to govern administration of the Leahy-Smith Act, and many of the substantive changes to patent law associated with the Leahy-Smith Act, and, in particular,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spacing w:after="0" w:line="287" w:lineRule="auto"/>
        <w:rPr>
          <w:sz w:val="20"/>
          <w:szCs w:val="20"/>
          <w:color w:val="auto"/>
        </w:rPr>
      </w:pPr>
      <w:r>
        <w:rPr>
          <w:rFonts w:ascii="Arial" w:cs="Arial" w:eastAsia="Arial" w:hAnsi="Arial"/>
          <w:sz w:val="16"/>
          <w:szCs w:val="16"/>
          <w:color w:val="auto"/>
        </w:rPr>
        <w:t>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77"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5" w:name="page66"/>
    <w:bookmarkEnd w:id="65"/>
    <w:p>
      <w:pPr>
        <w:spacing w:after="0" w:line="264" w:lineRule="auto"/>
        <w:rPr>
          <w:sz w:val="20"/>
          <w:szCs w:val="20"/>
          <w:color w:val="auto"/>
        </w:rPr>
      </w:pPr>
      <w:r>
        <w:rPr>
          <w:rFonts w:ascii="Arial" w:cs="Arial" w:eastAsia="Arial" w:hAnsi="Arial"/>
          <w:sz w:val="18"/>
          <w:szCs w:val="18"/>
          <w:color w:val="auto"/>
        </w:rPr>
        <w:t>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6" w:name="page67"/>
    <w:bookmarkEnd w:id="66"/>
    <w:p>
      <w:pPr>
        <w:ind w:right="14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200" w:right="800" w:hanging="598"/>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3" w:lineRule="exact"/>
        <w:rPr>
          <w:sz w:val="20"/>
          <w:szCs w:val="20"/>
          <w:color w:val="auto"/>
        </w:rPr>
      </w:pPr>
    </w:p>
    <w:p>
      <w:pPr>
        <w:jc w:val="both"/>
        <w:ind w:right="360" w:firstLine="598"/>
        <w:spacing w:after="0" w:line="312"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7" w:name="page68"/>
    <w:bookmarkEnd w:id="67"/>
    <w:p>
      <w:pPr>
        <w:ind w:right="60"/>
        <w:spacing w:after="0" w:line="273" w:lineRule="auto"/>
        <w:rPr>
          <w:sz w:val="20"/>
          <w:szCs w:val="20"/>
          <w:color w:val="auto"/>
        </w:rPr>
      </w:pPr>
      <w:r>
        <w:rPr>
          <w:rFonts w:ascii="Arial" w:cs="Arial" w:eastAsia="Arial" w:hAnsi="Arial"/>
          <w:sz w:val="17"/>
          <w:szCs w:val="17"/>
          <w:color w:val="auto"/>
        </w:rPr>
        <w:t>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spacing w:after="0" w:line="308" w:lineRule="auto"/>
        <w:rPr>
          <w:sz w:val="20"/>
          <w:szCs w:val="20"/>
          <w:color w:val="auto"/>
        </w:rPr>
      </w:pPr>
      <w:r>
        <w:rPr>
          <w:rFonts w:ascii="Arial" w:cs="Arial" w:eastAsia="Arial" w:hAnsi="Arial"/>
          <w:sz w:val="17"/>
          <w:szCs w:val="17"/>
          <w:color w:val="auto"/>
        </w:rPr>
        <w:t>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380" w:firstLine="598"/>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200" w:right="660" w:hanging="598"/>
        <w:spacing w:after="0" w:line="277"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We have broad discretion in the use of the net proceeds from our initial public offering and may not use them effectively.</w:t>
      </w:r>
    </w:p>
    <w:p>
      <w:pPr>
        <w:spacing w:after="0" w:line="121"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initial public offering, and you will be relying on the judgment of our management regarding the application of these proceeds. Our management might not apply the net proceeds from our initial public offering in ways that ultimately increase the value of your investment. If we do not invest or apply the net proceeds from our initial public offering in ways that enhance stockholder value, we may fail to achieve expected financial results, which could cause our stock price to decline.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common stock less attractive to investors.</w:t>
      </w:r>
    </w:p>
    <w:p>
      <w:pPr>
        <w:spacing w:after="0" w:line="58"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87"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0" w:name="page71"/>
    <w:bookmarkEnd w:id="70"/>
    <w:p>
      <w:pPr>
        <w:ind w:right="180"/>
        <w:spacing w:after="0" w:line="286" w:lineRule="auto"/>
        <w:rPr>
          <w:sz w:val="20"/>
          <w:szCs w:val="20"/>
          <w:color w:val="auto"/>
        </w:rPr>
      </w:pPr>
      <w:r>
        <w:rPr>
          <w:rFonts w:ascii="Arial" w:cs="Arial" w:eastAsia="Arial" w:hAnsi="Arial"/>
          <w:sz w:val="17"/>
          <w:szCs w:val="17"/>
          <w:color w:val="auto"/>
        </w:rPr>
        <w:t>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6"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In addition, as a public company we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 substantial number of shares of our common stock in the public market could cause our stock price to fall.</w:t>
      </w:r>
    </w:p>
    <w:p>
      <w:pPr>
        <w:spacing w:after="0" w:line="12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Of the 20,173,740 shares of our common stock outstanding as of February 28, 2017, 14,423,740 shares are currently subject to restrictions on transfer under 180-day lock-up arrangements with either the underwriters for our initial public offering or under agreements entered into between us and the holders of those shares. These restrictions are due to expire July 24, 2017, resulting in these shares becoming eligible for public sale on July 25, 2017 if they are registered under the Securities Act of 1933, as amended, which we refer to as the Securities Act, or if they qualify for an exemption from registration under the Securities Act, including under Rules 144 or 701. Moreover, holders of an aggregate of 14,631,100 shares of our common stock and shares underlying certain warrants will have rights, subject to certain conditions, to require us to file registration statements covering their shares or to include their shares in registration statements that we may file for ourselves or other stockholders.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and the lock-up agreements described above. If any of these additional shares are sold, or if it is perceived that they will be sold, in the public market, the market price of our common stock could decline.</w:t>
      </w:r>
    </w:p>
    <w:p>
      <w:pPr>
        <w:spacing w:after="0" w:line="28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jc w:val="both"/>
        <w:ind w:right="360" w:firstLine="598"/>
        <w:spacing w:after="0" w:line="312" w:lineRule="auto"/>
        <w:rPr>
          <w:sz w:val="20"/>
          <w:szCs w:val="20"/>
          <w:color w:val="auto"/>
        </w:rPr>
      </w:pPr>
      <w:r>
        <w:rPr>
          <w:rFonts w:ascii="Arial" w:cs="Arial" w:eastAsia="Arial" w:hAnsi="Arial"/>
          <w:sz w:val="16"/>
          <w:szCs w:val="16"/>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1" w:name="page72"/>
    <w:bookmarkEnd w:id="71"/>
    <w:p>
      <w:pPr>
        <w:ind w:right="480"/>
        <w:spacing w:after="0" w:line="277" w:lineRule="auto"/>
        <w:rPr>
          <w:sz w:val="20"/>
          <w:szCs w:val="20"/>
          <w:color w:val="auto"/>
        </w:rPr>
      </w:pPr>
      <w:r>
        <w:rPr>
          <w:rFonts w:ascii="Arial" w:cs="Arial" w:eastAsia="Arial" w:hAnsi="Arial"/>
          <w:sz w:val="18"/>
          <w:szCs w:val="18"/>
          <w:color w:val="auto"/>
        </w:rPr>
        <w:t>controls and procedures or internal controls and procedures, no matter how well-conceived and operated, can provide only reasonable, not absolute, assurance that the objectives of the control system are met.</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3" w:lineRule="exact"/>
        <w:rPr>
          <w:sz w:val="20"/>
          <w:szCs w:val="20"/>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1200" w:right="820" w:hanging="598"/>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firstLine="598"/>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2" w:name="page73"/>
    <w:bookmarkEnd w:id="72"/>
    <w:p>
      <w:pPr>
        <w:ind w:right="60"/>
        <w:spacing w:after="0" w:line="342" w:lineRule="auto"/>
        <w:rPr>
          <w:sz w:val="20"/>
          <w:szCs w:val="20"/>
          <w:color w:val="auto"/>
        </w:rPr>
      </w:pPr>
      <w:r>
        <w:rPr>
          <w:rFonts w:ascii="Arial" w:cs="Arial" w:eastAsia="Arial" w:hAnsi="Arial"/>
          <w:sz w:val="16"/>
          <w:szCs w:val="16"/>
          <w:color w:val="auto"/>
        </w:rPr>
        <w:t>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2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In October 2016, we extended the analysis period of the study through December 31, 2015, noting no ownership changes during fiscal 2015.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28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right="120" w:firstLine="598"/>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3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firstLine="598"/>
        <w:spacing w:after="0" w:line="264" w:lineRule="auto"/>
        <w:rPr>
          <w:sz w:val="20"/>
          <w:szCs w:val="20"/>
          <w:color w:val="auto"/>
        </w:rPr>
      </w:pPr>
      <w:r>
        <w:rPr>
          <w:rFonts w:ascii="Arial" w:cs="Arial" w:eastAsia="Arial" w:hAnsi="Arial"/>
          <w:sz w:val="18"/>
          <w:szCs w:val="18"/>
          <w:color w:val="auto"/>
        </w:rPr>
        <w:t>Our common stock has been listed on the NASDAQ Global Select market under the symbol “ANAB” since January 26, 2017. Prior to that date, there was no public trading market for our common stock. As a result, we have not set forth quarterly information with respect to the high and low sale prices for our common stock for the two most recent fiscal years.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As of February 28, 2017, we had approximately 84 holders of record of our common stock. This number does not include beneficial owners whose shares were held in street name.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320" w:firstLine="598"/>
        <w:spacing w:after="0" w:line="297" w:lineRule="auto"/>
        <w:rPr>
          <w:sz w:val="20"/>
          <w:szCs w:val="20"/>
          <w:color w:val="auto"/>
        </w:rPr>
      </w:pPr>
      <w:r>
        <w:rPr>
          <w:rFonts w:ascii="Arial" w:cs="Arial" w:eastAsia="Arial" w:hAnsi="Arial"/>
          <w:sz w:val="16"/>
          <w:szCs w:val="16"/>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21"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From January 1, 2016 through December 31, 2016, we sold and issued the following unregistered securities, which share numbers have been adjusted, as appropriate, to reflect the 7-to-1 reverse stock split which became effective on January 13, 2017:</w:t>
      </w:r>
    </w:p>
    <w:p>
      <w:pPr>
        <w:spacing w:after="0" w:line="62" w:lineRule="exact"/>
        <w:rPr>
          <w:sz w:val="20"/>
          <w:szCs w:val="20"/>
          <w:color w:val="auto"/>
        </w:rPr>
      </w:pPr>
    </w:p>
    <w:p>
      <w:pPr>
        <w:ind w:left="1200" w:right="320" w:hanging="598"/>
        <w:spacing w:after="0" w:line="259"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granted options to our officers and employees to purchase 330,622 shares of common stock under our Amended and Restated 2006 Equity Incentive Plan with per share exercise prices ranging from $5.95 to $11.20. In the same year, we issued 23,199 shares of common stock to our employees upon exercise of options at prices ranging from $0.91 to $6.93 for an aggregate purchase price of less than $0.1 million.</w:t>
      </w:r>
    </w:p>
    <w:p>
      <w:pPr>
        <w:spacing w:after="0" w:line="78"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December 2016, the Registrant issued warrants to accredited investors to purchase an aggregate of 82,416 shares of the Registrant’s Series C convertible preferred stock. The preferred stock warrants have a per share exercise price of $4.55.</w:t>
      </w:r>
    </w:p>
    <w:p>
      <w:pPr>
        <w:spacing w:after="0" w:line="170"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offers, sales and issuances of the securities described in paragraph (1) above were deemed to be exempt from registration under the Securities Act under Rule 701 promulgated under the Securities Act as offers and sale of securities pursuant to certain compensatory benefit plans and contracts relating to compensation in compliance with Rule 701.</w:t>
      </w:r>
    </w:p>
    <w:p>
      <w:pPr>
        <w:spacing w:after="0" w:line="181" w:lineRule="exact"/>
        <w:rPr>
          <w:sz w:val="20"/>
          <w:szCs w:val="20"/>
          <w:color w:val="auto"/>
        </w:rPr>
      </w:pPr>
    </w:p>
    <w:p>
      <w:pPr>
        <w:jc w:val="both"/>
        <w:ind w:right="220" w:firstLine="598"/>
        <w:spacing w:after="0" w:line="288" w:lineRule="auto"/>
        <w:rPr>
          <w:sz w:val="20"/>
          <w:szCs w:val="20"/>
          <w:color w:val="auto"/>
        </w:rPr>
      </w:pPr>
      <w:r>
        <w:rPr>
          <w:rFonts w:ascii="Arial" w:cs="Arial" w:eastAsia="Arial" w:hAnsi="Arial"/>
          <w:sz w:val="16"/>
          <w:szCs w:val="16"/>
          <w:color w:val="auto"/>
        </w:rPr>
        <w:t>The offers, sales, and issuances of the securities described in paragraph (2) above were deemed to be exempt from registration under the Securities Act in reliance on Section 4(a)(2) of the Securities. The recipients of securities in each of these transactions acquired the securities for investment only and not with a view to or for sale in connection with any distribution thereof and appropriate legends were affixed to the securities issued in these transactions.</w:t>
      </w:r>
    </w:p>
    <w:p>
      <w:pPr>
        <w:ind w:right="60"/>
        <w:spacing w:after="0" w:line="261" w:lineRule="auto"/>
        <w:rPr>
          <w:sz w:val="20"/>
          <w:szCs w:val="20"/>
          <w:color w:val="auto"/>
        </w:rPr>
      </w:pPr>
      <w:r>
        <w:rPr>
          <w:rFonts w:ascii="Arial" w:cs="Arial" w:eastAsia="Arial" w:hAnsi="Arial"/>
          <w:sz w:val="18"/>
          <w:szCs w:val="18"/>
          <w:color w:val="auto"/>
        </w:rPr>
        <w:t>Each of the recipients of securities in these transactions was an accredited or sophisticated person and had adequate access, through employment, business or other relationships, to information about us.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On January 25, 2017, our Registration Statement on Form S-1 (File No. 333-206849) relating to the IPO of our common stock was declared effective by the SEC. Pursuant to such Registration Statement, we sold an aggregate of 5,750,000 shares of our common stock at a price of $15.00 per share Credit Suisse Securities (USA) LLC, Stifel, Nicolaus &amp; Company, Incorporated, JMP Securities LLC and Wedbush Securities Inc. acted as underwriters. On January 31, 2017, we closed the sale of such shares, resulting in aggregate cash proceeds to us of approximately $80.2 million, net of underwriting discounts and commissions.</w:t>
      </w:r>
    </w:p>
    <w:p>
      <w:pPr>
        <w:spacing w:after="0" w:line="188"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Because the closing of our IPO occurred on January 31, 2017, as of December 31, 2016, we had not yet received the net proceeds from the sale of shares of common stock in our IPO and, therefore, had used none of the proceeds as of December 31, 2016. There has been no material change in the expected use of the net proceeds from our IPO, as described in our final prospectus filed with the SEC on January 26, 2017 pursuant to Rule 424(b) under the Securities Act of 1933,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21" w:lineRule="exact"/>
        <w:rPr>
          <w:sz w:val="20"/>
          <w:szCs w:val="20"/>
          <w:color w:val="auto"/>
        </w:rPr>
      </w:pPr>
    </w:p>
    <w:p>
      <w:pPr>
        <w:jc w:val="both"/>
        <w:ind w:right="360" w:firstLine="598"/>
        <w:spacing w:after="0" w:line="264" w:lineRule="auto"/>
        <w:rPr>
          <w:sz w:val="20"/>
          <w:szCs w:val="20"/>
          <w:color w:val="auto"/>
        </w:rPr>
      </w:pPr>
      <w:r>
        <w:rPr>
          <w:rFonts w:ascii="Arial" w:cs="Arial" w:eastAsia="Arial" w:hAnsi="Arial"/>
          <w:sz w:val="18"/>
          <w:szCs w:val="18"/>
          <w:color w:val="auto"/>
        </w:rPr>
        <w:t>We have derived the following selected consolidated statement of operations data for the years ended December 31, 2016, 2015 and 2014 and the selected consolidated balance sheet data as of December 31, 2016 and 2015 from our audited consolidated financial statements included elsewhere in this report.</w:t>
      </w:r>
    </w:p>
    <w:p>
      <w:pPr>
        <w:spacing w:after="0" w:line="18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You should read the selected consolidated financial data below in conjunction with “Part II, Item 7. “Management’s Discussion and Analysis of Financial Condition and Results of Operations” and our consolidated financial statements and the related notes included in this Annual Report on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Borders>
              <w:bottom w:val="single" w:sz="8" w:color="CFF0FC"/>
            </w:tcBorders>
            <w:vMerge w:val="continue"/>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9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16,684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7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(3,025)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(3,322)</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78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(4,259)</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(5,405)</w:t>
            </w: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Net income (loss) attributed to common stockholders</w:t>
            </w:r>
          </w:p>
        </w:tc>
        <w:tc>
          <w:tcPr>
            <w:tcW w:w="27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(4,259)</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(5,405)</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common share: Basic and diluted</w:t>
            </w:r>
          </w:p>
        </w:tc>
        <w:tc>
          <w:tcPr>
            <w:tcW w:w="278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(2.12)</w:t>
            </w: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1960" w:type="dxa"/>
            <w:vAlign w:val="bottom"/>
          </w:tcPr>
          <w:p>
            <w:pPr>
              <w:jc w:val="right"/>
              <w:ind w:right="890"/>
              <w:spacing w:after="0"/>
              <w:rPr>
                <w:sz w:val="20"/>
                <w:szCs w:val="20"/>
                <w:color w:val="auto"/>
              </w:rPr>
            </w:pPr>
            <w:r>
              <w:rPr>
                <w:rFonts w:ascii="Arial" w:cs="Arial" w:eastAsia="Arial" w:hAnsi="Arial"/>
                <w:sz w:val="18"/>
                <w:szCs w:val="18"/>
                <w:color w:val="auto"/>
              </w:rPr>
              <w:t>73</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Borders>
              <w:bottom w:val="single" w:sz="8" w:color="CFF0FC"/>
            </w:tcBorders>
            <w:vMerge w:val="continue"/>
          </w:tcPr>
          <w:p>
            <w:pPr>
              <w:spacing w:after="0"/>
              <w:rPr>
                <w:sz w:val="14"/>
                <w:szCs w:val="14"/>
                <w:color w:val="auto"/>
              </w:rPr>
            </w:pPr>
          </w:p>
        </w:tc>
        <w:tc>
          <w:tcPr>
            <w:tcW w:w="2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62,180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56,280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Notes payable, net of current portion</w:t>
            </w:r>
          </w:p>
        </w:tc>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Series B convertible preferred stock, $0.001 par value, 3,963 shares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w w:val="97"/>
              </w:rPr>
              <w:t>authorized, issued and outstanding at December 31, 2016 and 2015;</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aggregate liquidation preference at December 31, 2016 of $24,991</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Series C convertible preferred stock, $0.001 par value, 1,887 shares</w:t>
            </w:r>
          </w:p>
        </w:tc>
        <w:tc>
          <w:tcPr>
            <w:tcW w:w="2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authorized, 1,593 shares issued and outstanding at December 31,</w:t>
            </w:r>
          </w:p>
        </w:tc>
        <w:tc>
          <w:tcPr>
            <w:tcW w:w="2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2016 and 2015; aggregate liquidation preference at December 31,</w:t>
            </w:r>
          </w:p>
        </w:tc>
        <w:tc>
          <w:tcPr>
            <w:tcW w:w="2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2016 of $7,246</w:t>
            </w:r>
          </w:p>
        </w:tc>
        <w:tc>
          <w:tcPr>
            <w:tcW w:w="2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Series C-1 convertible preferred stock, $0.001 par value, 474 shares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w w:val="97"/>
              </w:rPr>
              <w:t>authorized, issued and outstanding at December 31, 2016 and 2015,</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rPr>
              <w:t>respectively; aggregate liquidation preference at December 31,</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2016 of $6,470</w:t>
            </w: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Series D convertible preferred stock, $0.001 par value, 5,491 shares</w:t>
            </w:r>
          </w:p>
        </w:tc>
        <w:tc>
          <w:tcPr>
            <w:tcW w:w="2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authorized, issued and outstanding at December 31, 2016 and 2015,</w:t>
            </w:r>
          </w:p>
        </w:tc>
        <w:tc>
          <w:tcPr>
            <w:tcW w:w="2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 aggregate liquidation preference at December 31,</w:t>
            </w:r>
          </w:p>
        </w:tc>
        <w:tc>
          <w:tcPr>
            <w:tcW w:w="2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2016 of $40,767</w:t>
            </w:r>
          </w:p>
        </w:tc>
        <w:tc>
          <w:tcPr>
            <w:tcW w:w="2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40,688</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Stockholders’ deficit:</w:t>
            </w: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w w:val="93"/>
              </w:rPr>
              <w:t>Common stock, $0.001 par value, 17,214 shares authorized, 2,651 shares</w:t>
            </w:r>
          </w:p>
        </w:tc>
        <w:tc>
          <w:tcPr>
            <w:tcW w:w="2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and 2,630 shares issued and outstanding at December 31, 2016 and</w:t>
            </w:r>
          </w:p>
        </w:tc>
        <w:tc>
          <w:tcPr>
            <w:tcW w:w="2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2015, respectively</w:t>
            </w:r>
          </w:p>
        </w:tc>
        <w:tc>
          <w:tcPr>
            <w:tcW w:w="2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(54,923)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deficit</w:t>
            </w:r>
          </w:p>
        </w:tc>
        <w:tc>
          <w:tcPr>
            <w:tcW w:w="2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3"/>
              </w:rPr>
              <w:t>Total liabilities, convertible preferred stock and stockholders’ deficit</w:t>
            </w:r>
          </w:p>
        </w:tc>
        <w:tc>
          <w:tcPr>
            <w:tcW w:w="2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62,180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56,280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340" w:type="dxa"/>
            <w:vAlign w:val="bottom"/>
            <w:vMerge w:val="restart"/>
          </w:tcPr>
          <w:p>
            <w:pPr>
              <w:jc w:val="right"/>
              <w:ind w:right="1970"/>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76" w:name="page77"/>
    <w:bookmarkEnd w:id="76"/>
    <w:p>
      <w:pPr>
        <w:spacing w:after="0"/>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i w:val="1"/>
          <w:iCs w:val="1"/>
          <w:color w:val="auto"/>
        </w:rPr>
        <w:t>The following discussion contains management’s discussion and analysis of our financial condition and results of operations and should be read together with the historical consolidated financial statements and the notes thereto included in Part II, Item 8 “Financial Statements and Supplementary Data.” This discussion contains forward-looking statements that reflect our plans, estimates and beliefs and involve numerous risks and uncertainties, including but not limited to those described in the “Risk Factors” section of this Annual Report. Actual results may differ materially from those contained in any forward-looking statements. You should carefully read “Special Note Regarding Forward-Looking Statements” and Part I, Item 1A, “Risk Factors.”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ANB019 inhibits the interleukin-36 receptor, or IL-36R, for the treatment of rare inflammatory diseases including generalized pustular psoriasis, or GPP, and palmo-plantar pustular psoriasis, or PPP. The current status of our clinical development activities for ANB020 and ANB019 is outlined in the chart and bullet points above under “Our Product Candidates” in Part 1 - Item 1. We have cleared a CTN for ANB019 and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which have demonstrated efficacy in an animal model of graft-versus-host disease.</w:t>
      </w:r>
    </w:p>
    <w:p>
      <w:pPr>
        <w:spacing w:after="0" w:line="178"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 which are further described above under “TESARO Programs” and “Celgene Programs” respectively in Part 1 - Item 1.</w:t>
      </w:r>
    </w:p>
    <w:p>
      <w:pPr>
        <w:spacing w:after="0" w:line="18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We have generated multiple antibodies by using our SHM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81"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As of December 31, 2016, we had an accumulated deficit of $54.9 million primarily as a result of losses incurred since our inception in 2005. Although we reported net income of $3.5 million during the year ended December 31, 2014,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440" w:firstLine="598"/>
        <w:spacing w:after="0" w:line="264"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Through December 31, 2016, we have received $65.4 million in non-dilutive funding from our collaborators.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 and Exclusive License Agreement with TESARO</w:t>
      </w:r>
    </w:p>
    <w:p>
      <w:pPr>
        <w:spacing w:after="0" w:line="117" w:lineRule="exact"/>
        <w:rPr>
          <w:sz w:val="20"/>
          <w:szCs w:val="20"/>
          <w:color w:val="auto"/>
        </w:rPr>
      </w:pPr>
    </w:p>
    <w:p>
      <w:pPr>
        <w:ind w:right="160" w:firstLine="598"/>
        <w:spacing w:after="0" w:line="272" w:lineRule="auto"/>
        <w:rPr>
          <w:sz w:val="20"/>
          <w:szCs w:val="20"/>
          <w:color w:val="auto"/>
        </w:rPr>
      </w:pPr>
      <w:r>
        <w:rPr>
          <w:rFonts w:ascii="Arial" w:cs="Arial" w:eastAsia="Arial" w:hAnsi="Arial"/>
          <w:sz w:val="17"/>
          <w:szCs w:val="17"/>
          <w:color w:val="auto"/>
        </w:rPr>
        <w:t>In March 2014, we entered into an exclusive worldwide license and collaboration agreement with TESARO for the development and commercialization of therapeutic monospecific and bispecific antibodies that antagonize PD-1, TIM-3, LAG-3 and/or a fourth undisclosed checkpoint receptor.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over the same period that our research and development services, for which we are reimbursed, are performed, which was extended through December 31, 2016 by amendment of the agreement in February 2016. From inception of the agreement through December 31, 2016, we have recognized $44.3 million in total revenue from TESARO.</w:t>
      </w:r>
    </w:p>
    <w:p>
      <w:pPr>
        <w:spacing w:after="0" w:line="178" w:lineRule="exact"/>
        <w:rPr>
          <w:sz w:val="20"/>
          <w:szCs w:val="20"/>
          <w:color w:val="auto"/>
        </w:rPr>
      </w:pPr>
    </w:p>
    <w:p>
      <w:pPr>
        <w:ind w:right="340" w:firstLine="598"/>
        <w:spacing w:after="0" w:line="259" w:lineRule="auto"/>
        <w:rPr>
          <w:sz w:val="20"/>
          <w:szCs w:val="20"/>
          <w:color w:val="auto"/>
        </w:rPr>
      </w:pPr>
      <w:r>
        <w:rPr>
          <w:rFonts w:ascii="Arial" w:cs="Arial" w:eastAsia="Arial" w:hAnsi="Arial"/>
          <w:sz w:val="18"/>
          <w:szCs w:val="18"/>
          <w:color w:val="auto"/>
        </w:rPr>
        <w:t>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w:t>
      </w:r>
    </w:p>
    <w:p>
      <w:pPr>
        <w:spacing w:after="0" w:line="187"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 xml:space="preserve">In June 2015, TESARO initiated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anti-PD-1 antagonist antibody (TSR-042) resulting in us receiving a $1.0 million milestone in July 2015. In October 2015, TESARO initiated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anti-TIM-3 antagonist antibody (TSR-022) resulting in us receiving a $1.0 million milestone in November 2015. In January 2016, TESARO received clearance of their IND from the FDA for an AnaptysBio-generated anti-PD-1 antagonist antibody (TSR-042) resulting in us receiving a $4.0 million milestone payment in February 2016. In June 2016, TESARO received clearance of their IND from the FDA for an AnaptysBio-generated anti-TIM-3 antagonist antibody (TSR-022) resulting in us receiving a $4.0 million milestone payment in June 2016. In September 2016, TESARO initiated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resulting in us receiving a $1.0 million milestone in September 2016.</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20" w:firstLine="598"/>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December 31, 2016, we have recognized $10.0 million in total revenue from Celgene.</w:t>
      </w:r>
    </w:p>
    <w:p>
      <w:pPr>
        <w:spacing w:after="0" w:line="166"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receiving a $0.5 million milestone payment in June 2016. In December 2016, Celgene cleared a U.S. IND with the FDA and initiated a Phase 1 trial for one of the two programs being advanced by Celgene, resulting in us earning an additional $1.0 million Phase 1 trial initiation milestone payment, which was received in January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8" w:name="page79"/>
    <w:bookmarkEnd w:id="78"/>
    <w:p>
      <w:pPr>
        <w:ind w:left="300"/>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We are party to other collaboration agreements for which we recognized $3.7 million in collaboration revenue during the year ended December 31, 2014. We completed our obligations under these agreements in 2014 and did not recognize any additional revenue from them subsequent to the year ended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62" w:lineRule="exact"/>
        <w:rPr>
          <w:sz w:val="20"/>
          <w:szCs w:val="20"/>
          <w:color w:val="auto"/>
        </w:rPr>
      </w:pPr>
    </w:p>
    <w:p>
      <w:pPr>
        <w:ind w:left="1200" w:right="320" w:hanging="598"/>
        <w:spacing w:after="0" w:line="27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Contract Research Organizations, or CROs, consultants, members of our scientific and therapeutic advisory boards, and clinical manufacturers;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1200" w:right="480" w:hanging="598"/>
        <w:spacing w:after="0" w:line="277"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right="260" w:firstLine="598"/>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right="200" w:firstLine="598"/>
        <w:spacing w:after="0" w:line="257" w:lineRule="auto"/>
        <w:rPr>
          <w:sz w:val="20"/>
          <w:szCs w:val="20"/>
          <w:color w:val="auto"/>
        </w:rPr>
      </w:pPr>
      <w:r>
        <w:rPr>
          <w:rFonts w:ascii="Arial" w:cs="Arial" w:eastAsia="Arial" w:hAnsi="Arial"/>
          <w:sz w:val="18"/>
          <w:szCs w:val="18"/>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Contract Manufacturing Organizations, or CMOs, for the execution of certain of our research and development activities, such as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and pharmacology studies, drug product manufacturing and clinical trials.</w:t>
      </w:r>
    </w:p>
    <w:p>
      <w:pPr>
        <w:spacing w:after="0" w:line="188"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We are conducting initial clinical trials for ANB020 and plan to conduct initial clinical trials for ANB019 in Australia to rapidly enter into first-in-human studies and benefit from research and development-related financial incentives related to the development of ANB020 and ANB019. Taking into account any financial incentives, we expect our research and development expenses to be higher for the foreseeable future as we advance our product candidates into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740" w:firstLine="598"/>
        <w:spacing w:after="0" w:line="308" w:lineRule="auto"/>
        <w:rPr>
          <w:sz w:val="20"/>
          <w:szCs w:val="20"/>
          <w:color w:val="auto"/>
        </w:rPr>
      </w:pPr>
      <w:r>
        <w:rPr>
          <w:rFonts w:ascii="Arial" w:cs="Arial" w:eastAsia="Arial" w:hAnsi="Arial"/>
          <w:sz w:val="17"/>
          <w:szCs w:val="17"/>
          <w:color w:val="auto"/>
        </w:rPr>
        <w:t>Interest expense consists of stated interest and amortization of discounts on our outstanding notes payable relating to our Loan and Security Agreement with Oxford Finance LLC and Silicon Valley Bank, as amended, which we refer to as the Loan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Liability for Preferred Stock Warrants</w:t>
      </w:r>
    </w:p>
    <w:p>
      <w:pPr>
        <w:spacing w:after="0" w:line="121"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on January 31, 2017, the warrants to purchase shares of preferred stock have converted into warrants to purchase shares of common stock, the preferred stock warrant liabilities have been reclassified to additional paid-in capital and periodic fair value adjustments will no longer be recorded.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From our inception through December 31, 2013, we accumulated net operating losses, or NOLs. We generated taxable income in the United States for the years ended December 31, 2016, 2015 and 2014 as a result of our collaboration agreement with TESARO as well as expenses incurred by our Australian subsidiary which are not deductible for U.S. income tax purposes. While we utilized NOLs in 2016, 2015 and 2014, we continue to have a valuation allowance against our net deferred tax assets due to the uncertainty of the realization of such assets.</w:t>
      </w:r>
    </w:p>
    <w:p>
      <w:pPr>
        <w:spacing w:after="0" w:line="17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At December 31, 2016, we had federal and state NOL carryforwards of $35.7 million and $46.0 million, respectively. The federal and state NOLs will begin to expire in 2028 and 2017, respectively, unless previously utilized. At December 31, 2016, we had federal and California research tax credit carryforwards of $2.2 million and $1.9 million, respectively. The federal research tax credit carryforward will begin to expire in 2026 and the California state credits carry forward indefinitely.</w:t>
      </w:r>
    </w:p>
    <w:p>
      <w:pPr>
        <w:spacing w:after="0" w:line="18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 Section 382 and 383 of the Code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2016.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0" w:name="page81"/>
    <w:bookmarkEnd w:id="80"/>
    <w:p>
      <w:pPr>
        <w:ind w:right="60" w:firstLine="598"/>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62" w:lineRule="exact"/>
        <w:rPr>
          <w:sz w:val="20"/>
          <w:szCs w:val="20"/>
          <w:color w:val="auto"/>
        </w:rPr>
      </w:pPr>
    </w:p>
    <w:p>
      <w:pPr>
        <w:ind w:left="1200" w:hanging="598"/>
        <w:spacing w:after="0" w:line="257"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80" w:lineRule="exact"/>
        <w:rPr>
          <w:rFonts w:ascii="Arial" w:cs="Arial" w:eastAsia="Arial" w:hAnsi="Arial"/>
          <w:sz w:val="18"/>
          <w:szCs w:val="18"/>
          <w:color w:val="auto"/>
        </w:rPr>
      </w:pPr>
    </w:p>
    <w:p>
      <w:pPr>
        <w:ind w:left="1200" w:hanging="598"/>
        <w:spacing w:after="0" w:line="255"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93"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16" w:lineRule="exact"/>
        <w:rPr>
          <w:sz w:val="20"/>
          <w:szCs w:val="20"/>
          <w:color w:val="auto"/>
        </w:rPr>
      </w:pPr>
    </w:p>
    <w:p>
      <w:pPr>
        <w:ind w:left="1200" w:right="420" w:hanging="598"/>
        <w:spacing w:after="0" w:line="308" w:lineRule="auto"/>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38" w:lineRule="exact"/>
        <w:rPr>
          <w:rFonts w:ascii="Arial" w:cs="Arial" w:eastAsia="Arial" w:hAnsi="Arial"/>
          <w:sz w:val="17"/>
          <w:szCs w:val="17"/>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1" w:name="page82"/>
    <w:bookmarkEnd w:id="81"/>
    <w:p>
      <w:pPr>
        <w:ind w:right="120" w:firstLine="598"/>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73" w:lineRule="exact"/>
        <w:rPr>
          <w:sz w:val="20"/>
          <w:szCs w:val="20"/>
          <w:color w:val="auto"/>
        </w:rPr>
      </w:pPr>
    </w:p>
    <w:p>
      <w:pPr>
        <w:ind w:left="1200" w:right="160" w:hanging="598"/>
        <w:spacing w:after="0" w:line="264"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fair value of the underlying common shares</w:t>
      </w:r>
      <w:r>
        <w:rPr>
          <w:rFonts w:ascii="Arial" w:cs="Arial" w:eastAsia="Arial" w:hAnsi="Arial"/>
          <w:sz w:val="18"/>
          <w:szCs w:val="18"/>
          <w:color w:val="auto"/>
        </w:rPr>
        <w:t>, as approved by our board of directors, which was determined using the option-pricing method,</w:t>
      </w:r>
      <w:r>
        <w:rPr>
          <w:rFonts w:ascii="Arial" w:cs="Arial" w:eastAsia="Arial" w:hAnsi="Arial"/>
          <w:sz w:val="18"/>
          <w:szCs w:val="18"/>
          <w:i w:val="1"/>
          <w:iCs w:val="1"/>
          <w:color w:val="auto"/>
        </w:rPr>
        <w:t xml:space="preserve"> </w:t>
      </w:r>
      <w:r>
        <w:rPr>
          <w:rFonts w:ascii="Arial" w:cs="Arial" w:eastAsia="Arial" w:hAnsi="Arial"/>
          <w:sz w:val="18"/>
          <w:szCs w:val="18"/>
          <w:color w:val="auto"/>
        </w:rPr>
        <w:t>or OPM, in periods through December 31, 2014, and the probability-weighted expected return method, or PWERM, beginning March 31, 2015;</w:t>
      </w:r>
    </w:p>
    <w:p>
      <w:pPr>
        <w:spacing w:after="0" w:line="73"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62" w:lineRule="exact"/>
        <w:rPr>
          <w:rFonts w:ascii="Arial" w:cs="Arial" w:eastAsia="Arial" w:hAnsi="Arial"/>
          <w:sz w:val="18"/>
          <w:szCs w:val="18"/>
          <w:color w:val="auto"/>
        </w:rPr>
      </w:pPr>
    </w:p>
    <w:p>
      <w:pPr>
        <w:ind w:left="1200" w:right="240" w:hanging="598"/>
        <w:spacing w:after="0" w:line="264"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which historical information is available. Because we were privately held as of the date of these financial statements, we do not have relevant historical data to support our expected volatility;</w:t>
      </w:r>
    </w:p>
    <w:p>
      <w:pPr>
        <w:spacing w:after="0" w:line="73"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w:t>
      </w:r>
    </w:p>
    <w:p>
      <w:pPr>
        <w:spacing w:after="0" w:line="62" w:lineRule="exact"/>
        <w:rPr>
          <w:rFonts w:ascii="Arial" w:cs="Arial" w:eastAsia="Arial" w:hAnsi="Arial"/>
          <w:sz w:val="18"/>
          <w:szCs w:val="18"/>
          <w:color w:val="auto"/>
        </w:rPr>
      </w:pPr>
    </w:p>
    <w:p>
      <w:pPr>
        <w:ind w:left="1200" w:right="120" w:hanging="598"/>
        <w:spacing w:after="0" w:line="264"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weighted average vesting period for all option tranches, as we have insufficient historical information regarding our stock options to provide a basis for an estimate.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2" w:name="page83"/>
    <w:bookmarkEnd w:id="82"/>
    <w:p>
      <w:pPr>
        <w:ind w:right="3700" w:firstLine="598"/>
        <w:spacing w:after="0" w:line="277" w:lineRule="auto"/>
        <w:rPr>
          <w:sz w:val="20"/>
          <w:szCs w:val="20"/>
          <w:color w:val="auto"/>
        </w:rPr>
      </w:pPr>
      <w:r>
        <w:rPr>
          <w:rFonts w:ascii="Arial" w:cs="Arial" w:eastAsia="Arial" w:hAnsi="Arial"/>
          <w:sz w:val="18"/>
          <w:szCs w:val="18"/>
          <w:color w:val="auto"/>
        </w:rPr>
        <w:t>We have computed the fair value of stock options at the date of grant using the following weighted average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6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24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There were 330,622, 1,040,093 and 285,228 stock options granted during the years ended December 31, 2016, 2015 and 2014, respectively. From January 31, 2017 to March 3, 2017, we granted 928,191 stock options.</w:t>
      </w:r>
    </w:p>
    <w:p>
      <w:pPr>
        <w:spacing w:after="0" w:line="170"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Stock-based compensation expense related to unvested stock option grants not yet recognized as of December 31, 2016 was $2.9 million and the weighted average period over which these grants are expected to vest is 2.6 years. We expect to continue to grant stock options in the future, and to the extent we do, our actual stock-based compensation expense recognized in future periods will likely increase.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Warrant Liabilities</w:t>
      </w:r>
    </w:p>
    <w:p>
      <w:pPr>
        <w:spacing w:after="0" w:line="121"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87"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60" w:firstLine="598"/>
        <w:spacing w:after="0" w:line="302"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outlines a single comprehensive model for entities to use in accounting for revenue from contracts with customers and supersedes most current revenue recognition guidance in FASB ASC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including industry-specific guidance. This standard is based on the principle that an entity should recognize revenue to depict the transfer of</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entity expects to be entitled in exchange for those goods or services.</w:t>
      </w:r>
    </w:p>
    <w:p>
      <w:pPr>
        <w:spacing w:after="0" w:line="154"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will transition this standard using the modified retrospective approach for our annual reporting period beginning January 1, 2018. While we are continuing to assess all potential impacts of the standard, we currently believe the most significant impact relates to our accounting for variable consideration including revenues related to contingent “milestone” based payments.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ind w:right="800"/>
        <w:spacing w:after="0" w:line="277" w:lineRule="auto"/>
        <w:rPr>
          <w:sz w:val="20"/>
          <w:szCs w:val="20"/>
          <w:color w:val="auto"/>
        </w:rPr>
      </w:pPr>
      <w:r>
        <w:rPr>
          <w:rFonts w:ascii="Arial" w:cs="Arial" w:eastAsia="Arial" w:hAnsi="Arial"/>
          <w:sz w:val="18"/>
          <w:szCs w:val="18"/>
          <w:color w:val="auto"/>
        </w:rPr>
        <w:t>given the nature of potential milestones owed to us, and the inherent risk involved in developing drugs, we believe that the majority of potential milestones will not be recognizable as of the standard adoption date.</w:t>
      </w:r>
    </w:p>
    <w:p>
      <w:pPr>
        <w:spacing w:after="0" w:line="170"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which is intended to simplify the accounting for share-based payments including forfeiture rates, expected option terms, intrinsic value,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taxes as they relate to awards, and cash flow presentation. ASU 2016-09 becomes effective for our annual reporting period beginning January 1, 2017, including interim periods thereafter; early adoption is permitted. Upon adoption in January 2017, we will recognize approximately $30,000 as a cumulative effect decrease to our accumulated deficit as a result of a change in accounting policy from calculating an estimated forfeiture rate at grant date to recording actual forfeitures as they occur. We do not anticipate any other adjustments related to adoption of this standard.</w:t>
      </w:r>
    </w:p>
    <w:p>
      <w:pPr>
        <w:spacing w:after="0" w:line="178"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which requires companies to include cash and cash equivalents that have restrictions on withdrawal or use in total cash and cash equivalents on the statement of cash flows. ASU 2016-18 becomes effective for our annual reporting period beginning January 1, 2018, including interim periods thereafter; early adoption is permitted, including adoption in an interim period. We anticipate adopting this guidance for the year beginning January 1, 2017 and will adjust our consolidated statement of cash flows to include $60,000 in restricted cash in the beginning and ending cash balance upon adopting this guidance.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2016 and 2015</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Collaboration revenue was $16.7 million and $17.6 million during the years ended December 31, 2016 and 2015, respectively. A comparison of revenue by collaborator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TESARO-amortization of upfront payments</w:t>
            </w:r>
          </w:p>
        </w:tc>
        <w:tc>
          <w:tcPr>
            <w:tcW w:w="16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TESARO-milestones</w:t>
            </w:r>
          </w:p>
        </w:tc>
        <w:tc>
          <w:tcPr>
            <w:tcW w:w="1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Celgene-milestone</w:t>
            </w:r>
          </w:p>
        </w:tc>
        <w:tc>
          <w:tcPr>
            <w:tcW w:w="16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16,684</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17,571</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During the first and fourth quarter of 2014 we received $17.0 million and $2.0 million, respectively, in upfront fees under our collaboration and exclusive license agreement with TESARO. For the years ended December 31, 2016 and 2015, we recognized the amortized portion of these upfront fees in the amounts of $2.6 million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ind w:right="240"/>
        <w:spacing w:after="0" w:line="259" w:lineRule="auto"/>
        <w:rPr>
          <w:sz w:val="20"/>
          <w:szCs w:val="20"/>
          <w:color w:val="auto"/>
        </w:rPr>
      </w:pPr>
      <w:r>
        <w:rPr>
          <w:rFonts w:ascii="Arial" w:cs="Arial" w:eastAsia="Arial" w:hAnsi="Arial"/>
          <w:sz w:val="18"/>
          <w:szCs w:val="18"/>
          <w:color w:val="auto"/>
        </w:rPr>
        <w:t>$9.4 million, respectively. Originally, the upfront fees were to be recognized ratably through March 2016, however, in December 2015, we determined that the research and development services would be extended through December 31, 2016, so the upfront fees were recognized ratably through December 31, 2016. We also recognized revenue of $3.2 million and $6.5 million during the years ended December 31, 2016 and 2015, respectively, for research and development services performed under the agreement.</w:t>
      </w:r>
    </w:p>
    <w:p>
      <w:pPr>
        <w:spacing w:after="0" w:line="187" w:lineRule="exact"/>
        <w:rPr>
          <w:sz w:val="20"/>
          <w:szCs w:val="20"/>
          <w:color w:val="auto"/>
        </w:rPr>
      </w:pPr>
    </w:p>
    <w:p>
      <w:pPr>
        <w:jc w:val="both"/>
        <w:ind w:right="420" w:firstLine="598"/>
        <w:spacing w:after="0" w:line="264" w:lineRule="auto"/>
        <w:rPr>
          <w:sz w:val="20"/>
          <w:szCs w:val="20"/>
          <w:color w:val="auto"/>
        </w:rPr>
      </w:pPr>
      <w:r>
        <w:rPr>
          <w:rFonts w:ascii="Arial" w:cs="Arial" w:eastAsia="Arial" w:hAnsi="Arial"/>
          <w:sz w:val="18"/>
          <w:szCs w:val="18"/>
          <w:color w:val="auto"/>
        </w:rPr>
        <w:t xml:space="preserve">In June 2015, TESARO initiated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anti-PD-1 antagonist antibody (TSR-042) resulting in us earning a $1.0 million milestone. We recognized revenue of $0.1 million and $0.9 million during the years ended December 31, 2016 and 2015, respectively. The $1.0 million milestone payment was received in July 2015.</w:t>
      </w:r>
    </w:p>
    <w:p>
      <w:pPr>
        <w:spacing w:after="0" w:line="18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the $4.0 million milestone payment as revenue during the year ended December 31, 2016. The $4.0 million milestone payment was received in February 2016.</w:t>
      </w:r>
    </w:p>
    <w:p>
      <w:pPr>
        <w:spacing w:after="0" w:line="18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the $4.0 million milestone payment as revenue during the year ended December 31, 2016. The $4.0 million milestone payment was received in June 2016.</w:t>
      </w:r>
    </w:p>
    <w:p>
      <w:pPr>
        <w:spacing w:after="0" w:line="18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earning a $0.5 million milestone payment in June 2016. We recognized the $0.5 million milestone payment as revenue during the year ended December 31, 2016. The $0.5 million milestone payment was received in June 2016.</w:t>
      </w:r>
    </w:p>
    <w:p>
      <w:pPr>
        <w:spacing w:after="0" w:line="181"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of $1.0 million through December 31, 2016. The $1.0 million milestone payment was received in September 2016.</w:t>
      </w:r>
    </w:p>
    <w:p>
      <w:pPr>
        <w:spacing w:after="0" w:line="181"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In December 2016, Celgene cleared a U.S. IND with the FDA and initiated a Phase 1 trial, resulting in us earning a $1.0 million milestone payment. We recognized the $1.0 million milestone payment as revenue during the year ended December 31, 2016. The $1.0 million milestone payment was received in January 2017.</w:t>
      </w:r>
    </w:p>
    <w:p>
      <w:pPr>
        <w:spacing w:after="0" w:line="181"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Research and development expenses were $15.4 million and $17.3 million during the years ended December 31, 2016 and 2015, respectively, for a decrease of $1.9 million. The decrease was due primarily to the recognition of the tax incentive, which reduced our expenses by $7.2 million during the year ended December 31, 2016 upon our determination that the tax incentive was collectible. No tax incentive was recorded during the year ended December 31, 2015. The decrease was offset by a $2.1 million increase in outside service for preclinical expenses, a $2.0 million increase in clinical expenses, as well as a $1.2 million increase in salaries and related expenses including recruiting and relocation expense, resulting primarily from an increase in research and development personnel.</w:t>
      </w:r>
    </w:p>
    <w:p>
      <w:pPr>
        <w:spacing w:after="0" w:line="193"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We expect our research and development expenses to increase as we further advance our development programs and, in particular, as we enter into additional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General and administrative expenses were $4.3 million and $3.6 million during the years ended December 31, 2016 and 2015, respectively, for an increase of $0.7 million. The increase was due primarily to a $0.6 million increase in salaries and related expenses, including stock compensation, for senior level positions hired in mid-2015, and a $0.2 million increase in legal expenses.</w:t>
      </w:r>
    </w:p>
    <w:p>
      <w:pPr>
        <w:spacing w:after="0" w:line="18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Interest expense was $0.5 million during the year ended December 31, 2016 and represents effective interest of 9.25% through December 30, 2016, the date at which the Term B Loans and the Term C Loans were drawn. Subsequent to the draw, the effective interest rate was 11.70% for each of the Term Loans, with an outstanding cumulative principal balance of $15.0 million as of December 31, 2016. Interest expense was $0.5 million during the year ended December 31, 2015 and primarily represents effective interest of 9.25% on our outstanding Term A Loans, which had an outstanding principal balance of $5.0 million as of December 31,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Liabilities for Preferred Stock Warrants</w:t>
      </w:r>
    </w:p>
    <w:p>
      <w:pPr>
        <w:spacing w:after="0" w:line="12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expense of $0.8 million and $1.3 million during the years ended December 31, 2016 and 2015, respectively, due to changes in the valuation of our Series C convertible preferred stock which impacts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Other income (expense) was less than $0.1 million during the year ended December 31, 2016 and primarily consisted of interest income of approximately $0.1 million from our money market fund, offset by foreign exchange losses of approximately $(0.1) million related to our Australian subsidiary. Other income (expense) was ($0.2) million during the year ended December 31, 2015 and primarily consisted of a foreign exchange loss of ($0.2) million related to our Australian subsidiary, which was established in March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We recorded a provision for income taxes of $0.1 million during the year ended December 31, 2015 related to alternative minimum taxes, which we were not subject to during the year ended December 31,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Collaboration revenue was $17.6 million and $15.8 million during the years ended December 31, 2015 and 2014, respectively. A comparison of revenue by collaborator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5120" w:type="dxa"/>
            <w:vAlign w:val="bottom"/>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(Decrease)</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TESARO-amortization of upfront payments</w:t>
            </w:r>
          </w:p>
        </w:tc>
        <w:tc>
          <w:tcPr>
            <w:tcW w:w="16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9,386</w:t>
            </w:r>
          </w:p>
        </w:tc>
        <w:tc>
          <w:tcPr>
            <w:tcW w:w="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6,480</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TESARO-milestone</w:t>
            </w:r>
          </w:p>
        </w:tc>
        <w:tc>
          <w:tcPr>
            <w:tcW w:w="1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Momenta</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Celgene Corporation</w:t>
            </w:r>
          </w:p>
        </w:tc>
        <w:tc>
          <w:tcPr>
            <w:tcW w:w="1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(592)</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15,838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 xml:space="preserve">During the first and fourth quarter of 2014 we received $17.0 million and $2.0 million, respectively, in upfront fees under our collaboration and exclusive license agreement with TESARO. For the years ended December 31, 2015 and 2014, we recognized the amortized portion of these upfront fees in the amounts of $9.4 million and $7.0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$6.5 million and $4.6 million during the years ended December 31, 2015 and 2014, respectively, for research and development services performed under the agreement. We recognized revenue of $1.7 million during the year ended December 31, 2015, for the achievement of two $1.0 million milestones upon initiation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under the principles of good laboratory practice, using the AnaptysBio-generated anti-PD-1 antagonist antibody (TSR-042) and the AnaptysBio-generated anti-TIM-3 antagonist antibody (TSR-022), each being advanced by TESARO. The remaining unrecognized milestone payments of $0.3 million at December 31, 2015 were recognized ratably through December 2016.</w:t>
      </w:r>
    </w:p>
    <w:p>
      <w:pPr>
        <w:spacing w:after="0" w:line="178"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September 2014, we successfully completed our collaboration with Momenta for which we earned a success fee. During the year ended December 31, 2014, we recognized revenue from Momenta of $3.1 million, which relates to a $2.0 million success fee and $1.1 million in amortization of the upfront fee.</w:t>
      </w:r>
    </w:p>
    <w:p>
      <w:pPr>
        <w:spacing w:after="0" w:line="181"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year ended December 31, 2014, we recognized revenue of $0.6 million, which relates to $0.5 million for a success fee and $92,000 for research and development services performed under this agreement.</w:t>
      </w:r>
    </w:p>
    <w:p>
      <w:pPr>
        <w:spacing w:after="0" w:line="18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We are a party to other collaboration agreements for which in the year ended December 31, 2014 we recognized $0.6 million in collaboration revenue. We completed our obligations under these agreements in 2014 and do not anticipate any additional revenue from them beyond 2014, and we did not recognize any additional revenue from them during the year ended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Research and development expenses were $17.3 million and $8.6 million during the years ended December 31, 2015 and 2014, respectively, for an increase of $8.7 million. The increase is due primarily to a $6.6 million increase in outside services for preclinical trial work performed primarily in Australia, as well as a $1.7 million increase in salaries and related expenses resulting primarily from an increase in research and development personnel.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General and administrative expenses were $3.6 million and $2.4 million during the years ended December 31, 2015 and 2014, respectively, for an increase of $1.2 million. The increase is due primarily to a $0.7 million increase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7" w:name="page88"/>
    <w:bookmarkEnd w:id="87"/>
    <w:p>
      <w:pPr>
        <w:ind w:right="240"/>
        <w:spacing w:after="0" w:line="277" w:lineRule="auto"/>
        <w:rPr>
          <w:sz w:val="20"/>
          <w:szCs w:val="20"/>
          <w:color w:val="auto"/>
        </w:rPr>
      </w:pPr>
      <w:r>
        <w:rPr>
          <w:rFonts w:ascii="Arial" w:cs="Arial" w:eastAsia="Arial" w:hAnsi="Arial"/>
          <w:sz w:val="18"/>
          <w:szCs w:val="18"/>
          <w:color w:val="auto"/>
        </w:rPr>
        <w:t>in salaries and related expenses for new senior level positions, and a $0.4 million increase in audit and tax fees for additional quarterly and annual services required in preparation for our initial public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Interest expense was $0.5 million and $1.3 million during the years ended December 31, 2015 and 2014, respectively, for a decrease of $0.8 million. The interest expense for the year ended December 31, 2015 represents effective interest of 9.25% on our outstanding Term A Loans, which had an outstanding principal balance of $5.0 million as of December 31, 2015. The interest expense for the year ended December 31, 2014 represents stated interest of 10.0% on our convertible promissory notes principal of $2.0 million, as well as the write-off of the remaining discount on our convertible promissory notes upon conversion of the notes into shares of Series C-1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Liabilities for Preferred Stock Warrants</w:t>
      </w:r>
    </w:p>
    <w:p>
      <w:pPr>
        <w:spacing w:after="0" w:line="121"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$1.3 million and $59,000 during the years ended December 31, 2015 and 2014, respectively, due to an increase in the valuation of our Series C convertible preferred stock which had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color w:val="auto"/>
        </w:rPr>
        <w:t>Other income (expense) was ($0.2) million during the year ended December 31, 2015 and primarily consisted of a foreign exchange loss of ($0.2) million related to our Australian subsidiary, which was established in March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We recorded a provision for income taxes of $0.1 million during the year ended December 31, 2015 related to alternative minimum taxes, which we were not subject to during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From our inception through December 31, 2016, we have received an aggregate of $169.5 million to fund our operations which included</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$85.0 million from the sale of equity securities, $65.4 million from our collaboration agreements and $19.1 million from venture debt. As of December 31, 2016, we had $51.2 million in cash and cash equivalents.</w:t>
      </w:r>
    </w:p>
    <w:p>
      <w:pPr>
        <w:spacing w:after="0" w:line="184"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addition to our existing cash and cash equivalents,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88"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In January 2017 we closed our initial public offering for net proceeds of approximately $80.2 million. 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 As of January 31, 2017, including the proceeds from our initial public offering, we had $130.2 million in cash and cash equivalents.</w:t>
      </w:r>
    </w:p>
    <w:p>
      <w:pPr>
        <w:spacing w:after="0" w:line="17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Under the Loan Agreement, we may borrow up to $15.0 million in three separate draws of $5.0 million each. In January 2016, we amended the Loan and Security Agreement, as amended, or the “LSA Agreement”, to combine Term B Loans and Term C Loans for a total of $10.0 million available for draw and delay the principal repayments for our Term A Loans from February 1, 2016 until February 1, 2017.</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8" w:name="page89"/>
    <w:bookmarkEnd w:id="88"/>
    <w:p>
      <w:pPr>
        <w:ind w:left="600"/>
        <w:spacing w:after="0"/>
        <w:rPr>
          <w:sz w:val="20"/>
          <w:szCs w:val="20"/>
          <w:color w:val="auto"/>
        </w:rPr>
      </w:pPr>
      <w:r>
        <w:rPr>
          <w:rFonts w:ascii="Arial" w:cs="Arial" w:eastAsia="Arial" w:hAnsi="Arial"/>
          <w:sz w:val="16"/>
          <w:szCs w:val="16"/>
          <w:color w:val="auto"/>
        </w:rPr>
        <w:t>In December 2016, we further amended the LSA Agreement to (i) allow for the Term B Loans and Term C Loans to be drawn on December 30, 2016,</w:t>
      </w:r>
    </w:p>
    <w:p>
      <w:pPr>
        <w:spacing w:after="0" w:line="46" w:lineRule="exact"/>
        <w:rPr>
          <w:sz w:val="20"/>
          <w:szCs w:val="20"/>
          <w:color w:val="auto"/>
        </w:rPr>
      </w:pPr>
    </w:p>
    <w:p>
      <w:pPr>
        <w:ind w:firstLine="8"/>
        <w:spacing w:after="0" w:line="292" w:lineRule="auto"/>
        <w:tabs>
          <w:tab w:leader="none" w:pos="265"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delay principal repayments of all Term Loans until February 1, 2018 and (iii) amend the interest rate for each Term Loan. The Term B Loans and the Term C Loans were drawn on December 30, 2016. As of December 31, 2016, the Term Loans are due in 13 monthly interest-only payments through January 2018, followed by 24 equal monthly principal and interest payments beginning February 1, 2018, with final maturity in January 2020. Each Loan bears interest equal to the greater of 3-month U.S. LIBOR plus 6.37% or 7.3%. The rate was 7.3% as of December 31, 2016. In conjunction with the December 30, 2016 draw, we issued 82,416 Series C Preferred warrants to the lenders with an exercise price of $4.55 that expire December 30, 2026.</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jc w:val="both"/>
        <w:ind w:right="180" w:firstLine="598"/>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147" w:lineRule="exact"/>
        <w:rPr>
          <w:sz w:val="20"/>
          <w:szCs w:val="20"/>
          <w:color w:val="auto"/>
        </w:rPr>
      </w:pPr>
    </w:p>
    <w:p>
      <w:pPr>
        <w:ind w:right="240" w:firstLine="598"/>
        <w:spacing w:after="0" w:line="297" w:lineRule="auto"/>
        <w:rPr>
          <w:sz w:val="20"/>
          <w:szCs w:val="20"/>
          <w:color w:val="auto"/>
        </w:rPr>
      </w:pPr>
      <w:r>
        <w:rPr>
          <w:rFonts w:ascii="Arial" w:cs="Arial" w:eastAsia="Arial" w:hAnsi="Arial"/>
          <w:sz w:val="16"/>
          <w:szCs w:val="16"/>
          <w:color w:val="auto"/>
        </w:rPr>
        <w:t>Cash and cash equivalents totaled $51.2 million as of December 31, 2016, compared to $51.7 million as of December 31, 2015. As of January 31, 2017, cash and cash equivalents totaled $130.2 million and reflects net proceeds of $80.2 million received from our initial public offering, which closed on January 31, 2017. We expect that our existing cash and cash equivalents, and projected revenue under our existing collaborations, will fund our anticipated operations through 2018.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Net cash used in operating activities during the year ended December 31, 2016 of $9.0 million was primarily due to our net loss of $(4.3) million, adjusted for changes in working capital of $(7.0) million and addbacks for non-cash expenses of $2.3 million which includes stock-based compensation and warrant liability fair value adjustments. Net cash used in operating activities during the year ended December 31, 2015 of $9.7 million was primarily due to our net loss of $(5.4) million, adjusted for changes in working capital of $(6.5) million and addbacks for non-cash expenses of $2.3 million which includes stock-based compensation and warrant liability fair value adjustments. Net cash provided by operating activities during the year ended December 31, 2014 of $14.6 million was primarily due to our net income of $3.5 million, adjusted for changes in working capital of $9.3 million and addbacks for non-cash expenses of $1.8 million which includes stock-based compensation and warrant liability fair value adjustments.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460" w:firstLine="598"/>
        <w:spacing w:after="0" w:line="264" w:lineRule="auto"/>
        <w:rPr>
          <w:sz w:val="20"/>
          <w:szCs w:val="20"/>
          <w:color w:val="auto"/>
        </w:rPr>
      </w:pPr>
      <w:r>
        <w:rPr>
          <w:rFonts w:ascii="Arial" w:cs="Arial" w:eastAsia="Arial" w:hAnsi="Arial"/>
          <w:sz w:val="18"/>
          <w:szCs w:val="18"/>
          <w:color w:val="auto"/>
        </w:rPr>
        <w:t>Cash used in investing activities during the years ended December 31, 2016, 2015 and 2014 was primarily due to our purchases of property and equipment. As of this time, we plan to focus on our growth strategies and do not plan on using a significant amount of our cash resources in investing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The cash provided by financing activities during the year ended December 31, 2016 of $8.6 million was primarily related to the $10.0 million in debt drawn on December 30, 2016, offset by $0.3 million in payments made for the cost of issuance and $1.1 million in payments related to deferred offering costs. Cash provided by financing activities during the year ended December 31, 2015 of $39.4 million was primarily related to the issuance of Series D Convertible Preferred Stock for net proceeds of $40.7 million in July 2015 offset by $1.4 million in payments related to deferred offering costs. The cash provided by financing activities during the year ended December 31, 2014 was $4.9 million and was related to the $5.0 million in debt drawn on December 24, 2014, offset by $0.1 million in payments made for the cost of issuance.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as of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9"/>
              </w:rPr>
              <w:t>Less Than</w:t>
            </w:r>
          </w:p>
        </w:tc>
        <w:tc>
          <w:tcPr>
            <w:tcW w:w="200" w:type="dxa"/>
            <w:vAlign w:val="bottom"/>
          </w:tcPr>
          <w:p>
            <w:pPr>
              <w:spacing w:after="0"/>
              <w:rPr>
                <w:sz w:val="11"/>
                <w:szCs w:val="11"/>
                <w:color w:val="auto"/>
              </w:rPr>
            </w:pPr>
          </w:p>
        </w:tc>
        <w:tc>
          <w:tcPr>
            <w:tcW w:w="820" w:type="dxa"/>
            <w:vAlign w:val="bottom"/>
          </w:tcPr>
          <w:p>
            <w:pPr>
              <w:jc w:val="right"/>
              <w:ind w:right="339"/>
              <w:spacing w:after="0" w:line="133" w:lineRule="exact"/>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337"/>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09"/>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payable, including interest and final payment</w:t>
            </w: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fee</w:t>
            </w:r>
            <w:r>
              <w:rPr>
                <w:rFonts w:ascii="Arial" w:cs="Arial" w:eastAsia="Arial" w:hAnsi="Arial"/>
                <w:sz w:val="15"/>
                <w:szCs w:val="15"/>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 obligation</w:t>
            </w:r>
            <w:r>
              <w:rPr>
                <w:rFonts w:ascii="Arial" w:cs="Arial" w:eastAsia="Arial" w:hAnsi="Arial"/>
                <w:sz w:val="15"/>
                <w:szCs w:val="15"/>
                <w:color w:val="auto"/>
              </w:rPr>
              <w:t>(3)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line="251" w:lineRule="auto"/>
        <w:tabs>
          <w:tab w:leader="none" w:pos="600" w:val="left"/>
        </w:tabs>
        <w:numPr>
          <w:ilvl w:val="0"/>
          <w:numId w:val="46"/>
        </w:numPr>
        <w:rPr>
          <w:rFonts w:ascii="Arial" w:cs="Arial" w:eastAsia="Arial" w:hAnsi="Arial"/>
          <w:sz w:val="23"/>
          <w:szCs w:val="23"/>
          <w:color w:val="auto"/>
          <w:vertAlign w:val="superscript"/>
        </w:rPr>
      </w:pPr>
      <w:r>
        <w:rPr>
          <w:rFonts w:ascii="Arial" w:cs="Arial" w:eastAsia="Arial" w:hAnsi="Arial"/>
          <w:sz w:val="16"/>
          <w:szCs w:val="16"/>
          <w:color w:val="auto"/>
        </w:rPr>
        <w:t>Future minimum annual obligations for license payments under all collaborative in-license agreements at December 31, 2016 were $0.3 million in fiscal 2017 and $0.2 million in the years thereafter. These obligations are excluded from the table above as the annual minimum payments are payable through ten years from the first commercial sale, if any, or expiration of the last patent to expire, the dates of which are not determinable at this time.</w:t>
      </w:r>
    </w:p>
    <w:p>
      <w:pPr>
        <w:spacing w:after="0" w:line="1" w:lineRule="exact"/>
        <w:rPr>
          <w:rFonts w:ascii="Arial" w:cs="Arial" w:eastAsia="Arial" w:hAnsi="Arial"/>
          <w:sz w:val="23"/>
          <w:szCs w:val="23"/>
          <w:color w:val="auto"/>
          <w:vertAlign w:val="superscript"/>
        </w:rPr>
      </w:pPr>
    </w:p>
    <w:p>
      <w:pPr>
        <w:ind w:left="600" w:right="300" w:hanging="592"/>
        <w:spacing w:after="0" w:line="218" w:lineRule="auto"/>
        <w:tabs>
          <w:tab w:leader="none" w:pos="600" w:val="left"/>
        </w:tabs>
        <w:numPr>
          <w:ilvl w:val="0"/>
          <w:numId w:val="46"/>
        </w:numPr>
        <w:rPr>
          <w:rFonts w:ascii="Arial" w:cs="Arial" w:eastAsia="Arial" w:hAnsi="Arial"/>
          <w:sz w:val="26"/>
          <w:szCs w:val="26"/>
          <w:color w:val="auto"/>
          <w:vertAlign w:val="superscript"/>
        </w:rPr>
      </w:pPr>
      <w:r>
        <w:rPr>
          <w:rFonts w:ascii="Arial" w:cs="Arial" w:eastAsia="Arial" w:hAnsi="Arial"/>
          <w:sz w:val="18"/>
          <w:szCs w:val="18"/>
          <w:color w:val="auto"/>
        </w:rPr>
        <w:t>In December 2016, we amended the Loan Agreement to allow for the Term B Loans and Term C Loans to be drawn on December 30, 2016, delay principal repayments of all term loans until February 1, 2018 and amend the interest rate for each loan as described in “Liquidity and Capital Resources” above.</w:t>
      </w:r>
    </w:p>
    <w:p>
      <w:pPr>
        <w:ind w:left="600" w:hanging="592"/>
        <w:spacing w:after="0" w:line="196" w:lineRule="auto"/>
        <w:tabs>
          <w:tab w:leader="none" w:pos="600" w:val="left"/>
        </w:tabs>
        <w:numPr>
          <w:ilvl w:val="0"/>
          <w:numId w:val="46"/>
        </w:numPr>
        <w:rPr>
          <w:rFonts w:ascii="Arial" w:cs="Arial" w:eastAsia="Arial" w:hAnsi="Arial"/>
          <w:sz w:val="23"/>
          <w:szCs w:val="23"/>
          <w:color w:val="auto"/>
          <w:vertAlign w:val="superscript"/>
        </w:rPr>
      </w:pPr>
      <w:r>
        <w:rPr>
          <w:rFonts w:ascii="Arial" w:cs="Arial" w:eastAsia="Arial" w:hAnsi="Arial"/>
          <w:sz w:val="16"/>
          <w:szCs w:val="16"/>
          <w:color w:val="auto"/>
        </w:rPr>
        <w:t>Operating lease obligation includes future rent payments under an office lease, which was amended in October 2015, and expires on August 31, 2021.</w:t>
      </w:r>
    </w:p>
    <w:p>
      <w:pPr>
        <w:spacing w:after="0" w:line="202"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and foreign currency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598"/>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Through December 29, 2016, our debt obligations bore interest at fixed rates, and therefore have no exposure to changes in interest rates. As of December 30, 2016, our debt obligations bear interest equal to the greater of 3-month U.S. LIBOR plus 6.37% or 7.3% and are therefore exposed to changes in interest rates through a maturity date of January 2020. The rate was 7.3% as of December 31, 2016. If interest rates had been 10% higher/lower and all other variables were held constant, operating income would decrease/increase by $0.1 million. Therefore we do not believe that our financial condition or results of operations would be materially impacted by an immediate change of 10% in interest rates.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$0.1 million during the year ended December 31, 2016. We believe that our foreign currency exposure is limited at this time as the value of transactions and the asset and liability balances denominated in foreign currencies are relatively small. Further, we do not believe that our financial condition or results of operations would be materially impacted by an immediate change of 10% in exchange rate of the foreign currencies in which we have transactions denominated, as exchange rates have fluctuated over 10% throughout the year ended December 31, 2016 from a low of 0.686% to a high of 0.780% with a net impact of $0.1 million to the consolidated statement of operations.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91" w:name="page92"/>
    <w:bookmarkEnd w:id="91"/>
    <w:p>
      <w:pPr>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INDEX TO AUDITED FINANCIAL STATEMENTS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960" w:type="dxa"/>
            <w:vAlign w:val="bottom"/>
          </w:tcPr>
          <w:p>
            <w:pPr>
              <w:jc w:val="right"/>
              <w:ind w:right="112"/>
              <w:spacing w:after="0"/>
              <w:rPr>
                <w:sz w:val="20"/>
                <w:szCs w:val="20"/>
                <w:color w:val="auto"/>
              </w:rPr>
            </w:pPr>
            <w:r>
              <w:rPr>
                <w:rFonts w:ascii="Arial" w:cs="Arial" w:eastAsia="Arial" w:hAnsi="Arial"/>
                <w:sz w:val="14"/>
                <w:szCs w:val="14"/>
                <w:b w:val="1"/>
                <w:bCs w:val="1"/>
                <w:color w:val="auto"/>
              </w:rPr>
              <w:t>Page</w:t>
            </w:r>
          </w:p>
        </w:tc>
      </w:tr>
      <w:tr>
        <w:trPr>
          <w:trHeight w:val="190"/>
        </w:trPr>
        <w:tc>
          <w:tcPr>
            <w:tcW w:w="60" w:type="dxa"/>
            <w:vAlign w:val="bottom"/>
          </w:tcPr>
          <w:p>
            <w:pPr>
              <w:spacing w:after="0"/>
              <w:rPr>
                <w:sz w:val="16"/>
                <w:szCs w:val="16"/>
                <w:color w:val="auto"/>
              </w:rPr>
            </w:pPr>
          </w:p>
        </w:tc>
        <w:tc>
          <w:tcPr>
            <w:tcW w:w="5420" w:type="dxa"/>
            <w:vAlign w:val="bottom"/>
            <w:gridSpan w:val="8"/>
          </w:tcPr>
          <w:p>
            <w:pPr>
              <w:spacing w:after="0" w:line="190" w:lineRule="exact"/>
              <w:rPr>
                <w:rFonts w:ascii="Arial" w:cs="Arial" w:eastAsia="Arial" w:hAnsi="Arial"/>
                <w:sz w:val="18"/>
                <w:szCs w:val="18"/>
                <w:color w:val="0000EE"/>
              </w:rPr>
            </w:pPr>
            <w:hyperlink w:anchor="page93">
              <w:r>
                <w:rPr>
                  <w:rFonts w:ascii="Arial" w:cs="Arial" w:eastAsia="Arial" w:hAnsi="Arial"/>
                  <w:sz w:val="18"/>
                  <w:szCs w:val="18"/>
                  <w:color w:val="0000EE"/>
                </w:rPr>
                <w:t>Report of Independent Registered Public Accounting Firm</w:t>
              </w:r>
            </w:hyperlink>
          </w:p>
        </w:tc>
        <w:tc>
          <w:tcPr>
            <w:tcW w:w="5960" w:type="dxa"/>
            <w:vAlign w:val="bottom"/>
          </w:tcPr>
          <w:p>
            <w:pPr>
              <w:jc w:val="right"/>
              <w:spacing w:after="0" w:line="190" w:lineRule="exact"/>
              <w:rPr>
                <w:sz w:val="20"/>
                <w:szCs w:val="20"/>
                <w:color w:val="auto"/>
              </w:rPr>
            </w:pPr>
            <w:r>
              <w:rPr>
                <w:rFonts w:ascii="Arial" w:cs="Arial" w:eastAsia="Arial" w:hAnsi="Arial"/>
                <w:sz w:val="18"/>
                <w:szCs w:val="18"/>
                <w:color w:val="auto"/>
              </w:rPr>
              <w:t>91</w:t>
            </w:r>
          </w:p>
        </w:tc>
      </w:tr>
      <w:tr>
        <w:trPr>
          <w:trHeight w:val="249"/>
        </w:trPr>
        <w:tc>
          <w:tcPr>
            <w:tcW w:w="60" w:type="dxa"/>
            <w:vAlign w:val="bottom"/>
          </w:tcPr>
          <w:p>
            <w:pPr>
              <w:spacing w:after="0"/>
              <w:rPr>
                <w:sz w:val="21"/>
                <w:szCs w:val="21"/>
                <w:color w:val="auto"/>
              </w:rPr>
            </w:pPr>
          </w:p>
        </w:tc>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1200" w:type="dxa"/>
            <w:vAlign w:val="bottom"/>
            <w:gridSpan w:val="2"/>
          </w:tcPr>
          <w:p>
            <w:pPr>
              <w:spacing w:after="0"/>
              <w:rPr>
                <w:sz w:val="21"/>
                <w:szCs w:val="21"/>
                <w:color w:val="auto"/>
              </w:rPr>
            </w:pPr>
          </w:p>
        </w:tc>
        <w:tc>
          <w:tcPr>
            <w:tcW w:w="5960" w:type="dxa"/>
            <w:vAlign w:val="bottom"/>
          </w:tcPr>
          <w:p>
            <w:pPr>
              <w:spacing w:after="0"/>
              <w:rPr>
                <w:sz w:val="21"/>
                <w:szCs w:val="21"/>
                <w:color w:val="auto"/>
              </w:rPr>
            </w:pPr>
          </w:p>
        </w:tc>
      </w:tr>
      <w:tr>
        <w:trPr>
          <w:trHeight w:val="190"/>
        </w:trPr>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80" w:type="dxa"/>
            <w:vAlign w:val="bottom"/>
            <w:gridSpan w:val="7"/>
          </w:tcPr>
          <w:p>
            <w:pPr>
              <w:spacing w:after="0" w:line="190"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Balance Sheets</w:t>
              </w:r>
            </w:hyperlink>
          </w:p>
        </w:tc>
        <w:tc>
          <w:tcPr>
            <w:tcW w:w="5960" w:type="dxa"/>
            <w:vAlign w:val="bottom"/>
          </w:tcPr>
          <w:p>
            <w:pPr>
              <w:jc w:val="right"/>
              <w:spacing w:after="0" w:line="190" w:lineRule="exact"/>
              <w:rPr>
                <w:sz w:val="20"/>
                <w:szCs w:val="20"/>
                <w:color w:val="auto"/>
              </w:rPr>
            </w:pPr>
            <w:r>
              <w:rPr>
                <w:rFonts w:ascii="Arial" w:cs="Arial" w:eastAsia="Arial" w:hAnsi="Arial"/>
                <w:sz w:val="18"/>
                <w:szCs w:val="18"/>
                <w:color w:val="auto"/>
              </w:rPr>
              <w:t>92</w:t>
            </w: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Consolidated Statements of Operations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Statements of Convertible Preferred Stock and Stockholders’ Deficit</w:t>
              </w:r>
            </w:hyperlink>
          </w:p>
        </w:tc>
        <w:tc>
          <w:tcPr>
            <w:tcW w:w="140" w:type="dxa"/>
            <w:vAlign w:val="bottom"/>
          </w:tcPr>
          <w:p>
            <w:pPr>
              <w:spacing w:after="0"/>
              <w:rPr>
                <w:sz w:val="18"/>
                <w:szCs w:val="18"/>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Statements of Cash Flows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7"/>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Notes to Financial Statements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669"/>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60" w:type="dxa"/>
            <w:vAlign w:val="bottom"/>
          </w:tcPr>
          <w:p>
            <w:pPr>
              <w:jc w:val="right"/>
              <w:ind w:right="5552"/>
              <w:spacing w:after="0"/>
              <w:rPr>
                <w:sz w:val="20"/>
                <w:szCs w:val="20"/>
                <w:color w:val="auto"/>
              </w:rPr>
            </w:pPr>
            <w:r>
              <w:rPr>
                <w:rFonts w:ascii="Arial" w:cs="Arial" w:eastAsia="Arial" w:hAnsi="Arial"/>
                <w:sz w:val="18"/>
                <w:szCs w:val="18"/>
                <w:color w:val="auto"/>
              </w:rPr>
              <w:t>90</w:t>
            </w:r>
          </w:p>
        </w:tc>
      </w:tr>
      <w:tr>
        <w:trPr>
          <w:trHeight w:val="115"/>
        </w:trPr>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2" w:name="page93"/>
    <w:bookmarkEnd w:id="92"/>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AnaptysBio, Inc. and subsidiary as of December 31, 2016 and 2015, and the related consolidated statements of operations, convertible preferred stock and stockholders’ deficit, and cash flows for each of the years in the three-year period ended December 31,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AnaptysBio, Inc. and subsidiary as of December 31, 2016 and 2015, and the results of their operations and their cash flows for each of the years in the three-year period ended December 31, 2016, in conformity with U.S. generally accepted accounting principles.</w:t>
      </w:r>
    </w:p>
    <w:p>
      <w:pPr>
        <w:spacing w:after="0" w:line="18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93" w:name="page94"/>
    <w:bookmarkEnd w:id="93"/>
    <w:p>
      <w:pPr>
        <w:jc w:val="center"/>
        <w:ind w:right="-15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94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FF0FC"/>
          </w:tcPr>
          <w:p>
            <w:pPr>
              <w:jc w:val="center"/>
              <w:ind w:left="659"/>
              <w:spacing w:after="0"/>
              <w:rPr>
                <w:sz w:val="20"/>
                <w:szCs w:val="20"/>
                <w:color w:val="auto"/>
              </w:rPr>
            </w:pPr>
            <w:r>
              <w:rPr>
                <w:rFonts w:ascii="Arial" w:cs="Arial" w:eastAsia="Arial" w:hAnsi="Arial"/>
                <w:sz w:val="16"/>
                <w:szCs w:val="16"/>
                <w:b w:val="1"/>
                <w:bCs w:val="1"/>
                <w:color w:val="auto"/>
                <w:w w:val="93"/>
              </w:rPr>
              <w:t>ASSETS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1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51,232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Receivable from collaborative partners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Australian tax incentive receivable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current assets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financing costs</w:t>
            </w:r>
          </w:p>
        </w:tc>
        <w:tc>
          <w:tcPr>
            <w:tcW w:w="9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11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62,180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bottom w:val="single" w:sz="8" w:color="CFF0FC"/>
            </w:tcBorders>
            <w:vMerge w:val="restart"/>
          </w:tcPr>
          <w:p>
            <w:pPr>
              <w:jc w:val="center"/>
              <w:ind w:left="679"/>
              <w:spacing w:after="0"/>
              <w:rPr>
                <w:sz w:val="20"/>
                <w:szCs w:val="20"/>
                <w:color w:val="auto"/>
              </w:rPr>
            </w:pPr>
            <w:r>
              <w:rPr>
                <w:rFonts w:ascii="Arial" w:cs="Arial" w:eastAsia="Arial" w:hAnsi="Arial"/>
                <w:sz w:val="16"/>
                <w:szCs w:val="16"/>
                <w:b w:val="1"/>
                <w:bCs w:val="1"/>
                <w:color w:val="auto"/>
              </w:rPr>
              <w:t>LIABILITIES, CONVERTIBLE PREFERRED STOCK AND</w:t>
            </w: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jc w:val="center"/>
              <w:ind w:left="659"/>
              <w:spacing w:after="0"/>
              <w:rPr>
                <w:sz w:val="20"/>
                <w:szCs w:val="20"/>
                <w:color w:val="auto"/>
              </w:rPr>
            </w:pPr>
            <w:r>
              <w:rPr>
                <w:rFonts w:ascii="Arial" w:cs="Arial" w:eastAsia="Arial" w:hAnsi="Arial"/>
                <w:sz w:val="16"/>
                <w:szCs w:val="16"/>
                <w:b w:val="1"/>
                <w:bCs w:val="1"/>
                <w:color w:val="auto"/>
              </w:rPr>
              <w:t>STOCKHOLDERS’ DEFICIT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Accounts payable</w:t>
            </w:r>
          </w:p>
        </w:tc>
        <w:tc>
          <w:tcPr>
            <w:tcW w:w="11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2,278</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Accrued expenses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Income taxes payable</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current liabilities</w:t>
            </w:r>
          </w:p>
        </w:tc>
        <w:tc>
          <w:tcPr>
            <w:tcW w:w="9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current liabilities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Notes payable, net of current portion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Deferred rent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Preferred stock warrant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940" w:type="dxa"/>
            <w:vAlign w:val="bottom"/>
          </w:tcPr>
          <w:p>
            <w:pPr>
              <w:spacing w:after="0"/>
              <w:rPr>
                <w:sz w:val="20"/>
                <w:szCs w:val="20"/>
                <w:color w:val="auto"/>
              </w:rPr>
            </w:pPr>
            <w:r>
              <w:rPr>
                <w:rFonts w:ascii="Arial" w:cs="Arial" w:eastAsia="Arial" w:hAnsi="Arial"/>
                <w:sz w:val="16"/>
                <w:szCs w:val="16"/>
                <w:color w:val="auto"/>
              </w:rPr>
              <w:t>Series B convertible preferred stock, $0.001 par value, 3,963 shares authorized,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issued and outstanding at December 31, 2016 and 2015; aggregate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120"/>
              <w:spacing w:after="0"/>
              <w:rPr>
                <w:sz w:val="20"/>
                <w:szCs w:val="20"/>
                <w:color w:val="auto"/>
              </w:rPr>
            </w:pPr>
            <w:r>
              <w:rPr>
                <w:rFonts w:ascii="Arial" w:cs="Arial" w:eastAsia="Arial" w:hAnsi="Arial"/>
                <w:sz w:val="16"/>
                <w:szCs w:val="16"/>
                <w:color w:val="auto"/>
              </w:rPr>
              <w:t>liquidation preference at December 31, 2016 of $24,991</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Series C convertible preferred stock, $0.001 par value, 1,887 shares authorized, 1,593</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 issued and outstanding at December 31, 2016 and 2015; aggregate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liquidation preference at December 31, 2016 of $7,246</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40" w:type="dxa"/>
            <w:vAlign w:val="bottom"/>
          </w:tcPr>
          <w:p>
            <w:pPr>
              <w:spacing w:after="0"/>
              <w:rPr>
                <w:sz w:val="20"/>
                <w:szCs w:val="20"/>
                <w:color w:val="auto"/>
              </w:rPr>
            </w:pPr>
            <w:r>
              <w:rPr>
                <w:rFonts w:ascii="Arial" w:cs="Arial" w:eastAsia="Arial" w:hAnsi="Arial"/>
                <w:sz w:val="16"/>
                <w:szCs w:val="16"/>
                <w:color w:val="auto"/>
              </w:rPr>
              <w:t>Series C-1 convertible preferred stock, $0.001 par value, 474 shares authorized,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120"/>
              <w:spacing w:after="0"/>
              <w:rPr>
                <w:sz w:val="20"/>
                <w:szCs w:val="20"/>
                <w:color w:val="auto"/>
              </w:rPr>
            </w:pPr>
            <w:r>
              <w:rPr>
                <w:rFonts w:ascii="Arial" w:cs="Arial" w:eastAsia="Arial" w:hAnsi="Arial"/>
                <w:sz w:val="16"/>
                <w:szCs w:val="16"/>
                <w:color w:val="auto"/>
              </w:rPr>
              <w:t>issued and outstanding at December 31, 2016 and 2015, respectively;</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120"/>
              <w:spacing w:after="0"/>
              <w:rPr>
                <w:sz w:val="20"/>
                <w:szCs w:val="20"/>
                <w:color w:val="auto"/>
              </w:rPr>
            </w:pPr>
            <w:r>
              <w:rPr>
                <w:rFonts w:ascii="Arial" w:cs="Arial" w:eastAsia="Arial" w:hAnsi="Arial"/>
                <w:sz w:val="16"/>
                <w:szCs w:val="16"/>
                <w:color w:val="auto"/>
              </w:rPr>
              <w:t>aggregate liquidation preference at December 31, 2016 of $6,470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Series D convertible preferred stock, $0.001 par value, 5,491 shares authorized,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issued and outstanding at December 31, 2016 and 2015, respectively;</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aggregate liquidation preference at December 31, 2016 of $40,767</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Stockholders’ deficit: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$0.001 par value, 17,214 shares authorized, 2,651 shares and 2,630</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 issued and outstanding at December 31, 2016 and 2015, respectively</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(54,923)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(50,664)</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60"/>
              <w:spacing w:after="0"/>
              <w:rPr>
                <w:sz w:val="20"/>
                <w:szCs w:val="20"/>
                <w:color w:val="auto"/>
              </w:rPr>
            </w:pPr>
            <w:r>
              <w:rPr>
                <w:rFonts w:ascii="Arial" w:cs="Arial" w:eastAsia="Arial" w:hAnsi="Arial"/>
                <w:sz w:val="16"/>
                <w:szCs w:val="16"/>
                <w:color w:val="auto"/>
              </w:rPr>
              <w:t>Total stockholders’ deficit</w:t>
            </w: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(38,248)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(35,179)</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62,180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1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16,684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15,419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1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19,709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Income (loss) from operations</w:t>
            </w:r>
          </w:p>
        </w:tc>
        <w:tc>
          <w:tcPr>
            <w:tcW w:w="11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(3,025)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parties</w:t>
            </w:r>
          </w:p>
        </w:tc>
        <w:tc>
          <w:tcPr>
            <w:tcW w:w="1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Change in fair value of liability for preferred stock warrants</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 net</w:t>
            </w:r>
          </w:p>
        </w:tc>
        <w:tc>
          <w:tcPr>
            <w:tcW w:w="110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(loss) before income taxes</w:t>
            </w:r>
          </w:p>
        </w:tc>
        <w:tc>
          <w:tcPr>
            <w:tcW w:w="1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(4,259)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500"/>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income (loss)</w:t>
            </w:r>
          </w:p>
        </w:tc>
        <w:tc>
          <w:tcPr>
            <w:tcW w:w="1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(4,259)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(5,405)</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500"/>
              <w:spacing w:after="0"/>
              <w:rPr>
                <w:sz w:val="20"/>
                <w:szCs w:val="20"/>
                <w:color w:val="auto"/>
              </w:rPr>
            </w:pPr>
            <w:r>
              <w:rPr>
                <w:rFonts w:ascii="Arial" w:cs="Arial" w:eastAsia="Arial" w:hAnsi="Arial"/>
                <w:sz w:val="18"/>
                <w:szCs w:val="18"/>
                <w:color w:val="auto"/>
              </w:rPr>
              <w:t>Net income attributed to participating securities</w:t>
            </w: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income (loss) attributed to common stockholders</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(4,259)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common share:</w:t>
            </w:r>
          </w:p>
        </w:tc>
        <w:tc>
          <w:tcPr>
            <w:tcW w:w="1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 and diluted</w:t>
            </w:r>
          </w:p>
        </w:tc>
        <w:tc>
          <w:tcPr>
            <w:tcW w:w="1920" w:type="dxa"/>
            <w:vAlign w:val="bottom"/>
            <w:gridSpan w:val="2"/>
            <w:shd w:val="clear" w:color="auto" w:fill="CFF0FC"/>
          </w:tcPr>
          <w:p>
            <w:pPr>
              <w:jc w:val="right"/>
              <w:ind w:right="63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(2.12)</w:t>
            </w: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shares outstanding:</w:t>
            </w:r>
          </w:p>
        </w:tc>
        <w:tc>
          <w:tcPr>
            <w:tcW w:w="1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Basic and diluted</w:t>
            </w:r>
          </w:p>
        </w:tc>
        <w:tc>
          <w:tcPr>
            <w:tcW w:w="1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4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Series C</w:t>
            </w:r>
          </w:p>
        </w:tc>
        <w:tc>
          <w:tcPr>
            <w:tcW w:w="13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Series C-1</w:t>
            </w: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Series 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4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3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3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80" w:type="dxa"/>
            <w:vAlign w:val="bottom"/>
            <w:gridSpan w:val="5"/>
            <w:vMerge w:val="restart"/>
          </w:tcPr>
          <w:p>
            <w:pPr>
              <w:jc w:val="right"/>
              <w:ind w:right="3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3"/>
            <w:vMerge w:val="continue"/>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14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Preferred Stock</w:t>
            </w:r>
          </w:p>
        </w:tc>
        <w:tc>
          <w:tcPr>
            <w:tcW w:w="13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Preferred Stock</w:t>
            </w: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Preferred Stock</w:t>
            </w:r>
          </w:p>
        </w:tc>
        <w:tc>
          <w:tcPr>
            <w:tcW w:w="11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Shares</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Shares</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Shares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3"/>
                <w:szCs w:val="13"/>
                <w:color w:val="auto"/>
              </w:rPr>
            </w:pPr>
          </w:p>
        </w:tc>
        <w:tc>
          <w:tcPr>
            <w:tcW w:w="62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w w:val="94"/>
              </w:rPr>
              <w:t>Shares</w:t>
            </w:r>
          </w:p>
        </w:tc>
        <w:tc>
          <w:tcPr>
            <w:tcW w:w="56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8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8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1"/>
        </w:trPr>
        <w:tc>
          <w:tcPr>
            <w:tcW w:w="17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Balance, January 1,</w:t>
            </w: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2014</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$ 28,220</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$ 6,452</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$ 14,262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(48,791)</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(34,527)</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20"/>
                <w:szCs w:val="20"/>
                <w:color w:val="auto"/>
              </w:rPr>
            </w:pPr>
            <w:r>
              <w:rPr>
                <w:rFonts w:ascii="Arial" w:cs="Arial" w:eastAsia="Arial" w:hAnsi="Arial"/>
                <w:sz w:val="18"/>
                <w:szCs w:val="18"/>
                <w:color w:val="auto"/>
              </w:rPr>
              <w:t>Conversion of</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promissory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40"/>
              <w:spacing w:after="0"/>
              <w:rPr>
                <w:sz w:val="20"/>
                <w:szCs w:val="20"/>
                <w:color w:val="auto"/>
              </w:rPr>
            </w:pPr>
            <w:r>
              <w:rPr>
                <w:rFonts w:ascii="Arial" w:cs="Arial" w:eastAsia="Arial" w:hAnsi="Arial"/>
                <w:sz w:val="18"/>
                <w:szCs w:val="18"/>
                <w:color w:val="auto"/>
              </w:rPr>
              <w:t>notes payable to</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related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140"/>
              <w:spacing w:after="0"/>
              <w:rPr>
                <w:sz w:val="20"/>
                <w:szCs w:val="20"/>
                <w:color w:val="auto"/>
              </w:rPr>
            </w:pPr>
            <w:r>
              <w:rPr>
                <w:rFonts w:ascii="Arial" w:cs="Arial" w:eastAsia="Arial" w:hAnsi="Arial"/>
                <w:sz w:val="18"/>
                <w:szCs w:val="18"/>
                <w:color w:val="auto"/>
                <w:w w:val="93"/>
              </w:rPr>
              <w:t>parties into shares of</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Series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140"/>
              <w:spacing w:after="0"/>
              <w:rPr>
                <w:sz w:val="20"/>
                <w:szCs w:val="20"/>
                <w:color w:val="auto"/>
              </w:rPr>
            </w:pPr>
            <w:r>
              <w:rPr>
                <w:rFonts w:ascii="Arial" w:cs="Arial" w:eastAsia="Arial" w:hAnsi="Arial"/>
                <w:sz w:val="18"/>
                <w:szCs w:val="18"/>
                <w:color w:val="auto"/>
                <w:w w:val="98"/>
              </w:rPr>
              <w:t>C-1 Preferred Stock</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2,156</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December</w:t>
            </w: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31, 2014</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28,220</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2,156</w:t>
            </w: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14,422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(45,259)</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(30,835)</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20"/>
                <w:szCs w:val="20"/>
                <w:color w:val="auto"/>
              </w:rPr>
            </w:pPr>
            <w:r>
              <w:rPr>
                <w:rFonts w:ascii="Arial" w:cs="Arial" w:eastAsia="Arial" w:hAnsi="Arial"/>
                <w:sz w:val="18"/>
                <w:szCs w:val="18"/>
                <w:color w:val="auto"/>
              </w:rPr>
              <w:t>Issuance of Series 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5,491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40,688</w:t>
            </w:r>
          </w:p>
        </w:tc>
        <w:tc>
          <w:tcPr>
            <w:tcW w:w="1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20"/>
                <w:szCs w:val="20"/>
                <w:color w:val="auto"/>
              </w:rPr>
            </w:pPr>
            <w:r>
              <w:rPr>
                <w:rFonts w:ascii="Arial" w:cs="Arial" w:eastAsia="Arial" w:hAnsi="Arial"/>
                <w:sz w:val="18"/>
                <w:szCs w:val="18"/>
                <w:color w:val="auto"/>
              </w:rPr>
              <w:t>Shares issued under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employee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140"/>
              <w:spacing w:after="0"/>
              <w:rPr>
                <w:sz w:val="20"/>
                <w:szCs w:val="20"/>
                <w:color w:val="auto"/>
              </w:rPr>
            </w:pPr>
            <w:r>
              <w:rPr>
                <w:rFonts w:ascii="Arial" w:cs="Arial" w:eastAsia="Arial" w:hAnsi="Arial"/>
                <w:sz w:val="18"/>
                <w:szCs w:val="18"/>
                <w:color w:val="auto"/>
              </w:rPr>
              <w:t>stock plans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(5,405)</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05"/>
        </w:trPr>
        <w:tc>
          <w:tcPr>
            <w:tcW w:w="17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December</w:t>
            </w: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31, 2015</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28,220</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2,156</w:t>
            </w: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40,688</w:t>
            </w: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15,482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(50,664)</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(35,179)</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20"/>
                <w:szCs w:val="20"/>
                <w:color w:val="auto"/>
              </w:rPr>
            </w:pPr>
            <w:r>
              <w:rPr>
                <w:rFonts w:ascii="Arial" w:cs="Arial" w:eastAsia="Arial" w:hAnsi="Arial"/>
                <w:sz w:val="18"/>
                <w:szCs w:val="18"/>
                <w:color w:val="auto"/>
              </w:rPr>
              <w:t>Shares issued under</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employee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140"/>
              <w:spacing w:after="0"/>
              <w:rPr>
                <w:sz w:val="20"/>
                <w:szCs w:val="20"/>
                <w:color w:val="auto"/>
              </w:rPr>
            </w:pPr>
            <w:r>
              <w:rPr>
                <w:rFonts w:ascii="Arial" w:cs="Arial" w:eastAsia="Arial" w:hAnsi="Arial"/>
                <w:sz w:val="18"/>
                <w:szCs w:val="18"/>
                <w:color w:val="auto"/>
              </w:rPr>
              <w:t>stock plans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w w:val="96"/>
              </w:rPr>
              <w:t>Repurchase of shares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compensation</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(4,259)</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05"/>
        </w:trPr>
        <w:tc>
          <w:tcPr>
            <w:tcW w:w="1720" w:type="dxa"/>
            <w:vAlign w:val="bottom"/>
          </w:tcPr>
          <w:p>
            <w:pPr>
              <w:spacing w:after="0" w:line="205" w:lineRule="exact"/>
              <w:rPr>
                <w:sz w:val="20"/>
                <w:szCs w:val="20"/>
                <w:color w:val="auto"/>
              </w:rPr>
            </w:pPr>
            <w:r>
              <w:rPr>
                <w:rFonts w:ascii="Arial" w:cs="Arial" w:eastAsia="Arial" w:hAnsi="Arial"/>
                <w:sz w:val="18"/>
                <w:szCs w:val="18"/>
                <w:b w:val="1"/>
                <w:bCs w:val="1"/>
                <w:color w:val="auto"/>
              </w:rPr>
              <w:t>Balance, December</w:t>
            </w: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31, 2016</w:t>
            </w:r>
          </w:p>
        </w:tc>
        <w:tc>
          <w:tcPr>
            <w:tcW w:w="520" w:type="dxa"/>
            <w:vAlign w:val="bottom"/>
          </w:tcPr>
          <w:p>
            <w:pPr>
              <w:jc w:val="right"/>
              <w:spacing w:after="0"/>
              <w:rPr>
                <w:sz w:val="20"/>
                <w:szCs w:val="20"/>
                <w:color w:val="auto"/>
              </w:rPr>
            </w:pPr>
            <w:r>
              <w:rPr>
                <w:rFonts w:ascii="Arial" w:cs="Arial" w:eastAsia="Arial" w:hAnsi="Arial"/>
                <w:sz w:val="18"/>
                <w:szCs w:val="18"/>
                <w:color w:val="auto"/>
              </w:rPr>
              <w:t>3,963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$ 28,220</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1,593</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6,452</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2,156</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40,688</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20"/>
                <w:szCs w:val="20"/>
                <w:color w:val="auto"/>
              </w:rPr>
            </w:pP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$ 16,672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(54,923)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Net income (loss)</w:t>
            </w:r>
          </w:p>
        </w:tc>
        <w:tc>
          <w:tcPr>
            <w:tcW w:w="180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(4,259)</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(5,405)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19"/>
                <w:szCs w:val="19"/>
                <w:color w:val="auto"/>
              </w:rPr>
            </w:pPr>
          </w:p>
        </w:tc>
      </w:tr>
      <w:tr>
        <w:trPr>
          <w:trHeight w:val="215"/>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9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9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Change in fair value of liability for preferred stock warrants</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 expense</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500"/>
              <w:spacing w:after="0"/>
              <w:rPr>
                <w:sz w:val="20"/>
                <w:szCs w:val="20"/>
                <w:color w:val="auto"/>
              </w:rPr>
            </w:pPr>
            <w:r>
              <w:rPr>
                <w:rFonts w:ascii="Arial" w:cs="Arial" w:eastAsia="Arial" w:hAnsi="Arial"/>
                <w:sz w:val="18"/>
                <w:szCs w:val="18"/>
                <w:color w:val="auto"/>
              </w:rPr>
              <w:t>Receivable from collaborative partners</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(1,455)</w:t>
            </w:r>
          </w:p>
        </w:tc>
      </w:tr>
      <w:tr>
        <w:trPr>
          <w:trHeight w:val="230"/>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Restricted cash</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500"/>
              <w:spacing w:after="0"/>
              <w:rPr>
                <w:sz w:val="20"/>
                <w:szCs w:val="20"/>
                <w:color w:val="auto"/>
              </w:rPr>
            </w:pPr>
            <w:r>
              <w:rPr>
                <w:rFonts w:ascii="Arial" w:cs="Arial" w:eastAsia="Arial" w:hAnsi="Arial"/>
                <w:sz w:val="18"/>
                <w:szCs w:val="18"/>
                <w:color w:val="auto"/>
              </w:rPr>
              <w:t>Australian tax incentive receivable</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(4,118)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w:t>
            </w:r>
          </w:p>
        </w:tc>
      </w:tr>
      <w:tr>
        <w:trPr>
          <w:trHeight w:val="230"/>
        </w:trPr>
        <w:tc>
          <w:tcPr>
            <w:tcW w:w="5860" w:type="dxa"/>
            <w:vAlign w:val="bottom"/>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taxes payable</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(2,942)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(9,078)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tcPr>
          <w:p>
            <w:pPr>
              <w:spacing w:after="0"/>
              <w:rPr>
                <w:sz w:val="19"/>
                <w:szCs w:val="19"/>
                <w:color w:val="auto"/>
              </w:rPr>
            </w:pPr>
          </w:p>
        </w:tc>
      </w:tr>
      <w:tr>
        <w:trPr>
          <w:trHeight w:val="223"/>
        </w:trPr>
        <w:tc>
          <w:tcPr>
            <w:tcW w:w="58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operating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(9,030)</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property and equipment</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23"/>
        </w:trPr>
        <w:tc>
          <w:tcPr>
            <w:tcW w:w="58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Payments for repurchase of common stock</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issuance of preferred stock, net of issuance costs</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Payments for deferred offering costs</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(1,147)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(1,445)</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debt</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10,000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Payments for debt issuance costs</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23"/>
        </w:trPr>
        <w:tc>
          <w:tcPr>
            <w:tcW w:w="58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39,403</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60" w:type="dxa"/>
            <w:vAlign w:val="bottom"/>
          </w:tcPr>
          <w:p>
            <w:pPr>
              <w:ind w:left="1000"/>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29,496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19,378</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51,684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22,188</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FF0FC"/>
          </w:tcPr>
          <w:p>
            <w:pPr>
              <w:spacing w:after="0"/>
              <w:rPr>
                <w:sz w:val="19"/>
                <w:szCs w:val="19"/>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51,232</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51,684</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tcBorders>
              <w:bottom w:val="single" w:sz="8" w:color="CFF0FC"/>
            </w:tcBorders>
          </w:tcPr>
          <w:p>
            <w:pPr>
              <w:spacing w:after="0"/>
              <w:rPr>
                <w:sz w:val="22"/>
                <w:szCs w:val="22"/>
                <w:color w:val="auto"/>
              </w:rPr>
            </w:pPr>
          </w:p>
        </w:tc>
      </w:tr>
      <w:tr>
        <w:trPr>
          <w:trHeight w:val="192"/>
        </w:trPr>
        <w:tc>
          <w:tcPr>
            <w:tcW w:w="586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SUPPLEMENTAL DISCLOSURE OF CASH FLOW</w:t>
            </w:r>
          </w:p>
        </w:tc>
        <w:tc>
          <w:tcPr>
            <w:tcW w:w="9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INFORMATION</w:t>
            </w:r>
          </w:p>
        </w:tc>
        <w:tc>
          <w:tcPr>
            <w:tcW w:w="9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Interest paid</w:t>
            </w:r>
          </w:p>
        </w:tc>
        <w:tc>
          <w:tcPr>
            <w:tcW w:w="180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9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Fair value of warrants issued with debt</w:t>
            </w:r>
          </w:p>
        </w:tc>
        <w:tc>
          <w:tcPr>
            <w:tcW w:w="180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936</w:t>
            </w:r>
          </w:p>
        </w:tc>
        <w:tc>
          <w:tcPr>
            <w:tcW w:w="6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accrued for property and equipment</w:t>
            </w:r>
          </w:p>
        </w:tc>
        <w:tc>
          <w:tcPr>
            <w:tcW w:w="180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Amounts accrued for deferred financing costs</w:t>
            </w:r>
          </w:p>
        </w:tc>
        <w:tc>
          <w:tcPr>
            <w:tcW w:w="180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 of warrants to equity</w:t>
            </w:r>
          </w:p>
        </w:tc>
        <w:tc>
          <w:tcPr>
            <w:tcW w:w="180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860" w:type="dxa"/>
            <w:vAlign w:val="bottom"/>
          </w:tcPr>
          <w:p>
            <w:pPr>
              <w:ind w:left="260"/>
              <w:spacing w:after="0"/>
              <w:rPr>
                <w:sz w:val="20"/>
                <w:szCs w:val="20"/>
                <w:color w:val="auto"/>
              </w:rPr>
            </w:pPr>
            <w:r>
              <w:rPr>
                <w:rFonts w:ascii="Arial" w:cs="Arial" w:eastAsia="Arial" w:hAnsi="Arial"/>
                <w:sz w:val="18"/>
                <w:szCs w:val="18"/>
                <w:color w:val="auto"/>
              </w:rPr>
              <w:t>Conversion of convertible promissory notes payable to related</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60" w:type="dxa"/>
            <w:vAlign w:val="bottom"/>
          </w:tcPr>
          <w:p>
            <w:pPr>
              <w:ind w:left="380"/>
              <w:spacing w:after="0"/>
              <w:rPr>
                <w:sz w:val="20"/>
                <w:szCs w:val="20"/>
                <w:color w:val="auto"/>
              </w:rPr>
            </w:pPr>
            <w:r>
              <w:rPr>
                <w:rFonts w:ascii="Arial" w:cs="Arial" w:eastAsia="Arial" w:hAnsi="Arial"/>
                <w:sz w:val="18"/>
                <w:szCs w:val="18"/>
                <w:color w:val="auto"/>
              </w:rPr>
              <w:t>parties into shares of Series C-1 Preferred Stock</w:t>
            </w:r>
          </w:p>
        </w:tc>
        <w:tc>
          <w:tcPr>
            <w:tcW w:w="180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0"/>
                <w:szCs w:val="20"/>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the natural process of antibody generation. We currently generate revenue from our collaborative research and development arrangements.</w:t>
      </w:r>
    </w:p>
    <w:p>
      <w:pPr>
        <w:spacing w:after="0" w:line="187"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at December 31, 2016, have an accumulated deficit of $54.9 million. Through December 31, 2016,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 We operate in one reportable segment in the United States of America and our functional and reporting currency is the U.S. dollar. The accompanying consolidated financial statements have been prepared in conformity with accounting principles generally accepted in the United States of America (“U.S. GAAP”).</w:t>
      </w:r>
    </w:p>
    <w:p>
      <w:pPr>
        <w:spacing w:after="0" w:line="18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During fiscal 2016, we revised our consolidated statements of cash flows for fiscal 2014 to reflect the gross proceeds from debt within net cash flows provided by financing activities, rather than disclosing this amount net of costs to issue. For fiscal 2014, $85,000 of issuance costs were reclassified out of proceeds from debt on the consolidated statements of cash flows to conform to the current period presentation.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We held restricted cash of $60,000 at December 31, 2016 and 2015, respectively, which we used to secure a letter of credit provided as security for our operating lease for our facility.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98" w:name="page99"/>
    <w:bookmarkEnd w:id="98"/>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2016, 2015, or 2014.</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Deferred offering costs represent legal, accounting and other direct costs related to our IPO. As of December 31, 2016, we have incurred an aggregate of $3.4 million in direct costs related to our anticipated public offering of common stock. These costs were deferred and recorded as a long-term asset at December 31, 2016.</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 Deferred Rent and Operating Lease Incentives</w:t>
      </w:r>
    </w:p>
    <w:p>
      <w:pPr>
        <w:spacing w:after="0" w:line="117"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color w:val="auto"/>
        </w:rPr>
        <w:t>Our corporate headquarters lease is classified as an operating lease. Rent expense is recognized on a straight-line basis over the terms of the leases and, accordingly, we record the cumulative difference between cash rent payments and the recognition of rent expense as a deferred rent liability. 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right="20" w:firstLine="598"/>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9" w:name="page100"/>
    <w:bookmarkEnd w:id="99"/>
    <w:p>
      <w:pPr>
        <w:ind w:right="360" w:firstLine="598"/>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58" w:lineRule="exact"/>
        <w:rPr>
          <w:sz w:val="20"/>
          <w:szCs w:val="20"/>
          <w:color w:val="auto"/>
        </w:rPr>
      </w:pPr>
    </w:p>
    <w:p>
      <w:pPr>
        <w:ind w:left="1200" w:right="60" w:hanging="598"/>
        <w:spacing w:after="0" w:line="258"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75" w:lineRule="exact"/>
        <w:rPr>
          <w:rFonts w:ascii="Arial" w:cs="Arial" w:eastAsia="Arial" w:hAnsi="Arial"/>
          <w:sz w:val="18"/>
          <w:szCs w:val="18"/>
          <w:color w:val="auto"/>
        </w:rPr>
      </w:pPr>
    </w:p>
    <w:p>
      <w:pPr>
        <w:ind w:left="1200" w:right="60" w:hanging="598"/>
        <w:spacing w:after="0" w:line="298" w:lineRule="auto"/>
        <w:tabs>
          <w:tab w:leader="none" w:pos="120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Research and Development Services</w:t>
      </w:r>
      <w:r>
        <w:rPr>
          <w:rFonts w:ascii="Arial" w:cs="Arial" w:eastAsia="Arial" w:hAnsi="Arial"/>
          <w:sz w:val="16"/>
          <w:szCs w:val="16"/>
          <w:color w:val="auto"/>
        </w:rPr>
        <w:t>. 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200" w:firstLine="598"/>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licensee or collaborator.</w:t>
      </w:r>
    </w:p>
    <w:p>
      <w:pPr>
        <w:spacing w:after="0" w:line="124" w:lineRule="exact"/>
        <w:rPr>
          <w:sz w:val="20"/>
          <w:szCs w:val="20"/>
          <w:color w:val="auto"/>
        </w:rPr>
      </w:pPr>
    </w:p>
    <w:p>
      <w:pPr>
        <w:jc w:val="both"/>
        <w:ind w:right="620" w:firstLine="598"/>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300" w:firstLine="598"/>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Australian Research and Development Tax Incentive</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are eligible under the Australian Research and Development Tax Incentive Program (the “Tax Incentive”) to obtain a cash refund from the Australian Taxation Office for eligible research and development expenditures. However, we must have revenue of less than AUD $20.0 million during the reimbursable period and cannot be controlled by income tax exempt entities. The Tax Incentive is recognized as a reduction to research and development expense when there is reasonable assurance that the Tax Incentive will be received, the relevant expenditure has been incurred, and the amount can be reliably measured. The Tax Incentive is denominated in Australian dollars and, therefore, the related receivable is remeasured into U.S. dollars as of each reporting date.</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0" w:name="page101"/>
    <w:bookmarkEnd w:id="100"/>
    <w:p>
      <w:pPr>
        <w:spacing w:after="0" w:line="342" w:lineRule="auto"/>
        <w:rPr>
          <w:sz w:val="20"/>
          <w:szCs w:val="20"/>
          <w:color w:val="auto"/>
        </w:rPr>
      </w:pPr>
      <w:r>
        <w:rPr>
          <w:rFonts w:ascii="Arial" w:cs="Arial" w:eastAsia="Arial" w:hAnsi="Arial"/>
          <w:sz w:val="16"/>
          <w:szCs w:val="16"/>
          <w:color w:val="auto"/>
        </w:rPr>
        <w: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24"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 in the consolidated statement of operations.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80" w:firstLine="598"/>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598"/>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We recognize an uncertain tax position in our consolidated financial statements when we conclude that a tax position is more likely than not to be sustained upon examination based solely on technical merits. Only after a tax</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1" w:name="page102"/>
    <w:bookmarkEnd w:id="101"/>
    <w:p>
      <w:pPr>
        <w:ind w:right="220"/>
        <w:spacing w:after="0" w:line="259" w:lineRule="auto"/>
        <w:rPr>
          <w:sz w:val="20"/>
          <w:szCs w:val="20"/>
          <w:color w:val="auto"/>
        </w:rPr>
      </w:pPr>
      <w:r>
        <w:rPr>
          <w:rFonts w:ascii="Arial" w:cs="Arial" w:eastAsia="Arial" w:hAnsi="Arial"/>
          <w:sz w:val="18"/>
          <w:szCs w:val="18"/>
          <w:color w:val="auto"/>
        </w:rPr>
        <w:t>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$(0.1) million and $(0.2) million during the years ended December 31, 2016 and 2015.</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Basic net loss per common share is computed by dividing net loss attributed to common stockholders by the weighted-average number of common shares outstanding during the period. All participating securities are excluded from basic weighted-average common shares outstanding. Diluted net loss per share attributed to common stockholders is computed by dividing net loss attributed to common stockholders by the weighted-average number of common equivalent shares outstanding for the period. Diluted net loss per share attributed to common stockholders includes any dilutive effect from outstanding stock options and warrants using the treasury stock method. Computations for basic and diluted net loss per common share are presented on the consolidated statements of operations.</w:t>
      </w:r>
    </w:p>
    <w:p>
      <w:pPr>
        <w:spacing w:after="0" w:line="193"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vMerge w:val="continue"/>
          </w:tcPr>
          <w:p>
            <w:pPr>
              <w:spacing w:after="0"/>
              <w:rPr>
                <w:sz w:val="13"/>
                <w:szCs w:val="13"/>
                <w:color w:val="auto"/>
              </w:rPr>
            </w:pPr>
          </w:p>
        </w:tc>
        <w:tc>
          <w:tcPr>
            <w:tcW w:w="134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right"/>
              <w:ind w:right="450"/>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134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11,521</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1,969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preferred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260" w:firstLine="598"/>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This ASU introduces an explicit requirement for management to assess if there is substantial doubt about an entity’s ability to continue as a going concern, and to provide related footnote disclosures in certain circumstances. In connection with each annual and interim period, management must assess if there is substantial doubt about an entity’s ability to continue as a going concern within one year after the issuance date. Disclosures are required if conditions give rise to substantial doubt. ASU 2014-15 is effective for all entities in the first annual period ending after December 15, 2016. Upon adoption, there was no effect to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2" w:name="page103"/>
    <w:bookmarkEnd w:id="102"/>
    <w:p>
      <w:pPr>
        <w:ind w:right="120" w:firstLine="598"/>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eight specific cash flows issues for which it provides specific guidance on treatment within the cash flow statement, with the intent of reducing diversity in practice. As permitted by this ASU, we elected to early adopt the standard beginning with our quarterly reporting period ended December 31, 2016, with retrospective application of the amended guidance. Upon adoption, there was no effect to our consolidated financial statements.</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 xml:space="preserve">In May 2014, the Financial Accounting Standards Board (the “FASB”) issued Accounting Standards Update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outlines a single comprehensive model for entities to use in accounting for revenue from contracts with customers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will transition this standard using the modified retrospective approach for our annual reporting period beginning January 1, 2018. While we are continuing to assess all potential impacts of the standard, we currently believe the most significant impact relates to our accounting for variable consideration including revenues related to contingent “milestone” based payments.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 given the nature of potential milestones owed to us, and the inherent risk involved in developing drugs, we believe that the majority of potential milestones will not be recognizable as of the standard adoption date.</w:t>
      </w:r>
    </w:p>
    <w:p>
      <w:pPr>
        <w:spacing w:after="0" w:line="183"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reviewing all contracts outstanding and are assessing the impact that this standard will have on our consolidated financial statements.</w:t>
      </w:r>
    </w:p>
    <w:p>
      <w:pPr>
        <w:spacing w:after="0" w:line="187"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Under the new guidance, additional paid-in capital pools will be eliminated and entities will be required to recognize the income tax effects of share-based awards in the income statement when share-based awards vest or are settled. ASU 2016-09 also changes the classification of excess tax benefits on the statement of cash flows. It also will allow an employer to repurchase more of an employee's shares than it can currently for tax withholding purposes without triggering liability accounting and to make a policy election to either account for forfeitures as they occur or to continue the current practice of estimating forfeitures at the time of grant. ASU 2016-09 becomes effective for our annual reporting period beginning January 1, 2017, including interim periods thereafter; early adoption is permitted. Upon adoption of this standard in January 2017, we will recognize a cumulative decrease of approximately $30,000 to our accumulated deficit as a result of a change in accounting policy,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3" w:name="page104"/>
    <w:bookmarkEnd w:id="103"/>
    <w:p>
      <w:pPr>
        <w:ind w:right="60"/>
        <w:spacing w:after="0" w:line="277" w:lineRule="auto"/>
        <w:rPr>
          <w:sz w:val="20"/>
          <w:szCs w:val="20"/>
          <w:color w:val="auto"/>
        </w:rPr>
      </w:pPr>
      <w:r>
        <w:rPr>
          <w:rFonts w:ascii="Arial" w:cs="Arial" w:eastAsia="Arial" w:hAnsi="Arial"/>
          <w:sz w:val="18"/>
          <w:szCs w:val="18"/>
          <w:color w:val="auto"/>
        </w:rPr>
        <w:t>as we transition from calculating an estimated forfeiture rate at grant date to recording actual forfeitures as they occur. We do not anticipate any other adjustments related to adoption of this standard.</w:t>
      </w:r>
    </w:p>
    <w:p>
      <w:pPr>
        <w:spacing w:after="0" w:line="170"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which requires companies to include cash and cash equivalents that have restrictions on withdrawal or use in total cash and cash equivalents on the statement of cash flows. ASU 2016-18 becomes effective for our annual reporting period beginning January 1, 2018, including interim periods thereafter; early adoption is permitted, including adoption in an interim period. We anticipate adopting this guidance for the year beginning January 1, 2017 and will adjust our consolidated statement of cash flows to include $60,000 in restricted cash in the beginning and ending cash balance upon adopting this guidance.</w:t>
      </w:r>
    </w:p>
    <w:p>
      <w:pPr>
        <w:spacing w:after="0" w:line="277" w:lineRule="exact"/>
        <w:rPr>
          <w:sz w:val="20"/>
          <w:szCs w:val="20"/>
          <w:color w:val="auto"/>
        </w:rPr>
      </w:pPr>
    </w:p>
    <w:p>
      <w:pPr>
        <w:ind w:left="300" w:right="7040" w:hanging="292"/>
        <w:spacing w:after="0" w:line="378" w:lineRule="auto"/>
        <w:tabs>
          <w:tab w:leader="none" w:pos="18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920" w:type="dxa"/>
            <w:vAlign w:val="bottom"/>
            <w:tcBorders>
              <w:bottom w:val="single" w:sz="8" w:color="CFF0FC"/>
            </w:tcBorders>
            <w:vMerge w:val="continue"/>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(3,798)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23"/>
        </w:trPr>
        <w:tc>
          <w:tcPr>
            <w:tcW w:w="592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9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300"/>
              <w:spacing w:after="0"/>
              <w:rPr>
                <w:sz w:val="20"/>
                <w:szCs w:val="20"/>
                <w:color w:val="auto"/>
              </w:rPr>
            </w:pPr>
            <w:r>
              <w:rPr>
                <w:rFonts w:ascii="Arial" w:cs="Arial" w:eastAsia="Arial" w:hAnsi="Arial"/>
                <w:sz w:val="18"/>
                <w:szCs w:val="18"/>
                <w:b w:val="1"/>
                <w:bCs w:val="1"/>
                <w:i w:val="1"/>
                <w:iCs w:val="1"/>
                <w:color w:val="auto"/>
              </w:rPr>
              <w:t>Accrued Expenses</w:t>
            </w: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9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20" w:type="dxa"/>
            <w:vAlign w:val="bottom"/>
          </w:tcPr>
          <w:p>
            <w:pPr>
              <w:ind w:left="600"/>
              <w:spacing w:after="0"/>
              <w:rPr>
                <w:sz w:val="20"/>
                <w:szCs w:val="20"/>
                <w:color w:val="auto"/>
              </w:rPr>
            </w:pPr>
            <w:r>
              <w:rPr>
                <w:rFonts w:ascii="Arial" w:cs="Arial" w:eastAsia="Arial" w:hAnsi="Arial"/>
                <w:sz w:val="18"/>
                <w:szCs w:val="18"/>
                <w:color w:val="auto"/>
              </w:rPr>
              <w:t>Accrued expenses consist of the following:</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71"/>
        </w:trPr>
        <w:tc>
          <w:tcPr>
            <w:tcW w:w="5920" w:type="dxa"/>
            <w:vAlign w:val="bottom"/>
            <w:tcBorders>
              <w:bottom w:val="single" w:sz="8" w:color="CFF0FC"/>
            </w:tcBorders>
            <w:vMerge w:val="continue"/>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expenses</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1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00" w:right="7080" w:hanging="292"/>
        <w:spacing w:after="0" w:line="378" w:lineRule="auto"/>
        <w:tabs>
          <w:tab w:leader="none" w:pos="18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Research and Development Agreements </w:t>
      </w:r>
      <w:r>
        <w:rPr>
          <w:rFonts w:ascii="Arial" w:cs="Arial" w:eastAsia="Arial" w:hAnsi="Arial"/>
          <w:sz w:val="18"/>
          <w:szCs w:val="18"/>
          <w:b w:val="1"/>
          <w:bCs w:val="1"/>
          <w:i w:val="1"/>
          <w:iCs w:val="1"/>
          <w:color w:val="auto"/>
        </w:rPr>
        <w:t>TESARO Collaboration</w:t>
      </w:r>
    </w:p>
    <w:p>
      <w:pPr>
        <w:ind w:right="60" w:firstLine="598"/>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an Amendment No. 1 to the Agreement to add an antibody discovery program against an undisclosed fourth target for an upfront license fee of $2.0 million.</w:t>
      </w:r>
    </w:p>
    <w:p>
      <w:pPr>
        <w:spacing w:after="0" w:line="178"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4" w:name="page105"/>
    <w:bookmarkEnd w:id="104"/>
    <w:p>
      <w:pPr>
        <w:spacing w:after="0" w:line="255" w:lineRule="auto"/>
        <w:rPr>
          <w:sz w:val="20"/>
          <w:szCs w:val="20"/>
          <w:color w:val="auto"/>
        </w:rPr>
      </w:pPr>
      <w:r>
        <w:rPr>
          <w:rFonts w:ascii="Arial" w:cs="Arial" w:eastAsia="Arial" w:hAnsi="Arial"/>
          <w:sz w:val="18"/>
          <w:szCs w:val="18"/>
          <w:color w:val="auto"/>
        </w:rPr>
        <w:t>tiered single-digit royalties related to worldwide net sales of products developed under the collaboration.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w:t>
      </w:r>
    </w:p>
    <w:p>
      <w:pPr>
        <w:spacing w:after="0" w:line="189"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 xml:space="preserve">During the year ended December 31, 2015, we achieved two $1.0 million milestones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(GLPs), for an AnaptysBio-generated anti-PD-1 antagonist antibody (TSR-042) and an AnaptysBio-generated anti-TIM-3 antagonist antibody (TSR-022), each being advanced by TESARO, for which we recognized revenue of $1.7 million. The remaining unrecognized milestone payment of $0.3 million at December 31, 2015 was recognized ratably through December 2016.</w:t>
      </w:r>
    </w:p>
    <w:p>
      <w:pPr>
        <w:spacing w:after="0" w:line="18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the $4.0 million milestone payment as revenue during the year ended December 31, 2016. The $4.0 million milestone payment was received in February 2016.</w:t>
      </w:r>
    </w:p>
    <w:p>
      <w:pPr>
        <w:spacing w:after="0" w:line="181"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the $4.0 million milestone payment as revenue during the year ended December 31, 2016. The $4.0 million milestone payment was received in June 2016.</w:t>
      </w:r>
    </w:p>
    <w:p>
      <w:pPr>
        <w:spacing w:after="0" w:line="18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$1.0 million during the year ended December 31, 2016. The $1.0 million milestone payment was received in September 2016.</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Revenue recognized under this agreement aggregated $15.2 million during the year ended December 31, 2016, which includes $2.6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the upfront fee, $9.3 million related to five milestones earned and $3.2 million in funding for research and development services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was a receivable at December 31, 2016. Revenue recognized under this agreement aggregated $17.6 million during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which primarily includes $9.4 million for the amortization of the upfront fee, $6.5 million in funding for research and development services and $1.7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for milestones earned. Revenue recognized under this agreement aggregated $11.5 million during the year ended December 31, 2014, which includes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$7.0 million for the amortization of the upfront fee and $4.5 million in funding for research and development services.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jc w:val="both"/>
        <w:ind w:right="240" w:firstLine="598"/>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5" w:name="page106"/>
    <w:bookmarkEnd w:id="105"/>
    <w:p>
      <w:pPr>
        <w:ind w:right="360" w:firstLine="598"/>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for an AnaptysBio-generated antibody resulting in us earning a $0.5 million milestone payment in June 2016, which we recognized in full as revenue in June 2016. The $0.5 million milestone payment was received in June 2016.</w:t>
      </w:r>
    </w:p>
    <w:p>
      <w:pPr>
        <w:spacing w:after="0" w:line="181"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color w:val="auto"/>
        </w:rPr>
        <w:t>In December 2016, Celgene initiated a Phase 1 trial for an AnaptysBio-generated antibody resulting in us earning a $1.0 million milestone payment in December 2016, which we recognized in full as revenue in December 2016. The $1.0 million milestone was a receivable as of December 31, 2016.</w:t>
      </w:r>
    </w:p>
    <w:p>
      <w:pPr>
        <w:spacing w:after="0" w:line="124"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No revenue was recognized under this agreement during fiscal 2015. Revenue recognized under this agreement aggregated $0.6 million during the year ended December 31, 2014, which includes $0.5 million in success fees and $92,000 in funding for research and development costs.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We are party to other collaboration agreements for which we recognized $3.7 million in collaboration revenue during the year ended December 31, 2014. We completed our obligations under these agreements in 2014 and did not recognize any additional revenue from them subsequent to the year ended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and Convertible Promissory Notes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December 24, 2014, we entered into a Loan and Security Agreement (the “LSA Agreement”) with a bank and a financial institution whereby we may borrow up to $15.0 million in three separate draws of $5.0 million each. The Term A Loans, for an aggregate of $5.0 million, were drawn on December 24, 2014 and each bear a fixed rate of interest of 6.97%. The Term B Loans for an aggregate of $5.0 million were available for draw through December 31, 2015, contingent upon our first multi-dose PK/toxicology studies on at least two development programs and the Term C Loans for an aggregate of $5.0 million were available for draw through December 31, 2016, contingent upon receiving FDA approval on IND submission on at least two development programs.</w:t>
      </w:r>
    </w:p>
    <w:p>
      <w:pPr>
        <w:spacing w:after="0" w:line="193"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became available for draw on July 1, 2016. If the Term B Loans and</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Term C Loans were issued, they would bear interest at the greater of 6.95% or the 3-month LIBOR plus 6.72%, with principal payments beginning February 1, 2017 and with final maturity in January 2019.</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December 2016, we further amended the LSA Agreement to (i) allow for the Term B Loans and Term C Loans to be drawn on December 30, 2016,</w:t>
      </w:r>
    </w:p>
    <w:p>
      <w:pPr>
        <w:spacing w:after="0" w:line="46" w:lineRule="exact"/>
        <w:rPr>
          <w:sz w:val="20"/>
          <w:szCs w:val="20"/>
          <w:color w:val="auto"/>
        </w:rPr>
      </w:pPr>
    </w:p>
    <w:p>
      <w:pPr>
        <w:ind w:firstLine="8"/>
        <w:spacing w:after="0" w:line="261" w:lineRule="auto"/>
        <w:tabs>
          <w:tab w:leader="none" w:pos="2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 principal repayments of all Term Loans until February 1, 2018 and (iii) amend the interest rate for each Term Loan. The Term B Loans and the Term C Loans were drawn 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6" w:name="page107"/>
    <w:bookmarkEnd w:id="106"/>
    <w:p>
      <w:pPr>
        <w:ind w:right="140"/>
        <w:spacing w:after="0" w:line="264" w:lineRule="auto"/>
        <w:rPr>
          <w:sz w:val="20"/>
          <w:szCs w:val="20"/>
          <w:color w:val="auto"/>
        </w:rPr>
      </w:pPr>
      <w:r>
        <w:rPr>
          <w:rFonts w:ascii="Arial" w:cs="Arial" w:eastAsia="Arial" w:hAnsi="Arial"/>
          <w:sz w:val="18"/>
          <w:szCs w:val="18"/>
          <w:color w:val="auto"/>
        </w:rPr>
        <w:t>December 30, 2016. As of December 31, 2016, the Term Loans are due in 13 monthly interest-only payments through January 2018, followed by 24 equal monthly principal and interest payments beginning February 1, 2018, with final maturity in January 2020. Each Loan bears interest equal to the greater of 3-month U.S. LIBOR plus 6.37% or 7.3%. The rate was 7.3% as of December 31, 2016.</w:t>
      </w:r>
    </w:p>
    <w:p>
      <w:pPr>
        <w:spacing w:after="0" w:line="18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In connection with the issuance of the Term B &amp; C Loans, we issued detachable, fully vested warrants to purchase an aggregate of 82,416 shares of Series C Preferred Stock at an exercise price of $4.55 per share to the lenders, which are subject to change under anti-dilution provisions. The warrants are exercisable at any time through December 2026. The grant-date fair value of the warrants of $0.9 million was recorded as a liability, with a reduction to the carrying value of the Term B &amp; C Loans, and which is recognized as additional interest expense over the remaining term of the Loans. The initial fair value of the warrants was determined using the Black-Scholes option pricing model with the following assumptions: a stock price volatility of 79.2%, an expected life equal to the contractual term of the warrants of ten years and a risk-free interest rate of 2.45%.</w:t>
      </w:r>
    </w:p>
    <w:p>
      <w:pPr>
        <w:spacing w:after="0" w:line="178"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As of December 31, 2016, the carrying amount of the Term Loans were $13.8 million, which is net of discounts of $1.2 million, and are classified as noncurrent liabilities at December 31, 2016. The effective interest rate on the Term Loans at December 31, 2016 was 11.70%. As of December 31, 2016, future principal maturities of the Term Loans were $6.9 million, $7.5 million and $0.6 million in 2018, 2019 and 2020, respectively.</w:t>
      </w:r>
    </w:p>
    <w:p>
      <w:pPr>
        <w:spacing w:after="0" w:line="166"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The Term Loans are secured by a first priority interest in most of our assets, excluding intellectual property. At December 31, 2016, we were in compliance with the covenants contained in the Loan and Security Agreement.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$4.55 per share.</w:t>
      </w:r>
    </w:p>
    <w:p>
      <w:pPr>
        <w:spacing w:after="0" w:line="181"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73"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In April 2014, the principal and accrued interest on the notes, which aggregated $2.2 million, were converted into 476,190 shares of Series C-1 Preferred Stock. The unamortized discount of $0.4 million at the date of conversion was recognized as interest expense. Total interest expense resulting from the amortization and write-off of the discount totaled $1.2 million during the year ended December 31,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w w:val="93"/>
              </w:rPr>
              <w:t>Fair Value Measurements at End of Period Using:</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7"/>
              </w:rPr>
              <w:t>Quoted Market</w:t>
            </w:r>
          </w:p>
        </w:tc>
        <w:tc>
          <w:tcPr>
            <w:tcW w:w="180" w:type="dxa"/>
            <w:vAlign w:val="bottom"/>
          </w:tcPr>
          <w:p>
            <w:pPr>
              <w:spacing w:after="0"/>
              <w:rPr>
                <w:sz w:val="11"/>
                <w:szCs w:val="11"/>
                <w:color w:val="auto"/>
              </w:rPr>
            </w:pPr>
          </w:p>
        </w:tc>
        <w:tc>
          <w:tcPr>
            <w:tcW w:w="98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Prices for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Other Observable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9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(Level 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9"/>
              </w:rPr>
              <w:t>At December 31, 2016</w:t>
            </w:r>
          </w:p>
        </w:tc>
        <w:tc>
          <w:tcPr>
            <w:tcW w:w="42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31,955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31,955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1"/>
              </w:rPr>
              <w:t>At December 31, 2015</w:t>
            </w:r>
          </w:p>
        </w:tc>
        <w:tc>
          <w:tcPr>
            <w:tcW w:w="4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6,755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6,755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44,077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44,077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 warrant liabilities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5"/>
          <w:szCs w:val="15"/>
          <w:color w:val="auto"/>
        </w:rPr>
      </w:pPr>
      <w:r>
        <w:rPr>
          <w:rFonts w:ascii="Arial" w:cs="Arial" w:eastAsia="Arial" w:hAnsi="Arial"/>
          <w:sz w:val="18"/>
          <w:szCs w:val="18"/>
          <w:color w:val="auto"/>
        </w:rPr>
        <w:t>Included in cash and cash equivalents, and restricted cash in the accompanying consolidated balance sheets.</w:t>
      </w:r>
    </w:p>
    <w:p>
      <w:pPr>
        <w:spacing w:after="0" w:line="23" w:lineRule="exact"/>
        <w:rPr>
          <w:rFonts w:ascii="Arial" w:cs="Arial" w:eastAsia="Arial" w:hAnsi="Arial"/>
          <w:sz w:val="15"/>
          <w:szCs w:val="15"/>
          <w:color w:val="auto"/>
        </w:rPr>
      </w:pPr>
    </w:p>
    <w:p>
      <w:pPr>
        <w:ind w:left="600" w:hanging="592"/>
        <w:spacing w:after="0"/>
        <w:tabs>
          <w:tab w:leader="none" w:pos="600" w:val="left"/>
        </w:tabs>
        <w:numPr>
          <w:ilvl w:val="0"/>
          <w:numId w:val="51"/>
        </w:numPr>
        <w:rPr>
          <w:rFonts w:ascii="Arial" w:cs="Arial" w:eastAsia="Arial" w:hAnsi="Arial"/>
          <w:sz w:val="15"/>
          <w:szCs w:val="15"/>
          <w:color w:val="auto"/>
        </w:rPr>
      </w:pPr>
      <w:r>
        <w:rPr>
          <w:rFonts w:ascii="Arial" w:cs="Arial" w:eastAsia="Arial" w:hAnsi="Arial"/>
          <w:sz w:val="18"/>
          <w:szCs w:val="18"/>
          <w:color w:val="auto"/>
        </w:rPr>
        <w:t>Included in cash and cash equivalents in the accompanying consolidated balance sheets.</w:t>
      </w:r>
    </w:p>
    <w:p>
      <w:pPr>
        <w:spacing w:after="0" w:line="211" w:lineRule="exact"/>
        <w:rPr>
          <w:sz w:val="20"/>
          <w:szCs w:val="20"/>
          <w:color w:val="auto"/>
        </w:rPr>
      </w:pPr>
    </w:p>
    <w:p>
      <w:pPr>
        <w:jc w:val="both"/>
        <w:ind w:right="300" w:firstLine="598"/>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jc w:val="both"/>
        <w:ind w:right="340" w:firstLine="598"/>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2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preferred stock</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8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Exercise price</w:t>
            </w: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4.55</w:t>
            </w:r>
          </w:p>
        </w:tc>
        <w:tc>
          <w:tcPr>
            <w:tcW w:w="3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Volatility</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2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A 10% increase in the fair values of preferred stock at December 31, 2016 and 2015 would each result in increases in the estimated fair values of the preferred stock warrant liabilities of $0.4 million and $0.2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8" w:name="page109"/>
    <w:bookmarkEnd w:id="108"/>
    <w:p>
      <w:pPr>
        <w:ind w:left="600"/>
        <w:spacing w:after="0"/>
        <w:rPr>
          <w:sz w:val="20"/>
          <w:szCs w:val="20"/>
          <w:color w:val="auto"/>
        </w:rPr>
      </w:pPr>
      <w:r>
        <w:rPr>
          <w:rFonts w:ascii="Arial" w:cs="Arial" w:eastAsia="Arial" w:hAnsi="Arial"/>
          <w:sz w:val="16"/>
          <w:szCs w:val="16"/>
          <w:color w:val="auto"/>
        </w:rPr>
        <w:t>The following table summarizes the activity in liabilities measured at fair value on a recurring basis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CFF0FC"/>
            </w:tcBorders>
            <w:vMerge w:val="continue"/>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Preferred Stock Warrant Liabilities:</w:t>
            </w:r>
          </w:p>
        </w:tc>
        <w:tc>
          <w:tcPr>
            <w:tcW w:w="2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Beginning balance</w:t>
            </w:r>
          </w:p>
        </w:tc>
        <w:tc>
          <w:tcPr>
            <w:tcW w:w="2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(1,549)</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Issuance of Series C Preferred Stock warrants</w:t>
            </w:r>
          </w:p>
        </w:tc>
        <w:tc>
          <w:tcPr>
            <w:tcW w:w="2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(936)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Unrealized net losses included in other expense, net</w:t>
            </w:r>
          </w:p>
        </w:tc>
        <w:tc>
          <w:tcPr>
            <w:tcW w:w="2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warrant liabilities to equity</w:t>
            </w:r>
          </w:p>
        </w:tc>
        <w:tc>
          <w:tcPr>
            <w:tcW w:w="2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60"/>
              <w:spacing w:after="0"/>
              <w:rPr>
                <w:sz w:val="20"/>
                <w:szCs w:val="20"/>
                <w:color w:val="auto"/>
              </w:rPr>
            </w:pPr>
            <w:r>
              <w:rPr>
                <w:rFonts w:ascii="Arial" w:cs="Arial" w:eastAsia="Arial" w:hAnsi="Arial"/>
                <w:sz w:val="18"/>
                <w:szCs w:val="18"/>
                <w:color w:val="auto"/>
              </w:rPr>
              <w:t>Ending balance</w:t>
            </w:r>
          </w:p>
        </w:tc>
        <w:tc>
          <w:tcPr>
            <w:tcW w:w="20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In July 2015, the Company reclassified 41,208 Series C Preferred Stock warrants from Preferred stock warrant liabilities to Additional paid in capital on the consolidated balance sheets, at fair value on the date of transfer. The reclassification occurred upon the expiration of a feature within the warrant contract that had previously precluded equity classification. As a result, these warrants are no longer remeasured at fair value on a recurring basis at December 31, 2015.</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fair value of our financial instruments estimated as of December 31, 2016 and 2015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Pr>
          <w:p>
            <w:pPr>
              <w:spacing w:after="0"/>
              <w:rPr>
                <w:sz w:val="14"/>
                <w:szCs w:val="14"/>
                <w:color w:val="auto"/>
              </w:rPr>
            </w:pPr>
          </w:p>
        </w:tc>
        <w:tc>
          <w:tcPr>
            <w:tcW w:w="248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2015</w:t>
            </w:r>
          </w:p>
        </w:tc>
      </w:tr>
      <w:tr>
        <w:trPr>
          <w:trHeight w:val="133"/>
        </w:trPr>
        <w:tc>
          <w:tcPr>
            <w:tcW w:w="59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82"/>
              <w:spacing w:after="0" w:line="133"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24"/>
              <w:spacing w:after="0" w:line="13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82"/>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960" w:type="dxa"/>
            <w:vAlign w:val="bottom"/>
          </w:tcPr>
          <w:p>
            <w:pPr>
              <w:jc w:val="center"/>
              <w:ind w:right="124"/>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Payable</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4,903</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 The carrying amount of our long-term debt as of December 31, 2016 approximates fair value due to the timing of the debt draw down in relation to the balance sheet date.</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 We use the income approach to value the aforementioned debt instrument. We use a present value calculation to discount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July 13, 2015, we issued and sold 5,490,973 shares of Series D Convertible Preferred Stock at $7.42 per share for net proceeds of $40.7 million.</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 convertible preferred stock has been classified as temporary equity in the accompanying consolidated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9" w:name="page110"/>
    <w:bookmarkEnd w:id="109"/>
    <w:p>
      <w:pPr>
        <w:ind w:right="200"/>
        <w:spacing w:after="0" w:line="277" w:lineRule="auto"/>
        <w:rPr>
          <w:sz w:val="20"/>
          <w:szCs w:val="20"/>
          <w:color w:val="auto"/>
        </w:rPr>
      </w:pPr>
      <w:r>
        <w:rPr>
          <w:rFonts w:ascii="Arial" w:cs="Arial" w:eastAsia="Arial" w:hAnsi="Arial"/>
          <w:sz w:val="18"/>
          <w:szCs w:val="18"/>
          <w:color w:val="auto"/>
        </w:rPr>
        <w:t>discussed below. Adjustments to increase the carrying values to the respective liquidation preferences will be made if and when it becomes probable that an event would occur obligating us to pay such amounts.</w:t>
      </w:r>
    </w:p>
    <w:p>
      <w:pPr>
        <w:spacing w:after="0" w:line="170"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77" w:lineRule="exact"/>
        <w:rPr>
          <w:sz w:val="20"/>
          <w:szCs w:val="20"/>
          <w:color w:val="auto"/>
        </w:rPr>
      </w:pPr>
    </w:p>
    <w:p>
      <w:pPr>
        <w:ind w:right="240" w:firstLine="598"/>
        <w:spacing w:after="0" w:line="258"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Preferred Stock are entitled to receive noncumulative dividends at a rate of 8% of the respective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 price per annum. The Series D Preferred Stock dividends are payable in preference and in priority to any Series C-1 Preferred Stock.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8"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2015, the board of directors has not declared any dividends.</w:t>
      </w:r>
    </w:p>
    <w:p>
      <w:pPr>
        <w:spacing w:after="0" w:line="166" w:lineRule="exact"/>
        <w:rPr>
          <w:sz w:val="20"/>
          <w:szCs w:val="20"/>
          <w:color w:val="auto"/>
        </w:rPr>
      </w:pPr>
    </w:p>
    <w:p>
      <w:pPr>
        <w:ind w:firstLine="598"/>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b w:val="1"/>
          <w:bCs w:val="1"/>
          <w:color w:val="auto"/>
        </w:rPr>
        <w:t xml:space="preserve">Liquidation Rights. </w:t>
      </w:r>
      <w:r>
        <w:rPr>
          <w:rFonts w:ascii="Arial" w:cs="Arial" w:eastAsia="Arial" w:hAnsi="Arial"/>
          <w:sz w:val="16"/>
          <w:szCs w:val="16"/>
          <w:color w:val="auto"/>
        </w:rPr>
        <w:t>Upon liquidation, dissolution or winding up of the Company, the holders of Preferred Stock are entitled to receive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be paid out of the assets of the Company, before any distributions are made to the holders of common stock. The holders of the Series D are entitled to receive liquidation preference at one (1) times the original issue price of $7.42 per share plus all declared and unpaid dividends. Liquidation payments to the holders of Series D Preferred Stock have priority and are made in preference to any payments to the holders of Series C-1 Preferred Stock. The holders of the Series C-1 are entitled to receive liquidation preference at three (3) times the original issue price of $4.55 per share plus all declared and unpaid dividends. Liquidation payments to the holders of Series C-1 Preferred Stock have priority and are made in preference to any payments to the holders of Series C Preferred Stock. The holders of the Series C Preferred Stock are entitled to receive liquidation preferences at the rate of $4.55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$6.30 per share plus all declared and unpaid dividends and the holders of Series A and Series B-2 Preferred Stock are entitled to receive liquidation preferences at the rate of $7.00 per share plus all declared and unpaid dividends. Liquidation payments to the holders of Series B and Series A Preferred Stock have priority and are made in preference to any payments to the holders of common stock.</w:t>
      </w:r>
    </w:p>
    <w:p>
      <w:pPr>
        <w:spacing w:after="0" w:line="169"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b w:val="1"/>
          <w:bCs w:val="1"/>
          <w:color w:val="auto"/>
        </w:rPr>
        <w:t xml:space="preserve">Conversion Rights. </w:t>
      </w:r>
      <w:r>
        <w:rPr>
          <w:rFonts w:ascii="Arial" w:cs="Arial" w:eastAsia="Arial" w:hAnsi="Arial"/>
          <w:sz w:val="17"/>
          <w:szCs w:val="17"/>
          <w:color w:val="auto"/>
        </w:rPr>
        <w:t>The shares of Series A Preferred Stock are convertible into shares of common stock at a conversion price of $6.30 per share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Series B, C, C-1 and D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gross cash proceeds to the Company (before underwriting discounts, commissions and fees) are at least $50.0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0" w:name="page111"/>
    <w:bookmarkEnd w:id="110"/>
    <w:p>
      <w:pPr>
        <w:ind w:left="3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80" w:firstLine="598"/>
        <w:spacing w:after="0" w:line="342" w:lineRule="auto"/>
        <w:rPr>
          <w:sz w:val="20"/>
          <w:szCs w:val="20"/>
          <w:color w:val="auto"/>
        </w:rPr>
      </w:pPr>
      <w:r>
        <w:rPr>
          <w:rFonts w:ascii="Arial" w:cs="Arial" w:eastAsia="Arial" w:hAnsi="Arial"/>
          <w:sz w:val="16"/>
          <w:szCs w:val="16"/>
          <w:color w:val="auto"/>
        </w:rPr>
        <w:t>We have authorized 17,214,285 shares of common stock, of which 2,651,286 shares were issued and outstanding at December 31, 2016. Common stock reserved for future issuance upon the exercise, issuance or conversion of the respective equity instruments at December 31, 2016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11,520,698</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Issued and Outstanding:</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options</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1,879,428</w:t>
            </w:r>
          </w:p>
        </w:tc>
        <w:tc>
          <w:tcPr>
            <w:tcW w:w="100" w:type="dxa"/>
            <w:vAlign w:val="bottom"/>
            <w:shd w:val="clear" w:color="auto" w:fill="CFF0FC"/>
          </w:tcPr>
          <w:p>
            <w:pPr>
              <w:spacing w:after="0"/>
              <w:rPr>
                <w:sz w:val="19"/>
                <w:szCs w:val="19"/>
                <w:color w:val="auto"/>
              </w:rPr>
            </w:pPr>
          </w:p>
        </w:tc>
      </w:tr>
      <w:tr>
        <w:trPr>
          <w:trHeight w:val="215"/>
        </w:trPr>
        <w:tc>
          <w:tcPr>
            <w:tcW w:w="9400" w:type="dxa"/>
            <w:vAlign w:val="bottom"/>
          </w:tcPr>
          <w:p>
            <w:pPr>
              <w:ind w:left="260"/>
              <w:spacing w:after="0"/>
              <w:rPr>
                <w:sz w:val="20"/>
                <w:szCs w:val="20"/>
                <w:color w:val="auto"/>
              </w:rPr>
            </w:pPr>
            <w:r>
              <w:rPr>
                <w:rFonts w:ascii="Arial" w:cs="Arial" w:eastAsia="Arial" w:hAnsi="Arial"/>
                <w:sz w:val="18"/>
                <w:szCs w:val="18"/>
                <w:color w:val="auto"/>
              </w:rPr>
              <w:t>Warrants for shares of convertible preferred stock</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400" w:type="dxa"/>
            <w:vAlign w:val="bottom"/>
          </w:tcPr>
          <w:p>
            <w:pPr>
              <w:ind w:left="380"/>
              <w:spacing w:after="0"/>
              <w:rPr>
                <w:sz w:val="20"/>
                <w:szCs w:val="20"/>
                <w:color w:val="auto"/>
              </w:rPr>
            </w:pPr>
            <w:r>
              <w:rPr>
                <w:rFonts w:ascii="Arial" w:cs="Arial" w:eastAsia="Arial" w:hAnsi="Arial"/>
                <w:sz w:val="18"/>
                <w:szCs w:val="18"/>
                <w:color w:val="auto"/>
              </w:rPr>
              <w:t>and common stock</w:t>
            </w:r>
          </w:p>
        </w:tc>
        <w:tc>
          <w:tcPr>
            <w:tcW w:w="1920" w:type="dxa"/>
            <w:vAlign w:val="bottom"/>
          </w:tcPr>
          <w:p>
            <w:pPr>
              <w:jc w:val="right"/>
              <w:spacing w:after="0"/>
              <w:rPr>
                <w:sz w:val="20"/>
                <w:szCs w:val="20"/>
                <w:color w:val="auto"/>
              </w:rPr>
            </w:pPr>
            <w:r>
              <w:rPr>
                <w:rFonts w:ascii="Arial" w:cs="Arial" w:eastAsia="Arial" w:hAnsi="Arial"/>
                <w:sz w:val="18"/>
                <w:szCs w:val="18"/>
                <w:color w:val="auto"/>
              </w:rPr>
              <w:t>494,678</w:t>
            </w:r>
          </w:p>
        </w:tc>
        <w:tc>
          <w:tcPr>
            <w:tcW w:w="100" w:type="dxa"/>
            <w:vAlign w:val="bottom"/>
          </w:tcPr>
          <w:p>
            <w:pPr>
              <w:spacing w:after="0"/>
              <w:rPr>
                <w:sz w:val="20"/>
                <w:szCs w:val="20"/>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award grants</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478,078</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ind w:left="26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14,372,882</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117"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Certain stock option grants under our 2006 Equity Incentive Plan (the “Plan”) are subject to an early exercise provision. Shares of common stock obtained upon early exercise of unvested options are subject to repurchase by us at the applicable original issue price. During the year ended December 31, 2016, we repurchased 1,457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December 31, 2016, awards for up to 2,357,506 shares of common stock are reserved for issuance under the Plan, of which 1,879,428 are reserved for issuance upon exercise of granted and outstanding options and 478,078 shares are available for future grants.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us. A summary of the activity related to stock option awards during the year ended December 31, 2016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2016</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2,050,196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330,622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Exercises</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(23,199)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(478,191)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and exercisable at December 31,</w:t>
            </w: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2016</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1,879,428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12,895.6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December 31,</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2016</w:t>
            </w:r>
          </w:p>
        </w:tc>
        <w:tc>
          <w:tcPr>
            <w:tcW w:w="1140" w:type="dxa"/>
            <w:vAlign w:val="bottom"/>
          </w:tcPr>
          <w:p>
            <w:pPr>
              <w:jc w:val="right"/>
              <w:spacing w:after="0"/>
              <w:rPr>
                <w:sz w:val="20"/>
                <w:szCs w:val="20"/>
                <w:color w:val="auto"/>
              </w:rPr>
            </w:pPr>
            <w:r>
              <w:rPr>
                <w:rFonts w:ascii="Arial" w:cs="Arial" w:eastAsia="Arial" w:hAnsi="Arial"/>
                <w:sz w:val="18"/>
                <w:szCs w:val="18"/>
                <w:color w:val="auto"/>
              </w:rPr>
              <w:t>1,781,801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Total cash received from the exercise of stock options was approximately $31,000 during the year ended December 31, 2016.</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1" w:name="page112"/>
    <w:bookmarkEnd w:id="111"/>
    <w:p>
      <w:pPr>
        <w:jc w:val="both"/>
        <w:ind w:right="420" w:firstLine="598"/>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6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24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Total non-cash stock-based compensation expense for all stock awards that was recognized in the consolidated statements of operations is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CFF0FC"/>
            </w:tcBorders>
            <w:vMerge w:val="continue"/>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At December 31, 2016, there was $2.9 million of unrecognized compensation cost related to unvested stock option awards, which is expected to be recognized over a remaining weighted average vesting period of 2.6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Our Australian subsidiary, which conducts core research and development activities on our behalf, is eligible to receive a 45% refundable tax incentive for qualified research and development activities. For the year ended December 31, 2016, $7.2 million was recorded as a reduction to research and development expenses in the consolidated statements of operations, of which $3.0 million related to fiscal 2015. We received the $3.0 million in cash during the year ended December 31, 2016. In September 2016, we determined that we would meet the eligibility criteria for fiscal 2016, and have therefore recorded a reduction to research and development expense of $4.2 million equal to 45% of our eligible expenditures for the year ended December 31, 2016, as collectability was considered reasonably assured.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10. Employee Benefit Plan</w:t>
      </w:r>
    </w:p>
    <w:p>
      <w:pPr>
        <w:spacing w:after="0" w:line="121"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2016, 2015 or 2014.</w:t>
      </w:r>
    </w:p>
    <w:p>
      <w:pPr>
        <w:spacing w:after="0" w:line="291" w:lineRule="exact"/>
        <w:rPr>
          <w:sz w:val="20"/>
          <w:szCs w:val="20"/>
          <w:color w:val="auto"/>
        </w:rPr>
      </w:pPr>
    </w:p>
    <w:p>
      <w:pPr>
        <w:ind w:left="300" w:right="8600" w:hanging="292"/>
        <w:spacing w:after="0" w:line="425" w:lineRule="auto"/>
        <w:tabs>
          <w:tab w:leader="none" w:pos="261"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We lease our facility under a non-cancellable operating lease for which we exercised our option to renew for an additional five-year period in fiscal 2015. The lease now expires in August 2021.</w:t>
      </w:r>
    </w:p>
    <w:p>
      <w:pPr>
        <w:spacing w:after="0" w:line="170" w:lineRule="exact"/>
        <w:rPr>
          <w:sz w:val="20"/>
          <w:szCs w:val="20"/>
          <w:color w:val="auto"/>
        </w:rPr>
      </w:pPr>
    </w:p>
    <w:p>
      <w:pPr>
        <w:ind w:right="180" w:firstLine="598"/>
        <w:spacing w:after="0" w:line="286" w:lineRule="auto"/>
        <w:rPr>
          <w:sz w:val="20"/>
          <w:szCs w:val="20"/>
          <w:color w:val="auto"/>
        </w:rPr>
      </w:pPr>
      <w:r>
        <w:rPr>
          <w:rFonts w:ascii="Arial" w:cs="Arial" w:eastAsia="Arial" w:hAnsi="Arial"/>
          <w:sz w:val="17"/>
          <w:szCs w:val="17"/>
          <w:color w:val="auto"/>
        </w:rPr>
        <w:t>Rent expense was $0.5 million during the year ended December 31, 2016 and $0.4 million during the years ended December 31, 2015 and 2014. At December 31, 2016, deferred rent aggregated $0.2 million, which is included in noncurrent liabilities in the accompanying consolidated balance sheets. At December 31, 2016, the future minimum annual obligations under non-cancellable operating lease commitments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20"/>
                <w:szCs w:val="20"/>
                <w:color w:val="auto"/>
              </w:rPr>
            </w:pPr>
            <w:r>
              <w:rPr>
                <w:rFonts w:ascii="Arial" w:cs="Arial" w:eastAsia="Arial" w:hAnsi="Arial"/>
                <w:sz w:val="14"/>
                <w:szCs w:val="14"/>
                <w:b w:val="1"/>
                <w:bCs w:val="1"/>
                <w:color w:val="auto"/>
              </w:rPr>
              <w:t>Years Ending December 31, (in thousands)</w:t>
            </w:r>
          </w:p>
        </w:tc>
        <w:tc>
          <w:tcPr>
            <w:tcW w:w="3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418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2018</w:t>
            </w:r>
          </w:p>
        </w:tc>
        <w:tc>
          <w:tcPr>
            <w:tcW w:w="3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2020</w:t>
            </w:r>
          </w:p>
        </w:tc>
        <w:tc>
          <w:tcPr>
            <w:tcW w:w="3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Thereafter</w:t>
            </w:r>
          </w:p>
        </w:tc>
        <w:tc>
          <w:tcPr>
            <w:tcW w:w="3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payments required</w:t>
            </w:r>
          </w:p>
        </w:tc>
        <w:tc>
          <w:tcPr>
            <w:tcW w:w="33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w:t>
      </w:r>
    </w:p>
    <w:p>
      <w:pPr>
        <w:spacing w:after="0" w:line="187" w:lineRule="exact"/>
        <w:rPr>
          <w:sz w:val="20"/>
          <w:szCs w:val="20"/>
          <w:color w:val="auto"/>
        </w:rPr>
      </w:pPr>
    </w:p>
    <w:p>
      <w:pPr>
        <w:ind w:right="500" w:firstLine="598"/>
        <w:spacing w:after="0" w:line="342" w:lineRule="auto"/>
        <w:rPr>
          <w:sz w:val="20"/>
          <w:szCs w:val="20"/>
          <w:color w:val="auto"/>
        </w:rPr>
      </w:pPr>
      <w:r>
        <w:rPr>
          <w:rFonts w:ascii="Arial" w:cs="Arial" w:eastAsia="Arial" w:hAnsi="Arial"/>
          <w:sz w:val="16"/>
          <w:szCs w:val="16"/>
          <w:color w:val="auto"/>
        </w:rPr>
        <w:t>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24" w:lineRule="exact"/>
        <w:rPr>
          <w:sz w:val="20"/>
          <w:szCs w:val="20"/>
          <w:color w:val="auto"/>
        </w:rPr>
      </w:pPr>
    </w:p>
    <w:p>
      <w:pPr>
        <w:jc w:val="both"/>
        <w:ind w:right="260" w:firstLine="598"/>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$0.3 million during the year ended December 31, 2016 and $0.2 million during the years ended December 31, 2015 and 2014, respectively. Total cash paid under these agreements was $0.2 million during each of the years ended December 31, 2016, 2015 and 2014.</w:t>
      </w:r>
    </w:p>
    <w:p>
      <w:pPr>
        <w:spacing w:after="0" w:line="18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Future minimum annual cash obligations under all such license agreements were $0.3 million in aggregate during 2017, and $0.2 million in aggregate thereafter. These obligations are payable through ten years from the first commercial sale, if any, or expiration of the last patent to expire, the dates of which are not determinable at this time.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At December 31, 2016 and 2015, we were contingently liable for a standby letter of credit issued by a commercial bank for $60,000 for security on our lease. A restricted cash account with these amounts was held as cash collateral for the letter of credit.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3" w:name="page114"/>
    <w:bookmarkEnd w:id="113"/>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are, from time to time, involved in legal proceedings, regulatory actions, claims and litigation arising in the ordinary course of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Currently, we are not a defendant in any lawsuit.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income/(loss) before income tax provision (benefit)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(3,627)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jc w:val="right"/>
              <w:ind w:right="70"/>
              <w:spacing w:after="0"/>
              <w:rPr>
                <w:sz w:val="20"/>
                <w:szCs w:val="20"/>
                <w:color w:val="auto"/>
              </w:rPr>
            </w:pPr>
            <w:r>
              <w:rPr>
                <w:rFonts w:ascii="Arial" w:cs="Arial" w:eastAsia="Arial" w:hAnsi="Arial"/>
                <w:sz w:val="18"/>
                <w:szCs w:val="18"/>
                <w:color w:val="auto"/>
              </w:rPr>
              <w:t>(6,985)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end of the year</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600"/>
              <w:spacing w:after="0"/>
              <w:rPr>
                <w:sz w:val="20"/>
                <w:szCs w:val="20"/>
                <w:color w:val="auto"/>
              </w:rPr>
            </w:pPr>
            <w:r>
              <w:rPr>
                <w:rFonts w:ascii="Arial" w:cs="Arial" w:eastAsia="Arial" w:hAnsi="Arial"/>
                <w:sz w:val="18"/>
                <w:szCs w:val="18"/>
                <w:color w:val="auto"/>
                <w:w w:val="94"/>
              </w:rPr>
              <w:t>Significant components of our deferred tax assets and liabilities are as follows:</w:t>
            </w: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5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15,300</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20,245</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Fixed assets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6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500"/>
              <w:spacing w:after="0"/>
              <w:rPr>
                <w:sz w:val="20"/>
                <w:szCs w:val="20"/>
                <w:color w:val="auto"/>
              </w:rPr>
            </w:pPr>
            <w:r>
              <w:rPr>
                <w:rFonts w:ascii="Arial" w:cs="Arial" w:eastAsia="Arial" w:hAnsi="Arial"/>
                <w:sz w:val="18"/>
                <w:szCs w:val="18"/>
                <w:color w:val="auto"/>
              </w:rPr>
              <w:t>Net deferred tax assets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(19,295)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23"/>
        </w:trPr>
        <w:tc>
          <w:tcPr>
            <w:tcW w:w="6540" w:type="dxa"/>
            <w:vAlign w:val="bottom"/>
          </w:tcPr>
          <w:p>
            <w:pPr>
              <w:ind w:left="740"/>
              <w:spacing w:after="0"/>
              <w:rPr>
                <w:sz w:val="20"/>
                <w:szCs w:val="20"/>
                <w:color w:val="auto"/>
              </w:rPr>
            </w:pPr>
            <w:r>
              <w:rPr>
                <w:rFonts w:ascii="Arial" w:cs="Arial" w:eastAsia="Arial" w:hAnsi="Arial"/>
                <w:sz w:val="18"/>
                <w:szCs w:val="18"/>
                <w:color w:val="auto"/>
              </w:rPr>
              <w:t>Deferred tax assets, net of valuation allowance</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recorded a full valuation allowance against our net deferred tax assets due to the uncertainty surrounding the realization of such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At December 31, 2016, we had federal and state net operating loss carryforwards (“NOL”) of $35.7 million and $46.0 million, respectively. The federal and state NOLs will begin to expire in 2028 and 2017, respectively, unless previously utilized. At December 31, 2016 we had federal and California research tax credit carryforwards of $2.2 million and $1.9 million, respectively. The federal research tax credit carryforward will begin to expire in 2026 and the California state credits carryforward indefinitely.</w:t>
      </w:r>
    </w:p>
    <w:p>
      <w:pPr>
        <w:spacing w:after="0" w:line="18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2016. Our use of federal NOL carryforwards could be limited further by the provisions of Section 382 of the U.S. Internal Revenue Code of 1986, as amended, depending upon the timing and amount of additional equity securities that we have issued or will issue. State NOL carryforwards may be similarly limited. If eliminated, the related asset would be removed from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4" w:name="page115"/>
    <w:bookmarkEnd w:id="114"/>
    <w:p>
      <w:pPr>
        <w:ind w:right="100"/>
        <w:spacing w:after="0" w:line="277" w:lineRule="auto"/>
        <w:rPr>
          <w:sz w:val="20"/>
          <w:szCs w:val="20"/>
          <w:color w:val="auto"/>
        </w:rPr>
      </w:pPr>
      <w:r>
        <w:rPr>
          <w:rFonts w:ascii="Arial" w:cs="Arial" w:eastAsia="Arial" w:hAnsi="Arial"/>
          <w:sz w:val="18"/>
          <w:szCs w:val="18"/>
          <w:color w:val="auto"/>
        </w:rPr>
        <w:t>deferred tax asset schedule with a corresponding reduction in the valuation allowance. Due to the existence of the valuation allowance, limitations created by future ownership changes, if any, will not impact our effective tax rate.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Expected income tax expense (benefit) at federal</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statutory tax rate</w:t>
            </w:r>
          </w:p>
        </w:tc>
        <w:tc>
          <w:tcPr>
            <w:tcW w:w="16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(1,448)</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(1,790)</w:t>
            </w: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Change in fair value of preferred stock warrant liabilities</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Research &amp; Development expenditure</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Return to provision adjustment</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Rate differential</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Research credits</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Change in the valuation allowance</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60" w:firstLine="598"/>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2016 and 2015,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540" w:type="dxa"/>
            <w:vAlign w:val="bottom"/>
            <w:tcBorders>
              <w:bottom w:val="single" w:sz="8" w:color="CFF0FC"/>
            </w:tcBorders>
            <w:vMerge w:val="continue"/>
          </w:tcPr>
          <w:p>
            <w:pPr>
              <w:spacing w:after="0"/>
              <w:rPr>
                <w:sz w:val="13"/>
                <w:szCs w:val="13"/>
                <w:color w:val="auto"/>
              </w:rPr>
            </w:pPr>
          </w:p>
        </w:tc>
        <w:tc>
          <w:tcPr>
            <w:tcW w:w="23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2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current year tax positions</w:t>
            </w:r>
          </w:p>
        </w:tc>
        <w:tc>
          <w:tcPr>
            <w:tcW w:w="2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3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225"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2016, 2015 and 2014, there were no interest or penalties on uncertain tax benefits.</w:t>
      </w:r>
    </w:p>
    <w:p>
      <w:pPr>
        <w:spacing w:after="0" w:line="170"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13. Selected Quarterly Financial Data (Unaudited)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is a summary of our quarterly results for the years ended December 31, 2016 and 2015 (</w:t>
      </w:r>
      <w:r>
        <w:rPr>
          <w:rFonts w:ascii="Arial" w:cs="Arial" w:eastAsia="Arial" w:hAnsi="Arial"/>
          <w:sz w:val="16"/>
          <w:szCs w:val="16"/>
          <w:i w:val="1"/>
          <w:iCs w:val="1"/>
          <w:color w:val="auto"/>
        </w:rPr>
        <w:t>unaudited, in thousands, except for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restart"/>
          </w:tcPr>
          <w:p>
            <w:pPr>
              <w:jc w:val="right"/>
              <w:ind w:right="5"/>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6"/>
        </w:trPr>
        <w:tc>
          <w:tcPr>
            <w:tcW w:w="5280" w:type="dxa"/>
            <w:vAlign w:val="bottom"/>
          </w:tcPr>
          <w:p>
            <w:pPr>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9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3"/>
                <w:szCs w:val="13"/>
                <w:color w:val="auto"/>
              </w:rPr>
            </w:pPr>
          </w:p>
        </w:tc>
        <w:tc>
          <w:tcPr>
            <w:tcW w:w="10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3"/>
                <w:szCs w:val="13"/>
                <w:color w:val="auto"/>
              </w:rPr>
            </w:pPr>
          </w:p>
        </w:tc>
        <w:tc>
          <w:tcPr>
            <w:tcW w:w="84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(888)</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2,322</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 common share: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Income (loss) per share,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per share,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(0.34)</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355"/>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vMerge w:val="restart"/>
          </w:tcPr>
          <w:p>
            <w:pPr>
              <w:jc w:val="right"/>
              <w:ind w:right="5"/>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6"/>
        </w:trPr>
        <w:tc>
          <w:tcPr>
            <w:tcW w:w="5280" w:type="dxa"/>
            <w:vAlign w:val="bottom"/>
          </w:tcPr>
          <w:p>
            <w:pPr>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9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3"/>
                <w:szCs w:val="13"/>
                <w:color w:val="auto"/>
              </w:rPr>
            </w:pPr>
          </w:p>
        </w:tc>
        <w:tc>
          <w:tcPr>
            <w:tcW w:w="102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3"/>
                <w:szCs w:val="13"/>
                <w:color w:val="auto"/>
              </w:rPr>
            </w:pPr>
          </w:p>
        </w:tc>
        <w:tc>
          <w:tcPr>
            <w:tcW w:w="84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(376)</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 common share:</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Loss per share,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per share,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2006 Equity Incentive Plan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From January 1, 2017 to March 8, 2017, we granted 928,191 stock options. The shares vest over four years from the vesting commencement date.</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one for seven reverse stock split of every outstanding share of our preferred and common stock. The financial statements and accompanying footnotes have been retroactively restated to reflect the reverse stock split.</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117" w:lineRule="exact"/>
        <w:rPr>
          <w:sz w:val="20"/>
          <w:szCs w:val="20"/>
          <w:color w:val="auto"/>
        </w:rPr>
      </w:pPr>
    </w:p>
    <w:p>
      <w:pPr>
        <w:ind w:right="20" w:firstLine="598"/>
        <w:spacing w:after="0" w:line="342" w:lineRule="auto"/>
        <w:rPr>
          <w:sz w:val="20"/>
          <w:szCs w:val="20"/>
          <w:color w:val="auto"/>
        </w:rPr>
      </w:pPr>
      <w:r>
        <w:rPr>
          <w:rFonts w:ascii="Arial" w:cs="Arial" w:eastAsia="Arial" w:hAnsi="Arial"/>
          <w:sz w:val="16"/>
          <w:szCs w:val="16"/>
          <w:color w:val="auto"/>
        </w:rPr>
        <w:t>On January 13, 2017, we amended our Certificate of Incorporation to increase the number of authorized shares of common stock to 60,000,000 with a par value of $0.001 per share and decrease the number of authorized shares of preferred stock to 11,520,698 with a par value of $0.001 per share.</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On January 12, 2017, our board of directors and stockholders approved and adopted the 2017 Equity Incentive Plan or the 2017 Plan. The 2017 Plan became effective up the execution and delivery of the underwriting agreement for our initial public offering on January 26, 2017. Under the 2017 Plan we may grant stock options, stock appreciation rights, restricted stock, restricted stock units and other awards to individuals who are then employees, officers, directors or consultants of the Company. A total of 1,955,506 shares of common stock are initially reserved for issuance under the 2017 plan. In addition, the number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6" w:name="page117"/>
    <w:bookmarkEnd w:id="116"/>
    <w:p>
      <w:pPr>
        <w:ind w:left="3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 the execution and delivery of the underwriting agreement for our initial public offering on January 26, 2017. A total of 218,000 shares of common stock are initially reserved for issuance under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On January 31, 2017, we completed an initial public offering (IPO) selling 5,750,000 shares of common stock at $15.00 per share. Proceeds from our initial public offering net of underwriting discounts and commissions were $80.2 million.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each of the following occurred in connection with the completion of the IPO on January 31, 2017:</w:t>
      </w:r>
    </w:p>
    <w:p>
      <w:pPr>
        <w:spacing w:after="0" w:line="117" w:lineRule="exact"/>
        <w:rPr>
          <w:sz w:val="20"/>
          <w:szCs w:val="20"/>
          <w:color w:val="auto"/>
        </w:rPr>
      </w:pPr>
    </w:p>
    <w:p>
      <w:pPr>
        <w:ind w:left="1200" w:hanging="598"/>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11,520,698 shares of common stock; and</w:t>
      </w:r>
    </w:p>
    <w:p>
      <w:pPr>
        <w:spacing w:after="0" w:line="117"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conversion of warrants to purchase 494,678 shares of convertible preferred stock into warrants to purchase 494,678 shares of common stock and the resultant reclassification of the warrant liability to additional paid-in capital.</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Through March 8, 2017, warrants for the purchase of 234,857 shares of common stock were exercised, of which 117,235 were exercised through cashless exercise. As a result, we issued 199,295 shares of common stock, net.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17" w:name="page118"/>
    <w:bookmarkEnd w:id="117"/>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As of December 31, 2016, our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Based on this evaluation, our Chief Executive Officer and Chief Financial Officer concluded that, as of December 31, 2016, the design and operation of our disclosure controls and procedures were effective at a reasonable assurance level.</w:t>
      </w:r>
    </w:p>
    <w:p>
      <w:pPr>
        <w:spacing w:after="0" w:line="167" w:lineRule="exact"/>
        <w:rPr>
          <w:sz w:val="20"/>
          <w:szCs w:val="20"/>
          <w:color w:val="auto"/>
        </w:rPr>
      </w:pPr>
    </w:p>
    <w:p>
      <w:pPr>
        <w:ind w:right="400" w:firstLine="598"/>
        <w:spacing w:after="0" w:line="308"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2016 that have materially affected, or are reasonably likely to materially affect, our internal control over financial reporting, other than as described above.</w:t>
      </w:r>
    </w:p>
    <w:p>
      <w:pPr>
        <w:spacing w:after="0" w:line="28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8" w:name="page119"/>
    <w:bookmarkEnd w:id="118"/>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provides information regarding our executive officers and directors as of December 31,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360" w:type="dxa"/>
            <w:vAlign w:val="bottom"/>
          </w:tcPr>
          <w:p>
            <w:pPr>
              <w:ind w:left="244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Executive Officers:</w:t>
            </w: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Hamza Suria, M.B.A.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Marco Londei, M.D.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Matthew Moyle, Ph.D.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212"/>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Dominic G. Piscitelli, M.B.A., C.P.A.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0"/>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Non-Employee Directors: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Carol G. Gallagher, Pharm.D.(1)(2)(3)</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Nicholas B. Lydon, Ph.D., FRS(2)</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Hollings Renton, M.B.A.(3)(4)</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John P. Schmid, M.B.A.(1)</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James A. Schoeneck(1)(2)</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James N. Topper, M.D., Ph.D.(3)(5)</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i w:val="1"/>
          <w:iCs w:val="1"/>
          <w:color w:val="auto"/>
        </w:rPr>
        <w:t xml:space="preserve">Hamza Suria, M.B.A., </w:t>
      </w:r>
      <w:r>
        <w:rPr>
          <w:rFonts w:ascii="Arial" w:cs="Arial" w:eastAsia="Arial" w:hAnsi="Arial"/>
          <w:sz w:val="17"/>
          <w:szCs w:val="17"/>
          <w:color w:val="auto"/>
        </w:rPr>
        <w:t>has served as our President and Chief Executive Officer and a member of our board of directors since July 2011. From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2009 to 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70"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i w:val="1"/>
          <w:iCs w:val="1"/>
          <w:color w:val="auto"/>
        </w:rPr>
        <w:t xml:space="preserve">Marco Londei, M.D. </w:t>
      </w:r>
      <w:r>
        <w:rPr>
          <w:rFonts w:ascii="Arial" w:cs="Arial" w:eastAsia="Arial" w:hAnsi="Arial"/>
          <w:sz w:val="17"/>
          <w:szCs w:val="17"/>
          <w:color w:val="auto"/>
        </w:rPr>
        <w:t>has served as our Chief Medical Officer since October 2016. Prior to that, Dr. Londei served as our Chief Development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October 2014. Before joining our company, Dr. Londei worked as Therapeutic 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78"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i w:val="1"/>
          <w:iCs w:val="1"/>
          <w:color w:val="auto"/>
        </w:rPr>
        <w:t xml:space="preserve">Matthew Moyle, Ph.D. </w:t>
      </w:r>
      <w:r>
        <w:rPr>
          <w:rFonts w:ascii="Arial" w:cs="Arial" w:eastAsia="Arial" w:hAnsi="Arial"/>
          <w:sz w:val="18"/>
          <w:szCs w:val="18"/>
          <w:color w:val="auto"/>
        </w:rPr>
        <w:t>commenced serving as our Chief Scientific Officer in May 2016. Dr. Moyle has more than 25 years of industry experience in</w:t>
      </w:r>
      <w:r>
        <w:rPr>
          <w:rFonts w:ascii="Arial" w:cs="Arial" w:eastAsia="Arial" w:hAnsi="Arial"/>
          <w:sz w:val="18"/>
          <w:szCs w:val="18"/>
          <w:i w:val="1"/>
          <w:iCs w:val="1"/>
          <w:color w:val="auto"/>
        </w:rPr>
        <w:t xml:space="preserve"> </w:t>
      </w:r>
      <w:r>
        <w:rPr>
          <w:rFonts w:ascii="Arial" w:cs="Arial" w:eastAsia="Arial" w:hAnsi="Arial"/>
          <w:sz w:val="18"/>
          <w:szCs w:val="18"/>
          <w:color w:val="auto"/>
        </w:rPr>
        <w:t>drug discovery and development of biologics. Before joining us,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9" w:name="page120"/>
    <w:bookmarkEnd w:id="119"/>
    <w:p>
      <w:pPr>
        <w:ind w:right="240"/>
        <w:spacing w:after="0" w:line="286" w:lineRule="auto"/>
        <w:rPr>
          <w:sz w:val="20"/>
          <w:szCs w:val="20"/>
          <w:color w:val="auto"/>
        </w:rPr>
      </w:pPr>
      <w:r>
        <w:rPr>
          <w:rFonts w:ascii="Arial" w:cs="Arial" w:eastAsia="Arial" w:hAnsi="Arial"/>
          <w:sz w:val="16"/>
          <w:szCs w:val="16"/>
          <w:color w:val="auto"/>
        </w:rPr>
        <w:t>October 2010 to August 2015, Dr. Moyle served as Vice President of Biotherapeutics at Boehringer Ingelheim GmbH, a German pharmaceutical company, where he chaired Boehringer Ingelheim’s International Biologics Council. Prior to that, Dr. Moyle held positions as Senior Vice President of Research and Development and Chief Scientific Officer at Theraclone Sciences, Inc., a private biotechnology company, from May 2007 to October 2010, and as Vice President of Research and Corporate Officer at Tanox, Inc., a public biotechnology company that was acquired in 2006 by Genentech, Inc., from January</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2001 to August 2005, where his research organizations designed and developed several monoclonal antibody therapeutic candidates, including three that are currently in mid- to late-stage clinical trials and clinical development at leading pharmaceutical companies. Before Tanox, Dr. Moyle served in various positions at Amgen Inc. from 1995 to 2001, including heading a research department with responsibility for building and running the company’s high-throughput expression-profiling facility. Before that, Dr. Moyle was a Group Leader at Corvas, International, Inc., from 1991 to 1995, where he co-discovered two novel natural product biologics that subsequently advanced to pivotal clinical trials. Dr. Moyle was a postdoctoral scientist at Genentech Inc. from 1989 to 1991, where he was part of the company’s first program in small molecule therapeutics. Dr. Moyle earned a Ph.D. and B.Sc. in Biochemistry at the University of Toronto.</w:t>
      </w:r>
    </w:p>
    <w:p>
      <w:pPr>
        <w:spacing w:after="0" w:line="193"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i w:val="1"/>
          <w:iCs w:val="1"/>
          <w:color w:val="auto"/>
        </w:rPr>
        <w:t xml:space="preserve">Dominic G. Piscitelli, M.B.A., C.P.A., </w:t>
      </w:r>
      <w:r>
        <w:rPr>
          <w:rFonts w:ascii="Arial" w:cs="Arial" w:eastAsia="Arial" w:hAnsi="Arial"/>
          <w:sz w:val="17"/>
          <w:szCs w:val="17"/>
          <w:color w:val="auto"/>
        </w:rPr>
        <w:t>commenced serving as our Chief Financial Officer in January 2017. Mr. Piscitelli has more than 15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the pharmaceutical and biopharmaceutical industries, and more than 20 years of experience in finance. Before joining us, from September 2012 to January 2017, Mr. Piscitelli served as the Vice President of Finance at Medivation, Inc., a biopharmaceutical company. Prior to that, from January 2011 to September 2012, Mr. Piscitelli served as the Senior Director of Global Finance at Astellas Pharma US, Inc., a pharmaceutical company. From September 2001 to January 2011, Mr. Piscitelli held positions at OSI Pharmaceuticals, Inc., a biotechnology company that was acquired by Astellas Pharma US, Inc. in June 2010, serving as the Vice President of Treasury and Management Finance from 2009 to 2011, and previously as Senior Director, Oncology Finance &amp; Treasury, Director, Commercial Finance and Associate Director/Assistant Controller, SEC Reporting. Mr. Piscitelli earned both his B.A. in Business Administration and his M.B.A. from Hofstra University.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320" w:firstLine="598"/>
        <w:spacing w:after="0" w:line="285" w:lineRule="auto"/>
        <w:rPr>
          <w:sz w:val="20"/>
          <w:szCs w:val="20"/>
          <w:color w:val="auto"/>
        </w:rPr>
      </w:pPr>
      <w:r>
        <w:rPr>
          <w:rFonts w:ascii="Arial" w:cs="Arial" w:eastAsia="Arial" w:hAnsi="Arial"/>
          <w:sz w:val="16"/>
          <w:szCs w:val="16"/>
          <w:i w:val="1"/>
          <w:iCs w:val="1"/>
          <w:color w:val="auto"/>
        </w:rPr>
        <w:t xml:space="preserve">Carol G. Gallagher, Pharm.D. </w:t>
      </w:r>
      <w:r>
        <w:rPr>
          <w:rFonts w:ascii="Arial" w:cs="Arial" w:eastAsia="Arial" w:hAnsi="Arial"/>
          <w:sz w:val="16"/>
          <w:szCs w:val="16"/>
          <w:color w:val="auto"/>
        </w:rPr>
        <w:t>has served as a member of our board of directors since October 2011. Dr. Gallagher has been a partner at New</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currently serves as a member of the board of directors of Cleave Biosciences, a private biopharmaceutical company. Dr. Gallagher attended Vanderbilt University and received her B.S. and Pharm.D. degrees from the University of Kentucky.</w:t>
      </w:r>
    </w:p>
    <w:p>
      <w:pPr>
        <w:spacing w:after="0" w:line="162"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was acquired by Amgen in 2000. Prior to joining Kinetix, Dr. Lydon worked at CIBA-GEIGY, AG (Novartis) in Basel, Switzerland from 1985 to 1997, where he was responsible for the protein kinase inhibitor program, including the discovery and preclinical development of Imatinib (Gleevec). Dr. Lydon began his pharmaceutical career at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0" w:name="page121"/>
    <w:bookmarkEnd w:id="120"/>
    <w:p>
      <w:pPr>
        <w:ind w:right="100"/>
        <w:spacing w:after="0" w:line="257" w:lineRule="auto"/>
        <w:rPr>
          <w:sz w:val="20"/>
          <w:szCs w:val="20"/>
          <w:color w:val="auto"/>
        </w:rPr>
      </w:pPr>
      <w:r>
        <w:rPr>
          <w:rFonts w:ascii="Arial" w:cs="Arial" w:eastAsia="Arial" w:hAnsi="Arial"/>
          <w:sz w:val="18"/>
          <w:szCs w:val="18"/>
          <w:color w:val="auto"/>
        </w:rPr>
        <w:t>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88"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i w:val="1"/>
          <w:iCs w:val="1"/>
          <w:color w:val="auto"/>
        </w:rPr>
        <w:t xml:space="preserve">Hollings Renton, M.B.A. </w:t>
      </w:r>
      <w:r>
        <w:rPr>
          <w:rFonts w:ascii="Arial" w:cs="Arial" w:eastAsia="Arial" w:hAnsi="Arial"/>
          <w:sz w:val="16"/>
          <w:szCs w:val="16"/>
          <w:color w:val="auto"/>
        </w:rPr>
        <w:t>has served as a member of our board of directors since June 2015. Mr. Renton previously served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President of 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as chairperson of the board of directors of Portola Pharmaceuticals, Inc. He previously served on the boards of directors of Cepheid, Inc., Kythera Biopharmaceuticals, Inc.,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66"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70"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i w:val="1"/>
          <w:iCs w:val="1"/>
          <w:color w:val="auto"/>
        </w:rPr>
        <w:t xml:space="preserve">John P. Schmid, M.B.A.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6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i w:val="1"/>
          <w:iCs w:val="1"/>
          <w:color w:val="auto"/>
        </w:rPr>
        <w:t xml:space="preserve">James A. Schoeneck </w:t>
      </w:r>
      <w:r>
        <w:rPr>
          <w:rFonts w:ascii="Arial" w:cs="Arial" w:eastAsia="Arial" w:hAnsi="Arial"/>
          <w:sz w:val="18"/>
          <w:szCs w:val="18"/>
          <w:color w:val="auto"/>
        </w:rPr>
        <w:t>has served as a member of our board of directors since November 2015. Mr. Schoeneck has served as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Depomed, Inc. since April 2011 and as a director of Depomed since December 2007. Before joining Depomed, Mr. Schoeneck served as Chief Executive Officer of BrainCells Inc., a private biopharmaceutical company in San Diego, from September 2005 to April 2011. Mr. Schoeneck has served as a director of FibroGen, Inc., a public biopharmaceutical company since June 2010. Mr. Schoeneck received his B.S. in Education from Jacksonville State University.</w:t>
      </w:r>
    </w:p>
    <w:p>
      <w:pPr>
        <w:spacing w:after="0" w:line="188"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We believe that Mr. Schoeneck’s extensive industry and leadership experience provide him with the qualifications and skills to serve on our board of directors.</w:t>
      </w:r>
    </w:p>
    <w:p>
      <w:pPr>
        <w:spacing w:after="0" w:line="170"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i w:val="1"/>
          <w:iCs w:val="1"/>
          <w:color w:val="auto"/>
        </w:rPr>
        <w:t xml:space="preserve">James N. Topper, M.D., Ph.D. </w:t>
      </w:r>
      <w:r>
        <w:rPr>
          <w:rFonts w:ascii="Arial" w:cs="Arial" w:eastAsia="Arial" w:hAnsi="Arial"/>
          <w:sz w:val="18"/>
          <w:szCs w:val="18"/>
          <w:color w:val="auto"/>
        </w:rPr>
        <w:t>has served as a member of our board of directors since November 2007. Dr. Topper has been a partner with Frazier</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since August 2003, serving as General Partner since 2005.</w:t>
      </w:r>
    </w:p>
    <w:p>
      <w:pPr>
        <w:spacing w:after="0" w:line="170" w:lineRule="exact"/>
        <w:rPr>
          <w:sz w:val="20"/>
          <w:szCs w:val="20"/>
          <w:color w:val="auto"/>
        </w:rPr>
      </w:pPr>
    </w:p>
    <w:p>
      <w:pPr>
        <w:ind w:right="860" w:firstLine="598"/>
        <w:spacing w:after="0" w:line="264" w:lineRule="auto"/>
        <w:rPr>
          <w:sz w:val="20"/>
          <w:szCs w:val="20"/>
          <w:color w:val="auto"/>
        </w:rPr>
      </w:pPr>
      <w:r>
        <w:rPr>
          <w:rFonts w:ascii="Arial" w:cs="Arial" w:eastAsia="Arial" w:hAnsi="Arial"/>
          <w:sz w:val="18"/>
          <w:szCs w:val="18"/>
          <w:color w:val="auto"/>
        </w:rPr>
        <w:t>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1" w:name="page122"/>
    <w:bookmarkEnd w:id="121"/>
    <w:p>
      <w:pPr>
        <w:ind w:right="280"/>
        <w:spacing w:after="0" w:line="259" w:lineRule="auto"/>
        <w:rPr>
          <w:sz w:val="20"/>
          <w:szCs w:val="20"/>
          <w:color w:val="auto"/>
        </w:rPr>
      </w:pPr>
      <w:r>
        <w:rPr>
          <w:rFonts w:ascii="Arial" w:cs="Arial" w:eastAsia="Arial" w:hAnsi="Arial"/>
          <w:sz w:val="18"/>
          <w:szCs w:val="18"/>
          <w:color w:val="auto"/>
        </w:rPr>
        <w:t>the Vice President of Biology at COR from August 1999 to February 2002. Dr. Topper has served as a director at ProNai Therapeutics, Inc., a public drug development company, since April 2014.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8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18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board of directors has adopted a code of business conduct and ethics that applies to all of our employees, officers and directors, including our Chief Executive Officer and other executive and senior officers. The full text of our code of conduct is posted on the investor relations section of our website. The reference to our website address in this report does not include or incorporate by reference the information on our website into this report. We intend to disclose future amendments to certain provisions of our code of conduct, or waivers of these provisions, on our website or in public filings.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Our audit committee is comprised of Dr. Gallagher, Mr. Schoeneck and Mr. Schmid, with Mr. Schmid as the chairman of our audit committee. The composition of our audit committee meets the requirements for 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64" w:lineRule="exact"/>
        <w:rPr>
          <w:sz w:val="20"/>
          <w:szCs w:val="20"/>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17"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considering the adequacy of our internal controls;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17"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beneficial owners of more than 10% of our common stock to file reports of holdings and transactions in our common stock and our other securities with the Securities Exchange Commission. Our directors, executive officers and beneficial owners of more than 10% of our common stock did not become subject to such Section 16(a) reporting requirements until January 25, 2017, after the completion of our fiscal year ended December 31, 2016.</w:t>
      </w: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180" w:firstLine="598"/>
        <w:spacing w:after="0" w:line="286" w:lineRule="auto"/>
        <w:rPr>
          <w:sz w:val="20"/>
          <w:szCs w:val="20"/>
          <w:color w:val="auto"/>
        </w:rPr>
      </w:pPr>
      <w:r>
        <w:rPr>
          <w:rFonts w:ascii="Arial" w:cs="Arial" w:eastAsia="Arial" w:hAnsi="Arial"/>
          <w:sz w:val="17"/>
          <w:szCs w:val="17"/>
          <w:color w:val="auto"/>
        </w:rPr>
        <w:t>The following tables and accompanying narrative disclosure set forth information about the compensation provided to our executive officers during the years ended December 31, 2015 and 2016. These executive officers, who include our principal executive officer and the two most highly-compensated executive officers (other than our principal executive officer) serving as executive officers as of December 31, 2016, were:</w:t>
      </w:r>
    </w:p>
    <w:p>
      <w:pPr>
        <w:spacing w:after="0" w:line="57" w:lineRule="exact"/>
        <w:rPr>
          <w:sz w:val="20"/>
          <w:szCs w:val="20"/>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Matthew Moyle, Chief Scientific Officer;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Marco Londei, Chief Medical Officer.</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years ended December 31, 2015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Salary</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Bonus(1)</w:t>
            </w:r>
          </w:p>
        </w:tc>
        <w:tc>
          <w:tcPr>
            <w:tcW w:w="140" w:type="dxa"/>
            <w:vAlign w:val="bottom"/>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All Other</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5"/>
              <w:spacing w:after="0"/>
              <w:rPr>
                <w:sz w:val="20"/>
                <w:szCs w:val="20"/>
                <w:color w:val="auto"/>
              </w:rPr>
            </w:pPr>
            <w:r>
              <w:rPr>
                <w:rFonts w:ascii="Arial" w:cs="Arial" w:eastAsia="Arial" w:hAnsi="Arial"/>
                <w:sz w:val="14"/>
                <w:szCs w:val="14"/>
                <w:b w:val="1"/>
                <w:bCs w:val="1"/>
                <w:color w:val="auto"/>
              </w:rPr>
              <w:t>Awards(2)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88"/>
              </w:rPr>
              <w:t>Compensation</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Hamza Suria, M.B.A.</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425,000</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153,000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440" w:type="dxa"/>
            <w:vAlign w:val="bottom"/>
            <w:tcBorders>
              <w:top w:val="single" w:sz="8" w:color="CFF0FC"/>
            </w:tcBorders>
            <w:shd w:val="clear" w:color="auto" w:fill="CFF0FC"/>
          </w:tcPr>
          <w:p>
            <w:pPr>
              <w:jc w:val="right"/>
              <w:ind w:right="63"/>
              <w:spacing w:after="0"/>
              <w:rPr>
                <w:sz w:val="20"/>
                <w:szCs w:val="20"/>
                <w:color w:val="auto"/>
              </w:rPr>
            </w:pPr>
            <w:r>
              <w:rPr>
                <w:rFonts w:ascii="Arial" w:cs="Arial" w:eastAsia="Arial" w:hAnsi="Arial"/>
                <w:sz w:val="15"/>
                <w:szCs w:val="15"/>
                <w:color w:val="auto"/>
              </w:rPr>
              <w:t>(4)</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60"/>
              <w:spacing w:after="0"/>
              <w:rPr>
                <w:sz w:val="20"/>
                <w:szCs w:val="20"/>
                <w:color w:val="auto"/>
              </w:rPr>
            </w:pPr>
            <w:r>
              <w:rPr>
                <w:rFonts w:ascii="Arial" w:cs="Arial" w:eastAsia="Arial" w:hAnsi="Arial"/>
                <w:sz w:val="18"/>
                <w:szCs w:val="18"/>
                <w:i w:val="1"/>
                <w:iCs w:val="1"/>
                <w:color w:val="auto"/>
              </w:rPr>
              <w:t>President and Chief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80"/>
              <w:spacing w:after="0"/>
              <w:rPr>
                <w:sz w:val="20"/>
                <w:szCs w:val="20"/>
                <w:color w:val="auto"/>
              </w:rPr>
            </w:pPr>
            <w:r>
              <w:rPr>
                <w:rFonts w:ascii="Arial" w:cs="Arial" w:eastAsia="Arial" w:hAnsi="Arial"/>
                <w:sz w:val="18"/>
                <w:szCs w:val="18"/>
                <w:i w:val="1"/>
                <w:iCs w:val="1"/>
                <w:color w:val="auto"/>
              </w:rPr>
              <w:t>Executive Officer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382,083</w:t>
            </w:r>
          </w:p>
        </w:tc>
        <w:tc>
          <w:tcPr>
            <w:tcW w:w="4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97,431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1,170,840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c>
          <w:tcPr>
            <w:tcW w:w="440" w:type="dxa"/>
            <w:vAlign w:val="bottom"/>
          </w:tcPr>
          <w:p>
            <w:pPr>
              <w:jc w:val="right"/>
              <w:ind w:right="63"/>
              <w:spacing w:after="0"/>
              <w:rPr>
                <w:sz w:val="20"/>
                <w:szCs w:val="20"/>
                <w:color w:val="auto"/>
              </w:rPr>
            </w:pPr>
            <w:r>
              <w:rPr>
                <w:rFonts w:ascii="Arial" w:cs="Arial" w:eastAsia="Arial" w:hAnsi="Arial"/>
                <w:sz w:val="15"/>
                <w:szCs w:val="15"/>
                <w:color w:val="auto"/>
              </w:rPr>
              <w:t>(4)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1,650,894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Matthew Moyle, Ph.D.</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181,250</w:t>
            </w:r>
          </w:p>
        </w:tc>
        <w:tc>
          <w:tcPr>
            <w:tcW w:w="4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614,546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37,726</w:t>
            </w:r>
          </w:p>
        </w:tc>
        <w:tc>
          <w:tcPr>
            <w:tcW w:w="4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(5)</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877,928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i w:val="1"/>
                <w:iCs w:val="1"/>
                <w:color w:val="auto"/>
              </w:rPr>
              <w:t>Chief Scientific Officer</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Marco Londei, M.D.</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3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380,000</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11,944</w:t>
            </w:r>
          </w:p>
        </w:tc>
        <w:tc>
          <w:tcPr>
            <w:tcW w:w="44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240" w:type="dxa"/>
            <w:vAlign w:val="bottom"/>
          </w:tcPr>
          <w:p>
            <w:pPr>
              <w:ind w:left="260"/>
              <w:spacing w:after="0"/>
              <w:rPr>
                <w:sz w:val="20"/>
                <w:szCs w:val="20"/>
                <w:color w:val="auto"/>
              </w:rPr>
            </w:pPr>
            <w:r>
              <w:rPr>
                <w:rFonts w:ascii="Arial" w:cs="Arial" w:eastAsia="Arial" w:hAnsi="Arial"/>
                <w:sz w:val="18"/>
                <w:szCs w:val="18"/>
                <w:i w:val="1"/>
                <w:iCs w:val="1"/>
                <w:color w:val="auto"/>
              </w:rPr>
              <w:t>Chief Medical Officer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363,333</w:t>
            </w:r>
          </w:p>
        </w:tc>
        <w:tc>
          <w:tcPr>
            <w:tcW w:w="4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81,094</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406,049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42,042</w:t>
            </w:r>
          </w:p>
        </w:tc>
        <w:tc>
          <w:tcPr>
            <w:tcW w:w="440" w:type="dxa"/>
            <w:vAlign w:val="bottom"/>
          </w:tcPr>
          <w:p>
            <w:pPr>
              <w:jc w:val="right"/>
              <w:ind w:right="63"/>
              <w:spacing w:after="0"/>
              <w:rPr>
                <w:sz w:val="20"/>
                <w:szCs w:val="20"/>
                <w:color w:val="auto"/>
              </w:rPr>
            </w:pPr>
            <w:r>
              <w:rPr>
                <w:rFonts w:ascii="Arial" w:cs="Arial" w:eastAsia="Arial" w:hAnsi="Arial"/>
                <w:sz w:val="15"/>
                <w:szCs w:val="15"/>
                <w:color w:val="auto"/>
              </w:rPr>
              <w:t>(7)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892,518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1150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22" w:lineRule="exact"/>
        <w:rPr>
          <w:sz w:val="20"/>
          <w:szCs w:val="20"/>
          <w:color w:val="auto"/>
        </w:rPr>
      </w:pPr>
    </w:p>
    <w:p>
      <w:pPr>
        <w:ind w:left="600" w:hanging="59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w:t>
      </w:r>
    </w:p>
    <w:p>
      <w:pPr>
        <w:spacing w:after="0" w:line="23" w:lineRule="exact"/>
        <w:rPr>
          <w:rFonts w:ascii="Arial" w:cs="Arial" w:eastAsia="Arial" w:hAnsi="Arial"/>
          <w:sz w:val="18"/>
          <w:szCs w:val="18"/>
          <w:color w:val="auto"/>
        </w:rPr>
      </w:pPr>
    </w:p>
    <w:p>
      <w:pPr>
        <w:ind w:left="600" w:right="60" w:hanging="592"/>
        <w:spacing w:after="0" w:line="281" w:lineRule="auto"/>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grant-date fair value of the awards granted under our Amended and Restated 2006 Equity Incentive Plan to our named executive officers during the years ended December 31, 2015 and 2016, as computed in accordance with FASB ASC Topic 718. The assumptions used in calculating the grant date fair value of the awards reported in the Stock Option Awards column are set forth in Note 8 to our consolidated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3" w:lineRule="exact"/>
        <w:rPr>
          <w:rFonts w:ascii="Arial" w:cs="Arial" w:eastAsia="Arial" w:hAnsi="Arial"/>
          <w:sz w:val="16"/>
          <w:szCs w:val="16"/>
          <w:color w:val="auto"/>
        </w:rPr>
      </w:pPr>
    </w:p>
    <w:p>
      <w:pPr>
        <w:ind w:left="600" w:hanging="59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Dr. Moyle’s salary from the commencement of his employment on May 16, 2016, through December 31, 2016.</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Suria.</w:t>
      </w:r>
    </w:p>
    <w:p>
      <w:pPr>
        <w:spacing w:after="0" w:line="9" w:lineRule="exact"/>
        <w:rPr>
          <w:rFonts w:ascii="Arial" w:cs="Arial" w:eastAsia="Arial" w:hAnsi="Arial"/>
          <w:sz w:val="18"/>
          <w:szCs w:val="18"/>
          <w:color w:val="auto"/>
        </w:rPr>
      </w:pPr>
    </w:p>
    <w:p>
      <w:pPr>
        <w:ind w:left="600" w:right="140" w:hanging="592"/>
        <w:spacing w:after="0" w:line="250"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Moyle during the year ended December 31, 2016, consisting of $36,221 for temporary housing and moving expenses and $1,505 for group term life insurance premiums paid by us on behalf of Dr. Moyle.</w:t>
      </w:r>
    </w:p>
    <w:p>
      <w:pPr>
        <w:ind w:left="600" w:right="40" w:hanging="592"/>
        <w:spacing w:after="0" w:line="261"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2016, consisting of $7,984 for moving expenses and $3,960 for group term life insurance premiums paid by us on behalf of Dr. Londei.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3" w:name="page124"/>
    <w:bookmarkEnd w:id="123"/>
    <w:p>
      <w:pPr>
        <w:ind w:left="600" w:right="80" w:hanging="592"/>
        <w:spacing w:after="0" w:line="264" w:lineRule="auto"/>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2015, consisting of $39,462 for temporary housing and moving expenses, including tax gross-up with respect to temporary housing payments, and $2,580 for group term life insurance premiums paid by us on behalf of Dr. Londei.</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The initial terms and conditions of employment of each of Mr. Suria and Drs. Londei and Moyle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Suria’s Employment Agreement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Pursuant to an employment agreement effective as of January 1, 2012 and amended October 9, 2012 and September 16, 2014, or collectively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Suria Employment Agreement, Mr. Suria serves as our President and Chief Executive Officer. The Suria Employment Agreement sets forth the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of his employment, including his initial annual base salary of $285,000 and an annual target cash bonus opportunity of 25% of his 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subject to pro rata adjustment for any partial years worked, which bonus is earned based on our achievement of specified milestones and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objectives, as well as Mr. Suria’s performance relative to one or more performance objectives established by Mr. Suria, our compensation committee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the achievement of which is evaluated by us. On August 14, 2015, our board of directors increased Mr. Suria’s annual base salary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$420,000, effective as of August 1, 2015. The Suria Employment Agreement provided for the grant of a time-based stock option to purchase up to 214,239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under our Amended and Restated 2006 Equity Incentive Plan. The Suria Employment Agreement also provided for the grant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performance-based stock option to purchase up to 97,721 shares of our common stock under our Amended and Restated 2006 Equity Incentive Plan,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would vest immediately in the event of a change of control or qualified initial public offering. These options were granted with an exercise price equal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fair value of our common stock on the date of grant and vest over four years as described in more detail in “—Outstanding Equity Awards at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Year-End Table” below. Mr. Suria’s employment is at will and may be terminated at any time, with or without cause. However, pursuant to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Suria Employment Agreement, Mr. Suria will be entitled to severance benefits upon a qualifying termination of employment as described in “—Potential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Payments upon IPO, Termination or Change in Control”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Londei’s Employment Agreement</w:t>
      </w:r>
    </w:p>
    <w:p>
      <w:pPr>
        <w:spacing w:after="0" w:line="121" w:lineRule="exact"/>
        <w:rPr>
          <w:sz w:val="20"/>
          <w:szCs w:val="20"/>
          <w:color w:val="auto"/>
        </w:rPr>
      </w:pPr>
    </w:p>
    <w:p>
      <w:pPr>
        <w:ind w:right="20" w:firstLine="598"/>
        <w:spacing w:after="0" w:line="283" w:lineRule="auto"/>
        <w:rPr>
          <w:sz w:val="20"/>
          <w:szCs w:val="20"/>
          <w:color w:val="auto"/>
        </w:rPr>
      </w:pPr>
      <w:r>
        <w:rPr>
          <w:rFonts w:ascii="Arial" w:cs="Arial" w:eastAsia="Arial" w:hAnsi="Arial"/>
          <w:sz w:val="16"/>
          <w:szCs w:val="16"/>
          <w:color w:val="auto"/>
        </w:rPr>
        <w:t>Pursuant to an employment agreement effective as of October 20, 2014, or the Londei Employment Agreement, Dr. Londei serves as our Chief Medical Officer. The Londei Employment Agreement sets forth the principal terms and conditions of his employment, including his initial annual base salary of $350,000 and an 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On August 14, 2015, our board of directors increased Mr. Londei’s annual base salary to $375,000, effective as of August 1, 2015. Likewise, the Londei Employment Agreement provides for additional discretionary performance-based bonuses. The Londei Employment Agreement provides for the grant of a time-based stock option to purchase 160,965 shares of our common stock under our Amended and Restated 2006 Equity Incentive Plan. 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w:t>
      </w:r>
    </w:p>
    <w:p>
      <w:pPr>
        <w:spacing w:after="0" w:line="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Dr. Londei will be entitled to severance benefits upon a qualifying termination of employment as described in “—Potential Payments upon IPO, Termination or Change in Control” below.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Dr. Moyle’s Employment Agreement</w:t>
      </w:r>
    </w:p>
    <w:p>
      <w:pPr>
        <w:spacing w:after="0" w:line="121"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Pursuant to an employment agreement effective as of March 22, 2016, or the Moyle Employment Agreement, Dr. Moyle serves as our Chief Scientific Officer. The Moyle Employment Agreement sets forth the principal terms and conditions of his employment, including his initial annual base salary of $290,000 and an annual discretionary cash bonus of up to 30% of his base salary, which bonus is earned based on achievement of certain performance goals established by our Chief Executive Officer, the final determination of which for any given year is made by our Chief Executive Officer and board of directors in their sole and absolute discretion. The Moyle Employment Agreement provides for reimbursement of actual and reasonable costs that Dr. Moyle may incur to relocate his household from Connecticut to the San Diego area no later than May 2017, up to $135,000 in the aggregate, and the Moyle Employment Agreement provides further that, in the interim, Dr. Moyle shall be reimbursed for actual and reasonable costs incurred by Dr. Moyle for him to spend at least three weeks per month in the San Diego area, up to a maximum of an additional $40,000 in the aggregate. The Moyle Employment Agreement provides for the grant, as soon as practicable following the effective date of the Moyle Employment Agreement, of a time-based stock option to purchase up to 169,417 shares of our common stock under our Amended and Restated 2006 Equity Incentive Plan. This option was granted with an exercise price equal to the fair market value of our common stock on the date of grant and vests over four years, with 1/4 of the underlying shares vesting on the first calendar anniversary of the effective date of the Moyle Employment Agreement and, thereafter, an additional 1/48 of the underlying shares vesting on the same day of each succeeding calendar month. Dr. Moyle’s employment is at-will and may be terminated at any time, with or without cause. However, pursuant to the terms of the Moyle Employment Agreement, Dr. Moyle will be entitled to severance benefits upon a qualifying termination of employment as described in “—Potential Payments upon IPO, Termination or Change in Control”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for each of the named executive officers, information regarding outstanding stock options held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Option Awards</w:t>
            </w: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Number of</w:t>
            </w: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Option</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Grant Date</w:t>
            </w:r>
            <w:r>
              <w:rPr>
                <w:rFonts w:ascii="Arial" w:cs="Arial" w:eastAsia="Arial" w:hAnsi="Arial"/>
                <w:sz w:val="12"/>
                <w:szCs w:val="12"/>
                <w:b w:val="1"/>
                <w:bCs w:val="1"/>
                <w:color w:val="auto"/>
                <w:w w:val="97"/>
              </w:rPr>
              <w:t>(1)</w:t>
            </w: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Exercisable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Hamza Suria, M.B.A.</w:t>
            </w:r>
            <w:r>
              <w:rPr>
                <w:rFonts w:ascii="Arial" w:cs="Arial" w:eastAsia="Arial" w:hAnsi="Arial"/>
                <w:sz w:val="15"/>
                <w:szCs w:val="15"/>
                <w:color w:val="auto"/>
              </w:rPr>
              <w:t>(2)</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Dec. 9, 2008</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22,428</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Dec. 8, 2018</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Feb. 10, 2010</w:t>
            </w:r>
          </w:p>
        </w:tc>
        <w:tc>
          <w:tcPr>
            <w:tcW w:w="1300" w:type="dxa"/>
            <w:vAlign w:val="bottom"/>
          </w:tcPr>
          <w:p>
            <w:pPr>
              <w:jc w:val="right"/>
              <w:spacing w:after="0"/>
              <w:rPr>
                <w:sz w:val="20"/>
                <w:szCs w:val="20"/>
                <w:color w:val="auto"/>
              </w:rPr>
            </w:pPr>
            <w:r>
              <w:rPr>
                <w:rFonts w:ascii="Arial" w:cs="Arial" w:eastAsia="Arial" w:hAnsi="Arial"/>
                <w:sz w:val="18"/>
                <w:szCs w:val="18"/>
                <w:color w:val="auto"/>
              </w:rPr>
              <w:t>1,428</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Feb. 9, 2020</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Feb. 24, 2011</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6,208</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Feb. 23, 2021</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Dec. 9, 2011</w:t>
            </w:r>
          </w:p>
        </w:tc>
        <w:tc>
          <w:tcPr>
            <w:tcW w:w="1300" w:type="dxa"/>
            <w:vAlign w:val="bottom"/>
          </w:tcPr>
          <w:p>
            <w:pPr>
              <w:jc w:val="right"/>
              <w:spacing w:after="0"/>
              <w:rPr>
                <w:sz w:val="20"/>
                <w:szCs w:val="20"/>
                <w:color w:val="auto"/>
              </w:rPr>
            </w:pPr>
            <w:r>
              <w:rPr>
                <w:rFonts w:ascii="Arial" w:cs="Arial" w:eastAsia="Arial" w:hAnsi="Arial"/>
                <w:sz w:val="18"/>
                <w:szCs w:val="18"/>
                <w:color w:val="auto"/>
              </w:rPr>
              <w:t>140,948</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Dec. 8, 2021</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Feb. 1, 2012</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97,721</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Feb. 1, 2012</w:t>
            </w:r>
          </w:p>
        </w:tc>
        <w:tc>
          <w:tcPr>
            <w:tcW w:w="1300" w:type="dxa"/>
            <w:vAlign w:val="bottom"/>
          </w:tcPr>
          <w:p>
            <w:pPr>
              <w:jc w:val="right"/>
              <w:spacing w:after="0"/>
              <w:rPr>
                <w:sz w:val="20"/>
                <w:szCs w:val="20"/>
                <w:color w:val="auto"/>
              </w:rPr>
            </w:pPr>
            <w:r>
              <w:rPr>
                <w:rFonts w:ascii="Arial" w:cs="Arial" w:eastAsia="Arial" w:hAnsi="Arial"/>
                <w:sz w:val="18"/>
                <w:szCs w:val="18"/>
                <w:color w:val="auto"/>
              </w:rPr>
              <w:t>73,291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Dec. 17, 2012</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19,425</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 16, 2022</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Sep. 16, 2014</w:t>
            </w:r>
          </w:p>
        </w:tc>
        <w:tc>
          <w:tcPr>
            <w:tcW w:w="1300" w:type="dxa"/>
            <w:vAlign w:val="bottom"/>
          </w:tcPr>
          <w:p>
            <w:pPr>
              <w:jc w:val="right"/>
              <w:spacing w:after="0"/>
              <w:rPr>
                <w:sz w:val="20"/>
                <w:szCs w:val="20"/>
                <w:color w:val="auto"/>
              </w:rPr>
            </w:pPr>
            <w:r>
              <w:rPr>
                <w:rFonts w:ascii="Arial" w:cs="Arial" w:eastAsia="Arial" w:hAnsi="Arial"/>
                <w:sz w:val="18"/>
                <w:szCs w:val="18"/>
                <w:color w:val="auto"/>
              </w:rPr>
              <w:t>51,840</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Sep. 15, 2024</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Aug. 14, 2015</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88,641</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177,287</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Matthew Moyle, Ph.D.</w:t>
            </w:r>
            <w:r>
              <w:rPr>
                <w:rFonts w:ascii="Arial" w:cs="Arial" w:eastAsia="Arial" w:hAnsi="Arial"/>
                <w:sz w:val="15"/>
                <w:szCs w:val="15"/>
                <w:color w:val="auto"/>
              </w:rPr>
              <w:t>(3)</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July 22, 2016</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169,417</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July 21, 2026</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15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Oct. 28, 2014</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160,965</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Oct. 27, 2024</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Aug. 14, 2015</w:t>
            </w:r>
          </w:p>
        </w:tc>
        <w:tc>
          <w:tcPr>
            <w:tcW w:w="1300" w:type="dxa"/>
            <w:vAlign w:val="bottom"/>
          </w:tcPr>
          <w:p>
            <w:pPr>
              <w:jc w:val="right"/>
              <w:spacing w:after="0"/>
              <w:rPr>
                <w:sz w:val="20"/>
                <w:szCs w:val="20"/>
                <w:color w:val="auto"/>
              </w:rPr>
            </w:pPr>
            <w:r>
              <w:rPr>
                <w:rFonts w:ascii="Arial" w:cs="Arial" w:eastAsia="Arial" w:hAnsi="Arial"/>
                <w:sz w:val="18"/>
                <w:szCs w:val="18"/>
                <w:color w:val="auto"/>
              </w:rPr>
              <w:t>30,740</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61,483</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1150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0" w:lineRule="exact"/>
        <w:rPr>
          <w:sz w:val="20"/>
          <w:szCs w:val="20"/>
          <w:color w:val="auto"/>
        </w:rPr>
      </w:pPr>
    </w:p>
    <w:p>
      <w:pPr>
        <w:ind w:left="600" w:right="40" w:hanging="592"/>
        <w:spacing w:after="0" w:line="253" w:lineRule="auto"/>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Amended and Restated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600" w:hanging="592"/>
        <w:spacing w:after="0"/>
        <w:tabs>
          <w:tab w:leader="none" w:pos="6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vested as to their underlying shares as follows:</w:t>
      </w:r>
    </w:p>
    <w:p>
      <w:pPr>
        <w:spacing w:after="0" w:line="32"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(i) the shares underlying the options granted on December 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5" w:name="page126"/>
    <w:bookmarkEnd w:id="125"/>
    <w:p>
      <w:pPr>
        <w:ind w:left="600" w:right="20"/>
        <w:spacing w:after="0" w:line="252" w:lineRule="auto"/>
        <w:rPr>
          <w:sz w:val="20"/>
          <w:szCs w:val="20"/>
          <w:color w:val="auto"/>
        </w:rPr>
      </w:pPr>
      <w:r>
        <w:rPr>
          <w:rFonts w:ascii="Arial" w:cs="Arial" w:eastAsia="Arial" w:hAnsi="Arial"/>
          <w:sz w:val="18"/>
          <w:szCs w:val="18"/>
          <w:color w:val="auto"/>
        </w:rPr>
        <w:t>2008, February 10, 2010, February 24, 2011, and December 9, 2011 and December 17, 2012, and 73,291 shares underlying the options granted on February 1, 2012, have fully vested; (ii) of the 97,721 shares underlying an option granted on February 1, 2012, all vested upon our initial public offering; (iii) of the 51,840 shares underlying the option granted on September 16, 2014, 1/4 vested on September 16, 2015, and thereafter 1/48 vest on the sixteenth day of each succeeding calendar month, starting October 16 2015; and (iv) of the 265,928 shares underlying the option granted on August 14, 2015, 1/4 vested on August 13, 2016, and 1/48 vest on the thirteenth day of each succeeding calendar month, starting September 13, 2016, provided that if Mr. Suria is terminated without Cause or resigns for Good Reason (as each is defined in his employment agreement) in connection with a Change in Control (as defined in the Amended and Restated 2006 Equity Incentive Plan), then all of the shares underlying the option shall vest at that time.</w:t>
      </w:r>
    </w:p>
    <w:p>
      <w:pPr>
        <w:spacing w:after="0" w:line="4" w:lineRule="exact"/>
        <w:rPr>
          <w:sz w:val="20"/>
          <w:szCs w:val="20"/>
          <w:color w:val="auto"/>
        </w:rPr>
      </w:pPr>
    </w:p>
    <w:p>
      <w:pPr>
        <w:ind w:left="600" w:right="180" w:hanging="592"/>
        <w:spacing w:after="0" w:line="250" w:lineRule="auto"/>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These options are not early-exercisable. The options vest as to their underlying shares as follows: (i) of the 169,417 shares underlying the option granted on July 22, 2016, 1/4 vest on May 16, 2017, and 1/48 vest on the 16th day of each succeeding calendar month, starting June 16, 2017, provided that if Mr. Moyle is terminated without Cause or resigns for Good Reason (as each is defined in his employment agreement) in connection with a Change in Control (as defined in the Amended and Restated 2006 Equity Incentive Plan), then all of the shares underlying the options shall vest at that time.</w:t>
      </w:r>
    </w:p>
    <w:p>
      <w:pPr>
        <w:spacing w:after="0" w:line="2" w:lineRule="exact"/>
        <w:rPr>
          <w:rFonts w:ascii="Arial" w:cs="Arial" w:eastAsia="Arial" w:hAnsi="Arial"/>
          <w:sz w:val="18"/>
          <w:szCs w:val="18"/>
          <w:color w:val="auto"/>
        </w:rPr>
      </w:pPr>
    </w:p>
    <w:p>
      <w:pPr>
        <w:ind w:left="600" w:hanging="592"/>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w:t>
      </w:r>
    </w:p>
    <w:p>
      <w:pPr>
        <w:spacing w:after="0" w:line="32" w:lineRule="exact"/>
        <w:rPr>
          <w:rFonts w:ascii="Arial" w:cs="Arial" w:eastAsia="Arial" w:hAnsi="Arial"/>
          <w:sz w:val="16"/>
          <w:szCs w:val="16"/>
          <w:color w:val="auto"/>
        </w:rPr>
      </w:pPr>
    </w:p>
    <w:p>
      <w:pPr>
        <w:ind w:left="600"/>
        <w:spacing w:after="0" w:line="268" w:lineRule="auto"/>
        <w:rPr>
          <w:rFonts w:ascii="Arial" w:cs="Arial" w:eastAsia="Arial" w:hAnsi="Arial"/>
          <w:sz w:val="16"/>
          <w:szCs w:val="16"/>
          <w:color w:val="auto"/>
        </w:rPr>
      </w:pPr>
      <w:r>
        <w:rPr>
          <w:rFonts w:ascii="Arial" w:cs="Arial" w:eastAsia="Arial" w:hAnsi="Arial"/>
          <w:sz w:val="17"/>
          <w:szCs w:val="17"/>
          <w:color w:val="auto"/>
        </w:rPr>
        <w:t>(i) of the 160,965 shares underlying the option granted on October 28, 2014, 1/4 of the shares vested on October 24, 2015, and thereafter, 1/48 vest on the 24th day of each succeeding calendar month, starting November 24, 2015, provided that if Dr. Londei is terminated without Cause or resigns for Good Reason (as each is defined in his employment agreement) in connection with a Change in Control (as defined in the Amended and Restated 2006 Equity Incentive Plan), then all of the shares underlying the option shall vest at that time; and (ii) of the 92,223 shares underlying the option granted on August 14, 2015, 1/4 vested on August 13, 2016, and 1/48 vest on the thirteenth day of each succeeding calendar month, starting September 13, 2016, provided that if Mr. Londei is terminated without Cause or resigns for Good Reason (as each is defined in his employment agreement) in connection with a Change in Control (as defined in the Amended and Restated 2006 Equity Incentive Plan), then all of the shares underlying the option shall vest at that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Pursuant to the Suria Employment Agreement, the Londei Employment Agreement and the Moyle Employment Agreement, in the event that Mr. Suria, Dr. Londei or Dr. Moyle is terminated without “cause” or resigns for “good reason” (each as defined in the applicable employment agreement), provided that each delivers a signed settlement and general release in favor of us and satisfies all conditions to make such release effective, (i) each will receive continued severance payments for 12 months, nine months and nine months, respectively and (ii) and if each elects continuation coverage under the Consolidated Omnibus Budget Reconciliation Act of 1985, or COBRA, we will pay directly to the insurance provider of our group health plans, the monthly premium for such continuation coverage for each officer and his family, for 12 months, nine months and nine months, respectively, or such earlier date on which coverage with a new employer is obtained.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12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 control, and provided that Mr. Suria delivers a signed settlement and general release in favor of us and satisfies all conditions to make such release effective, (i) Mr. Suria will receive the continued severance payments and COBRA premiums described above for 12 months and (ii) certain of his currently outstanding stock options will vest in full as described in more detail in “—Outstanding Equity Awards at Fiscal Year-End Table” above. In addition, Mr. Suria’s option granted on February 1, 2012, will vest in full upon a change in control, subject to Mr. Suria’s employment on such date.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ind w:right="20" w:firstLine="598"/>
        <w:spacing w:after="0" w:line="257" w:lineRule="auto"/>
        <w:rPr>
          <w:sz w:val="20"/>
          <w:szCs w:val="20"/>
          <w:color w:val="auto"/>
        </w:rPr>
      </w:pPr>
      <w:r>
        <w:rPr>
          <w:rFonts w:ascii="Arial" w:cs="Arial" w:eastAsia="Arial" w:hAnsi="Arial"/>
          <w:sz w:val="18"/>
          <w:szCs w:val="18"/>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 (i) Dr. Londei will receive the severance payments and COBRA premiums described above for nine months and (ii) each of his currently outstanding stock options will vest in full.</w:t>
      </w:r>
    </w:p>
    <w:p>
      <w:pPr>
        <w:spacing w:after="0" w:line="18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Pursuant to the Moyle Employment Agreement, if we experience a change in control and Dr. Moyle is terminated without “cause” or resigns for “good reason” (each as defined in the employment agreement or applicable option agreement) upon the occurrence of, or within 13 months following, such change in control, and provided that Dr. Moyle has permanently relocated his household to the San Diego area prior to such termination or resignation and delivers a signed settlement and general release in favor of us and satisfies all conditions to make such release effective (i) Dr. Moyle will receive the severance payments and COBRA premiums described above for nine months and (ii) the stock option granted to him pursuant to his employment agreement will vest in full.</w:t>
      </w:r>
    </w:p>
    <w:p>
      <w:pPr>
        <w:spacing w:after="0" w:line="193" w:lineRule="exact"/>
        <w:rPr>
          <w:sz w:val="20"/>
          <w:szCs w:val="20"/>
          <w:color w:val="auto"/>
        </w:rPr>
      </w:pPr>
    </w:p>
    <w:p>
      <w:pPr>
        <w:ind w:right="300" w:firstLine="598"/>
        <w:spacing w:after="0" w:line="279" w:lineRule="auto"/>
        <w:rPr>
          <w:sz w:val="20"/>
          <w:szCs w:val="20"/>
          <w:color w:val="auto"/>
        </w:rPr>
      </w:pPr>
      <w:r>
        <w:rPr>
          <w:rFonts w:ascii="Arial" w:cs="Arial" w:eastAsia="Arial" w:hAnsi="Arial"/>
          <w:sz w:val="17"/>
          <w:szCs w:val="17"/>
          <w:color w:val="auto"/>
        </w:rPr>
        <w:t>Each employment agreement contains a “better after-tax” provision, which provides that if any of the payments to Mr. Suria, Dr. Londei, or Dr. Moyle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12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The following table presents the total compensation earned or paid in the year ended December 31, 2016 for each member of our board of directors, except for our President and Chief Executive Officer, Mr. Suria, who receives no additional compensation for his service as a director. Other than as described below, none of our non-employee directors are expected to receive any fees or reimbursement of any expenses (other than customary expenses in connection with the attendance of meetings of our board of directors) or any equity or non-equity awards in the year ended December 31, 2016.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Fees Earned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3"/>
              </w:rPr>
              <w:t>or Paid in</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Total(2)($)</w:t>
            </w:r>
          </w:p>
        </w:tc>
        <w:tc>
          <w:tcPr>
            <w:tcW w:w="0" w:type="dxa"/>
            <w:vAlign w:val="bottom"/>
          </w:tcPr>
          <w:p>
            <w:pPr>
              <w:spacing w:after="0"/>
              <w:rPr>
                <w:sz w:val="1"/>
                <w:szCs w:val="1"/>
                <w:color w:val="auto"/>
              </w:rPr>
            </w:pPr>
          </w:p>
        </w:tc>
      </w:tr>
      <w:tr>
        <w:trPr>
          <w:trHeight w:val="171"/>
        </w:trPr>
        <w:tc>
          <w:tcPr>
            <w:tcW w:w="7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97"/>
              <w:spacing w:after="0"/>
              <w:rPr>
                <w:sz w:val="20"/>
                <w:szCs w:val="20"/>
                <w:color w:val="auto"/>
              </w:rPr>
            </w:pPr>
            <w:r>
              <w:rPr>
                <w:rFonts w:ascii="Arial" w:cs="Arial" w:eastAsia="Arial" w:hAnsi="Arial"/>
                <w:sz w:val="14"/>
                <w:szCs w:val="14"/>
                <w:b w:val="1"/>
                <w:bCs w:val="1"/>
                <w:color w:val="auto"/>
                <w:w w:val="93"/>
              </w:rPr>
              <w:t>Cash(1)($)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Carol G. Gallagher, Pharm.D.</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Nicholas B. Lydon, Ph.D., FRS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Hollings Renton, M.B.A.</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John P. Schmid, M.B.A.</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40,000</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James A. Schoeneck</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52,500</w:t>
            </w:r>
          </w:p>
        </w:tc>
        <w:tc>
          <w:tcPr>
            <w:tcW w:w="5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1150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1" w:lineRule="exact"/>
        <w:rPr>
          <w:sz w:val="20"/>
          <w:szCs w:val="20"/>
          <w:color w:val="auto"/>
        </w:rPr>
      </w:pPr>
    </w:p>
    <w:p>
      <w:pPr>
        <w:ind w:left="600" w:right="180" w:hanging="592"/>
        <w:spacing w:after="0" w:line="259" w:lineRule="auto"/>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Dr. Gallagher, Dr. Lydon and Mr. Renton were each paid a $50,000 annual retainer fee in connection with their service on our board of directors. Mr. Schmid was paid an annual retainer fee of $35,000 and $5,000 in connection with his service on our board of directors and audit committee, respectively. Mr. Schoeneck was paid an annual retainer fee of $40,000, $7,500 and $5,000 in connection with his service on our board of directors, audit committee and compensation committee,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7" w:name="page128"/>
    <w:bookmarkEnd w:id="127"/>
    <w:p>
      <w:pPr>
        <w:ind w:left="600" w:right="260" w:hanging="592"/>
        <w:spacing w:after="0" w:line="277"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table sets forth the expected aggregate number of shares of our common stock subject to outstanding stock options held by our non-employee directors as of December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Underlying</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0" w:type="dxa"/>
            <w:vAlign w:val="bottom"/>
          </w:tcPr>
          <w:p>
            <w:pPr>
              <w:spacing w:after="0"/>
              <w:rPr>
                <w:sz w:val="1"/>
                <w:szCs w:val="1"/>
                <w:color w:val="auto"/>
              </w:rPr>
            </w:pPr>
          </w:p>
        </w:tc>
      </w:tr>
      <w:tr>
        <w:trPr>
          <w:trHeight w:val="149"/>
        </w:trPr>
        <w:tc>
          <w:tcPr>
            <w:tcW w:w="9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Held as of</w:t>
            </w:r>
          </w:p>
        </w:tc>
        <w:tc>
          <w:tcPr>
            <w:tcW w:w="0" w:type="dxa"/>
            <w:vAlign w:val="bottom"/>
          </w:tcPr>
          <w:p>
            <w:pPr>
              <w:spacing w:after="0"/>
              <w:rPr>
                <w:sz w:val="1"/>
                <w:szCs w:val="1"/>
                <w:color w:val="auto"/>
              </w:rPr>
            </w:pPr>
          </w:p>
        </w:tc>
      </w:tr>
      <w:tr>
        <w:trPr>
          <w:trHeight w:val="149"/>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 Name</w:t>
            </w: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400" w:type="dxa"/>
            <w:vAlign w:val="bottom"/>
            <w:gridSpan w:val="2"/>
            <w:vMerge w:val="continue"/>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Carol G. Gallagher, Pharm.D.</w:t>
            </w:r>
          </w:p>
        </w:tc>
        <w:tc>
          <w:tcPr>
            <w:tcW w:w="20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1920" w:type="dxa"/>
            <w:vAlign w:val="bottom"/>
          </w:tcPr>
          <w:p>
            <w:pPr>
              <w:jc w:val="right"/>
              <w:spacing w:after="0"/>
              <w:rPr>
                <w:sz w:val="20"/>
                <w:szCs w:val="20"/>
                <w:color w:val="auto"/>
              </w:rPr>
            </w:pPr>
            <w:r>
              <w:rPr>
                <w:rFonts w:ascii="Arial" w:cs="Arial" w:eastAsia="Arial" w:hAnsi="Arial"/>
                <w:sz w:val="18"/>
                <w:szCs w:val="18"/>
                <w:color w:val="auto"/>
              </w:rPr>
              <w:t>31,012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Hollings Renton, M.B.A.</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John P. Schmid, M.B.A.</w:t>
            </w:r>
          </w:p>
        </w:tc>
        <w:tc>
          <w:tcPr>
            <w:tcW w:w="1920" w:type="dxa"/>
            <w:vAlign w:val="bottom"/>
          </w:tcPr>
          <w:p>
            <w:pPr>
              <w:jc w:val="right"/>
              <w:spacing w:after="0"/>
              <w:rPr>
                <w:sz w:val="20"/>
                <w:szCs w:val="20"/>
                <w:color w:val="auto"/>
              </w:rPr>
            </w:pPr>
            <w:r>
              <w:rPr>
                <w:rFonts w:ascii="Arial" w:cs="Arial" w:eastAsia="Arial" w:hAnsi="Arial"/>
                <w:sz w:val="18"/>
                <w:szCs w:val="18"/>
                <w:color w:val="auto"/>
              </w:rPr>
              <w:t>42,337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A. Schoeneck</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 September 2015, our board of directors approved a non-employee director compensation policy, which took effect following the completion of our initial public offering. Pursuant to this policy, each of our non-employee directors receives an annual retainer of $40,000. Additionally, the Company’s lead independent director, currently Mr. Renton, receives an additional annual payment of $20,000; the chairperson of our board of directors receives an additional annual payment of $15,000 when a lead independent director is also serving and $30,000 when no lead independent director is serving; the chairpersons of our audit, compensation and nominating and corporate governance committees receive an additional annual payment of $15,000, $10,000 and $7,500, respectively; and the members of our audit, compensation and nominating and corporate governance committees receive an additional annual payment of $7,500, $5,000 and $3,750, respectively.</w:t>
      </w:r>
    </w:p>
    <w:p>
      <w:pPr>
        <w:spacing w:after="0" w:line="189"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Each of our non-employee directors receives an annual option to purchase 14,258 shares of common stock, which vests in a single installment 12 months after the grant date, subject to the applicable director’s continuous service through such date. Additionally, each new non-employee director will receive upon election to our board of directors, an option to purchase 28,571 shares of common stock, which will vest in 36 equal monthly installments after the grant date, subject to the director’s continuous service through such date. The exercise price of such grants will be the fair market value of our common stock as of the grant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2016.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 and Director Independence.”</w:t>
      </w:r>
    </w:p>
    <w:p>
      <w:pPr>
        <w:spacing w:after="0" w:line="29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January 31, 2017 for:</w:t>
      </w:r>
    </w:p>
    <w:p>
      <w:pPr>
        <w:spacing w:after="0" w:line="129" w:lineRule="exact"/>
        <w:rPr>
          <w:sz w:val="20"/>
          <w:szCs w:val="20"/>
          <w:color w:val="auto"/>
        </w:rPr>
      </w:pPr>
    </w:p>
    <w:p>
      <w:pPr>
        <w:ind w:left="1200" w:hanging="598"/>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The column entitled “Percentage of Shares Beneficially Owned” is based on a total of 20,006,202 shares of our common stock outstanding as of January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p>
      <w:pPr>
        <w:ind w:right="220" w:firstLine="598"/>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 Unless otherwise indicated, the address of each of the individuals and entities named below is c/o AnaptysBio, Inc. at 10421 Pacific Center Court, Suite 200, San Diego, CA 92121.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7860" w:type="dxa"/>
            <w:vAlign w:val="bottom"/>
            <w:gridSpan w:val="2"/>
            <w:vMerge w:val="continue"/>
          </w:tcPr>
          <w:p>
            <w:pPr>
              <w:spacing w:after="0"/>
              <w:rPr>
                <w:sz w:val="14"/>
                <w:szCs w:val="14"/>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Owned</w:t>
            </w: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w:t>
            </w:r>
            <w:r>
              <w:rPr>
                <w:rFonts w:ascii="Arial" w:cs="Arial" w:eastAsia="Arial" w:hAnsi="Arial"/>
                <w:sz w:val="15"/>
                <w:szCs w:val="15"/>
                <w:color w:val="auto"/>
              </w:rPr>
              <w:t>(1)</w:t>
            </w:r>
          </w:p>
        </w:tc>
        <w:tc>
          <w:tcPr>
            <w:tcW w:w="1580" w:type="dxa"/>
            <w:vAlign w:val="bottom"/>
          </w:tcPr>
          <w:p>
            <w:pPr>
              <w:jc w:val="right"/>
              <w:spacing w:after="0"/>
              <w:rPr>
                <w:sz w:val="20"/>
                <w:szCs w:val="20"/>
                <w:color w:val="auto"/>
              </w:rPr>
            </w:pPr>
            <w:r>
              <w:rPr>
                <w:rFonts w:ascii="Arial" w:cs="Arial" w:eastAsia="Arial" w:hAnsi="Arial"/>
                <w:sz w:val="18"/>
                <w:szCs w:val="18"/>
                <w:color w:val="auto"/>
              </w:rPr>
              <w:t>3,688,447</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3,033,504</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Avalon Ventures VII, L.P.</w:t>
            </w:r>
            <w:r>
              <w:rPr>
                <w:rFonts w:ascii="Arial" w:cs="Arial" w:eastAsia="Arial" w:hAnsi="Arial"/>
                <w:sz w:val="15"/>
                <w:szCs w:val="15"/>
                <w:color w:val="auto"/>
              </w:rPr>
              <w:t>(3)</w:t>
            </w:r>
          </w:p>
        </w:tc>
        <w:tc>
          <w:tcPr>
            <w:tcW w:w="1580" w:type="dxa"/>
            <w:vAlign w:val="bottom"/>
          </w:tcPr>
          <w:p>
            <w:pPr>
              <w:jc w:val="right"/>
              <w:spacing w:after="0"/>
              <w:rPr>
                <w:sz w:val="20"/>
                <w:szCs w:val="20"/>
                <w:color w:val="auto"/>
              </w:rPr>
            </w:pPr>
            <w:r>
              <w:rPr>
                <w:rFonts w:ascii="Arial" w:cs="Arial" w:eastAsia="Arial" w:hAnsi="Arial"/>
                <w:sz w:val="18"/>
                <w:szCs w:val="18"/>
                <w:color w:val="auto"/>
              </w:rPr>
              <w:t>2,154,415</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60" w:type="dxa"/>
            <w:vAlign w:val="bottom"/>
            <w:gridSpan w:val="2"/>
            <w:shd w:val="clear" w:color="auto" w:fill="CFF0FC"/>
          </w:tcPr>
          <w:p>
            <w:pPr>
              <w:spacing w:after="0" w:line="256" w:lineRule="exact"/>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29"/>
                <w:szCs w:val="29"/>
                <w:color w:val="auto"/>
                <w:vertAlign w:val="superscript"/>
              </w:rPr>
              <w:t>(4)</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1,904,600</w:t>
            </w:r>
          </w:p>
        </w:tc>
        <w:tc>
          <w:tcPr>
            <w:tcW w:w="28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Alloy Ventures 2005, L.P.</w:t>
            </w:r>
            <w:r>
              <w:rPr>
                <w:rFonts w:ascii="Arial" w:cs="Arial" w:eastAsia="Arial" w:hAnsi="Arial"/>
                <w:sz w:val="15"/>
                <w:szCs w:val="15"/>
                <w:color w:val="auto"/>
              </w:rPr>
              <w:t>(5)</w:t>
            </w:r>
          </w:p>
        </w:tc>
        <w:tc>
          <w:tcPr>
            <w:tcW w:w="1580" w:type="dxa"/>
            <w:vAlign w:val="bottom"/>
          </w:tcPr>
          <w:p>
            <w:pPr>
              <w:jc w:val="right"/>
              <w:spacing w:after="0"/>
              <w:rPr>
                <w:sz w:val="20"/>
                <w:szCs w:val="20"/>
                <w:color w:val="auto"/>
              </w:rPr>
            </w:pPr>
            <w:r>
              <w:rPr>
                <w:rFonts w:ascii="Arial" w:cs="Arial" w:eastAsia="Arial" w:hAnsi="Arial"/>
                <w:sz w:val="18"/>
                <w:szCs w:val="18"/>
                <w:color w:val="auto"/>
              </w:rPr>
              <w:t>1,282,485</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HBM Healthcare Investments (Cayman) Ltd.</w:t>
            </w:r>
            <w:r>
              <w:rPr>
                <w:rFonts w:ascii="Arial" w:cs="Arial" w:eastAsia="Arial" w:hAnsi="Arial"/>
                <w:sz w:val="15"/>
                <w:szCs w:val="15"/>
                <w:color w:val="auto"/>
              </w:rPr>
              <w:t>(6)</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1,092,835</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(7)</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523,549</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(8)</w:t>
            </w:r>
          </w:p>
        </w:tc>
        <w:tc>
          <w:tcPr>
            <w:tcW w:w="1580" w:type="dxa"/>
            <w:vAlign w:val="bottom"/>
          </w:tcPr>
          <w:p>
            <w:pPr>
              <w:jc w:val="right"/>
              <w:spacing w:after="0"/>
              <w:rPr>
                <w:sz w:val="20"/>
                <w:szCs w:val="20"/>
                <w:color w:val="auto"/>
              </w:rPr>
            </w:pPr>
            <w:r>
              <w:rPr>
                <w:rFonts w:ascii="Arial" w:cs="Arial" w:eastAsia="Arial" w:hAnsi="Arial"/>
                <w:sz w:val="18"/>
                <w:szCs w:val="18"/>
                <w:color w:val="auto"/>
              </w:rPr>
              <w:t>199,489</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Matthew Moyle Ph.D.</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(9)</w:t>
            </w:r>
          </w:p>
        </w:tc>
        <w:tc>
          <w:tcPr>
            <w:tcW w:w="1580" w:type="dxa"/>
            <w:vAlign w:val="bottom"/>
          </w:tcPr>
          <w:p>
            <w:pPr>
              <w:jc w:val="right"/>
              <w:spacing w:after="0"/>
              <w:rPr>
                <w:sz w:val="20"/>
                <w:szCs w:val="20"/>
                <w:color w:val="auto"/>
              </w:rPr>
            </w:pPr>
            <w:r>
              <w:rPr>
                <w:rFonts w:ascii="Arial" w:cs="Arial" w:eastAsia="Arial" w:hAnsi="Arial"/>
                <w:sz w:val="18"/>
                <w:szCs w:val="18"/>
                <w:color w:val="auto"/>
              </w:rPr>
              <w:t>162,018</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(10)</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335,118</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(11)</w:t>
            </w:r>
          </w:p>
        </w:tc>
        <w:tc>
          <w:tcPr>
            <w:tcW w:w="1580" w:type="dxa"/>
            <w:vAlign w:val="bottom"/>
          </w:tcPr>
          <w:p>
            <w:pPr>
              <w:jc w:val="right"/>
              <w:spacing w:after="0"/>
              <w:rPr>
                <w:sz w:val="20"/>
                <w:szCs w:val="20"/>
                <w:color w:val="auto"/>
              </w:rPr>
            </w:pPr>
            <w:r>
              <w:rPr>
                <w:rFonts w:ascii="Arial" w:cs="Arial" w:eastAsia="Arial" w:hAnsi="Arial"/>
                <w:sz w:val="18"/>
                <w:szCs w:val="18"/>
                <w:color w:val="auto"/>
              </w:rPr>
              <w:t>51,156</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Schmid</w:t>
            </w:r>
            <w:r>
              <w:rPr>
                <w:rFonts w:ascii="Arial" w:cs="Arial" w:eastAsia="Arial" w:hAnsi="Arial"/>
                <w:sz w:val="15"/>
                <w:szCs w:val="15"/>
                <w:color w:val="auto"/>
              </w:rPr>
              <w:t>(12)</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42,337</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James A. Schoeneck</w:t>
            </w:r>
            <w:r>
              <w:rPr>
                <w:rFonts w:ascii="Arial" w:cs="Arial" w:eastAsia="Arial" w:hAnsi="Arial"/>
                <w:sz w:val="15"/>
                <w:szCs w:val="15"/>
                <w:color w:val="auto"/>
              </w:rPr>
              <w:t>(13)</w:t>
            </w:r>
          </w:p>
        </w:tc>
        <w:tc>
          <w:tcPr>
            <w:tcW w:w="1580" w:type="dxa"/>
            <w:vAlign w:val="bottom"/>
          </w:tcPr>
          <w:p>
            <w:pPr>
              <w:jc w:val="right"/>
              <w:spacing w:after="0"/>
              <w:rPr>
                <w:sz w:val="20"/>
                <w:szCs w:val="20"/>
                <w:color w:val="auto"/>
              </w:rPr>
            </w:pPr>
            <w:r>
              <w:rPr>
                <w:rFonts w:ascii="Arial" w:cs="Arial" w:eastAsia="Arial" w:hAnsi="Arial"/>
                <w:sz w:val="18"/>
                <w:szCs w:val="18"/>
                <w:color w:val="auto"/>
              </w:rPr>
              <w:t>42,337</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(1)</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3,688,447</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(ten persons)</w:t>
            </w:r>
            <w:r>
              <w:rPr>
                <w:rFonts w:ascii="Arial" w:cs="Arial" w:eastAsia="Arial" w:hAnsi="Arial"/>
                <w:sz w:val="15"/>
                <w:szCs w:val="15"/>
                <w:color w:val="auto"/>
              </w:rPr>
              <w:t>(14)</w:t>
            </w:r>
          </w:p>
        </w:tc>
        <w:tc>
          <w:tcPr>
            <w:tcW w:w="1580" w:type="dxa"/>
            <w:vAlign w:val="bottom"/>
          </w:tcPr>
          <w:p>
            <w:pPr>
              <w:jc w:val="right"/>
              <w:spacing w:after="0"/>
              <w:rPr>
                <w:sz w:val="20"/>
                <w:szCs w:val="20"/>
                <w:color w:val="auto"/>
              </w:rPr>
            </w:pPr>
            <w:r>
              <w:rPr>
                <w:rFonts w:ascii="Arial" w:cs="Arial" w:eastAsia="Arial" w:hAnsi="Arial"/>
                <w:sz w:val="18"/>
                <w:szCs w:val="18"/>
                <w:color w:val="auto"/>
              </w:rPr>
              <w:t>5,044,451</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0" w:lineRule="exact"/>
        <w:rPr>
          <w:sz w:val="20"/>
          <w:szCs w:val="20"/>
          <w:color w:val="auto"/>
        </w:rPr>
      </w:pPr>
    </w:p>
    <w:p>
      <w:pPr>
        <w:ind w:left="600" w:hanging="592"/>
        <w:spacing w:after="0"/>
        <w:tabs>
          <w:tab w:leader="none" w:pos="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beneficial ownership of less than one percent.</w:t>
      </w:r>
    </w:p>
    <w:p>
      <w:pPr>
        <w:spacing w:after="0" w:line="27" w:lineRule="exact"/>
        <w:rPr>
          <w:sz w:val="20"/>
          <w:szCs w:val="20"/>
          <w:color w:val="auto"/>
        </w:rPr>
      </w:pPr>
    </w:p>
    <w:p>
      <w:pPr>
        <w:ind w:left="600" w:right="40" w:hanging="592"/>
        <w:spacing w:after="0" w:line="250"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(a) 2,228,377 shares of common stock held directly by Frazier Healthcare V, L.P., (b) 1,045,031 shares of common stock held directly by Frazier Healthcare VII, L.P., (c) 297,804 shares of common stock held directly by Frazier Healthcare VII-A, L.P. and (d) 117,235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4" w:lineRule="exact"/>
        <w:rPr>
          <w:rFonts w:ascii="Arial" w:cs="Arial" w:eastAsia="Arial" w:hAnsi="Arial"/>
          <w:sz w:val="18"/>
          <w:szCs w:val="18"/>
          <w:color w:val="auto"/>
        </w:rPr>
      </w:pPr>
    </w:p>
    <w:p>
      <w:pPr>
        <w:ind w:left="600" w:hanging="592"/>
        <w:spacing w:after="0" w:line="265" w:lineRule="auto"/>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Consists of 3,033,504 shares of common stock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The address of Novo A/S is Tuborg Havnevej 19, 2900 Hellerup, Denmark.</w:t>
      </w:r>
    </w:p>
    <w:p>
      <w:pPr>
        <w:jc w:val="both"/>
        <w:ind w:left="600" w:right="140" w:hanging="592"/>
        <w:spacing w:after="0" w:line="250"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(a) 2,036,932 shares of common stock held directly by Avalon Ventures VII, L.P. and (b) 117,483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ind w:left="600" w:right="200" w:hanging="592"/>
        <w:spacing w:after="0" w:line="261"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(a) 907,116 shares of common stock held directly by Biotechnology Value Fund, L.P., (b) 551,019 shares of common stock held directly by Biotechnology Value Fund II, L.P., (c) 74,064 shares of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9" w:name="page130"/>
    <w:bookmarkEnd w:id="129"/>
    <w:p>
      <w:pPr>
        <w:ind w:left="600" w:right="260"/>
        <w:spacing w:after="0" w:line="256" w:lineRule="auto"/>
        <w:rPr>
          <w:sz w:val="20"/>
          <w:szCs w:val="20"/>
          <w:color w:val="auto"/>
        </w:rPr>
      </w:pPr>
      <w:r>
        <w:rPr>
          <w:rFonts w:ascii="Arial" w:cs="Arial" w:eastAsia="Arial" w:hAnsi="Arial"/>
          <w:sz w:val="18"/>
          <w:szCs w:val="18"/>
          <w:color w:val="auto"/>
        </w:rPr>
        <w:t>held directly by Biotechnology Value Trading Fund OS, L.P., (d) 135,000 shares of common stock held directly by Investment 10, L.L.C., (e) 237,401 shares of common stock held directly by MSI BVF SPV, L.L.C. The address of Biotechnology Value Fund, L.P. is 1 Sansome Street, 30</w:t>
      </w:r>
      <w:r>
        <w:rPr>
          <w:rFonts w:ascii="Arial" w:cs="Arial" w:eastAsia="Arial" w:hAnsi="Arial"/>
          <w:sz w:val="15"/>
          <w:szCs w:val="15"/>
          <w:color w:val="auto"/>
        </w:rPr>
        <w:t>th</w:t>
      </w:r>
      <w:r>
        <w:rPr>
          <w:rFonts w:ascii="Arial" w:cs="Arial" w:eastAsia="Arial" w:hAnsi="Arial"/>
          <w:sz w:val="18"/>
          <w:szCs w:val="18"/>
          <w:color w:val="auto"/>
        </w:rPr>
        <w:t xml:space="preserve"> Floor, San Francisco, CA 94104.</w:t>
      </w:r>
    </w:p>
    <w:p>
      <w:pPr>
        <w:ind w:left="600" w:right="20" w:hanging="592"/>
        <w:spacing w:after="0" w:line="281" w:lineRule="auto"/>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1,282,485 shares of common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6"/>
          <w:szCs w:val="16"/>
          <w:color w:val="auto"/>
        </w:rPr>
      </w:pPr>
    </w:p>
    <w:p>
      <w:pPr>
        <w:ind w:left="600" w:right="80" w:hanging="592"/>
        <w:spacing w:after="0" w:line="250"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1,092,835 shares of common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spacing w:after="0" w:line="1" w:lineRule="exact"/>
        <w:rPr>
          <w:rFonts w:ascii="Arial" w:cs="Arial" w:eastAsia="Arial" w:hAnsi="Arial"/>
          <w:sz w:val="18"/>
          <w:szCs w:val="18"/>
          <w:color w:val="auto"/>
        </w:rPr>
      </w:pPr>
    </w:p>
    <w:p>
      <w:pPr>
        <w:ind w:left="600" w:hanging="592"/>
        <w:spacing w:after="0" w:line="250"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(a) 4,998 shares of common stock held directly by Mr. Suria and (b) 518,551 shares of common stock issuable to Mr. Suria upon the exercise of stock options that are exercisable within 60 days of January 31, 2017, of which 19,440 shares were unvested but were early exercisable, as of 60 days after January 31, 2017.</w:t>
      </w:r>
    </w:p>
    <w:p>
      <w:pPr>
        <w:spacing w:after="0" w:line="1" w:lineRule="exact"/>
        <w:rPr>
          <w:rFonts w:ascii="Arial" w:cs="Arial" w:eastAsia="Arial" w:hAnsi="Arial"/>
          <w:sz w:val="18"/>
          <w:szCs w:val="18"/>
          <w:color w:val="auto"/>
        </w:rPr>
      </w:pPr>
    </w:p>
    <w:p>
      <w:pPr>
        <w:ind w:left="600" w:hanging="592"/>
        <w:spacing w:after="0" w:line="250"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(a) 2,020 shares of common stock held directly by Dr. Londei and (b) 197,469 shares of common stock issuable to Dr. Londei upon the exercise of stock options that are exercisable within 60 days of January 31, 2017, of which 63,715 shares were unvested but were early exercisable, as of 60 days after January 31, 2017.</w:t>
      </w:r>
    </w:p>
    <w:p>
      <w:pPr>
        <w:spacing w:after="0" w:line="1" w:lineRule="exact"/>
        <w:rPr>
          <w:rFonts w:ascii="Arial" w:cs="Arial" w:eastAsia="Arial" w:hAnsi="Arial"/>
          <w:sz w:val="18"/>
          <w:szCs w:val="18"/>
          <w:color w:val="auto"/>
        </w:rPr>
      </w:pPr>
    </w:p>
    <w:p>
      <w:pPr>
        <w:ind w:left="600" w:right="80" w:hanging="592"/>
        <w:spacing w:after="0" w:line="250"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(a) 64,296 shares of common stock held directly by Dr. Gallagher and (b) 97,722 shares of common stock issuable to Dr. Gallagher upon the exercise of stock options that are exercisable within 60 days of January 31, 2017.</w:t>
      </w:r>
    </w:p>
    <w:p>
      <w:pPr>
        <w:ind w:left="600" w:hanging="592"/>
        <w:spacing w:after="0" w:line="281" w:lineRule="auto"/>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(a) 287,623 shares of common stock held directly by Dr. Lydon, (b) 16,483 shares of common stock issuable upon the exercise of a warrant held directly by Dr. Lydon and (c) 31,012 shares of common stock issuable to Dr. Lydon upon the exercise of stock options that are exercisable within 60 days of January 31, 2017, of which 6,402 shares were unvested but were early exercisable, as of 60 days after January 31, 2017.</w:t>
      </w:r>
    </w:p>
    <w:p>
      <w:pPr>
        <w:spacing w:after="0" w:line="2" w:lineRule="exact"/>
        <w:rPr>
          <w:rFonts w:ascii="Arial" w:cs="Arial" w:eastAsia="Arial" w:hAnsi="Arial"/>
          <w:sz w:val="16"/>
          <w:szCs w:val="16"/>
          <w:color w:val="auto"/>
        </w:rPr>
      </w:pPr>
    </w:p>
    <w:p>
      <w:pPr>
        <w:ind w:left="600" w:right="160" w:hanging="592"/>
        <w:spacing w:after="0" w:line="250"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51,156 shares of common stock issuable to Mr. Renton upon the exercise of stock options that are exercisable within 60 days of January 31, 2017, of which 21,599 shares were unvested but were early exercisable, as of 60 days after January 31, 2017.</w:t>
      </w:r>
    </w:p>
    <w:p>
      <w:pPr>
        <w:ind w:left="600" w:right="140" w:hanging="592"/>
        <w:spacing w:after="0" w:line="250" w:lineRule="auto"/>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42,337 shares of common stock issuable to Mr. Schmid upon the exercise of stock options that are exercisable within 60 days of January 31, 2017, of which 20,507 shares were unvested but were early exercisable, as of 60 days after January 31, 2017.</w:t>
      </w:r>
    </w:p>
    <w:p>
      <w:pPr>
        <w:ind w:left="600" w:right="520" w:hanging="592"/>
        <w:spacing w:after="0" w:line="265" w:lineRule="auto"/>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42,337 shares of common stock issuable to Mr. Schoeneck upon the exercise of stock options that are exercisable within 60 days of January 31, 2017, of which 23,521 shares were unvested but were early exercisable, as of 60 days after January 31, 2017.</w:t>
      </w:r>
    </w:p>
    <w:p>
      <w:pPr>
        <w:ind w:left="600" w:right="140" w:hanging="592"/>
        <w:spacing w:after="0" w:line="302" w:lineRule="auto"/>
        <w:tabs>
          <w:tab w:leader="none" w:pos="6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Includes shares beneficially owned by our executive officers and directors. Consists of (a) 3,930,149 shares of common stock, (b) 133,718 shares of common stock issuable upon the exercise of warrants and (c) 980,584 shares of common stock issuable upon the exercise of stock options that are exercisable within 60 days of January 31, 2017, of which 155,184 shares were unvested but early exercisable, as of 60 days after January 31, 2017.</w:t>
      </w:r>
    </w:p>
    <w:p>
      <w:pPr>
        <w:spacing w:after="0" w:line="155"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The above table does not include Dominic G. Piscitelli, who commenced his employment with us as our Chief Financial Officer in January 2017. In connection with his employment, Mr. Piscitelli was granted an option to purchase 170,241 shares of our common stock, none of which are exercisable within 60 days of December 31,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0" w:name="page131"/>
    <w:bookmarkEnd w:id="130"/>
    <w:p>
      <w:pPr>
        <w:ind w:right="160" w:firstLine="59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contains information about our equity compensation plans as of December 31, 2016.</w:t>
      </w:r>
      <w:r>
        <w:rPr>
          <w:rFonts w:ascii="Arial" w:cs="Arial" w:eastAsia="Arial" w:hAnsi="Arial"/>
          <w:sz w:val="18"/>
          <w:szCs w:val="18"/>
          <w:b w:val="1"/>
          <w:bCs w:val="1"/>
          <w:color w:val="auto"/>
        </w:rPr>
        <w:t xml:space="preserve"> </w:t>
      </w:r>
      <w:r>
        <w:rPr>
          <w:rFonts w:ascii="Arial" w:cs="Arial" w:eastAsia="Arial" w:hAnsi="Arial"/>
          <w:sz w:val="18"/>
          <w:szCs w:val="18"/>
          <w:color w:val="auto"/>
        </w:rPr>
        <w:t>As of December 31, 2016, we had one equity compensation plan, our Amended and Restated 2006 Equity Incentive Plan, which was approved by our stockholders.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80" w:type="dxa"/>
            <w:vAlign w:val="bottom"/>
            <w:vMerge w:val="restart"/>
          </w:tcPr>
          <w:p>
            <w:pPr>
              <w:jc w:val="center"/>
              <w:ind w:left="124"/>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8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Weighted-average</w:t>
            </w: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8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8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7"/>
              </w:rPr>
              <w:t>upon exercise</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8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warrants</w:t>
            </w:r>
          </w:p>
        </w:tc>
        <w:tc>
          <w:tcPr>
            <w:tcW w:w="1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71"/>
        </w:trPr>
        <w:tc>
          <w:tcPr>
            <w:tcW w:w="5240" w:type="dxa"/>
            <w:vAlign w:val="bottom"/>
            <w:vMerge w:val="continue"/>
          </w:tcPr>
          <w:p>
            <w:pPr>
              <w:spacing w:after="0"/>
              <w:rPr>
                <w:sz w:val="14"/>
                <w:szCs w:val="14"/>
                <w:color w:val="auto"/>
              </w:rPr>
            </w:pPr>
          </w:p>
        </w:tc>
        <w:tc>
          <w:tcPr>
            <w:tcW w:w="1580" w:type="dxa"/>
            <w:vAlign w:val="bottom"/>
          </w:tcPr>
          <w:p>
            <w:pPr>
              <w:jc w:val="center"/>
              <w:ind w:left="124"/>
              <w:spacing w:after="0"/>
              <w:rPr>
                <w:sz w:val="20"/>
                <w:szCs w:val="20"/>
                <w:color w:val="auto"/>
              </w:rPr>
            </w:pPr>
            <w:r>
              <w:rPr>
                <w:rFonts w:ascii="Arial" w:cs="Arial" w:eastAsia="Arial" w:hAnsi="Arial"/>
                <w:sz w:val="14"/>
                <w:szCs w:val="14"/>
                <w:b w:val="1"/>
                <w:bCs w:val="1"/>
                <w:color w:val="auto"/>
                <w:w w:val="91"/>
              </w:rPr>
              <w:t>and rights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and rights</w:t>
            </w: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580" w:type="dxa"/>
            <w:vAlign w:val="bottom"/>
            <w:tcBorders>
              <w:top w:val="single" w:sz="8" w:color="auto"/>
            </w:tcBorders>
          </w:tcPr>
          <w:p>
            <w:pPr>
              <w:jc w:val="center"/>
              <w:ind w:left="124"/>
              <w:spacing w:after="0" w:line="155" w:lineRule="exact"/>
              <w:rPr>
                <w:sz w:val="20"/>
                <w:szCs w:val="20"/>
                <w:color w:val="auto"/>
              </w:rPr>
            </w:pPr>
            <w:r>
              <w:rPr>
                <w:rFonts w:ascii="Arial" w:cs="Arial" w:eastAsia="Arial" w:hAnsi="Arial"/>
                <w:sz w:val="14"/>
                <w:szCs w:val="14"/>
                <w:b w:val="1"/>
                <w:bCs w:val="1"/>
                <w:color w:val="auto"/>
              </w:rPr>
              <w:t>(a)</w:t>
            </w:r>
          </w:p>
        </w:tc>
        <w:tc>
          <w:tcPr>
            <w:tcW w:w="2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rPr>
              <w:t>(b)</w:t>
            </w:r>
          </w:p>
        </w:tc>
        <w:tc>
          <w:tcPr>
            <w:tcW w:w="320" w:type="dxa"/>
            <w:vAlign w:val="bottom"/>
          </w:tcPr>
          <w:p>
            <w:pPr>
              <w:spacing w:after="0"/>
              <w:rPr>
                <w:sz w:val="13"/>
                <w:szCs w:val="13"/>
                <w:color w:val="auto"/>
              </w:rPr>
            </w:pPr>
          </w:p>
        </w:tc>
        <w:tc>
          <w:tcPr>
            <w:tcW w:w="1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holders</w:t>
            </w:r>
          </w:p>
        </w:tc>
        <w:tc>
          <w:tcPr>
            <w:tcW w:w="1580" w:type="dxa"/>
            <w:vAlign w:val="bottom"/>
            <w:shd w:val="clear" w:color="auto" w:fill="CFF0FC"/>
          </w:tcPr>
          <w:p>
            <w:pPr>
              <w:jc w:val="right"/>
              <w:ind w:right="204"/>
              <w:spacing w:after="0"/>
              <w:rPr>
                <w:sz w:val="20"/>
                <w:szCs w:val="20"/>
                <w:color w:val="auto"/>
              </w:rPr>
            </w:pPr>
            <w:r>
              <w:rPr>
                <w:rFonts w:ascii="Arial" w:cs="Arial" w:eastAsia="Arial" w:hAnsi="Arial"/>
                <w:sz w:val="18"/>
                <w:szCs w:val="18"/>
                <w:color w:val="auto"/>
              </w:rPr>
              <w:t>1,879,428</w:t>
            </w:r>
          </w:p>
        </w:tc>
        <w:tc>
          <w:tcPr>
            <w:tcW w:w="6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622"/>
              <w:spacing w:after="0"/>
              <w:rPr>
                <w:sz w:val="20"/>
                <w:szCs w:val="20"/>
                <w:color w:val="auto"/>
              </w:rPr>
            </w:pPr>
            <w:r>
              <w:rPr>
                <w:rFonts w:ascii="Arial" w:cs="Arial" w:eastAsia="Arial" w:hAnsi="Arial"/>
                <w:sz w:val="18"/>
                <w:szCs w:val="18"/>
                <w:color w:val="auto"/>
              </w:rPr>
              <w:t>4.34</w:t>
            </w:r>
          </w:p>
        </w:tc>
        <w:tc>
          <w:tcPr>
            <w:tcW w:w="320" w:type="dxa"/>
            <w:vAlign w:val="bottom"/>
            <w:shd w:val="clear" w:color="auto" w:fill="CFF0FC"/>
          </w:tcPr>
          <w:p>
            <w:pPr>
              <w:spacing w:after="0"/>
              <w:rPr>
                <w:sz w:val="20"/>
                <w:szCs w:val="20"/>
                <w:color w:val="auto"/>
              </w:rPr>
            </w:pPr>
          </w:p>
        </w:tc>
        <w:tc>
          <w:tcPr>
            <w:tcW w:w="1820" w:type="dxa"/>
            <w:vAlign w:val="bottom"/>
            <w:shd w:val="clear" w:color="auto" w:fill="CFF0FC"/>
          </w:tcPr>
          <w:p>
            <w:pPr>
              <w:jc w:val="right"/>
              <w:ind w:right="504"/>
              <w:spacing w:after="0"/>
              <w:rPr>
                <w:sz w:val="20"/>
                <w:szCs w:val="20"/>
                <w:color w:val="auto"/>
              </w:rPr>
            </w:pPr>
            <w:r>
              <w:rPr>
                <w:rFonts w:ascii="Arial" w:cs="Arial" w:eastAsia="Arial" w:hAnsi="Arial"/>
                <w:sz w:val="18"/>
                <w:szCs w:val="18"/>
                <w:color w:val="auto"/>
              </w:rPr>
              <w:t>478,078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security holders</w:t>
            </w:r>
          </w:p>
        </w:tc>
        <w:tc>
          <w:tcPr>
            <w:tcW w:w="15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FF0FC"/>
          </w:tcPr>
          <w:p>
            <w:pPr>
              <w:jc w:val="right"/>
              <w:ind w:right="204"/>
              <w:spacing w:after="0"/>
              <w:rPr>
                <w:sz w:val="20"/>
                <w:szCs w:val="20"/>
                <w:color w:val="auto"/>
              </w:rPr>
            </w:pPr>
            <w:r>
              <w:rPr>
                <w:rFonts w:ascii="Arial" w:cs="Arial" w:eastAsia="Arial" w:hAnsi="Arial"/>
                <w:sz w:val="18"/>
                <w:szCs w:val="18"/>
                <w:color w:val="auto"/>
              </w:rPr>
              <w:t>1,879,428</w:t>
            </w:r>
          </w:p>
        </w:tc>
        <w:tc>
          <w:tcPr>
            <w:tcW w:w="6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622"/>
              <w:spacing w:after="0"/>
              <w:rPr>
                <w:sz w:val="20"/>
                <w:szCs w:val="20"/>
                <w:color w:val="auto"/>
              </w:rPr>
            </w:pPr>
            <w:r>
              <w:rPr>
                <w:rFonts w:ascii="Arial" w:cs="Arial" w:eastAsia="Arial" w:hAnsi="Arial"/>
                <w:sz w:val="18"/>
                <w:szCs w:val="18"/>
                <w:color w:val="auto"/>
              </w:rPr>
              <w:t>4.34</w:t>
            </w:r>
          </w:p>
        </w:tc>
        <w:tc>
          <w:tcPr>
            <w:tcW w:w="32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504"/>
              <w:spacing w:after="0"/>
              <w:rPr>
                <w:sz w:val="20"/>
                <w:szCs w:val="20"/>
                <w:color w:val="auto"/>
              </w:rPr>
            </w:pPr>
            <w:r>
              <w:rPr>
                <w:rFonts w:ascii="Arial" w:cs="Arial" w:eastAsia="Arial" w:hAnsi="Arial"/>
                <w:sz w:val="18"/>
                <w:szCs w:val="18"/>
                <w:color w:val="auto"/>
              </w:rPr>
              <w:t>478,078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00" w:firstLine="598"/>
        <w:spacing w:after="0" w:line="259" w:lineRule="auto"/>
        <w:rPr>
          <w:sz w:val="20"/>
          <w:szCs w:val="20"/>
          <w:color w:val="auto"/>
        </w:rPr>
      </w:pPr>
      <w:r>
        <w:rPr>
          <w:rFonts w:ascii="Arial" w:cs="Arial" w:eastAsia="Arial" w:hAnsi="Arial"/>
          <w:sz w:val="18"/>
          <w:szCs w:val="18"/>
          <w:color w:val="auto"/>
        </w:rPr>
        <w:t>In connection with our initial public offering, our board of directors and stockholders approved two new equity compensation plans, the 2017 Equity Incentive Plan and the 2017 Employee Stock Purchase Plan. The 2017 Equity Incentive Plan became effective on January 24, 2017, and the 2017 Employee Stock Purchase Plan became effective January 25, 2017. The table above does not include any amounts issuable under either the 2017 Equity Incentive Plan or the 2015 Employee Stock Purchase Plan.</w:t>
      </w:r>
    </w:p>
    <w:p>
      <w:pPr>
        <w:spacing w:after="0" w:line="18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We have ceased issuing awards under our Amended and Restated 2006 Equity Incentive Plan as of the effective date of our 2017 Equity Incentive Plan. The remaining shares available for issuance under the Amended and Restated 2006 Equity Plan have been rolled over into the 2017 Equity Incentive Plan. Our 2017 Equity Incentive Plan became effective on January 24, 2017. As a result, we will no longer grant any additional options under the Amended and Restated 2006 Equity Incentive Plan. However, any outstanding options granted under the Amended and Restated 2006 Equity Incentive Plan will remain outstanding, subject to the terms of our Amended and Restated 2006 Equity Incentive Plan and stock option agreements, until such outstanding options are exercised or until they terminate or expire by their terms.</w:t>
      </w:r>
    </w:p>
    <w:p>
      <w:pPr>
        <w:spacing w:after="0" w:line="29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describe below transactions and series of similar transactions since January 1, 2016 to which we were a party or will be a party, in which:</w:t>
      </w:r>
    </w:p>
    <w:p>
      <w:pPr>
        <w:spacing w:after="0" w:line="117" w:lineRule="exact"/>
        <w:rPr>
          <w:sz w:val="20"/>
          <w:szCs w:val="20"/>
          <w:color w:val="auto"/>
        </w:rPr>
      </w:pPr>
    </w:p>
    <w:p>
      <w:pPr>
        <w:ind w:left="1200" w:hanging="598"/>
        <w:spacing w:after="0"/>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1200" w:right="700" w:hanging="598"/>
        <w:spacing w:after="0" w:line="277" w:lineRule="auto"/>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right="280" w:firstLine="598"/>
        <w:spacing w:after="0" w:line="342" w:lineRule="auto"/>
        <w:rPr>
          <w:sz w:val="20"/>
          <w:szCs w:val="20"/>
          <w:color w:val="auto"/>
        </w:rPr>
      </w:pPr>
      <w:r>
        <w:rPr>
          <w:rFonts w:ascii="Arial" w:cs="Arial" w:eastAsia="Arial" w:hAnsi="Arial"/>
          <w:sz w:val="16"/>
          <w:szCs w:val="16"/>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Participation in Initial Public Offering</w:t>
      </w:r>
    </w:p>
    <w:p>
      <w:pPr>
        <w:spacing w:after="0" w:line="121"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Certain of our existing stockholders and their affiliated entities, including stockholders affiliated with certain of our directors, purchased an aggregate of 1,946,666 shares of our common stock in our initial public offering at the initial public offering price. The following table summarizes common stock purchased by members of our board of directors and entities who held more than 5% of our outstanding capital stock at the time of the purchase: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58"/>
        </w:trPr>
        <w:tc>
          <w:tcPr>
            <w:tcW w:w="7860" w:type="dxa"/>
            <w:vAlign w:val="bottom"/>
            <w:gridSpan w:val="2"/>
            <w:vMerge w:val="continue"/>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FF0FC"/>
            </w:tcBorders>
            <w:shd w:val="clear" w:color="auto" w:fill="000000"/>
          </w:tcPr>
          <w:p>
            <w:pPr>
              <w:spacing w:after="0" w:line="20" w:lineRule="exact"/>
              <w:rPr>
                <w:sz w:val="1"/>
                <w:szCs w:val="1"/>
                <w:color w:val="auto"/>
              </w:rPr>
            </w:pPr>
          </w:p>
        </w:tc>
        <w:tc>
          <w:tcPr>
            <w:tcW w:w="7500" w:type="dxa"/>
            <w:vAlign w:val="bottom"/>
            <w:tcBorders>
              <w:bottom w:val="single" w:sz="8" w:color="CFF0FC"/>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Entities affiliated with Biotechnology Value Fund </w:t>
            </w:r>
            <w:r>
              <w:rPr>
                <w:rFonts w:ascii="Arial" w:cs="Arial" w:eastAsia="Arial" w:hAnsi="Arial"/>
                <w:sz w:val="15"/>
                <w:szCs w:val="15"/>
                <w:color w:val="auto"/>
              </w:rPr>
              <w:t>(1)</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850,000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Frazier Healthcare </w:t>
            </w:r>
            <w:r>
              <w:rPr>
                <w:rFonts w:ascii="Arial" w:cs="Arial" w:eastAsia="Arial" w:hAnsi="Arial"/>
                <w:sz w:val="15"/>
                <w:szCs w:val="15"/>
                <w:color w:val="auto"/>
              </w:rPr>
              <w:t>(2)</w:t>
            </w:r>
          </w:p>
        </w:tc>
        <w:tc>
          <w:tcPr>
            <w:tcW w:w="1580" w:type="dxa"/>
            <w:vAlign w:val="bottom"/>
          </w:tcPr>
          <w:p>
            <w:pPr>
              <w:jc w:val="right"/>
              <w:spacing w:after="0"/>
              <w:rPr>
                <w:sz w:val="20"/>
                <w:szCs w:val="20"/>
                <w:color w:val="auto"/>
              </w:rPr>
            </w:pPr>
            <w:r>
              <w:rPr>
                <w:rFonts w:ascii="Arial" w:cs="Arial" w:eastAsia="Arial" w:hAnsi="Arial"/>
                <w:sz w:val="18"/>
                <w:szCs w:val="18"/>
                <w:color w:val="auto"/>
              </w:rPr>
              <w:t>400,000</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Novo A/S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Nicholas B. Lydon,Ph.D.,FRS</w:t>
            </w:r>
          </w:p>
        </w:tc>
        <w:tc>
          <w:tcPr>
            <w:tcW w:w="1580" w:type="dxa"/>
            <w:vAlign w:val="bottom"/>
          </w:tcPr>
          <w:p>
            <w:pPr>
              <w:jc w:val="right"/>
              <w:spacing w:after="0"/>
              <w:rPr>
                <w:sz w:val="20"/>
                <w:szCs w:val="20"/>
                <w:color w:val="auto"/>
              </w:rPr>
            </w:pPr>
            <w:r>
              <w:rPr>
                <w:rFonts w:ascii="Arial" w:cs="Arial" w:eastAsia="Arial" w:hAnsi="Arial"/>
                <w:sz w:val="18"/>
                <w:szCs w:val="18"/>
                <w:color w:val="auto"/>
              </w:rPr>
              <w:t>16,666</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249,990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1,316,666</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19,749,990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right="280" w:hanging="592"/>
        <w:spacing w:after="0" w:line="274" w:lineRule="auto"/>
        <w:tabs>
          <w:tab w:leader="none" w:pos="6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Consists of 414,373 shares purchased by Biotechnology Value Fund, L.P., 269,019 shares purchased by Biotechnology Value Fund II, L.P., 74,064 shares purchased by Biotechnology Value Trading Fund OS, L.P. and 92,544 shares purchased by MSI BVF SPV LLC.</w:t>
      </w:r>
    </w:p>
    <w:p>
      <w:pPr>
        <w:ind w:left="600" w:hanging="592"/>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311,291 shares purchased by Frazier Healthcare VII, L.P and 88,709 shares purchased by Frazier Healthcare VII-A, L.P.</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360" w:firstLine="598"/>
        <w:spacing w:after="0" w:line="286"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 indemnification agreements, our restated certificate of incorporation and our restated bylaws require us to indemnify our directors to the fullest extent not prohibited by Delaware law. Subject to certain limitations, our restated bylaws also require us to advance expenses incurred by our directors and officers.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60" w:firstLine="598"/>
        <w:spacing w:after="0" w:line="253" w:lineRule="auto"/>
        <w:rPr>
          <w:sz w:val="20"/>
          <w:szCs w:val="20"/>
          <w:color w:val="auto"/>
        </w:rPr>
      </w:pPr>
      <w:r>
        <w:rPr>
          <w:rFonts w:ascii="Arial" w:cs="Arial" w:eastAsia="Arial" w:hAnsi="Arial"/>
          <w:sz w:val="18"/>
          <w:szCs w:val="18"/>
          <w:color w:val="auto"/>
        </w:rPr>
        <w:t>We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Board of Directors and its Committees</w:t>
      </w:r>
    </w:p>
    <w:p>
      <w:pPr>
        <w:spacing w:after="0" w:line="12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Under the rules of the Nasdaq Stock Market, or Nasdaq, independent directors must comprise a majority of a listed company’s board of directors within a specified period of the closing of our initial public offering. In addition,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2" w:name="page133"/>
    <w:bookmarkEnd w:id="132"/>
    <w:p>
      <w:pPr>
        <w:ind w:right="420"/>
        <w:spacing w:after="0" w:line="259" w:lineRule="auto"/>
        <w:rPr>
          <w:sz w:val="20"/>
          <w:szCs w:val="20"/>
          <w:color w:val="auto"/>
        </w:rPr>
      </w:pPr>
      <w:r>
        <w:rPr>
          <w:rFonts w:ascii="Arial" w:cs="Arial" w:eastAsia="Arial" w:hAnsi="Arial"/>
          <w:sz w:val="18"/>
          <w:szCs w:val="18"/>
          <w:color w:val="auto"/>
        </w:rPr>
        <w:t>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currently satisfy the audit committee independence requirements of Rule 10A-3.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9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fees of KPMG LLP, our independent registered public accounting firm, billed us for each of the last two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Fees Billed to AnaptysBio</w:t>
            </w:r>
          </w:p>
        </w:tc>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77"/>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65"/>
        </w:trPr>
        <w:tc>
          <w:tcPr>
            <w:tcW w:w="1760" w:type="dxa"/>
            <w:vAlign w:val="bottom"/>
            <w:gridSpan w:val="2"/>
            <w:vMerge w:val="continue"/>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577"/>
              <w:spacing w:after="0" w:line="158"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5"/>
              <w:spacing w:after="0" w:line="158"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6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6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6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6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6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6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fees</w:t>
            </w:r>
          </w:p>
        </w:tc>
        <w:tc>
          <w:tcPr>
            <w:tcW w:w="6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180" w:hanging="592"/>
        <w:spacing w:after="0" w:line="256" w:lineRule="auto"/>
        <w:tabs>
          <w:tab w:leader="none" w:pos="600" w:val="left"/>
        </w:tabs>
        <w:numPr>
          <w:ilvl w:val="0"/>
          <w:numId w:val="69"/>
        </w:numPr>
        <w:rPr>
          <w:rFonts w:ascii="Arial" w:cs="Arial" w:eastAsia="Arial" w:hAnsi="Arial"/>
          <w:sz w:val="15"/>
          <w:szCs w:val="15"/>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include fees for professional services provided by KPMG LLP in connection with the audit of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our quarterly consolidated financial statements, and related services that are typically provided in connection with registration statements, including the registration statement for our initial public offering.</w:t>
      </w:r>
    </w:p>
    <w:p>
      <w:pPr>
        <w:ind w:left="600" w:right="300" w:hanging="592"/>
        <w:spacing w:after="0" w:line="261" w:lineRule="auto"/>
        <w:tabs>
          <w:tab w:leader="none" w:pos="6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8"/>
          <w:szCs w:val="18"/>
          <w:i w:val="1"/>
          <w:iCs w:val="1"/>
          <w:color w:val="auto"/>
        </w:rPr>
        <w:t>Tax fees”</w:t>
      </w:r>
      <w:r>
        <w:rPr>
          <w:rFonts w:ascii="Arial" w:cs="Arial" w:eastAsia="Arial" w:hAnsi="Arial"/>
          <w:sz w:val="15"/>
          <w:szCs w:val="15"/>
          <w:color w:val="auto"/>
        </w:rPr>
        <w:t xml:space="preserve"> </w:t>
      </w:r>
      <w:r>
        <w:rPr>
          <w:rFonts w:ascii="Arial" w:cs="Arial" w:eastAsia="Arial" w:hAnsi="Arial"/>
          <w:sz w:val="18"/>
          <w:szCs w:val="18"/>
          <w:color w:val="auto"/>
        </w:rPr>
        <w:t>include fees for tax compliance and advice. Tax advice fees encompass a variety of permissible services, including technical tax advice</w:t>
      </w:r>
      <w:r>
        <w:rPr>
          <w:rFonts w:ascii="Arial" w:cs="Arial" w:eastAsia="Arial" w:hAnsi="Arial"/>
          <w:sz w:val="15"/>
          <w:szCs w:val="15"/>
          <w:color w:val="auto"/>
        </w:rPr>
        <w:t xml:space="preserve"> </w:t>
      </w:r>
      <w:r>
        <w:rPr>
          <w:rFonts w:ascii="Arial" w:cs="Arial" w:eastAsia="Arial" w:hAnsi="Arial"/>
          <w:sz w:val="18"/>
          <w:szCs w:val="18"/>
          <w:color w:val="auto"/>
        </w:rPr>
        <w:t>related to federal and state income tax matters; assistance with sales tax; and assistance with tax audits.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3" w:name="page134"/>
    <w:bookmarkEnd w:id="133"/>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Consolidated Financial Statement Schedules.</w:t>
      </w:r>
    </w:p>
    <w:p>
      <w:pPr>
        <w:spacing w:after="0" w:line="121"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780" w:hanging="174"/>
        <w:spacing w:after="0"/>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 Index to Consolidated Financial Statements at Item 8 herein.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 Consolidated Financial Statement Schedules</w:t>
      </w:r>
    </w:p>
    <w:p>
      <w:pPr>
        <w:spacing w:after="0" w:line="117" w:lineRule="exact"/>
        <w:rPr>
          <w:sz w:val="20"/>
          <w:szCs w:val="20"/>
          <w:color w:val="auto"/>
        </w:rPr>
      </w:pPr>
    </w:p>
    <w:p>
      <w:pPr>
        <w:ind w:left="1200"/>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See the Exhibit Index immediately following the signature page of this Annual Report on Form 10-K.</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240" w:top="337" w:right="8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1"/>
          <w:szCs w:val="21"/>
          <w:b w:val="1"/>
          <w:bCs w:val="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1"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tbl>
      <w:tblPr>
        <w:tblLayout w:type="fixed"/>
        <w:tblInd w:w="66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Hamza Suria</w:t>
            </w:r>
          </w:p>
        </w:tc>
      </w:tr>
      <w:tr>
        <w:trPr>
          <w:trHeight w:val="195"/>
        </w:trPr>
        <w:tc>
          <w:tcPr>
            <w:tcW w:w="800" w:type="dxa"/>
            <w:vAlign w:val="bottom"/>
          </w:tcPr>
          <w:p>
            <w:pPr>
              <w:spacing w:after="0"/>
              <w:rPr>
                <w:sz w:val="16"/>
                <w:szCs w:val="16"/>
                <w:color w:val="auto"/>
              </w:rPr>
            </w:pPr>
          </w:p>
        </w:tc>
        <w:tc>
          <w:tcPr>
            <w:tcW w:w="3940" w:type="dxa"/>
            <w:vAlign w:val="bottom"/>
          </w:tcPr>
          <w:p>
            <w:pPr>
              <w:ind w:left="100"/>
              <w:spacing w:after="0" w:line="195" w:lineRule="exact"/>
              <w:rPr>
                <w:sz w:val="20"/>
                <w:szCs w:val="20"/>
                <w:color w:val="auto"/>
              </w:rPr>
            </w:pPr>
            <w:r>
              <w:rPr>
                <w:rFonts w:ascii="Arial" w:cs="Arial" w:eastAsia="Arial" w:hAnsi="Arial"/>
                <w:sz w:val="18"/>
                <w:szCs w:val="18"/>
                <w:color w:val="auto"/>
              </w:rPr>
              <w:t>Hamza Suria</w:t>
            </w:r>
          </w:p>
        </w:tc>
      </w:tr>
      <w:tr>
        <w:trPr>
          <w:trHeight w:val="230"/>
        </w:trPr>
        <w:tc>
          <w:tcPr>
            <w:tcW w:w="800" w:type="dxa"/>
            <w:vAlign w:val="bottom"/>
          </w:tcPr>
          <w:p>
            <w:pPr>
              <w:spacing w:after="0"/>
              <w:rPr>
                <w:sz w:val="20"/>
                <w:szCs w:val="20"/>
                <w:color w:val="auto"/>
              </w:rPr>
            </w:pPr>
          </w:p>
        </w:tc>
        <w:tc>
          <w:tcPr>
            <w:tcW w:w="394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Hamza Suria and Dominic G. Piscitelli,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4"/>
                <w:szCs w:val="14"/>
                <w:color w:val="auto"/>
              </w:rPr>
            </w:pPr>
          </w:p>
        </w:tc>
        <w:tc>
          <w:tcPr>
            <w:tcW w:w="458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0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r>
      <w:tr>
        <w:trPr>
          <w:trHeight w:val="331"/>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Hamza Suria</w:t>
            </w: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w:t>
            </w:r>
          </w:p>
        </w:tc>
        <w:tc>
          <w:tcPr>
            <w:tcW w:w="2060" w:type="dxa"/>
            <w:vAlign w:val="bottom"/>
          </w:tcPr>
          <w:p>
            <w:pPr>
              <w:spacing w:after="0"/>
              <w:rPr>
                <w:sz w:val="24"/>
                <w:szCs w:val="24"/>
                <w:color w:val="auto"/>
              </w:rPr>
            </w:pP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0"/>
              </w:rPr>
              <w:t>Hamza Suria</w:t>
            </w:r>
          </w:p>
        </w:tc>
        <w:tc>
          <w:tcPr>
            <w:tcW w:w="1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 (Principal Executive Officer)</w:t>
            </w:r>
          </w:p>
        </w:tc>
        <w:tc>
          <w:tcPr>
            <w:tcW w:w="2060" w:type="dxa"/>
            <w:vAlign w:val="bottom"/>
          </w:tcPr>
          <w:p>
            <w:pPr>
              <w:ind w:left="1000"/>
              <w:spacing w:after="0"/>
              <w:rPr>
                <w:sz w:val="20"/>
                <w:szCs w:val="20"/>
                <w:color w:val="auto"/>
              </w:rPr>
            </w:pPr>
            <w:r>
              <w:rPr>
                <w:rFonts w:ascii="Arial" w:cs="Arial" w:eastAsia="Arial" w:hAnsi="Arial"/>
                <w:sz w:val="18"/>
                <w:szCs w:val="18"/>
                <w:color w:val="auto"/>
                <w:w w:val="90"/>
              </w:rPr>
              <w:t>March 8, 2017</w:t>
            </w:r>
          </w:p>
        </w:tc>
      </w:tr>
      <w:tr>
        <w:trPr>
          <w:trHeight w:val="350"/>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Dominic G. Piscatelli</w:t>
            </w: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2060" w:type="dxa"/>
            <w:vAlign w:val="bottom"/>
          </w:tcPr>
          <w:p>
            <w:pPr>
              <w:spacing w:after="0"/>
              <w:rPr>
                <w:sz w:val="24"/>
                <w:szCs w:val="24"/>
                <w:color w:val="auto"/>
              </w:rPr>
            </w:pP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5"/>
              </w:rPr>
              <w:t>Dominic G. Piscitelli</w:t>
            </w:r>
          </w:p>
        </w:tc>
        <w:tc>
          <w:tcPr>
            <w:tcW w:w="1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Accounting and Financial Officer)</w:t>
            </w:r>
          </w:p>
        </w:tc>
        <w:tc>
          <w:tcPr>
            <w:tcW w:w="2060" w:type="dxa"/>
            <w:vAlign w:val="bottom"/>
          </w:tcPr>
          <w:p>
            <w:pPr>
              <w:ind w:left="1000"/>
              <w:spacing w:after="0"/>
              <w:rPr>
                <w:sz w:val="20"/>
                <w:szCs w:val="20"/>
                <w:color w:val="auto"/>
              </w:rPr>
            </w:pPr>
            <w:r>
              <w:rPr>
                <w:rFonts w:ascii="Arial" w:cs="Arial" w:eastAsia="Arial" w:hAnsi="Arial"/>
                <w:sz w:val="18"/>
                <w:szCs w:val="18"/>
                <w:color w:val="auto"/>
                <w:w w:val="90"/>
              </w:rPr>
              <w:t>March 8, 2017</w:t>
            </w:r>
          </w:p>
        </w:tc>
      </w:tr>
      <w:tr>
        <w:trPr>
          <w:trHeight w:val="377"/>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 G. Gallagher</w:t>
            </w:r>
          </w:p>
        </w:tc>
        <w:tc>
          <w:tcPr>
            <w:tcW w:w="1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0"/>
              <w:spacing w:after="0"/>
              <w:rPr>
                <w:sz w:val="20"/>
                <w:szCs w:val="20"/>
                <w:color w:val="auto"/>
              </w:rPr>
            </w:pPr>
            <w:r>
              <w:rPr>
                <w:rFonts w:ascii="Arial" w:cs="Arial" w:eastAsia="Arial" w:hAnsi="Arial"/>
                <w:sz w:val="18"/>
                <w:szCs w:val="18"/>
                <w:color w:val="auto"/>
                <w:w w:val="90"/>
              </w:rPr>
              <w:t>March 8, 2017</w:t>
            </w: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0"/>
              </w:rPr>
              <w:t>Carol G. Gallagher, Pharm.D.</w:t>
            </w: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2"/>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Nicholas B. Lydon</w:t>
            </w:r>
          </w:p>
        </w:tc>
        <w:tc>
          <w:tcPr>
            <w:tcW w:w="10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0"/>
              <w:spacing w:after="0"/>
              <w:rPr>
                <w:sz w:val="20"/>
                <w:szCs w:val="20"/>
                <w:color w:val="auto"/>
              </w:rPr>
            </w:pPr>
            <w:r>
              <w:rPr>
                <w:rFonts w:ascii="Arial" w:cs="Arial" w:eastAsia="Arial" w:hAnsi="Arial"/>
                <w:sz w:val="18"/>
                <w:szCs w:val="18"/>
                <w:color w:val="auto"/>
                <w:w w:val="90"/>
              </w:rPr>
              <w:t>March 8, 2017</w:t>
            </w:r>
          </w:p>
        </w:tc>
      </w:tr>
      <w:tr>
        <w:trPr>
          <w:trHeight w:val="222"/>
        </w:trPr>
        <w:tc>
          <w:tcPr>
            <w:tcW w:w="4560" w:type="dxa"/>
            <w:vAlign w:val="bottom"/>
          </w:tcPr>
          <w:p>
            <w:pPr>
              <w:jc w:val="center"/>
              <w:spacing w:after="0"/>
              <w:rPr>
                <w:sz w:val="20"/>
                <w:szCs w:val="20"/>
                <w:color w:val="auto"/>
              </w:rPr>
            </w:pPr>
            <w:r>
              <w:rPr>
                <w:rFonts w:ascii="Arial" w:cs="Arial" w:eastAsia="Arial" w:hAnsi="Arial"/>
                <w:sz w:val="18"/>
                <w:szCs w:val="18"/>
                <w:color w:val="auto"/>
                <w:w w:val="91"/>
              </w:rPr>
              <w:t>Nicholas B. Lydon, Ph.D., FRS</w:t>
            </w: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Hollings Renton</w:t>
            </w: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0"/>
              <w:spacing w:after="0"/>
              <w:rPr>
                <w:sz w:val="20"/>
                <w:szCs w:val="20"/>
                <w:color w:val="auto"/>
              </w:rPr>
            </w:pPr>
            <w:r>
              <w:rPr>
                <w:rFonts w:ascii="Arial" w:cs="Arial" w:eastAsia="Arial" w:hAnsi="Arial"/>
                <w:sz w:val="18"/>
                <w:szCs w:val="18"/>
                <w:color w:val="auto"/>
                <w:w w:val="90"/>
              </w:rPr>
              <w:t>March 8, 2017</w:t>
            </w:r>
          </w:p>
        </w:tc>
      </w:tr>
      <w:tr>
        <w:trPr>
          <w:trHeight w:val="222"/>
        </w:trPr>
        <w:tc>
          <w:tcPr>
            <w:tcW w:w="4560" w:type="dxa"/>
            <w:vAlign w:val="bottom"/>
          </w:tcPr>
          <w:p>
            <w:pPr>
              <w:jc w:val="center"/>
              <w:spacing w:after="0"/>
              <w:rPr>
                <w:sz w:val="20"/>
                <w:szCs w:val="20"/>
                <w:color w:val="auto"/>
              </w:rPr>
            </w:pPr>
            <w:r>
              <w:rPr>
                <w:rFonts w:ascii="Arial" w:cs="Arial" w:eastAsia="Arial" w:hAnsi="Arial"/>
                <w:sz w:val="18"/>
                <w:szCs w:val="18"/>
                <w:color w:val="auto"/>
                <w:w w:val="92"/>
              </w:rPr>
              <w:t>Hollings Renton</w:t>
            </w: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Schmid</w:t>
            </w:r>
          </w:p>
        </w:tc>
        <w:tc>
          <w:tcPr>
            <w:tcW w:w="10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0"/>
              <w:spacing w:after="0"/>
              <w:rPr>
                <w:sz w:val="20"/>
                <w:szCs w:val="20"/>
                <w:color w:val="auto"/>
              </w:rPr>
            </w:pPr>
            <w:r>
              <w:rPr>
                <w:rFonts w:ascii="Arial" w:cs="Arial" w:eastAsia="Arial" w:hAnsi="Arial"/>
                <w:sz w:val="18"/>
                <w:szCs w:val="18"/>
                <w:color w:val="auto"/>
                <w:w w:val="90"/>
              </w:rPr>
              <w:t>March 8, 2017</w:t>
            </w: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0"/>
              </w:rPr>
              <w:t>John Schmid</w:t>
            </w: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69"/>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A. Schoeneck</w:t>
            </w:r>
          </w:p>
        </w:tc>
        <w:tc>
          <w:tcPr>
            <w:tcW w:w="1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0"/>
              <w:spacing w:after="0"/>
              <w:rPr>
                <w:sz w:val="20"/>
                <w:szCs w:val="20"/>
                <w:color w:val="auto"/>
              </w:rPr>
            </w:pPr>
            <w:r>
              <w:rPr>
                <w:rFonts w:ascii="Arial" w:cs="Arial" w:eastAsia="Arial" w:hAnsi="Arial"/>
                <w:sz w:val="18"/>
                <w:szCs w:val="18"/>
                <w:color w:val="auto"/>
                <w:w w:val="90"/>
              </w:rPr>
              <w:t>March 8, 2017</w:t>
            </w: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87"/>
              </w:rPr>
              <w:t>James A. Schoeneck</w:t>
            </w: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69"/>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N. Topper</w:t>
            </w:r>
          </w:p>
        </w:tc>
        <w:tc>
          <w:tcPr>
            <w:tcW w:w="100" w:type="dxa"/>
            <w:vAlign w:val="bottom"/>
          </w:tcPr>
          <w:p>
            <w:pPr>
              <w:spacing w:after="0"/>
              <w:rPr>
                <w:sz w:val="23"/>
                <w:szCs w:val="23"/>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000"/>
              <w:spacing w:after="0"/>
              <w:rPr>
                <w:sz w:val="20"/>
                <w:szCs w:val="20"/>
                <w:color w:val="auto"/>
              </w:rPr>
            </w:pPr>
            <w:r>
              <w:rPr>
                <w:rFonts w:ascii="Arial" w:cs="Arial" w:eastAsia="Arial" w:hAnsi="Arial"/>
                <w:sz w:val="18"/>
                <w:szCs w:val="18"/>
                <w:color w:val="auto"/>
                <w:w w:val="90"/>
              </w:rPr>
              <w:t>March 8, 2017</w:t>
            </w:r>
          </w:p>
        </w:tc>
      </w:tr>
      <w:tr>
        <w:trPr>
          <w:trHeight w:val="224"/>
        </w:trPr>
        <w:tc>
          <w:tcPr>
            <w:tcW w:w="4560" w:type="dxa"/>
            <w:vAlign w:val="bottom"/>
          </w:tcPr>
          <w:p>
            <w:pPr>
              <w:jc w:val="center"/>
              <w:spacing w:after="0"/>
              <w:rPr>
                <w:sz w:val="20"/>
                <w:szCs w:val="20"/>
                <w:color w:val="auto"/>
              </w:rPr>
            </w:pPr>
            <w:r>
              <w:rPr>
                <w:rFonts w:ascii="Arial" w:cs="Arial" w:eastAsia="Arial" w:hAnsi="Arial"/>
                <w:sz w:val="18"/>
                <w:szCs w:val="18"/>
                <w:color w:val="auto"/>
                <w:w w:val="90"/>
              </w:rPr>
              <w:t>James N. Topper, M.D., Ph.D.</w:t>
            </w: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80" w:type="dxa"/>
            <w:vAlign w:val="bottom"/>
            <w:gridSpan w:val="6"/>
          </w:tcPr>
          <w:p>
            <w:pPr>
              <w:ind w:left="102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33"/>
        </w:trPr>
        <w:tc>
          <w:tcPr>
            <w:tcW w:w="940" w:type="dxa"/>
            <w:vAlign w:val="bottom"/>
            <w:gridSpan w:val="2"/>
            <w:vMerge w:val="continue"/>
          </w:tcPr>
          <w:p>
            <w:pPr>
              <w:spacing w:after="0"/>
              <w:rPr>
                <w:sz w:val="11"/>
                <w:szCs w:val="11"/>
                <w:color w:val="auto"/>
              </w:rPr>
            </w:pPr>
          </w:p>
        </w:tc>
        <w:tc>
          <w:tcPr>
            <w:tcW w:w="45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vMerge w:val="restart"/>
          </w:tcPr>
          <w:p>
            <w:pPr>
              <w:spacing w:after="0"/>
              <w:rPr>
                <w:sz w:val="11"/>
                <w:szCs w:val="11"/>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tcBorders>
              <w:top w:val="single" w:sz="8" w:color="auto"/>
            </w:tcBorders>
            <w:vMerge w:val="restart"/>
          </w:tcPr>
          <w:p>
            <w:pPr>
              <w:spacing w:after="0"/>
              <w:rPr>
                <w:sz w:val="11"/>
                <w:szCs w:val="11"/>
                <w:color w:val="auto"/>
              </w:rPr>
            </w:pP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0" w:type="dxa"/>
            <w:vAlign w:val="bottom"/>
            <w:tcBorders>
              <w:top w:val="single" w:sz="8" w:color="auto"/>
            </w:tcBorders>
            <w:vMerge w:val="restart"/>
          </w:tcPr>
          <w:p>
            <w:pPr>
              <w:spacing w:after="0"/>
              <w:rPr>
                <w:sz w:val="11"/>
                <w:szCs w:val="11"/>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Borders>
              <w:top w:val="single" w:sz="8" w:color="auto"/>
            </w:tcBorders>
            <w:vMerge w:val="restart"/>
          </w:tcPr>
          <w:p>
            <w:pPr>
              <w:spacing w:after="0"/>
              <w:rPr>
                <w:sz w:val="11"/>
                <w:szCs w:val="11"/>
                <w:color w:val="auto"/>
              </w:rPr>
            </w:pPr>
          </w:p>
        </w:tc>
        <w:tc>
          <w:tcPr>
            <w:tcW w:w="2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45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44"/>
        </w:trPr>
        <w:tc>
          <w:tcPr>
            <w:tcW w:w="840" w:type="dxa"/>
            <w:vAlign w:val="bottom"/>
          </w:tcPr>
          <w:p>
            <w:pPr>
              <w:jc w:val="right"/>
              <w:ind w:right="44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as</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right"/>
              <w:ind w:right="182"/>
              <w:spacing w:after="0"/>
              <w:rPr>
                <w:sz w:val="20"/>
                <w:szCs w:val="20"/>
                <w:color w:val="auto"/>
              </w:rPr>
            </w:pPr>
            <w:r>
              <w:rPr>
                <w:rFonts w:ascii="Arial" w:cs="Arial" w:eastAsia="Arial" w:hAnsi="Arial"/>
                <w:sz w:val="18"/>
                <w:szCs w:val="18"/>
                <w:color w:val="auto"/>
              </w:rPr>
              <w:t>333-206849</w:t>
            </w:r>
          </w:p>
        </w:tc>
        <w:tc>
          <w:tcPr>
            <w:tcW w:w="80" w:type="dxa"/>
            <w:vAlign w:val="bottom"/>
          </w:tcPr>
          <w:p>
            <w:pPr>
              <w:spacing w:after="0"/>
              <w:rPr>
                <w:sz w:val="24"/>
                <w:szCs w:val="24"/>
                <w:color w:val="auto"/>
              </w:rPr>
            </w:pPr>
          </w:p>
        </w:tc>
        <w:tc>
          <w:tcPr>
            <w:tcW w:w="660" w:type="dxa"/>
            <w:vAlign w:val="bottom"/>
          </w:tcPr>
          <w:p>
            <w:pPr>
              <w:jc w:val="right"/>
              <w:ind w:right="139"/>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9, 2015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currently in effect.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40"/>
          </w:cols>
          <w:pgMar w:left="240" w:top="337" w:right="219" w:bottom="1440" w:gutter="0" w:footer="0" w:header="0"/>
        </w:sectPr>
      </w:pPr>
    </w:p>
    <w:tbl>
      <w:tblPr>
        <w:tblLayout w:type="fixed"/>
        <w:tblInd w:w="100" w:type="dxa"/>
        <w:tblCellMar>
          <w:top w:w="0" w:type="dxa"/>
          <w:left w:w="0" w:type="dxa"/>
          <w:bottom w:w="0" w:type="dxa"/>
          <w:right w:w="0" w:type="dxa"/>
        </w:tblCellMar>
      </w:tblPr>
      <w:tr>
        <w:trPr>
          <w:trHeight w:val="23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3.2</w:t>
            </w:r>
          </w:p>
        </w:tc>
        <w:tc>
          <w:tcPr>
            <w:tcW w:w="4700" w:type="dxa"/>
            <w:vAlign w:val="bottom"/>
          </w:tcPr>
          <w:p>
            <w:pPr>
              <w:ind w:left="300"/>
              <w:spacing w:after="0"/>
              <w:rPr>
                <w:sz w:val="20"/>
                <w:szCs w:val="20"/>
                <w:color w:val="auto"/>
              </w:rPr>
            </w:pPr>
            <w:r>
              <w:rPr>
                <w:rFonts w:ascii="Arial" w:cs="Arial" w:eastAsia="Arial" w:hAnsi="Arial"/>
                <w:sz w:val="18"/>
                <w:szCs w:val="18"/>
                <w:color w:val="auto"/>
              </w:rPr>
              <w:t>Restated Bylaws, as currently in effect.</w:t>
            </w:r>
          </w:p>
        </w:tc>
      </w:tr>
      <w:tr>
        <w:trPr>
          <w:trHeight w:val="365"/>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4.1</w:t>
            </w:r>
          </w:p>
        </w:tc>
        <w:tc>
          <w:tcPr>
            <w:tcW w:w="4700" w:type="dxa"/>
            <w:vAlign w:val="bottom"/>
          </w:tcPr>
          <w:p>
            <w:pPr>
              <w:ind w:left="300"/>
              <w:spacing w:after="0"/>
              <w:rPr>
                <w:sz w:val="20"/>
                <w:szCs w:val="20"/>
                <w:color w:val="auto"/>
              </w:rPr>
            </w:pPr>
            <w:r>
              <w:rPr>
                <w:rFonts w:ascii="Arial" w:cs="Arial" w:eastAsia="Arial" w:hAnsi="Arial"/>
                <w:sz w:val="18"/>
                <w:szCs w:val="18"/>
                <w:color w:val="auto"/>
              </w:rPr>
              <w:t>Form of Common Stock Certificate.</w:t>
            </w:r>
          </w:p>
        </w:tc>
      </w:tr>
      <w:tr>
        <w:trPr>
          <w:trHeight w:val="35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4.2</w:t>
            </w:r>
          </w:p>
        </w:tc>
        <w:tc>
          <w:tcPr>
            <w:tcW w:w="4700" w:type="dxa"/>
            <w:vAlign w:val="bottom"/>
          </w:tcPr>
          <w:p>
            <w:pPr>
              <w:ind w:left="300"/>
              <w:spacing w:after="0"/>
              <w:rPr>
                <w:sz w:val="20"/>
                <w:szCs w:val="20"/>
                <w:color w:val="auto"/>
              </w:rPr>
            </w:pPr>
            <w:r>
              <w:rPr>
                <w:rFonts w:ascii="Arial" w:cs="Arial" w:eastAsia="Arial" w:hAnsi="Arial"/>
                <w:sz w:val="18"/>
                <w:szCs w:val="18"/>
                <w:color w:val="auto"/>
                <w:w w:val="90"/>
              </w:rPr>
              <w:t>Fourth Amended and Restated Investors’ Rights Agreement,</w:t>
            </w:r>
          </w:p>
        </w:tc>
      </w:tr>
      <w:tr>
        <w:trPr>
          <w:trHeight w:val="216"/>
        </w:trPr>
        <w:tc>
          <w:tcPr>
            <w:tcW w:w="54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w w:val="88"/>
              </w:rPr>
              <w:t>dated July 13, 2015, by and among the Registrant and certain</w:t>
            </w:r>
          </w:p>
        </w:tc>
      </w:tr>
      <w:tr>
        <w:trPr>
          <w:trHeight w:val="230"/>
        </w:trPr>
        <w:tc>
          <w:tcPr>
            <w:tcW w:w="54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of its stockholders.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333-206849</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7"/>
              </w:rPr>
              <w:t>September 9, 2015</w:t>
            </w:r>
          </w:p>
        </w:tc>
      </w:tr>
      <w:tr>
        <w:trPr>
          <w:trHeight w:val="365"/>
        </w:trPr>
        <w:tc>
          <w:tcPr>
            <w:tcW w:w="500" w:type="dxa"/>
            <w:vAlign w:val="bottom"/>
          </w:tcPr>
          <w:p>
            <w:pPr>
              <w:spacing w:after="0"/>
              <w:rPr>
                <w:sz w:val="20"/>
                <w:szCs w:val="20"/>
                <w:color w:val="auto"/>
              </w:rPr>
            </w:pPr>
            <w:r>
              <w:rPr>
                <w:rFonts w:ascii="Arial" w:cs="Arial" w:eastAsia="Arial" w:hAnsi="Arial"/>
                <w:sz w:val="18"/>
                <w:szCs w:val="18"/>
                <w:color w:val="auto"/>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333-206849</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9"/>
              </w:rPr>
              <w:t>December 23, 2015</w:t>
            </w:r>
          </w:p>
        </w:tc>
      </w:tr>
      <w:tr>
        <w:trPr>
          <w:trHeight w:val="365"/>
        </w:trPr>
        <w:tc>
          <w:tcPr>
            <w:tcW w:w="500" w:type="dxa"/>
            <w:vAlign w:val="bottom"/>
          </w:tcPr>
          <w:p>
            <w:pPr>
              <w:spacing w:after="0"/>
              <w:rPr>
                <w:sz w:val="20"/>
                <w:szCs w:val="20"/>
                <w:color w:val="auto"/>
              </w:rPr>
            </w:pPr>
            <w:r>
              <w:rPr>
                <w:rFonts w:ascii="Arial" w:cs="Arial" w:eastAsia="Arial" w:hAnsi="Arial"/>
                <w:sz w:val="18"/>
                <w:szCs w:val="18"/>
                <w:color w:val="auto"/>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333-206849</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7"/>
              </w:rPr>
              <w:t>September 9, 2015</w:t>
            </w:r>
          </w:p>
        </w:tc>
      </w:tr>
    </w:tbl>
    <w:p>
      <w:pPr>
        <w:spacing w:after="0" w:line="566" w:lineRule="exact"/>
        <w:rPr>
          <w:sz w:val="20"/>
          <w:szCs w:val="20"/>
          <w:color w:val="auto"/>
        </w:rPr>
      </w:pPr>
    </w:p>
    <w:p>
      <w:pPr>
        <w:sectPr>
          <w:pgSz w:w="11900" w:h="16838" w:orient="portrait"/>
          <w:cols w:equalWidth="0" w:num="2">
            <w:col w:w="5340" w:space="400"/>
            <w:col w:w="5700"/>
          </w:cols>
          <w:pgMar w:left="240" w:top="337" w:right="21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860" w:type="dxa"/>
            <w:vAlign w:val="bottom"/>
          </w:tcPr>
          <w:p>
            <w:pPr>
              <w:ind w:left="220"/>
              <w:spacing w:after="0"/>
              <w:rPr>
                <w:sz w:val="20"/>
                <w:szCs w:val="20"/>
                <w:color w:val="auto"/>
              </w:rPr>
            </w:pPr>
            <w:r>
              <w:rPr>
                <w:rFonts w:ascii="Arial" w:cs="Arial" w:eastAsia="Arial" w:hAnsi="Arial"/>
                <w:sz w:val="18"/>
                <w:szCs w:val="18"/>
                <w:color w:val="auto"/>
              </w:rPr>
              <w:t>Form of Indemnity Agreement.</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87"/>
              </w:rPr>
              <w:t>September 9, 2015</w:t>
            </w: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4860" w:type="dxa"/>
            <w:vAlign w:val="bottom"/>
          </w:tcPr>
          <w:p>
            <w:pPr>
              <w:ind w:left="220"/>
              <w:spacing w:after="0"/>
              <w:rPr>
                <w:sz w:val="20"/>
                <w:szCs w:val="20"/>
                <w:color w:val="auto"/>
              </w:rPr>
            </w:pPr>
            <w:r>
              <w:rPr>
                <w:rFonts w:ascii="Arial" w:cs="Arial" w:eastAsia="Arial" w:hAnsi="Arial"/>
                <w:sz w:val="18"/>
                <w:szCs w:val="18"/>
                <w:color w:val="auto"/>
                <w:w w:val="93"/>
              </w:rPr>
              <w:t>Amended and Restated 2006 Equity Incentive Plan and forms</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87"/>
              </w:rPr>
              <w:t>January 17, 2017</w:t>
            </w:r>
          </w:p>
        </w:tc>
      </w:tr>
      <w:tr>
        <w:trPr>
          <w:trHeight w:val="230"/>
        </w:trPr>
        <w:tc>
          <w:tcPr>
            <w:tcW w:w="72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of award agreements.</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4860" w:type="dxa"/>
            <w:vAlign w:val="bottom"/>
          </w:tcPr>
          <w:p>
            <w:pPr>
              <w:ind w:left="220"/>
              <w:spacing w:after="0"/>
              <w:rPr>
                <w:sz w:val="20"/>
                <w:szCs w:val="20"/>
                <w:color w:val="auto"/>
              </w:rPr>
            </w:pPr>
            <w:r>
              <w:rPr>
                <w:rFonts w:ascii="Arial" w:cs="Arial" w:eastAsia="Arial" w:hAnsi="Arial"/>
                <w:sz w:val="18"/>
                <w:szCs w:val="18"/>
                <w:color w:val="auto"/>
                <w:w w:val="97"/>
              </w:rPr>
              <w:t>2017 Equity Incentive Plan, to become effective on the date</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87"/>
              </w:rPr>
              <w:t>January 17, 2017</w:t>
            </w:r>
          </w:p>
        </w:tc>
      </w:tr>
      <w:tr>
        <w:trPr>
          <w:trHeight w:val="216"/>
        </w:trPr>
        <w:tc>
          <w:tcPr>
            <w:tcW w:w="72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w w:val="96"/>
              </w:rPr>
              <w:t>the registration statement is declared effective, and forms of</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award agreements.</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4860" w:type="dxa"/>
            <w:vAlign w:val="bottom"/>
          </w:tcPr>
          <w:p>
            <w:pPr>
              <w:ind w:left="220"/>
              <w:spacing w:after="0"/>
              <w:rPr>
                <w:sz w:val="20"/>
                <w:szCs w:val="20"/>
                <w:color w:val="auto"/>
              </w:rPr>
            </w:pPr>
            <w:r>
              <w:rPr>
                <w:rFonts w:ascii="Arial" w:cs="Arial" w:eastAsia="Arial" w:hAnsi="Arial"/>
                <w:sz w:val="18"/>
                <w:szCs w:val="18"/>
                <w:color w:val="auto"/>
                <w:w w:val="94"/>
              </w:rPr>
              <w:t>2017 Employee Stock Purchase Plan, to become effective on</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87"/>
              </w:rPr>
              <w:t>January 17, 2017</w:t>
            </w:r>
          </w:p>
        </w:tc>
      </w:tr>
      <w:tr>
        <w:trPr>
          <w:trHeight w:val="216"/>
        </w:trPr>
        <w:tc>
          <w:tcPr>
            <w:tcW w:w="72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w w:val="96"/>
              </w:rPr>
              <w:t>the date the registration statement is declared effective, and</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forms of award agreements.</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4860" w:type="dxa"/>
            <w:vAlign w:val="bottom"/>
          </w:tcPr>
          <w:p>
            <w:pPr>
              <w:ind w:left="220"/>
              <w:spacing w:after="0"/>
              <w:rPr>
                <w:sz w:val="20"/>
                <w:szCs w:val="20"/>
                <w:color w:val="auto"/>
              </w:rPr>
            </w:pPr>
            <w:r>
              <w:rPr>
                <w:rFonts w:ascii="Arial" w:cs="Arial" w:eastAsia="Arial" w:hAnsi="Arial"/>
                <w:sz w:val="18"/>
                <w:szCs w:val="18"/>
                <w:color w:val="auto"/>
                <w:w w:val="96"/>
              </w:rPr>
              <w:t>Employment Agreement, effective as of January 1, 2012, by</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87"/>
              </w:rPr>
              <w:t>September 9, 2015</w:t>
            </w:r>
          </w:p>
        </w:tc>
      </w:tr>
      <w:tr>
        <w:trPr>
          <w:trHeight w:val="230"/>
        </w:trPr>
        <w:tc>
          <w:tcPr>
            <w:tcW w:w="72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w w:val="96"/>
              </w:rPr>
              <w:t>and between the Registrant and Hamza Suria, as amended.</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4860" w:type="dxa"/>
            <w:vAlign w:val="bottom"/>
          </w:tcPr>
          <w:p>
            <w:pPr>
              <w:ind w:left="220"/>
              <w:spacing w:after="0"/>
              <w:rPr>
                <w:sz w:val="20"/>
                <w:szCs w:val="20"/>
                <w:color w:val="auto"/>
              </w:rPr>
            </w:pPr>
            <w:r>
              <w:rPr>
                <w:rFonts w:ascii="Arial" w:cs="Arial" w:eastAsia="Arial" w:hAnsi="Arial"/>
                <w:sz w:val="18"/>
                <w:szCs w:val="18"/>
                <w:color w:val="auto"/>
                <w:w w:val="97"/>
              </w:rPr>
              <w:t>Employment Agreement, effective as of March 22, 2016, by</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10.6</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89"/>
              </w:rPr>
              <w:t>December 28, 2016</w:t>
            </w:r>
          </w:p>
        </w:tc>
      </w:tr>
      <w:tr>
        <w:trPr>
          <w:trHeight w:val="230"/>
        </w:trPr>
        <w:tc>
          <w:tcPr>
            <w:tcW w:w="72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and between the Registrant and Matthew Moyle.</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4860" w:type="dxa"/>
            <w:vAlign w:val="bottom"/>
          </w:tcPr>
          <w:p>
            <w:pPr>
              <w:ind w:left="220"/>
              <w:spacing w:after="0"/>
              <w:rPr>
                <w:sz w:val="20"/>
                <w:szCs w:val="20"/>
                <w:color w:val="auto"/>
              </w:rPr>
            </w:pPr>
            <w:r>
              <w:rPr>
                <w:rFonts w:ascii="Arial" w:cs="Arial" w:eastAsia="Arial" w:hAnsi="Arial"/>
                <w:sz w:val="18"/>
                <w:szCs w:val="18"/>
                <w:color w:val="auto"/>
                <w:w w:val="94"/>
              </w:rPr>
              <w:t>Employment Agreement, effective as of October 20, 2014, by</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10.7</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87"/>
              </w:rPr>
              <w:t>September 9, 2015</w:t>
            </w:r>
          </w:p>
        </w:tc>
      </w:tr>
      <w:tr>
        <w:trPr>
          <w:trHeight w:val="230"/>
        </w:trPr>
        <w:tc>
          <w:tcPr>
            <w:tcW w:w="72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and between the Registrant and Marco Londei.</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4860" w:type="dxa"/>
            <w:vAlign w:val="bottom"/>
          </w:tcPr>
          <w:p>
            <w:pPr>
              <w:ind w:left="220"/>
              <w:spacing w:after="0"/>
              <w:rPr>
                <w:sz w:val="20"/>
                <w:szCs w:val="20"/>
                <w:color w:val="auto"/>
              </w:rPr>
            </w:pPr>
            <w:r>
              <w:rPr>
                <w:rFonts w:ascii="Arial" w:cs="Arial" w:eastAsia="Arial" w:hAnsi="Arial"/>
                <w:sz w:val="18"/>
                <w:szCs w:val="18"/>
                <w:color w:val="auto"/>
              </w:rPr>
              <w:t>Office Lease, dated April 19, 2011, by and between the</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10.8</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89"/>
              </w:rPr>
              <w:t>December 23, 2015</w:t>
            </w:r>
          </w:p>
        </w:tc>
      </w:tr>
      <w:tr>
        <w:trPr>
          <w:trHeight w:val="230"/>
        </w:trPr>
        <w:tc>
          <w:tcPr>
            <w:tcW w:w="72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Registrant and Kilroy Realty, L.P., as amended.</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4860" w:type="dxa"/>
            <w:vAlign w:val="bottom"/>
          </w:tcPr>
          <w:p>
            <w:pPr>
              <w:ind w:left="220"/>
              <w:spacing w:after="0"/>
              <w:rPr>
                <w:sz w:val="20"/>
                <w:szCs w:val="20"/>
                <w:color w:val="auto"/>
              </w:rPr>
            </w:pPr>
            <w:r>
              <w:rPr>
                <w:rFonts w:ascii="Arial" w:cs="Arial" w:eastAsia="Arial" w:hAnsi="Arial"/>
                <w:sz w:val="18"/>
                <w:szCs w:val="18"/>
                <w:color w:val="auto"/>
                <w:w w:val="96"/>
              </w:rPr>
              <w:t>Antibody Generation Agreement, dated December 22, 2011,</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89"/>
              </w:rPr>
              <w:t>December 28, 2016</w:t>
            </w:r>
          </w:p>
        </w:tc>
      </w:tr>
      <w:tr>
        <w:trPr>
          <w:trHeight w:val="216"/>
        </w:trPr>
        <w:tc>
          <w:tcPr>
            <w:tcW w:w="72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w w:val="96"/>
              </w:rPr>
              <w:t>by and between the Registrant and Celgene Corporation, as</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modified.</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50"/>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4860" w:type="dxa"/>
            <w:vAlign w:val="bottom"/>
          </w:tcPr>
          <w:p>
            <w:pPr>
              <w:ind w:left="220"/>
              <w:spacing w:after="0"/>
              <w:rPr>
                <w:sz w:val="20"/>
                <w:szCs w:val="20"/>
                <w:color w:val="auto"/>
              </w:rPr>
            </w:pPr>
            <w:r>
              <w:rPr>
                <w:rFonts w:ascii="Arial" w:cs="Arial" w:eastAsia="Arial" w:hAnsi="Arial"/>
                <w:sz w:val="18"/>
                <w:szCs w:val="18"/>
                <w:color w:val="auto"/>
                <w:w w:val="93"/>
              </w:rPr>
              <w:t>Collaboration and Exclusive License Agreement, dated March</w:t>
            </w:r>
          </w:p>
        </w:tc>
        <w:tc>
          <w:tcPr>
            <w:tcW w:w="660" w:type="dxa"/>
            <w:vAlign w:val="bottom"/>
          </w:tcPr>
          <w:p>
            <w:pPr>
              <w:ind w:left="16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2960" w:type="dxa"/>
            <w:vAlign w:val="bottom"/>
          </w:tcPr>
          <w:p>
            <w:pPr>
              <w:jc w:val="center"/>
              <w:ind w:right="850"/>
              <w:spacing w:after="0"/>
              <w:rPr>
                <w:sz w:val="20"/>
                <w:szCs w:val="20"/>
                <w:color w:val="auto"/>
              </w:rPr>
            </w:pPr>
            <w:r>
              <w:rPr>
                <w:rFonts w:ascii="Arial" w:cs="Arial" w:eastAsia="Arial" w:hAnsi="Arial"/>
                <w:sz w:val="18"/>
                <w:szCs w:val="18"/>
                <w:color w:val="auto"/>
                <w:w w:val="93"/>
              </w:rPr>
              <w:t>May 10, 2016</w:t>
            </w:r>
          </w:p>
        </w:tc>
      </w:tr>
      <w:tr>
        <w:trPr>
          <w:trHeight w:val="216"/>
        </w:trPr>
        <w:tc>
          <w:tcPr>
            <w:tcW w:w="72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w w:val="98"/>
              </w:rPr>
              <w:t>10, 2014, by and among the Registrant, TESARO, Inc. and</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p>
        </w:tc>
        <w:tc>
          <w:tcPr>
            <w:tcW w:w="4860" w:type="dxa"/>
            <w:vAlign w:val="bottom"/>
          </w:tcPr>
          <w:p>
            <w:pPr>
              <w:ind w:left="220"/>
              <w:spacing w:after="0"/>
              <w:rPr>
                <w:sz w:val="20"/>
                <w:szCs w:val="20"/>
                <w:color w:val="auto"/>
              </w:rPr>
            </w:pPr>
            <w:r>
              <w:rPr>
                <w:rFonts w:ascii="Arial" w:cs="Arial" w:eastAsia="Arial" w:hAnsi="Arial"/>
                <w:sz w:val="18"/>
                <w:szCs w:val="18"/>
                <w:color w:val="auto"/>
              </w:rPr>
              <w:t>TESARO Development, Ltd., as amended.</w:t>
            </w: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547"/>
        </w:trPr>
        <w:tc>
          <w:tcPr>
            <w:tcW w:w="7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171"/>
        </w:trPr>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80" w:type="dxa"/>
            <w:vAlign w:val="bottom"/>
            <w:gridSpan w:val="6"/>
          </w:tcPr>
          <w:p>
            <w:pPr>
              <w:ind w:left="102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33"/>
        </w:trPr>
        <w:tc>
          <w:tcPr>
            <w:tcW w:w="940" w:type="dxa"/>
            <w:vAlign w:val="bottom"/>
            <w:vMerge w:val="continue"/>
          </w:tcPr>
          <w:p>
            <w:pPr>
              <w:spacing w:after="0"/>
              <w:rPr>
                <w:sz w:val="11"/>
                <w:szCs w:val="11"/>
                <w:color w:val="auto"/>
              </w:rPr>
            </w:pPr>
          </w:p>
        </w:tc>
        <w:tc>
          <w:tcPr>
            <w:tcW w:w="45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vMerge w:val="restart"/>
          </w:tcPr>
          <w:p>
            <w:pPr>
              <w:spacing w:after="0"/>
              <w:rPr>
                <w:sz w:val="11"/>
                <w:szCs w:val="11"/>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tcBorders>
              <w:top w:val="single" w:sz="8" w:color="auto"/>
            </w:tcBorders>
            <w:vMerge w:val="restart"/>
          </w:tcPr>
          <w:p>
            <w:pPr>
              <w:spacing w:after="0"/>
              <w:rPr>
                <w:sz w:val="11"/>
                <w:szCs w:val="11"/>
                <w:color w:val="auto"/>
              </w:rPr>
            </w:pP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0" w:type="dxa"/>
            <w:vAlign w:val="bottom"/>
            <w:tcBorders>
              <w:top w:val="single" w:sz="8" w:color="auto"/>
            </w:tcBorders>
            <w:vMerge w:val="restart"/>
          </w:tcPr>
          <w:p>
            <w:pPr>
              <w:spacing w:after="0"/>
              <w:rPr>
                <w:sz w:val="11"/>
                <w:szCs w:val="11"/>
                <w:color w:val="auto"/>
              </w:rPr>
            </w:pPr>
          </w:p>
        </w:tc>
        <w:tc>
          <w:tcPr>
            <w:tcW w:w="66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vMerge w:val="restart"/>
          </w:tcPr>
          <w:p>
            <w:pPr>
              <w:spacing w:after="0"/>
              <w:rPr>
                <w:sz w:val="11"/>
                <w:szCs w:val="11"/>
                <w:color w:val="auto"/>
              </w:rPr>
            </w:pPr>
          </w:p>
        </w:tc>
        <w:tc>
          <w:tcPr>
            <w:tcW w:w="2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45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4660" w:type="dxa"/>
            <w:vAlign w:val="bottom"/>
            <w:gridSpan w:val="2"/>
          </w:tcPr>
          <w:p>
            <w:pPr>
              <w:spacing w:after="0"/>
              <w:rPr>
                <w:sz w:val="20"/>
                <w:szCs w:val="20"/>
                <w:color w:val="auto"/>
              </w:rPr>
            </w:pPr>
            <w:r>
              <w:rPr>
                <w:rFonts w:ascii="Arial" w:cs="Arial" w:eastAsia="Arial" w:hAnsi="Arial"/>
                <w:sz w:val="18"/>
                <w:szCs w:val="18"/>
                <w:color w:val="auto"/>
                <w:w w:val="95"/>
              </w:rPr>
              <w:t>License Agreement, dated August 30, 2006, by and between</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9, 2015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7"/>
              </w:rPr>
              <w:t>the Registrant and Medical Research Council, as amended.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4660" w:type="dxa"/>
            <w:vAlign w:val="bottom"/>
            <w:gridSpan w:val="2"/>
          </w:tcPr>
          <w:p>
            <w:pPr>
              <w:spacing w:after="0"/>
              <w:rPr>
                <w:sz w:val="20"/>
                <w:szCs w:val="20"/>
                <w:color w:val="auto"/>
              </w:rPr>
            </w:pPr>
            <w:r>
              <w:rPr>
                <w:rFonts w:ascii="Arial" w:cs="Arial" w:eastAsia="Arial" w:hAnsi="Arial"/>
                <w:sz w:val="18"/>
                <w:szCs w:val="18"/>
                <w:color w:val="auto"/>
                <w:w w:val="93"/>
              </w:rPr>
              <w:t>Non-Exclusive Research and Commercial License Agreement,</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9, 2015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dated May 15, 2009, by and between the Registrant and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Millipore Corporation.</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4660" w:type="dxa"/>
            <w:vAlign w:val="bottom"/>
            <w:gridSpan w:val="2"/>
          </w:tcPr>
          <w:p>
            <w:pPr>
              <w:spacing w:after="0"/>
              <w:rPr>
                <w:sz w:val="20"/>
                <w:szCs w:val="20"/>
                <w:color w:val="auto"/>
              </w:rPr>
            </w:pPr>
            <w:r>
              <w:rPr>
                <w:rFonts w:ascii="Arial" w:cs="Arial" w:eastAsia="Arial" w:hAnsi="Arial"/>
                <w:sz w:val="18"/>
                <w:szCs w:val="18"/>
                <w:color w:val="auto"/>
                <w:w w:val="95"/>
              </w:rPr>
              <w:t>Loan and Security Agreement, dated December 24, 2014, by</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February 2, 2016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8"/>
              </w:rPr>
              <w:t>and among the Registrant, Oxford Finance LLC and Silicon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Valley Bank, as amended.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466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4660" w:type="dxa"/>
            <w:vAlign w:val="bottom"/>
            <w:gridSpan w:val="2"/>
          </w:tcPr>
          <w:p>
            <w:pPr>
              <w:spacing w:after="0"/>
              <w:rPr>
                <w:sz w:val="20"/>
                <w:szCs w:val="20"/>
                <w:color w:val="auto"/>
              </w:rPr>
            </w:pPr>
            <w:r>
              <w:rPr>
                <w:rFonts w:ascii="Arial" w:cs="Arial" w:eastAsia="Arial" w:hAnsi="Arial"/>
                <w:sz w:val="18"/>
                <w:szCs w:val="18"/>
                <w:color w:val="auto"/>
              </w:rPr>
              <w:t>Consent of KPMG LLP, an independent registered public</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17, 2017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24.1</w:t>
            </w:r>
          </w:p>
        </w:tc>
        <w:tc>
          <w:tcPr>
            <w:tcW w:w="466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4660" w:type="dxa"/>
            <w:vAlign w:val="bottom"/>
            <w:gridSpan w:val="2"/>
          </w:tcPr>
          <w:p>
            <w:pPr>
              <w:spacing w:after="0"/>
              <w:rPr>
                <w:sz w:val="20"/>
                <w:szCs w:val="20"/>
                <w:color w:val="auto"/>
              </w:rPr>
            </w:pPr>
            <w:r>
              <w:rPr>
                <w:rFonts w:ascii="Arial" w:cs="Arial" w:eastAsia="Arial" w:hAnsi="Arial"/>
                <w:sz w:val="18"/>
                <w:szCs w:val="18"/>
                <w:color w:val="auto"/>
                <w:w w:val="98"/>
              </w:rPr>
              <w:t>Certification of Principal Executive Officer, pursuant to Rule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1"/>
              </w:rPr>
              <w:t>13a-14(a)/15d-14(a), as adopted pursuant to Section 302 of the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Certification of Principal Financial Officer, pursuant to Rule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1"/>
              </w:rPr>
              <w:t>13a-14(a)/15d-14(a), as adopted pursuant to Section 302 of the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4660" w:type="dxa"/>
            <w:vAlign w:val="bottom"/>
            <w:gridSpan w:val="2"/>
          </w:tcPr>
          <w:p>
            <w:pPr>
              <w:spacing w:after="0"/>
              <w:rPr>
                <w:sz w:val="20"/>
                <w:szCs w:val="20"/>
                <w:color w:val="auto"/>
              </w:rPr>
            </w:pPr>
            <w:r>
              <w:rPr>
                <w:rFonts w:ascii="Arial" w:cs="Arial" w:eastAsia="Arial" w:hAnsi="Arial"/>
                <w:sz w:val="18"/>
                <w:szCs w:val="18"/>
                <w:color w:val="auto"/>
                <w:w w:val="95"/>
              </w:rPr>
              <w:t>Certification of Chief Executive Officer, pursuant to 18 U.S.C.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Section 1350, as adopted pursuant to Section 906 of the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4660" w:type="dxa"/>
            <w:vAlign w:val="bottom"/>
            <w:gridSpan w:val="2"/>
          </w:tcPr>
          <w:p>
            <w:pPr>
              <w:spacing w:after="0"/>
              <w:rPr>
                <w:sz w:val="20"/>
                <w:szCs w:val="20"/>
                <w:color w:val="auto"/>
              </w:rPr>
            </w:pPr>
            <w:r>
              <w:rPr>
                <w:rFonts w:ascii="Arial" w:cs="Arial" w:eastAsia="Arial" w:hAnsi="Arial"/>
                <w:sz w:val="18"/>
                <w:szCs w:val="18"/>
                <w:color w:val="auto"/>
                <w:w w:val="96"/>
              </w:rPr>
              <w:t>Certification of Chief Financial Officer, pursuant to 18 U.S.C.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Section 1350, as adopted pursuant to Section 906 of the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3"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deemed incorporated by reference into any filing under the Securities Act or the Exchange Act.</w:t>
      </w:r>
    </w:p>
    <w:p>
      <w:pPr>
        <w:spacing w:after="0" w:line="9" w:lineRule="exact"/>
        <w:rPr>
          <w:sz w:val="20"/>
          <w:szCs w:val="20"/>
          <w:color w:val="auto"/>
        </w:rPr>
      </w:pPr>
    </w:p>
    <w:p>
      <w:pPr>
        <w:ind w:left="600" w:right="780" w:hanging="592"/>
        <w:spacing w:after="0" w:line="261"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420"/>
          </w:cols>
          <w:pgMar w:left="240" w:top="34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20" w:type="dxa"/>
            <w:vAlign w:val="bottom"/>
            <w:gridSpan w:val="2"/>
          </w:tcPr>
          <w:p>
            <w:pPr>
              <w:ind w:left="1280"/>
              <w:spacing w:after="0"/>
              <w:rPr>
                <w:sz w:val="20"/>
                <w:szCs w:val="20"/>
                <w:color w:val="auto"/>
              </w:rPr>
            </w:pPr>
            <w:r>
              <w:rPr>
                <w:rFonts w:ascii="Arial" w:cs="Arial" w:eastAsia="Arial" w:hAnsi="Arial"/>
                <w:sz w:val="18"/>
                <w:szCs w:val="18"/>
                <w:b w:val="1"/>
                <w:bCs w:val="1"/>
                <w:color w:val="auto"/>
              </w:rPr>
              <w:t>SUBSIDIARIES OF THE REGISTRANT</w:t>
            </w:r>
          </w:p>
        </w:tc>
      </w:tr>
      <w:tr>
        <w:trPr>
          <w:trHeight w:val="392"/>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90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37"/>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AnaptysBio Pty Ltd</w:t>
            </w:r>
          </w:p>
        </w:tc>
        <w:tc>
          <w:tcPr>
            <w:tcW w:w="13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17"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right="120" w:firstLine="8"/>
        <w:spacing w:after="0" w:line="264" w:lineRule="auto"/>
        <w:tabs>
          <w:tab w:leader="none" w:pos="1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8"/>
        <w:spacing w:after="0" w:line="277" w:lineRule="auto"/>
        <w:tabs>
          <w:tab w:leader="none" w:pos="1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0" w:firstLine="8"/>
        <w:spacing w:after="0" w:line="264" w:lineRule="auto"/>
        <w:tabs>
          <w:tab w:leader="none" w:pos="1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Hamza Suria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337"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117"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right="120" w:firstLine="8"/>
        <w:spacing w:after="0" w:line="264" w:lineRule="auto"/>
        <w:tabs>
          <w:tab w:leader="none" w:pos="1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8"/>
        <w:spacing w:after="0" w:line="277" w:lineRule="auto"/>
        <w:tabs>
          <w:tab w:leader="none" w:pos="1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0" w:firstLine="8"/>
        <w:spacing w:after="0" w:line="264" w:lineRule="auto"/>
        <w:tabs>
          <w:tab w:leader="none" w:pos="1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Dominic G. Piscitelli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3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Hamza Suria, Chief Executive Officer of AnaptsyBio, Inc.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1200" w:right="100" w:hanging="598"/>
        <w:spacing w:after="0" w:line="308" w:lineRule="auto"/>
        <w:tabs>
          <w:tab w:leader="none" w:pos="12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2016 (Report), as filed with the Securities and Exchange Commission,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1200" w:right="620" w:hanging="598"/>
        <w:spacing w:after="0" w:line="277" w:lineRule="auto"/>
        <w:tabs>
          <w:tab w:leader="none" w:pos="1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Hamza Suria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337"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1200" w:right="100" w:hanging="598"/>
        <w:spacing w:after="0" w:line="308" w:lineRule="auto"/>
        <w:tabs>
          <w:tab w:leader="none" w:pos="12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2016 (Report), as filed with the Securities and Exchange Commission,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1200" w:right="620" w:hanging="598"/>
        <w:spacing w:after="0" w:line="277" w:lineRule="auto"/>
        <w:tabs>
          <w:tab w:leader="none" w:pos="1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Dominic G. Piscitelli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1)"/>
      <w:numFmt w:val="lowerRoman"/>
      <w:start w:val="2"/>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decimal"/>
      <w:start w:val="3"/>
    </w:lvl>
  </w:abstractNum>
  <w:abstractNum w:abstractNumId="48">
    <w:nsid w:val="1DBABF00"/>
    <w:multiLevelType w:val="hybridMultilevel"/>
    <w:lvl w:ilvl="0">
      <w:lvlJc w:val="left"/>
      <w:lvlText w:val="%1."/>
      <w:numFmt w:val="decimal"/>
      <w:start w:val="4"/>
    </w:lvl>
  </w:abstractNum>
  <w:abstractNum w:abstractNumId="49">
    <w:nsid w:val="4AD084E9"/>
    <w:multiLevelType w:val="hybridMultilevel"/>
    <w:lvl w:ilvl="0">
      <w:lvlJc w:val="left"/>
      <w:lvlText w:val="(%1)"/>
      <w:numFmt w:val="lowerRoman"/>
      <w:start w:val="2"/>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1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decimal"/>
      <w:start w:val="7"/>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3"/>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2"/>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5"/>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lowerLetter"/>
      <w:start w:val="1"/>
    </w:lvl>
    <w:lvl w:ilvl="1">
      <w:lvlJc w:val="left"/>
      <w:lvlText w:val="%2."/>
      <w:numFmt w:val="decimal"/>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decimal"/>
      <w:start w:val="5"/>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decimal"/>
      <w:start w:val="5"/>
    </w:lvl>
  </w:abstractNum>
  <w:abstractNum w:abstractNumId="80">
    <w:nsid w:val="14330624"/>
    <w:multiLevelType w:val="hybridMultilevel"/>
    <w:lvl w:ilvl="0">
      <w:lvlJc w:val="left"/>
      <w:lvlText w:val="%1)"/>
      <w:numFmt w:val="lowerLetter"/>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2019-12-29T07:53:43Z</dcterms:created>
  <dcterms:modified xsi:type="dcterms:W3CDTF">2019-12-29T07:53:43Z</dcterms:modified>
</cp:coreProperties>
</file>