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13d-102)</w:t>
      </w:r>
    </w:p>
    <w:p>
      <w:pPr>
        <w:spacing w:after="0" w:line="207" w:lineRule="exact"/>
        <w:rPr>
          <w:sz w:val="24"/>
          <w:szCs w:val="24"/>
          <w:color w:val="auto"/>
        </w:rPr>
      </w:pPr>
    </w:p>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 (c), AND (d) AND AMENDMENTS THERETO FILED PURSUANT TO RULE 13d-2(b)</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r>
        <w:rPr>
          <w:rFonts w:ascii="Times New Roman" w:cs="Times New Roman" w:eastAsia="Times New Roman" w:hAnsi="Times New Roman"/>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8"/>
          <w:szCs w:val="18"/>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firstLine="8"/>
        <w:spacing w:after="0" w:line="244" w:lineRule="auto"/>
        <w:tabs>
          <w:tab w:leader="none" w:pos="815"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Biotechnology Value Fund, L.P.</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20" w:type="dxa"/>
            <w:vAlign w:val="bottom"/>
            <w:gridSpan w:val="2"/>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- 0 -</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-4357370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5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147955</wp:posOffset>
            </wp:positionV>
            <wp:extent cx="351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8"/>
              </w:rPr>
              <w:t>BVF I GP LLC</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6780" w:type="dxa"/>
            <w:vAlign w:val="bottom"/>
            <w:gridSpan w:val="2"/>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5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76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50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jc w:val="right"/>
              <w:ind w:right="4110"/>
              <w:spacing w:after="0"/>
              <w:rPr>
                <w:sz w:val="20"/>
                <w:szCs w:val="20"/>
                <w:color w:val="auto"/>
              </w:rPr>
            </w:pPr>
            <w:r>
              <w:rPr>
                <w:rFonts w:ascii="Times New Roman" w:cs="Times New Roman" w:eastAsia="Times New Roman" w:hAnsi="Times New Roman"/>
                <w:sz w:val="18"/>
                <w:szCs w:val="18"/>
                <w:color w:val="auto"/>
              </w:rPr>
              <w:t>- 0 -</w:t>
            </w:r>
          </w:p>
        </w:tc>
        <w:tc>
          <w:tcPr>
            <w:tcW w:w="276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50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jc w:val="right"/>
              <w:ind w:right="4110"/>
              <w:spacing w:after="0"/>
              <w:rPr>
                <w:sz w:val="20"/>
                <w:szCs w:val="20"/>
                <w:color w:val="auto"/>
              </w:rPr>
            </w:pPr>
            <w:r>
              <w:rPr>
                <w:rFonts w:ascii="Times New Roman" w:cs="Times New Roman" w:eastAsia="Times New Roman" w:hAnsi="Times New Roman"/>
                <w:sz w:val="18"/>
                <w:szCs w:val="18"/>
                <w:color w:val="auto"/>
              </w:rPr>
              <w:t>- 0 -</w:t>
            </w:r>
          </w:p>
        </w:tc>
        <w:tc>
          <w:tcPr>
            <w:tcW w:w="276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7</w:t>
            </w:r>
          </w:p>
        </w:tc>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76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jc w:val="right"/>
              <w:ind w:right="4110"/>
              <w:spacing w:after="0"/>
              <w:rPr>
                <w:sz w:val="20"/>
                <w:szCs w:val="20"/>
                <w:color w:val="auto"/>
              </w:rPr>
            </w:pPr>
            <w:r>
              <w:rPr>
                <w:rFonts w:ascii="Times New Roman" w:cs="Times New Roman" w:eastAsia="Times New Roman" w:hAnsi="Times New Roman"/>
                <w:sz w:val="18"/>
                <w:szCs w:val="18"/>
                <w:color w:val="auto"/>
              </w:rPr>
              <w:t>- 0 -</w:t>
            </w:r>
          </w:p>
        </w:tc>
        <w:tc>
          <w:tcPr>
            <w:tcW w:w="276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8</w:t>
            </w:r>
          </w:p>
        </w:tc>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76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jc w:val="right"/>
              <w:ind w:right="4110"/>
              <w:spacing w:after="0"/>
              <w:rPr>
                <w:sz w:val="20"/>
                <w:szCs w:val="20"/>
                <w:color w:val="auto"/>
              </w:rPr>
            </w:pPr>
            <w:r>
              <w:rPr>
                <w:rFonts w:ascii="Times New Roman" w:cs="Times New Roman" w:eastAsia="Times New Roman" w:hAnsi="Times New Roman"/>
                <w:sz w:val="18"/>
                <w:szCs w:val="18"/>
                <w:color w:val="auto"/>
              </w:rPr>
              <w:t>- 0 -</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1840" w:hanging="1026"/>
        <w:spacing w:after="0"/>
        <w:tabs>
          <w:tab w:leader="none" w:pos="1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jc w:val="right"/>
              <w:ind w:right="6930"/>
              <w:spacing w:after="0"/>
              <w:rPr>
                <w:sz w:val="20"/>
                <w:szCs w:val="20"/>
                <w:color w:val="auto"/>
              </w:rPr>
            </w:pPr>
            <w:r>
              <w:rPr>
                <w:rFonts w:ascii="Times New Roman" w:cs="Times New Roman" w:eastAsia="Times New Roman" w:hAnsi="Times New Roman"/>
                <w:sz w:val="18"/>
                <w:szCs w:val="18"/>
                <w:color w:val="auto"/>
              </w:rPr>
              <w:t>- 0 -</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w:t>
            </w:r>
          </w:p>
        </w:tc>
        <w:tc>
          <w:tcPr>
            <w:tcW w:w="8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8"/>
        </w:trPr>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w:t>
            </w:r>
          </w:p>
        </w:tc>
        <w:tc>
          <w:tcPr>
            <w:tcW w:w="8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Biotechnology Value Fund II, L.P.</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20" w:type="dxa"/>
            <w:vAlign w:val="bottom"/>
            <w:gridSpan w:val="2"/>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- 0 -</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-4357370</wp:posOffset>
            </wp:positionV>
            <wp:extent cx="351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5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w w:val="98"/>
              </w:rPr>
              <w:t>BVF II GP LLC.</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20" w:type="dxa"/>
            <w:vAlign w:val="bottom"/>
            <w:gridSpan w:val="3"/>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0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6"/>
                <w:szCs w:val="16"/>
                <w:color w:val="auto"/>
              </w:rPr>
            </w:pPr>
          </w:p>
        </w:tc>
        <w:tc>
          <w:tcPr>
            <w:tcW w:w="6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6"/>
                <w:szCs w:val="16"/>
                <w:color w:val="auto"/>
              </w:rPr>
            </w:pPr>
          </w:p>
        </w:tc>
        <w:tc>
          <w:tcPr>
            <w:tcW w:w="6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- 0 -</w:t>
            </w:r>
          </w:p>
        </w:tc>
        <w:tc>
          <w:tcPr>
            <w:tcW w:w="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-4620260</wp:posOffset>
            </wp:positionV>
            <wp:extent cx="351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0</wp:posOffset>
            </wp:positionV>
            <wp:extent cx="3511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2280" w:right="6900" w:hanging="1512"/>
        <w:spacing w:after="0" w:line="527" w:lineRule="auto"/>
        <w:tabs>
          <w:tab w:leader="none" w:pos="183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Biotechnology Value Trading Fund OS LP</w:t>
            </w: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20" w:type="dxa"/>
            <w:vAlign w:val="bottom"/>
            <w:gridSpan w:val="3"/>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- 0 -</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-4357370</wp:posOffset>
            </wp:positionV>
            <wp:extent cx="3511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5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BVF Partners OS Ltd.</w:t>
            </w: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6780" w:type="dxa"/>
            <w:vAlign w:val="bottom"/>
            <w:gridSpan w:val="3"/>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50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76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Cayman Islands</w:t>
            </w:r>
          </w:p>
        </w:tc>
        <w:tc>
          <w:tcPr>
            <w:tcW w:w="50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6"/>
                <w:szCs w:val="16"/>
                <w:color w:val="auto"/>
              </w:rPr>
            </w:pPr>
          </w:p>
        </w:tc>
        <w:tc>
          <w:tcPr>
            <w:tcW w:w="50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jc w:val="right"/>
              <w:ind w:right="4110"/>
              <w:spacing w:after="0"/>
              <w:rPr>
                <w:sz w:val="20"/>
                <w:szCs w:val="20"/>
                <w:color w:val="auto"/>
              </w:rPr>
            </w:pPr>
            <w:r>
              <w:rPr>
                <w:rFonts w:ascii="Times New Roman" w:cs="Times New Roman" w:eastAsia="Times New Roman" w:hAnsi="Times New Roman"/>
                <w:sz w:val="18"/>
                <w:szCs w:val="18"/>
                <w:color w:val="auto"/>
              </w:rPr>
              <w:t>- 0 -</w:t>
            </w:r>
          </w:p>
        </w:tc>
        <w:tc>
          <w:tcPr>
            <w:tcW w:w="276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6"/>
                <w:szCs w:val="16"/>
                <w:color w:val="auto"/>
              </w:rPr>
            </w:pPr>
          </w:p>
        </w:tc>
        <w:tc>
          <w:tcPr>
            <w:tcW w:w="50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jc w:val="right"/>
              <w:ind w:right="4110"/>
              <w:spacing w:after="0"/>
              <w:rPr>
                <w:sz w:val="20"/>
                <w:szCs w:val="20"/>
                <w:color w:val="auto"/>
              </w:rPr>
            </w:pPr>
            <w:r>
              <w:rPr>
                <w:rFonts w:ascii="Times New Roman" w:cs="Times New Roman" w:eastAsia="Times New Roman" w:hAnsi="Times New Roman"/>
                <w:sz w:val="18"/>
                <w:szCs w:val="18"/>
                <w:color w:val="auto"/>
              </w:rPr>
              <w:t>- 0 -</w:t>
            </w:r>
          </w:p>
        </w:tc>
        <w:tc>
          <w:tcPr>
            <w:tcW w:w="276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76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jc w:val="right"/>
              <w:ind w:right="4110"/>
              <w:spacing w:after="0"/>
              <w:rPr>
                <w:sz w:val="20"/>
                <w:szCs w:val="20"/>
                <w:color w:val="auto"/>
              </w:rPr>
            </w:pPr>
            <w:r>
              <w:rPr>
                <w:rFonts w:ascii="Times New Roman" w:cs="Times New Roman" w:eastAsia="Times New Roman" w:hAnsi="Times New Roman"/>
                <w:sz w:val="18"/>
                <w:szCs w:val="18"/>
                <w:color w:val="auto"/>
              </w:rPr>
              <w:t>- 0 -</w:t>
            </w:r>
          </w:p>
        </w:tc>
        <w:tc>
          <w:tcPr>
            <w:tcW w:w="276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76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jc w:val="right"/>
              <w:ind w:right="4110"/>
              <w:spacing w:after="0"/>
              <w:rPr>
                <w:sz w:val="20"/>
                <w:szCs w:val="20"/>
                <w:color w:val="auto"/>
              </w:rPr>
            </w:pPr>
            <w:r>
              <w:rPr>
                <w:rFonts w:ascii="Times New Roman" w:cs="Times New Roman" w:eastAsia="Times New Roman" w:hAnsi="Times New Roman"/>
                <w:sz w:val="18"/>
                <w:szCs w:val="18"/>
                <w:color w:val="auto"/>
              </w:rPr>
              <w:t>- 0 -</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1840" w:hanging="1026"/>
        <w:spacing w:after="0"/>
        <w:tabs>
          <w:tab w:leader="none" w:pos="1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jc w:val="right"/>
              <w:ind w:right="6930"/>
              <w:spacing w:after="0"/>
              <w:rPr>
                <w:sz w:val="20"/>
                <w:szCs w:val="20"/>
                <w:color w:val="auto"/>
              </w:rPr>
            </w:pPr>
            <w:r>
              <w:rPr>
                <w:rFonts w:ascii="Times New Roman" w:cs="Times New Roman" w:eastAsia="Times New Roman" w:hAnsi="Times New Roman"/>
                <w:sz w:val="18"/>
                <w:szCs w:val="18"/>
                <w:color w:val="auto"/>
              </w:rPr>
              <w:t>- 0 -</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w:t>
            </w:r>
          </w:p>
        </w:tc>
        <w:tc>
          <w:tcPr>
            <w:tcW w:w="8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8"/>
        </w:trPr>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w:t>
            </w:r>
          </w:p>
        </w:tc>
        <w:tc>
          <w:tcPr>
            <w:tcW w:w="8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BVF GP HOLDINGS LLC</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20" w:type="dxa"/>
            <w:vAlign w:val="bottom"/>
            <w:gridSpan w:val="2"/>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- 0 -</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6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-4619625</wp:posOffset>
            </wp:positionV>
            <wp:extent cx="3511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0</wp:posOffset>
            </wp:positionV>
            <wp:extent cx="3511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2280" w:right="6900" w:hanging="1512"/>
        <w:spacing w:after="0" w:line="527" w:lineRule="auto"/>
        <w:tabs>
          <w:tab w:leader="none" w:pos="183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BVF Partners L.P.</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7820" w:type="dxa"/>
            <w:vAlign w:val="bottom"/>
            <w:gridSpan w:val="2"/>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740" w:type="dxa"/>
            <w:vAlign w:val="bottom"/>
            <w:gridSpan w:val="2"/>
          </w:tcPr>
          <w:p>
            <w:pPr>
              <w:ind w:left="6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40" w:type="dxa"/>
            <w:vAlign w:val="bottom"/>
            <w:gridSpan w:val="2"/>
          </w:tcPr>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7</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8</w:t>
            </w: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jc w:val="right"/>
              <w:ind w:right="5150"/>
              <w:spacing w:after="0"/>
              <w:rPr>
                <w:sz w:val="20"/>
                <w:szCs w:val="20"/>
                <w:color w:val="auto"/>
              </w:rPr>
            </w:pPr>
            <w:r>
              <w:rPr>
                <w:rFonts w:ascii="Times New Roman" w:cs="Times New Roman" w:eastAsia="Times New Roman" w:hAnsi="Times New Roman"/>
                <w:sz w:val="18"/>
                <w:szCs w:val="18"/>
                <w:color w:val="auto"/>
              </w:rPr>
              <w:t>- 0 -</w:t>
            </w: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- 0 -</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6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-4620260</wp:posOffset>
            </wp:positionV>
            <wp:extent cx="3511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2280" w:right="6900" w:hanging="1512"/>
        <w:spacing w:after="0" w:line="527" w:lineRule="auto"/>
        <w:tabs>
          <w:tab w:leader="none" w:pos="18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-576580</wp:posOffset>
            </wp:positionV>
            <wp:extent cx="3511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76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BVF Inc.</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6780" w:type="dxa"/>
            <w:vAlign w:val="bottom"/>
            <w:gridSpan w:val="2"/>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5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76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50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50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jc w:val="right"/>
              <w:ind w:right="4110"/>
              <w:spacing w:after="0"/>
              <w:rPr>
                <w:sz w:val="20"/>
                <w:szCs w:val="20"/>
                <w:color w:val="auto"/>
              </w:rPr>
            </w:pPr>
            <w:r>
              <w:rPr>
                <w:rFonts w:ascii="Times New Roman" w:cs="Times New Roman" w:eastAsia="Times New Roman" w:hAnsi="Times New Roman"/>
                <w:sz w:val="18"/>
                <w:szCs w:val="18"/>
                <w:color w:val="auto"/>
              </w:rPr>
              <w:t>- 0 -</w:t>
            </w:r>
          </w:p>
        </w:tc>
        <w:tc>
          <w:tcPr>
            <w:tcW w:w="276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50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276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tcBorders>
          </w:tcPr>
          <w:p>
            <w:pPr>
              <w:jc w:val="right"/>
              <w:ind w:right="4110"/>
              <w:spacing w:after="0"/>
              <w:rPr>
                <w:sz w:val="20"/>
                <w:szCs w:val="20"/>
                <w:color w:val="auto"/>
              </w:rPr>
            </w:pPr>
            <w:r>
              <w:rPr>
                <w:rFonts w:ascii="Times New Roman" w:cs="Times New Roman" w:eastAsia="Times New Roman" w:hAnsi="Times New Roman"/>
                <w:sz w:val="18"/>
                <w:szCs w:val="18"/>
                <w:color w:val="auto"/>
              </w:rPr>
              <w:t>- 0 -</w:t>
            </w:r>
          </w:p>
        </w:tc>
        <w:tc>
          <w:tcPr>
            <w:tcW w:w="276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7</w:t>
            </w:r>
          </w:p>
        </w:tc>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76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jc w:val="right"/>
              <w:ind w:right="4110"/>
              <w:spacing w:after="0"/>
              <w:rPr>
                <w:sz w:val="20"/>
                <w:szCs w:val="20"/>
                <w:color w:val="auto"/>
              </w:rPr>
            </w:pPr>
            <w:r>
              <w:rPr>
                <w:rFonts w:ascii="Times New Roman" w:cs="Times New Roman" w:eastAsia="Times New Roman" w:hAnsi="Times New Roman"/>
                <w:sz w:val="18"/>
                <w:szCs w:val="18"/>
                <w:color w:val="auto"/>
              </w:rPr>
              <w:t>- 0 -</w:t>
            </w:r>
          </w:p>
        </w:tc>
        <w:tc>
          <w:tcPr>
            <w:tcW w:w="276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8</w:t>
            </w:r>
          </w:p>
        </w:tc>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76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060" w:type="dxa"/>
            <w:vAlign w:val="bottom"/>
            <w:tcBorders>
              <w:bottom w:val="single" w:sz="8" w:color="auto"/>
            </w:tcBorders>
          </w:tcPr>
          <w:p>
            <w:pPr>
              <w:jc w:val="right"/>
              <w:ind w:right="4110"/>
              <w:spacing w:after="0"/>
              <w:rPr>
                <w:sz w:val="20"/>
                <w:szCs w:val="20"/>
                <w:color w:val="auto"/>
              </w:rPr>
            </w:pPr>
            <w:r>
              <w:rPr>
                <w:rFonts w:ascii="Times New Roman" w:cs="Times New Roman" w:eastAsia="Times New Roman" w:hAnsi="Times New Roman"/>
                <w:sz w:val="18"/>
                <w:szCs w:val="18"/>
                <w:color w:val="auto"/>
              </w:rPr>
              <w:t>- 0 -</w:t>
            </w: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-3368675</wp:posOffset>
            </wp:positionV>
            <wp:extent cx="3511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1840" w:hanging="1026"/>
        <w:spacing w:after="0"/>
        <w:tabs>
          <w:tab w:leader="none" w:pos="1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Borders>
              <w:bottom w:val="single" w:sz="8" w:color="auto"/>
            </w:tcBorders>
          </w:tcPr>
          <w:p>
            <w:pPr>
              <w:spacing w:after="0"/>
              <w:rPr>
                <w:sz w:val="20"/>
                <w:szCs w:val="20"/>
                <w:color w:val="auto"/>
              </w:rPr>
            </w:pPr>
          </w:p>
        </w:tc>
        <w:tc>
          <w:tcPr>
            <w:tcW w:w="8200" w:type="dxa"/>
            <w:vAlign w:val="bottom"/>
            <w:tcBorders>
              <w:bottom w:val="single" w:sz="8" w:color="auto"/>
            </w:tcBorders>
          </w:tcPr>
          <w:p>
            <w:pPr>
              <w:jc w:val="right"/>
              <w:ind w:right="6930"/>
              <w:spacing w:after="0"/>
              <w:rPr>
                <w:sz w:val="20"/>
                <w:szCs w:val="20"/>
                <w:color w:val="auto"/>
              </w:rPr>
            </w:pPr>
            <w:r>
              <w:rPr>
                <w:rFonts w:ascii="Times New Roman" w:cs="Times New Roman" w:eastAsia="Times New Roman" w:hAnsi="Times New Roman"/>
                <w:sz w:val="18"/>
                <w:szCs w:val="18"/>
                <w:color w:val="auto"/>
              </w:rPr>
              <w:t>- 0 -</w:t>
            </w:r>
          </w:p>
        </w:tc>
        <w:tc>
          <w:tcPr>
            <w:tcW w:w="1640" w:type="dxa"/>
            <w:vAlign w:val="bottom"/>
            <w:tcBorders>
              <w:bottom w:val="single" w:sz="8" w:color="auto"/>
            </w:tcBorders>
          </w:tcPr>
          <w:p>
            <w:pPr>
              <w:spacing w:after="0"/>
              <w:rPr>
                <w:sz w:val="20"/>
                <w:szCs w:val="20"/>
                <w:color w:val="auto"/>
              </w:rPr>
            </w:pPr>
          </w:p>
        </w:tc>
      </w:tr>
      <w:tr>
        <w:trPr>
          <w:trHeight w:val="276"/>
        </w:trPr>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w:t>
            </w:r>
          </w:p>
        </w:tc>
        <w:tc>
          <w:tcPr>
            <w:tcW w:w="8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4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8"/>
        </w:trPr>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w:t>
            </w:r>
          </w:p>
        </w:tc>
        <w:tc>
          <w:tcPr>
            <w:tcW w:w="8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2280" w:right="6900" w:hanging="1512"/>
        <w:spacing w:after="0" w:line="527" w:lineRule="auto"/>
        <w:tabs>
          <w:tab w:leader="none" w:pos="18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-576580</wp:posOffset>
            </wp:positionV>
            <wp:extent cx="3511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p>
      <w:pPr>
        <w:ind w:left="1840" w:hanging="1026"/>
        <w:spacing w:after="0"/>
        <w:tabs>
          <w:tab w:leader="none" w:pos="1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Mark N. Lampert</w:t>
            </w:r>
          </w:p>
        </w:tc>
        <w:tc>
          <w:tcPr>
            <w:tcW w:w="2760" w:type="dxa"/>
            <w:vAlign w:val="bottom"/>
            <w:tcBorders>
              <w:bottom w:val="single" w:sz="8" w:color="auto"/>
            </w:tcBorders>
          </w:tcPr>
          <w:p>
            <w:pPr>
              <w:spacing w:after="0"/>
              <w:rPr>
                <w:sz w:val="20"/>
                <w:szCs w:val="20"/>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Times New Roman" w:cs="Times New Roman" w:eastAsia="Times New Roman" w:hAnsi="Times New Roman"/>
                <w:sz w:val="18"/>
                <w:szCs w:val="18"/>
                <w:color w:val="auto"/>
              </w:rPr>
              <w:t>2</w:t>
            </w:r>
          </w:p>
        </w:tc>
        <w:tc>
          <w:tcPr>
            <w:tcW w:w="7120" w:type="dxa"/>
            <w:vAlign w:val="bottom"/>
          </w:tcPr>
          <w:p>
            <w:pPr>
              <w:ind w:left="48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91" w:lineRule="exact"/>
        <w:rPr>
          <w:sz w:val="20"/>
          <w:szCs w:val="20"/>
          <w:color w:val="auto"/>
        </w:rPr>
      </w:pPr>
    </w:p>
    <w:p>
      <w:pPr>
        <w:ind w:left="1840" w:hanging="1026"/>
        <w:spacing w:after="0"/>
        <w:tabs>
          <w:tab w:leader="none" w:pos="1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United States</w:t>
            </w:r>
          </w:p>
        </w:tc>
        <w:tc>
          <w:tcPr>
            <w:tcW w:w="6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6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jc w:val="right"/>
              <w:ind w:right="5230"/>
              <w:spacing w:after="0"/>
              <w:rPr>
                <w:sz w:val="20"/>
                <w:szCs w:val="20"/>
                <w:color w:val="auto"/>
              </w:rPr>
            </w:pPr>
            <w:r>
              <w:rPr>
                <w:rFonts w:ascii="Times New Roman" w:cs="Times New Roman" w:eastAsia="Times New Roman" w:hAnsi="Times New Roman"/>
                <w:sz w:val="18"/>
                <w:szCs w:val="18"/>
                <w:color w:val="auto"/>
              </w:rPr>
              <w:t>- 0 -</w:t>
            </w:r>
          </w:p>
        </w:tc>
        <w:tc>
          <w:tcPr>
            <w:tcW w:w="164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right"/>
              <w:ind w:right="73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6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jc w:val="right"/>
              <w:ind w:right="5230"/>
              <w:spacing w:after="0"/>
              <w:rPr>
                <w:sz w:val="20"/>
                <w:szCs w:val="20"/>
                <w:color w:val="auto"/>
              </w:rPr>
            </w:pPr>
            <w:r>
              <w:rPr>
                <w:rFonts w:ascii="Times New Roman" w:cs="Times New Roman" w:eastAsia="Times New Roman" w:hAnsi="Times New Roman"/>
                <w:sz w:val="18"/>
                <w:szCs w:val="18"/>
                <w:color w:val="auto"/>
              </w:rPr>
              <w:t>- 0 -</w:t>
            </w:r>
          </w:p>
        </w:tc>
        <w:tc>
          <w:tcPr>
            <w:tcW w:w="164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7</w:t>
            </w: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64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jc w:val="right"/>
              <w:ind w:right="5230"/>
              <w:spacing w:after="0"/>
              <w:rPr>
                <w:sz w:val="20"/>
                <w:szCs w:val="20"/>
                <w:color w:val="auto"/>
              </w:rPr>
            </w:pPr>
            <w:r>
              <w:rPr>
                <w:rFonts w:ascii="Times New Roman" w:cs="Times New Roman" w:eastAsia="Times New Roman" w:hAnsi="Times New Roman"/>
                <w:sz w:val="18"/>
                <w:szCs w:val="18"/>
                <w:color w:val="auto"/>
              </w:rPr>
              <w:t>- 0 -</w:t>
            </w:r>
          </w:p>
        </w:tc>
        <w:tc>
          <w:tcPr>
            <w:tcW w:w="164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8</w:t>
            </w:r>
          </w:p>
        </w:tc>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64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jc w:val="right"/>
              <w:ind w:right="5230"/>
              <w:spacing w:after="0"/>
              <w:rPr>
                <w:sz w:val="20"/>
                <w:szCs w:val="20"/>
                <w:color w:val="auto"/>
              </w:rPr>
            </w:pPr>
            <w:r>
              <w:rPr>
                <w:rFonts w:ascii="Times New Roman" w:cs="Times New Roman" w:eastAsia="Times New Roman" w:hAnsi="Times New Roman"/>
                <w:sz w:val="18"/>
                <w:szCs w:val="18"/>
                <w:color w:val="auto"/>
              </w:rPr>
              <w:t>- 0 -</w:t>
            </w:r>
          </w:p>
        </w:tc>
        <w:tc>
          <w:tcPr>
            <w:tcW w:w="164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64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- 0 -</w:t>
            </w:r>
          </w:p>
        </w:tc>
        <w:tc>
          <w:tcPr>
            <w:tcW w:w="6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1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8"/>
          <w:szCs w:val="18"/>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AnaptysBio, Inc., a Delaware corporation (the “Issuer”).</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10421 Pacific Center Court, Suite 200</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Diego, California 92121</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BVF I GP LLC (“BVF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BVF II GP LLC (“BVF2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 Francisco, California 94104</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Delaware</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 Cayman Islands</w:t>
            </w:r>
          </w:p>
        </w:tc>
      </w:tr>
      <w:tr>
        <w:trPr>
          <w:trHeight w:val="540"/>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2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BVF Partners OS Ltd. (“Partners OS”)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Cayman Islands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Citizenship: Cayman Islands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BVF GP Holdings LLC (“BVF GPH”)</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BVF Partners L.P. (“Partners”)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BVF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Citizenship: Delaware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Mark N. Lampert (“Mr. Lampert”)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Citizenship: United States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of the foregoing is referred to as a “Reporting Person” and collectively as the “Reporting Persons.”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Common Stock, $0.001 par value per share (the “Shares”)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8"/>
          <w:szCs w:val="18"/>
          <w:color w:val="auto"/>
        </w:rPr>
        <w:t>CUSIP Number: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032724106</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3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or (c), Check Whether the Person Filing is a:</w:t>
            </w:r>
          </w:p>
        </w:tc>
      </w:tr>
      <w:tr>
        <w:trPr>
          <w:trHeight w:val="432"/>
        </w:trPr>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2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Broker or dealer registered under Section 15 of the Exchange Act.</w:t>
            </w:r>
          </w:p>
        </w:tc>
      </w:tr>
      <w:tr>
        <w:trPr>
          <w:trHeight w:val="432"/>
        </w:trPr>
        <w:tc>
          <w:tcPr>
            <w:tcW w:w="92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Bank as defined in Section 3(a)(6) of the Exchange Act.</w:t>
            </w:r>
          </w:p>
        </w:tc>
      </w:tr>
      <w:tr>
        <w:trPr>
          <w:trHeight w:val="432"/>
        </w:trPr>
        <w:tc>
          <w:tcPr>
            <w:tcW w:w="92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Insurance company as defined in Section 3(a)(19) of the Exchange Act.</w:t>
            </w:r>
          </w:p>
        </w:tc>
      </w:tr>
      <w:tr>
        <w:trPr>
          <w:trHeight w:val="432"/>
        </w:trPr>
        <w:tc>
          <w:tcPr>
            <w:tcW w:w="92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w:t>
            </w:r>
          </w:p>
        </w:tc>
      </w:tr>
      <w:tr>
        <w:trPr>
          <w:trHeight w:val="432"/>
        </w:trPr>
        <w:tc>
          <w:tcPr>
            <w:tcW w:w="92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 investment adviser in accordance with Rule 13d-1(b)(1)(ii)(E).</w:t>
            </w:r>
          </w:p>
        </w:tc>
      </w:tr>
      <w:tr>
        <w:trPr>
          <w:trHeight w:val="432"/>
        </w:trPr>
        <w:tc>
          <w:tcPr>
            <w:tcW w:w="92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Rule 13d-1(b)(1)(ii)(F).</w:t>
            </w:r>
          </w:p>
        </w:tc>
      </w:tr>
      <w:tr>
        <w:trPr>
          <w:trHeight w:val="432"/>
        </w:trPr>
        <w:tc>
          <w:tcPr>
            <w:tcW w:w="92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tc>
      </w:tr>
      <w:tr>
        <w:trPr>
          <w:trHeight w:val="432"/>
        </w:trPr>
        <w:tc>
          <w:tcPr>
            <w:tcW w:w="92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w:t>
            </w:r>
          </w:p>
        </w:tc>
      </w:tr>
      <w:tr>
        <w:trPr>
          <w:trHeight w:val="414"/>
        </w:trPr>
        <w:tc>
          <w:tcPr>
            <w:tcW w:w="92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w:t>
            </w:r>
          </w:p>
        </w:tc>
      </w:tr>
      <w:tr>
        <w:trPr>
          <w:trHeight w:val="234"/>
        </w:trPr>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Company Act.</w:t>
            </w:r>
          </w:p>
        </w:tc>
      </w:tr>
      <w:tr>
        <w:trPr>
          <w:trHeight w:val="432"/>
        </w:trPr>
        <w:tc>
          <w:tcPr>
            <w:tcW w:w="92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Group, in accordance with Rule 13d-1(b)(1)(ii)(J).</w:t>
            </w:r>
          </w:p>
        </w:tc>
      </w:tr>
      <w:tr>
        <w:trPr>
          <w:trHeight w:val="414"/>
        </w:trPr>
        <w:tc>
          <w:tcPr>
            <w:tcW w:w="920" w:type="dxa"/>
            <w:vAlign w:val="bottom"/>
          </w:tcPr>
          <w:p>
            <w:pPr>
              <w:spacing w:after="0"/>
              <w:rPr>
                <w:sz w:val="24"/>
                <w:szCs w:val="24"/>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(k)</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Group, in accordance with Rule 240.13d-1(b)(1)(ii)(K). If filing as a non-U.S. institution in accordance with</w:t>
            </w:r>
          </w:p>
        </w:tc>
      </w:tr>
      <w:tr>
        <w:trPr>
          <w:trHeight w:val="234"/>
        </w:trPr>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Rule 240.13d-1(b)(1)(ii)(J), please specify the type of institution: ____</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Ownership</w:t>
            </w:r>
          </w:p>
        </w:tc>
        <w:tc>
          <w:tcPr>
            <w:tcW w:w="540" w:type="dxa"/>
            <w:vAlign w:val="bottom"/>
          </w:tcPr>
          <w:p>
            <w:pPr>
              <w:spacing w:after="0"/>
              <w:rPr>
                <w:sz w:val="24"/>
                <w:szCs w:val="24"/>
                <w:color w:val="auto"/>
              </w:rPr>
            </w:pPr>
          </w:p>
        </w:tc>
        <w:tc>
          <w:tcPr>
            <w:tcW w:w="856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103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As of the close of business on December 31, 2020, the Reporting Persons no longer beneficially owned any Shares of the Issuer.</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3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Ownership of Five Percent or Less of a Class.</w:t>
            </w:r>
          </w:p>
        </w:tc>
      </w:tr>
      <w:tr>
        <w:trPr>
          <w:trHeight w:val="414"/>
        </w:trPr>
        <w:tc>
          <w:tcPr>
            <w:tcW w:w="920" w:type="dxa"/>
            <w:vAlign w:val="bottom"/>
          </w:tcPr>
          <w:p>
            <w:pPr>
              <w:spacing w:after="0"/>
              <w:rPr>
                <w:sz w:val="24"/>
                <w:szCs w:val="24"/>
                <w:color w:val="auto"/>
              </w:rPr>
            </w:pPr>
          </w:p>
        </w:tc>
        <w:tc>
          <w:tcPr>
            <w:tcW w:w="103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234"/>
        </w:trPr>
        <w:tc>
          <w:tcPr>
            <w:tcW w:w="920" w:type="dxa"/>
            <w:vAlign w:val="bottom"/>
          </w:tcPr>
          <w:p>
            <w:pPr>
              <w:spacing w:after="0"/>
              <w:rPr>
                <w:sz w:val="20"/>
                <w:szCs w:val="20"/>
                <w:color w:val="auto"/>
              </w:rPr>
            </w:pPr>
          </w:p>
        </w:tc>
        <w:tc>
          <w:tcPr>
            <w:tcW w:w="103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more than five percent of the class of securities, check the following [X].</w:t>
            </w:r>
          </w:p>
        </w:tc>
      </w:tr>
      <w:tr>
        <w:trPr>
          <w:trHeight w:val="540"/>
        </w:trPr>
        <w:tc>
          <w:tcPr>
            <w:tcW w:w="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ind w:left="286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1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That Acquired the Security Being Reported on by the Parent Holding Company or Control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Exhibit 99.1 to the Schedule 13G filed by the Reporting Persons with the Securities and Exchange Commission on February 4, 2020.</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220"/>
          </w:cols>
          <w:pgMar w:left="320" w:top="220" w:right="35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BVF Partners L.P., its sole member</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BVF Inc., its general partner</w:t>
      </w:r>
    </w:p>
    <w:p>
      <w:pPr>
        <w:spacing w:after="0" w:line="22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0689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BIOTECHNOLOGY VALUE TRADING FUND OS LP</w:t>
      </w:r>
    </w:p>
    <w:p>
      <w:pPr>
        <w:spacing w:after="0" w:line="237" w:lineRule="exact"/>
        <w:rPr>
          <w:sz w:val="20"/>
          <w:szCs w:val="20"/>
          <w:color w:val="auto"/>
        </w:rPr>
      </w:pPr>
    </w:p>
    <w:p>
      <w:pPr>
        <w:ind w:left="10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BVF Partners L.P., its investment manager</w:t>
      </w:r>
    </w:p>
    <w:p>
      <w:pPr>
        <w:spacing w:after="0" w:line="27" w:lineRule="exact"/>
        <w:rPr>
          <w:sz w:val="20"/>
          <w:szCs w:val="20"/>
          <w:color w:val="auto"/>
        </w:rPr>
      </w:pPr>
    </w:p>
    <w:p>
      <w:pPr>
        <w:ind w:left="10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BVF Inc., its general partner</w:t>
      </w:r>
    </w:p>
    <w:p>
      <w:pPr>
        <w:spacing w:after="0" w:line="220" w:lineRule="exact"/>
        <w:rPr>
          <w:sz w:val="20"/>
          <w:szCs w:val="20"/>
          <w:color w:val="auto"/>
        </w:rPr>
      </w:pPr>
    </w:p>
    <w:p>
      <w:pPr>
        <w:ind w:left="10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17145</wp:posOffset>
            </wp:positionV>
            <wp:extent cx="32746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BVF GP HOLDINGS LLC</w:t>
      </w:r>
    </w:p>
    <w:p>
      <w:pPr>
        <w:spacing w:after="0" w:line="225" w:lineRule="exact"/>
        <w:rPr>
          <w:sz w:val="20"/>
          <w:szCs w:val="20"/>
          <w:color w:val="auto"/>
        </w:rPr>
      </w:pPr>
    </w:p>
    <w:p>
      <w:pPr>
        <w:ind w:left="10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-127635</wp:posOffset>
            </wp:positionV>
            <wp:extent cx="32746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BVF PARTNERS L.P.</w:t>
      </w:r>
    </w:p>
    <w:p>
      <w:pPr>
        <w:spacing w:after="0" w:line="225" w:lineRule="exact"/>
        <w:rPr>
          <w:sz w:val="20"/>
          <w:szCs w:val="20"/>
          <w:color w:val="auto"/>
        </w:rPr>
      </w:pPr>
    </w:p>
    <w:p>
      <w:pPr>
        <w:ind w:left="10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BVF Inc., its general partner</w:t>
      </w:r>
    </w:p>
    <w:p>
      <w:pPr>
        <w:spacing w:after="0" w:line="239" w:lineRule="exact"/>
        <w:rPr>
          <w:sz w:val="20"/>
          <w:szCs w:val="20"/>
          <w:color w:val="auto"/>
        </w:rPr>
      </w:pPr>
    </w:p>
    <w:p>
      <w:pPr>
        <w:ind w:left="10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17145</wp:posOffset>
            </wp:positionV>
            <wp:extent cx="32746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Mark N. Lampert</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BVF INC.</w:t>
      </w:r>
    </w:p>
    <w:p>
      <w:pPr>
        <w:spacing w:after="0" w:line="225" w:lineRule="exact"/>
        <w:rPr>
          <w:sz w:val="20"/>
          <w:szCs w:val="20"/>
          <w:color w:val="auto"/>
        </w:rPr>
      </w:pPr>
    </w:p>
    <w:p>
      <w:pPr>
        <w:ind w:left="10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Mark N. Lampert</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-127635</wp:posOffset>
            </wp:positionV>
            <wp:extent cx="32746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17145</wp:posOffset>
            </wp:positionV>
            <wp:extent cx="35572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MARK N. LAMPERT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2">
        <w:col w:w="4820" w:space="720"/>
        <w:col w:w="5680"/>
      </w:cols>
      <w:pgMar w:left="32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1"/>
      <w:numFmt w:val="decimal"/>
      <w:start w:val="12"/>
    </w:lvl>
  </w:abstractNum>
  <w:abstractNum w:abstractNumId="5">
    <w:nsid w:val="3352255A"/>
    <w:multiLevelType w:val="hybridMultilevel"/>
    <w:lvl w:ilvl="0">
      <w:lvlJc w:val="left"/>
      <w:lvlText w:val="9"/>
      <w:numFmt w:val="bullet"/>
      <w:start w:val="1"/>
    </w:lvl>
  </w:abstractNum>
  <w:abstractNum w:abstractNumId="6">
    <w:nsid w:val="109CF92E"/>
    <w:multiLevelType w:val="hybridMultilevel"/>
    <w:lvl w:ilvl="0">
      <w:lvlJc w:val="left"/>
      <w:lvlText w:val="%1"/>
      <w:numFmt w:val="decimal"/>
      <w:start w:val="12"/>
    </w:lvl>
  </w:abstractNum>
  <w:abstractNum w:abstractNumId="7">
    <w:nsid w:val="DED7263"/>
    <w:multiLevelType w:val="hybridMultilevel"/>
    <w:lvl w:ilvl="0">
      <w:lvlJc w:val="left"/>
      <w:lvlText w:val="%1"/>
      <w:numFmt w:val="decimal"/>
      <w:start w:val="12"/>
    </w:lvl>
  </w:abstractNum>
  <w:abstractNum w:abstractNumId="8">
    <w:nsid w:val="7FDCC233"/>
    <w:multiLevelType w:val="hybridMultilevel"/>
    <w:lvl w:ilvl="0">
      <w:lvlJc w:val="left"/>
      <w:lvlText w:val="%1"/>
      <w:numFmt w:val="decimal"/>
      <w:start w:val="12"/>
    </w:lvl>
  </w:abstractNum>
  <w:abstractNum w:abstractNumId="9">
    <w:nsid w:val="1BEFD79F"/>
    <w:multiLevelType w:val="hybridMultilevel"/>
    <w:lvl w:ilvl="0">
      <w:lvlJc w:val="left"/>
      <w:lvlText w:val="%1"/>
      <w:numFmt w:val="decimal"/>
      <w:start w:val="12"/>
    </w:lvl>
  </w:abstractNum>
  <w:abstractNum w:abstractNumId="10">
    <w:nsid w:val="41A7C4C9"/>
    <w:multiLevelType w:val="hybridMultilevel"/>
    <w:lvl w:ilvl="0">
      <w:lvlJc w:val="left"/>
      <w:lvlText w:val="9"/>
      <w:numFmt w:val="bullet"/>
      <w:start w:val="1"/>
    </w:lvl>
  </w:abstractNum>
  <w:abstractNum w:abstractNumId="11">
    <w:nsid w:val="6B68079A"/>
    <w:multiLevelType w:val="hybridMultilevel"/>
    <w:lvl w:ilvl="0">
      <w:lvlJc w:val="left"/>
      <w:lvlText w:val="%1"/>
      <w:numFmt w:val="decimal"/>
      <w:start w:val="12"/>
    </w:lvl>
  </w:abstractNum>
  <w:abstractNum w:abstractNumId="12">
    <w:nsid w:val="4E6AFB66"/>
    <w:multiLevelType w:val="hybridMultilevel"/>
    <w:lvl w:ilvl="0">
      <w:lvlJc w:val="left"/>
      <w:lvlText w:val="%1"/>
      <w:numFmt w:val="decimal"/>
      <w:start w:val="12"/>
    </w:lvl>
  </w:abstractNum>
  <w:abstractNum w:abstractNumId="13">
    <w:nsid w:val="25E45D32"/>
    <w:multiLevelType w:val="hybridMultilevel"/>
    <w:lvl w:ilvl="0">
      <w:lvlJc w:val="left"/>
      <w:lvlText w:val="%1"/>
      <w:numFmt w:val="decimal"/>
      <w:start w:val="12"/>
    </w:lvl>
  </w:abstractNum>
  <w:abstractNum w:abstractNumId="14">
    <w:nsid w:val="519B500D"/>
    <w:multiLevelType w:val="hybridMultilevel"/>
    <w:lvl w:ilvl="0">
      <w:lvlJc w:val="left"/>
      <w:lvlText w:val="9"/>
      <w:numFmt w:val="bullet"/>
      <w:start w:val="1"/>
    </w:lvl>
  </w:abstractNum>
  <w:abstractNum w:abstractNumId="15">
    <w:nsid w:val="431BD7B7"/>
    <w:multiLevelType w:val="hybridMultilevel"/>
    <w:lvl w:ilvl="0">
      <w:lvlJc w:val="left"/>
      <w:lvlText w:val="%1"/>
      <w:numFmt w:val="decimal"/>
      <w:start w:val="12"/>
    </w:lvl>
  </w:abstractNum>
  <w:abstractNum w:abstractNumId="16">
    <w:nsid w:val="3F2DBA31"/>
    <w:multiLevelType w:val="hybridMultilevel"/>
    <w:lvl w:ilvl="0">
      <w:lvlJc w:val="left"/>
      <w:lvlText w:val="1"/>
      <w:numFmt w:val="bullet"/>
      <w:start w:val="1"/>
    </w:lvl>
  </w:abstractNum>
  <w:abstractNum w:abstractNumId="17">
    <w:nsid w:val="7C83E458"/>
    <w:multiLevelType w:val="hybridMultilevel"/>
    <w:lvl w:ilvl="0">
      <w:lvlJc w:val="left"/>
      <w:lvlText w:val="3"/>
      <w:numFmt w:val="bullet"/>
      <w:start w:val="1"/>
    </w:lvl>
  </w:abstractNum>
  <w:abstractNum w:abstractNumId="18">
    <w:nsid w:val="257130A3"/>
    <w:multiLevelType w:val="hybridMultilevel"/>
    <w:lvl w:ilvl="0">
      <w:lvlJc w:val="left"/>
      <w:lvlText w:val="4"/>
      <w:numFmt w:val="bullet"/>
      <w:start w:val="1"/>
    </w:lvl>
  </w:abstractNum>
  <w:abstractNum w:abstractNumId="19">
    <w:nsid w:val="62BBD95A"/>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2021-02-11T15:42:37Z</dcterms:created>
  <dcterms:modified xsi:type="dcterms:W3CDTF">2021-02-11T15:42:37Z</dcterms:modified>
</cp:coreProperties>
</file>