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980" w:firstLine="8"/>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00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80" w:type="dxa"/>
            <w:vAlign w:val="bottom"/>
            <w:tcBorders>
              <w:top w:val="single" w:sz="8" w:color="auto"/>
              <w:bottom w:val="single" w:sz="8" w:color="auto"/>
            </w:tcBorders>
          </w:tcPr>
          <w:p>
            <w:pPr>
              <w:spacing w:after="0"/>
              <w:rPr>
                <w:sz w:val="6"/>
                <w:szCs w:val="6"/>
                <w:color w:val="auto"/>
              </w:rPr>
            </w:pPr>
          </w:p>
        </w:tc>
        <w:tc>
          <w:tcPr>
            <w:tcW w:w="86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auto"/>
              <w:right w:val="single" w:sz="8" w:color="auto"/>
            </w:tcBorders>
          </w:tcPr>
          <w:p>
            <w:pPr>
              <w:spacing w:after="0"/>
              <w:rPr>
                <w:sz w:val="19"/>
                <w:szCs w:val="19"/>
                <w:color w:val="auto"/>
              </w:rPr>
            </w:pPr>
          </w:p>
        </w:tc>
        <w:tc>
          <w:tcPr>
            <w:tcW w:w="862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62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6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80" w:type="dxa"/>
            <w:vAlign w:val="bottom"/>
            <w:tcBorders>
              <w:right w:val="single" w:sz="8" w:color="auto"/>
            </w:tcBorders>
            <w:vMerge w:val="continue"/>
          </w:tcPr>
          <w:p>
            <w:pPr>
              <w:spacing w:after="0"/>
              <w:rPr>
                <w:sz w:val="8"/>
                <w:szCs w:val="8"/>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1,264,976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6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auto"/>
              <w:right w:val="single" w:sz="8" w:color="auto"/>
            </w:tcBorders>
          </w:tcPr>
          <w:p>
            <w:pPr>
              <w:spacing w:after="0"/>
              <w:rPr>
                <w:sz w:val="9"/>
                <w:szCs w:val="9"/>
                <w:color w:val="auto"/>
              </w:rPr>
            </w:pPr>
          </w:p>
        </w:tc>
        <w:tc>
          <w:tcPr>
            <w:tcW w:w="862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6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86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8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80" w:type="dxa"/>
            <w:vAlign w:val="bottom"/>
            <w:tcBorders>
              <w:bottom w:val="single" w:sz="8" w:color="auto"/>
              <w:right w:val="single" w:sz="8" w:color="auto"/>
            </w:tcBorders>
          </w:tcPr>
          <w:p>
            <w:pPr>
              <w:spacing w:after="0"/>
              <w:rPr>
                <w:sz w:val="12"/>
                <w:szCs w:val="12"/>
                <w:color w:val="auto"/>
              </w:rPr>
            </w:pPr>
          </w:p>
        </w:tc>
        <w:tc>
          <w:tcPr>
            <w:tcW w:w="862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0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862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1,264,976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0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2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1,264,976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4.7%</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86,382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86,382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86,382</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0.3%</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16,370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16,370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0.1%</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16,370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16,370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0.1%</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420"/>
          </w:cols>
          <w:pgMar w:left="240" w:top="54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1,367,728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1,367,728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1,367,728</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1,367,728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1,367,728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1,367,728</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1,367,728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1,367,728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1,367,728</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54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3560" w:type="dxa"/>
            <w:vAlign w:val="bottom"/>
          </w:tcPr>
          <w:p>
            <w:pPr>
              <w:ind w:left="224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580" w:hanging="465"/>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AnaptysBio, Inc., a Delaware corporation (the "Issuer").</w:t>
      </w:r>
    </w:p>
    <w:p>
      <w:pPr>
        <w:spacing w:after="0" w:line="231" w:lineRule="exact"/>
        <w:rPr>
          <w:rFonts w:ascii="Arial" w:cs="Arial" w:eastAsia="Arial" w:hAnsi="Arial"/>
          <w:sz w:val="18"/>
          <w:szCs w:val="18"/>
          <w:color w:val="auto"/>
        </w:rPr>
      </w:pPr>
    </w:p>
    <w:p>
      <w:pPr>
        <w:ind w:left="1580" w:hanging="465"/>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San Diego, California 92121</w:t>
      </w:r>
    </w:p>
    <w:p>
      <w:pPr>
        <w:spacing w:after="0" w:line="217" w:lineRule="exact"/>
        <w:rPr>
          <w:sz w:val="20"/>
          <w:szCs w:val="20"/>
          <w:color w:val="auto"/>
        </w:rPr>
      </w:pPr>
    </w:p>
    <w:p>
      <w:pPr>
        <w:spacing w:after="0"/>
        <w:tabs>
          <w:tab w:leader="none" w:pos="1100" w:val="left"/>
          <w:tab w:leader="none" w:pos="15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580" w:hanging="465"/>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80" w:hanging="465"/>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580" w:right="382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666 Fifth Avenue</w:t>
      </w:r>
    </w:p>
    <w:p>
      <w:pPr>
        <w:spacing w:after="0" w:line="1" w:lineRule="exact"/>
        <w:rPr>
          <w:rFonts w:ascii="Arial" w:cs="Arial" w:eastAsia="Arial" w:hAnsi="Arial"/>
          <w:sz w:val="18"/>
          <w:szCs w:val="18"/>
          <w:color w:val="auto"/>
        </w:rPr>
      </w:pP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Integrated Assets II LLC</w:t>
      </w:r>
    </w:p>
    <w:p>
      <w:pPr>
        <w:spacing w:after="0" w:line="15" w:lineRule="exact"/>
        <w:rPr>
          <w:rFonts w:ascii="Arial" w:cs="Arial" w:eastAsia="Arial" w:hAnsi="Arial"/>
          <w:sz w:val="18"/>
          <w:szCs w:val="18"/>
          <w:color w:val="auto"/>
        </w:rPr>
      </w:pPr>
    </w:p>
    <w:p>
      <w:pPr>
        <w:ind w:left="1580" w:right="39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ICS Opportunities II LLC</w:t>
      </w:r>
    </w:p>
    <w:p>
      <w:pPr>
        <w:spacing w:after="0" w:line="15" w:lineRule="exact"/>
        <w:rPr>
          <w:rFonts w:ascii="Arial" w:cs="Arial" w:eastAsia="Arial" w:hAnsi="Arial"/>
          <w:sz w:val="18"/>
          <w:szCs w:val="18"/>
          <w:color w:val="auto"/>
        </w:rPr>
      </w:pPr>
    </w:p>
    <w:p>
      <w:pPr>
        <w:ind w:left="1580" w:right="318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580" w:right="344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666 Fifth Avenue</w:t>
      </w: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580" w:right="424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580" w:right="376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580" w:right="39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1580" w:hanging="465"/>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6"/>
          <w:szCs w:val="16"/>
          <w:color w:val="auto"/>
        </w:rPr>
        <w:t>common stock, par value $0.001 per share ("Common Stock")</w:t>
      </w:r>
    </w:p>
    <w:p>
      <w:pPr>
        <w:spacing w:after="0" w:line="275" w:lineRule="exact"/>
        <w:rPr>
          <w:rFonts w:ascii="Arial" w:cs="Arial" w:eastAsia="Arial" w:hAnsi="Arial"/>
          <w:sz w:val="18"/>
          <w:szCs w:val="18"/>
          <w:color w:val="auto"/>
        </w:rPr>
      </w:pPr>
    </w:p>
    <w:p>
      <w:pPr>
        <w:ind w:left="1580" w:right="5240" w:hanging="465"/>
        <w:spacing w:after="0" w:line="613" w:lineRule="auto"/>
        <w:tabs>
          <w:tab w:leader="none" w:pos="15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032724106</w:t>
      </w:r>
    </w:p>
    <w:p>
      <w:pPr>
        <w:spacing w:after="0" w:line="20" w:lineRule="exact"/>
        <w:rPr>
          <w:sz w:val="20"/>
          <w:szCs w:val="20"/>
          <w:color w:val="auto"/>
        </w:rPr>
      </w:pPr>
      <w:r>
        <w:rPr>
          <w:sz w:val="20"/>
          <w:szCs w:val="20"/>
          <w:color w:val="auto"/>
        </w:rPr>
        <w:br w:type="column"/>
      </w:r>
    </w:p>
    <w:p>
      <w:pPr>
        <w:spacing w:after="0"/>
        <w:tabs>
          <w:tab w:leader="none" w:pos="840" w:val="left"/>
          <w:tab w:leader="none" w:pos="1460" w:val="left"/>
          <w:tab w:leader="none" w:pos="2140" w:val="left"/>
        </w:tabs>
        <w:rPr>
          <w:sz w:val="20"/>
          <w:szCs w:val="20"/>
          <w:color w:val="auto"/>
        </w:rPr>
      </w:pPr>
      <w:r>
        <w:rPr>
          <w:rFonts w:ascii="Arial" w:cs="Arial" w:eastAsia="Arial" w:hAnsi="Arial"/>
          <w:sz w:val="18"/>
          <w:szCs w:val="18"/>
          <w:color w:val="auto"/>
        </w:rPr>
        <w:t>Page</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-127635</wp:posOffset>
            </wp:positionV>
            <wp:extent cx="142748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7480" cy="158750"/>
                    </a:xfrm>
                    <a:prstGeom prst="rect">
                      <a:avLst/>
                    </a:prstGeom>
                    <a:noFill/>
                  </pic:spPr>
                </pic:pic>
              </a:graphicData>
            </a:graphic>
          </wp:anchor>
        </w:drawing>
      </w:r>
    </w:p>
    <w:p>
      <w:pPr>
        <w:sectPr>
          <w:pgSz w:w="11900" w:h="16838" w:orient="portrait"/>
          <w:cols w:equalWidth="0" w:num="2">
            <w:col w:w="8000" w:space="720"/>
            <w:col w:w="2340"/>
          </w:cols>
          <w:pgMar w:left="240" w:top="332" w:right="5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420"/>
          </w:cols>
          <w:pgMar w:left="240" w:top="54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4" w:lineRule="exact"/>
        <w:rPr>
          <w:sz w:val="20"/>
          <w:szCs w:val="20"/>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80" w:right="140" w:hanging="899"/>
        <w:spacing w:after="0" w:line="268"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the close of business on August 16, 2019:</w:t>
      </w:r>
    </w:p>
    <w:p>
      <w:pPr>
        <w:spacing w:after="0" w:line="185" w:lineRule="exact"/>
        <w:rPr>
          <w:sz w:val="20"/>
          <w:szCs w:val="20"/>
          <w:color w:val="auto"/>
        </w:rPr>
      </w:pPr>
    </w:p>
    <w:p>
      <w:pPr>
        <w:ind w:firstLine="140"/>
        <w:spacing w:after="0" w:line="332" w:lineRule="auto"/>
        <w:tabs>
          <w:tab w:leader="none" w:pos="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Integrated Core Strategies (US) LLC, a Delaware limited liability company ("Integrated Core Strategies"), beneficially owned 1,264,976 shares of the Issuer’s Common Stock (consisting of 804,976 shares of the Issuer’s Common Stock and listed options to purchase 460,000 shares of the Issuer’s Common Stock);</w:t>
      </w:r>
    </w:p>
    <w:p>
      <w:pPr>
        <w:spacing w:after="0" w:line="98" w:lineRule="exact"/>
        <w:rPr>
          <w:rFonts w:ascii="Arial" w:cs="Arial" w:eastAsia="Arial" w:hAnsi="Arial"/>
          <w:sz w:val="16"/>
          <w:szCs w:val="16"/>
          <w:color w:val="auto"/>
        </w:rPr>
      </w:pPr>
    </w:p>
    <w:p>
      <w:pPr>
        <w:ind w:left="380" w:hanging="205"/>
        <w:spacing w:after="0"/>
        <w:tabs>
          <w:tab w:leader="none" w:pos="3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Integrated Assets II LLC, a Delaware limited liability company ("Integrated Assets II"), beneficially owned 86,382 shares of the Issuer’s Common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78" w:lineRule="exact"/>
        <w:rPr>
          <w:sz w:val="20"/>
          <w:szCs w:val="20"/>
          <w:color w:val="auto"/>
        </w:rPr>
      </w:pPr>
    </w:p>
    <w:p>
      <w:pPr>
        <w:jc w:val="both"/>
        <w:ind w:firstLine="157"/>
        <w:spacing w:after="0" w:line="259" w:lineRule="auto"/>
        <w:tabs>
          <w:tab w:leader="none" w:pos="4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ICS Opportunities II LLC, a Cayman Islands limited liability company ("ICS Opportunities II"), beneficially owned 16,370 shares of the Issuer’s Common Stock, which collectively with the other foregoing reporting persons represented 1,367,728 shares of the Issuer’s Common Stock or 5.1% of the Issuer’s Common Stock outstanding.</w:t>
      </w:r>
    </w:p>
    <w:p>
      <w:pPr>
        <w:spacing w:after="0" w:line="154" w:lineRule="exact"/>
        <w:rPr>
          <w:sz w:val="20"/>
          <w:szCs w:val="20"/>
          <w:color w:val="auto"/>
        </w:rPr>
      </w:pPr>
    </w:p>
    <w:p>
      <w:pPr>
        <w:jc w:val="both"/>
        <w:ind w:right="20" w:firstLine="226"/>
        <w:spacing w:after="0" w:line="332" w:lineRule="auto"/>
        <w:rPr>
          <w:sz w:val="20"/>
          <w:szCs w:val="20"/>
          <w:color w:val="auto"/>
        </w:rPr>
      </w:pPr>
      <w:r>
        <w:rPr>
          <w:rFonts w:ascii="Arial" w:cs="Arial" w:eastAsia="Arial" w:hAnsi="Arial"/>
          <w:sz w:val="16"/>
          <w:szCs w:val="16"/>
          <w:color w:val="auto"/>
        </w:rPr>
        <w:t>Millennium International Management LP, a Delaware limited partnership ("Millennium International Management"), is the investment manager to ICS Opportunities II and may be deemed to have shared voting control and investment discretion over securities owned by ICS Opportunities II.</w:t>
      </w:r>
    </w:p>
    <w:p>
      <w:pPr>
        <w:spacing w:after="0" w:line="99" w:lineRule="exact"/>
        <w:rPr>
          <w:sz w:val="20"/>
          <w:szCs w:val="20"/>
          <w:color w:val="auto"/>
        </w:rPr>
      </w:pPr>
    </w:p>
    <w:p>
      <w:pPr>
        <w:jc w:val="both"/>
        <w:ind w:firstLine="132"/>
        <w:spacing w:after="0" w:line="298" w:lineRule="auto"/>
        <w:rPr>
          <w:sz w:val="20"/>
          <w:szCs w:val="20"/>
          <w:color w:val="auto"/>
        </w:rPr>
      </w:pPr>
      <w:r>
        <w:rPr>
          <w:rFonts w:ascii="Arial" w:cs="Arial" w:eastAsia="Arial" w:hAnsi="Arial"/>
          <w:sz w:val="16"/>
          <w:szCs w:val="16"/>
          <w:color w:val="auto"/>
        </w:rPr>
        <w:t>Millennium Management LLC, a Delaware limited liability company ("Millennium Management"), is the general partner of the managing member of Integrated Core Strategies and Integrated Assets II and may be deemed to have shared voting control and investment discretion over securities owned by Integrated Core Strategies and Integrated Assets II. Millennium Management is also the general partner of the 100% shareholder of ICS Opportunities II and may also be deemed to have shared voting control and investment discretion over securities owned by ICS Opportunities II.</w:t>
      </w:r>
    </w:p>
    <w:p>
      <w:pPr>
        <w:spacing w:after="0" w:line="126" w:lineRule="exact"/>
        <w:rPr>
          <w:sz w:val="20"/>
          <w:szCs w:val="20"/>
          <w:color w:val="auto"/>
        </w:rPr>
      </w:pPr>
    </w:p>
    <w:p>
      <w:pPr>
        <w:jc w:val="both"/>
        <w:ind w:firstLine="199"/>
        <w:spacing w:after="0" w:line="256" w:lineRule="auto"/>
        <w:rPr>
          <w:sz w:val="20"/>
          <w:szCs w:val="20"/>
          <w:color w:val="auto"/>
        </w:rPr>
      </w:pPr>
      <w:r>
        <w:rPr>
          <w:rFonts w:ascii="Arial" w:cs="Arial" w:eastAsia="Arial" w:hAnsi="Arial"/>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Integrated Assets II. Millennium Group Management is also the general partner of Millennium International Management and may also be deemed to have shared voting control and investment discretion over securities owned by ICS Opportunities II.</w:t>
      </w:r>
    </w:p>
    <w:p>
      <w:pPr>
        <w:spacing w:after="0" w:line="157" w:lineRule="exact"/>
        <w:rPr>
          <w:sz w:val="20"/>
          <w:szCs w:val="20"/>
          <w:color w:val="auto"/>
        </w:rPr>
      </w:pPr>
    </w:p>
    <w:p>
      <w:pPr>
        <w:jc w:val="both"/>
        <w:ind w:firstLine="156"/>
        <w:spacing w:after="0" w:line="332" w:lineRule="auto"/>
        <w:rPr>
          <w:sz w:val="20"/>
          <w:szCs w:val="20"/>
          <w:color w:val="auto"/>
        </w:rPr>
      </w:pPr>
      <w:r>
        <w:rPr>
          <w:rFonts w:ascii="Arial" w:cs="Arial" w:eastAsia="Arial" w:hAnsi="Arial"/>
          <w:sz w:val="16"/>
          <w:szCs w:val="16"/>
          <w:color w:val="auto"/>
        </w:rPr>
        <w:t>Israel A. Englander, a United States citizen ("Mr. Englander"), controls the managing member of Millennium Group Management and may also be deemed to have shared voting control and investment discretion over securities owned by Integrated Core Strategies, Integrated Assets II and ICS Opportunities II.</w:t>
      </w:r>
    </w:p>
    <w:p>
      <w:pPr>
        <w:spacing w:after="0" w:line="99"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Integrated Assets II or ICS Opportunities II, as the case may be.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203"/>
        <w:spacing w:after="0" w:line="335" w:lineRule="auto"/>
        <w:rPr>
          <w:sz w:val="20"/>
          <w:szCs w:val="20"/>
          <w:color w:val="auto"/>
        </w:rPr>
      </w:pPr>
      <w:r>
        <w:rPr>
          <w:rFonts w:ascii="Arial" w:cs="Arial" w:eastAsia="Arial" w:hAnsi="Arial"/>
          <w:sz w:val="15"/>
          <w:szCs w:val="15"/>
          <w:color w:val="auto"/>
        </w:rPr>
        <w:t>As of the close of business on August 16, 2019, Millennium Management, Millennium Group Management and Mr. Englander may be deemed to have beneficially owned 1,367,728 shares of the Issuer’s Common Stock or 5.1% of the Issuer’s Common Stock outstanding (see Item 4(a) above), which percentage was calculated based on 27,047,596 shares of the Issuer’s Common Stock outstanding as of August 5, 2019, as per the Issuer’s Form 10-Q dated August 8, 2019.</w:t>
      </w:r>
    </w:p>
    <w:p>
      <w:pPr>
        <w:sectPr>
          <w:pgSz w:w="11900" w:h="16838" w:orient="portrait"/>
          <w:cols w:equalWidth="0" w:num="1">
            <w:col w:w="11420"/>
          </w:cols>
          <w:pgMar w:left="240" w:top="33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ind w:left="300" w:hanging="248"/>
        <w:spacing w:after="0"/>
        <w:tabs>
          <w:tab w:leader="none" w:pos="300"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920" w:hanging="132"/>
        <w:spacing w:after="0" w:line="454" w:lineRule="auto"/>
        <w:tabs>
          <w:tab w:leader="none" w:pos="7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680" w:right="7700" w:hanging="132"/>
        <w:spacing w:after="0" w:line="454" w:lineRule="auto"/>
        <w:tabs>
          <w:tab w:leader="none" w:pos="8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1,367,728 (See Item 4(b))</w:t>
      </w:r>
    </w:p>
    <w:p>
      <w:pPr>
        <w:ind w:left="900" w:hanging="308"/>
        <w:spacing w:after="0"/>
        <w:tabs>
          <w:tab w:leader="none" w:pos="9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5" w:lineRule="exact"/>
        <w:rPr>
          <w:sz w:val="20"/>
          <w:szCs w:val="20"/>
          <w:color w:val="auto"/>
        </w:rPr>
      </w:pPr>
    </w:p>
    <w:p>
      <w:pPr>
        <w:ind w:left="680" w:right="6780" w:hanging="132"/>
        <w:spacing w:after="0" w:line="454" w:lineRule="auto"/>
        <w:tabs>
          <w:tab w:leader="none" w:pos="8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1,367,728 (See Item 4(b))</w:t>
      </w: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39"/>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firstLine="157"/>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33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Exhibit I: Joint Filing Agreement, dated as of August 16, 2019, by and among Integrated Core Strategies (US) LLC, Integrated Assets II LLC, ICS Opportunities II LLC, Millennium International Management LP, Millennium Management LLC, Millennium Group Management LLC and Israel A. Englander.</w:t>
      </w:r>
    </w:p>
    <w:p>
      <w:pPr>
        <w:sectPr>
          <w:pgSz w:w="11900" w:h="16838" w:orient="portrait"/>
          <w:cols w:equalWidth="0" w:num="1">
            <w:col w:w="11420"/>
          </w:cols>
          <w:pgMar w:left="240" w:top="33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SIGNATURE</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2019</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420"/>
          </w:cols>
          <w:pgMar w:left="240" w:top="332" w:right="239" w:bottom="985"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AnaptysBio,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2019</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420"/>
          </w:cols>
          <w:pgMar w:left="240" w:top="332" w:right="239" w:bottom="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2"/>
      <w:numFmt w:val="bullet"/>
      <w:start w:val="1"/>
    </w:lvl>
    <w:lvl w:ilvl="1">
      <w:lvlJc w:val="left"/>
      <w:lvlText w:val="(%2)"/>
      <w:numFmt w:val="lowerLetter"/>
      <w:start w:val="2"/>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2"/>
      <w:numFmt w:val="bullet"/>
      <w:start w:val="1"/>
    </w:lvl>
    <w:lvl w:ilvl="1">
      <w:lvlJc w:val="left"/>
      <w:lvlText w:val="(%2)"/>
      <w:numFmt w:val="lowerLetter"/>
      <w:start w:val="2"/>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2"/>
      <w:numFmt w:val="bullet"/>
      <w:start w:val="1"/>
    </w:lvl>
    <w:lvl w:ilvl="1">
      <w:lvlJc w:val="left"/>
      <w:lvlText w:val="(%2)"/>
      <w:numFmt w:val="lowerLetter"/>
      <w:start w:val="2"/>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2"/>
      <w:numFmt w:val="bullet"/>
      <w:start w:val="1"/>
    </w:lvl>
    <w:lvl w:ilvl="1">
      <w:lvlJc w:val="left"/>
      <w:lvlText w:val="(%2)"/>
      <w:numFmt w:val="lowerLetter"/>
      <w:start w:val="2"/>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2"/>
      <w:numFmt w:val="bullet"/>
      <w:start w:val="1"/>
    </w:lvl>
    <w:lvl w:ilvl="1">
      <w:lvlJc w:val="left"/>
      <w:lvlText w:val="(%2)"/>
      <w:numFmt w:val="lowerLetter"/>
      <w:start w:val="2"/>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2"/>
      <w:numFmt w:val="bullet"/>
      <w:start w:val="1"/>
    </w:lvl>
    <w:lvl w:ilvl="1">
      <w:lvlJc w:val="left"/>
      <w:lvlText w:val="(%2)"/>
      <w:numFmt w:val="lowerLetter"/>
      <w:start w:val="2"/>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2"/>
      <w:numFmt w:val="bullet"/>
      <w:start w:val="1"/>
    </w:lvl>
    <w:lvl w:ilvl="1">
      <w:lvlJc w:val="left"/>
      <w:lvlText w:val="(%2)"/>
      <w:numFmt w:val="lowerLetter"/>
      <w:start w:val="2"/>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7"/>
    </w:lvl>
  </w:abstractNum>
  <w:abstractNum w:abstractNumId="19">
    <w:nsid w:val="333AB105"/>
    <w:multiLevelType w:val="hybridMultilevel"/>
    <w:lvl w:ilvl="0">
      <w:lvlJc w:val="left"/>
      <w:lvlText w:val="%1)"/>
      <w:numFmt w:val="lowerRoman"/>
      <w:start w:val="1"/>
    </w:lvl>
    <w:lvl w:ilvl="1">
      <w:lvlJc w:val="left"/>
      <w:lvlText w:val="%2)"/>
      <w:numFmt w:val="lowerRoman"/>
      <w:start w:val="2"/>
    </w:lvl>
  </w:abstractNum>
  <w:abstractNum w:abstractNumId="20">
    <w:nsid w:val="721DA317"/>
    <w:multiLevelType w:val="hybridMultilevel"/>
    <w:lvl w:ilvl="0">
      <w:lvlJc w:val="left"/>
      <w:lvlText w:val="%1)"/>
      <w:numFmt w:val="lowerRoman"/>
      <w:start w:val="3"/>
    </w:lvl>
  </w:abstractNum>
  <w:abstractNum w:abstractNumId="21">
    <w:nsid w:val="2443A85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2019-11-30T00:13:49Z</dcterms:created>
  <dcterms:modified xsi:type="dcterms:W3CDTF">2019-11-30T00:13:49Z</dcterms:modified>
</cp:coreProperties>
</file>