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333-261953</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231F20"/>
        </w:rPr>
        <w:t>PROSPECTUS SUPPLEMENT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231F20"/>
        </w:rPr>
        <w:t>(To Prospectus Dated January 11, 2022)</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231F20"/>
        </w:rPr>
        <w:t>AnaptysBio, Inc.</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$150,000,000</w:t>
      </w:r>
    </w:p>
    <w:p>
      <w:pPr>
        <w:jc w:val="center"/>
        <w:ind w:right="-59"/>
        <w:spacing w:after="0"/>
        <w:rPr>
          <w:sz w:val="20"/>
          <w:szCs w:val="20"/>
          <w:color w:val="auto"/>
        </w:rPr>
      </w:pPr>
      <w:r>
        <w:rPr>
          <w:rFonts w:ascii="Arial" w:cs="Arial" w:eastAsia="Arial" w:hAnsi="Arial"/>
          <w:sz w:val="25"/>
          <w:szCs w:val="25"/>
          <w:b w:val="1"/>
          <w:bCs w:val="1"/>
          <w:color w:val="231F20"/>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114300</wp:posOffset>
            </wp:positionV>
            <wp:extent cx="1448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362" w:lineRule="exact"/>
        <w:rPr>
          <w:sz w:val="24"/>
          <w:szCs w:val="24"/>
          <w:color w:val="auto"/>
        </w:rPr>
      </w:pPr>
    </w:p>
    <w:p>
      <w:pPr>
        <w:ind w:left="100" w:right="120"/>
        <w:spacing w:after="0" w:line="259" w:lineRule="auto"/>
        <w:rPr>
          <w:sz w:val="20"/>
          <w:szCs w:val="20"/>
          <w:color w:val="auto"/>
        </w:rPr>
      </w:pPr>
      <w:r>
        <w:rPr>
          <w:rFonts w:ascii="Arial" w:cs="Arial" w:eastAsia="Arial" w:hAnsi="Arial"/>
          <w:sz w:val="18"/>
          <w:szCs w:val="18"/>
          <w:color w:val="231F20"/>
        </w:rPr>
        <w:t>We have entered into a sales agreement with Cowen and Company, LLC, or Cowen, relating to the sale of shares of our common stock, $0.001 par value per share, offered by this prospectus supplement and the accompanying base prospectus. In accordance with the terms of the sales agreement, under this prospectus, we may offer and sell shares of our common stock, having an aggregate offering price of up to $150 million from time to time through Cowen, acting as our agent.</w:t>
      </w:r>
    </w:p>
    <w:p>
      <w:pPr>
        <w:spacing w:after="0" w:line="133" w:lineRule="exact"/>
        <w:rPr>
          <w:sz w:val="24"/>
          <w:szCs w:val="24"/>
          <w:color w:val="auto"/>
        </w:rPr>
      </w:pPr>
    </w:p>
    <w:p>
      <w:pPr>
        <w:ind w:left="100" w:right="580"/>
        <w:spacing w:after="0" w:line="277" w:lineRule="auto"/>
        <w:rPr>
          <w:sz w:val="20"/>
          <w:szCs w:val="20"/>
          <w:color w:val="auto"/>
        </w:rPr>
      </w:pPr>
      <w:r>
        <w:rPr>
          <w:rFonts w:ascii="Arial" w:cs="Arial" w:eastAsia="Arial" w:hAnsi="Arial"/>
          <w:sz w:val="18"/>
          <w:szCs w:val="18"/>
          <w:color w:val="231F20"/>
        </w:rPr>
        <w:t>Our common stock is traded on The Nasdaq Global Market under the symbol “ANAB.” The last reported sales price of our common stock on The Nasdaq Global Market on November 4, 2022 was $29.67 per share.</w:t>
      </w:r>
    </w:p>
    <w:p>
      <w:pPr>
        <w:spacing w:after="0" w:line="116" w:lineRule="exact"/>
        <w:rPr>
          <w:sz w:val="24"/>
          <w:szCs w:val="24"/>
          <w:color w:val="auto"/>
        </w:rPr>
      </w:pPr>
    </w:p>
    <w:p>
      <w:pPr>
        <w:ind w:left="100" w:right="200"/>
        <w:spacing w:after="0" w:line="301" w:lineRule="auto"/>
        <w:rPr>
          <w:sz w:val="20"/>
          <w:szCs w:val="20"/>
          <w:color w:val="auto"/>
        </w:rPr>
      </w:pPr>
      <w:r>
        <w:rPr>
          <w:rFonts w:ascii="Arial" w:cs="Arial" w:eastAsia="Arial" w:hAnsi="Arial"/>
          <w:sz w:val="16"/>
          <w:szCs w:val="16"/>
          <w:color w:val="231F20"/>
        </w:rPr>
        <w:t>Sales of our common stock, if any, under this prospectus supplement may be made in sales deemed to be an “at-the-market” offering as defined in Rule 415(a)(4) promulgated under the Securities Act of 1933, as amended, or the Securities Act. Cowen is not required to sell any specific number or dollar amount of securities, but will act as a sales agent using commercially reasonable efforts consistent with its normal trading and sales practices, on mutually agreed terms between Cowen and us. There is no arrangement for funds to be received in any escrow, trust or similar arrangement.</w:t>
      </w:r>
    </w:p>
    <w:p>
      <w:pPr>
        <w:spacing w:after="0" w:line="103" w:lineRule="exact"/>
        <w:rPr>
          <w:sz w:val="24"/>
          <w:szCs w:val="24"/>
          <w:color w:val="auto"/>
        </w:rPr>
      </w:pPr>
    </w:p>
    <w:p>
      <w:pPr>
        <w:ind w:left="100" w:right="300"/>
        <w:spacing w:after="0" w:line="273" w:lineRule="auto"/>
        <w:rPr>
          <w:sz w:val="20"/>
          <w:szCs w:val="20"/>
          <w:color w:val="auto"/>
        </w:rPr>
      </w:pPr>
      <w:r>
        <w:rPr>
          <w:rFonts w:ascii="Arial" w:cs="Arial" w:eastAsia="Arial" w:hAnsi="Arial"/>
          <w:sz w:val="17"/>
          <w:szCs w:val="17"/>
          <w:color w:val="231F20"/>
        </w:rPr>
        <w:t>The compensation to Cowen for sales of common stock sold pursuant to the sales agreement will be at a commission rate up to 3.0% of the aggregate gross proceeds of any shares of common stock sold under the sales agreement. In connection with the sale of the common stock on our behalf, Cowen will be deemed to be an “underwriter” within the meaning of the Securities Act and the compensation of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 See “Plan of Distribution” beginning on page S-</w:t>
      </w:r>
      <w:r>
        <w:rPr>
          <w:rFonts w:ascii="Arial" w:cs="Arial" w:eastAsia="Arial" w:hAnsi="Arial"/>
          <w:sz w:val="17"/>
          <w:szCs w:val="17"/>
          <w:u w:val="single" w:color="auto"/>
          <w:color w:val="231F20"/>
        </w:rPr>
        <w:t>12</w:t>
      </w:r>
      <w:r>
        <w:rPr>
          <w:rFonts w:ascii="Arial" w:cs="Arial" w:eastAsia="Arial" w:hAnsi="Arial"/>
          <w:sz w:val="17"/>
          <w:szCs w:val="17"/>
          <w:color w:val="231F20"/>
        </w:rPr>
        <w:t xml:space="preserve"> of this prospectus supplement regarding the compensation to be paid to 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139065</wp:posOffset>
            </wp:positionV>
            <wp:extent cx="1457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34" w:lineRule="exact"/>
        <w:rPr>
          <w:sz w:val="24"/>
          <w:szCs w:val="24"/>
          <w:color w:val="auto"/>
        </w:rPr>
      </w:pPr>
    </w:p>
    <w:p>
      <w:pPr>
        <w:ind w:left="100" w:right="220"/>
        <w:spacing w:after="0" w:line="323" w:lineRule="auto"/>
        <w:rPr>
          <w:sz w:val="20"/>
          <w:szCs w:val="20"/>
          <w:color w:val="auto"/>
        </w:rPr>
      </w:pPr>
      <w:r>
        <w:rPr>
          <w:rFonts w:ascii="Arial" w:cs="Arial" w:eastAsia="Arial" w:hAnsi="Arial"/>
          <w:sz w:val="19"/>
          <w:szCs w:val="19"/>
          <w:b w:val="1"/>
          <w:bCs w:val="1"/>
          <w:color w:val="231F20"/>
        </w:rPr>
        <w:t>Investing in our securities involves a high degree of risk. You should review carefully the risks and uncertainties referenced under the heading “Risk Factors” on page S-</w:t>
      </w:r>
      <w:r>
        <w:rPr>
          <w:rFonts w:ascii="Arial" w:cs="Arial" w:eastAsia="Arial" w:hAnsi="Arial"/>
          <w:sz w:val="19"/>
          <w:szCs w:val="19"/>
          <w:b w:val="1"/>
          <w:bCs w:val="1"/>
          <w:u w:val="single" w:color="auto"/>
          <w:color w:val="231F20"/>
        </w:rPr>
        <w:t>4</w:t>
      </w:r>
      <w:r>
        <w:rPr>
          <w:rFonts w:ascii="Arial" w:cs="Arial" w:eastAsia="Arial" w:hAnsi="Arial"/>
          <w:sz w:val="19"/>
          <w:szCs w:val="19"/>
          <w:b w:val="1"/>
          <w:bCs w:val="1"/>
          <w:color w:val="231F20"/>
        </w:rPr>
        <w:t xml:space="preserve"> of this prospectus supplement and under similar headings in the documents incorporated by reference into this prospectus supplement and the accompanying base prospectus.</w:t>
      </w:r>
    </w:p>
    <w:p>
      <w:pPr>
        <w:spacing w:after="0" w:line="112" w:lineRule="exact"/>
        <w:rPr>
          <w:sz w:val="24"/>
          <w:szCs w:val="24"/>
          <w:color w:val="auto"/>
        </w:rPr>
      </w:pPr>
    </w:p>
    <w:p>
      <w:pPr>
        <w:ind w:left="100" w:right="680"/>
        <w:spacing w:after="0" w:line="347" w:lineRule="auto"/>
        <w:rPr>
          <w:sz w:val="20"/>
          <w:szCs w:val="20"/>
          <w:color w:val="auto"/>
        </w:rPr>
      </w:pPr>
      <w:r>
        <w:rPr>
          <w:rFonts w:ascii="Arial" w:cs="Arial" w:eastAsia="Arial" w:hAnsi="Arial"/>
          <w:sz w:val="16"/>
          <w:szCs w:val="16"/>
          <w:b w:val="1"/>
          <w:bCs w:val="1"/>
          <w:color w:val="231F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153670</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Cowen</w:t>
      </w: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231F20"/>
        </w:rPr>
        <w:t>The date of this prospectus supplement is November 8, 2022.</w:t>
      </w:r>
    </w:p>
    <w:p>
      <w:pPr>
        <w:sectPr>
          <w:pgSz w:w="11900" w:h="16838" w:orient="portrait"/>
          <w:cols w:equalWidth="0" w:num="1">
            <w:col w:w="11200"/>
          </w:cols>
          <w:pgMar w:left="320" w:top="1440" w:right="379" w:bottom="1440" w:gutter="0" w:footer="0" w:header="0"/>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gridSpan w:val="4"/>
          </w:tcPr>
          <w:p>
            <w:pPr>
              <w:jc w:val="center"/>
              <w:ind w:right="4120"/>
              <w:spacing w:after="0"/>
              <w:rPr>
                <w:sz w:val="20"/>
                <w:szCs w:val="20"/>
                <w:color w:val="auto"/>
              </w:rPr>
            </w:pPr>
            <w:r>
              <w:rPr>
                <w:rFonts w:ascii="Arial" w:cs="Arial" w:eastAsia="Arial" w:hAnsi="Arial"/>
                <w:sz w:val="18"/>
                <w:szCs w:val="18"/>
                <w:b w:val="1"/>
                <w:bCs w:val="1"/>
                <w:color w:val="231F20"/>
                <w:w w:val="98"/>
              </w:rPr>
              <w:t>TABLE OF CONTENTS</w:t>
            </w:r>
          </w:p>
        </w:tc>
      </w:tr>
      <w:tr>
        <w:trPr>
          <w:trHeight w:val="297"/>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gridSpan w:val="4"/>
          </w:tcPr>
          <w:p>
            <w:pPr>
              <w:jc w:val="center"/>
              <w:ind w:right="4120"/>
              <w:spacing w:after="0"/>
              <w:rPr>
                <w:sz w:val="20"/>
                <w:szCs w:val="20"/>
                <w:color w:val="auto"/>
              </w:rPr>
            </w:pPr>
            <w:r>
              <w:rPr>
                <w:rFonts w:ascii="Arial" w:cs="Arial" w:eastAsia="Arial" w:hAnsi="Arial"/>
                <w:sz w:val="18"/>
                <w:szCs w:val="18"/>
                <w:b w:val="1"/>
                <w:bCs w:val="1"/>
                <w:color w:val="231F20"/>
                <w:w w:val="87"/>
              </w:rPr>
              <w:t>Prospectus Supplement</w:t>
            </w:r>
          </w:p>
        </w:tc>
      </w:tr>
      <w:tr>
        <w:trPr>
          <w:trHeight w:val="351"/>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gridSpan w:val="4"/>
          </w:tcPr>
          <w:p>
            <w:pPr>
              <w:jc w:val="center"/>
              <w:ind w:left="5816"/>
              <w:spacing w:after="0"/>
              <w:rPr>
                <w:sz w:val="20"/>
                <w:szCs w:val="20"/>
                <w:color w:val="auto"/>
              </w:rPr>
            </w:pPr>
            <w:r>
              <w:rPr>
                <w:rFonts w:ascii="Arial" w:cs="Arial" w:eastAsia="Arial" w:hAnsi="Arial"/>
                <w:sz w:val="14"/>
                <w:szCs w:val="14"/>
                <w:b w:val="1"/>
                <w:bCs w:val="1"/>
                <w:color w:val="231F20"/>
                <w:w w:val="95"/>
              </w:rPr>
              <w:t>PAGE</w:t>
            </w:r>
          </w:p>
        </w:tc>
      </w:tr>
      <w:tr>
        <w:trPr>
          <w:trHeight w:val="344"/>
        </w:trPr>
        <w:tc>
          <w:tcPr>
            <w:tcW w:w="34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ABOUT THIS PROSPECTUS SUPPLEMENT</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80" w:type="dxa"/>
            <w:vAlign w:val="bottom"/>
            <w:tcBorders>
              <w:top w:val="single" w:sz="8" w:color="231F20"/>
              <w:bottom w:val="single" w:sz="8" w:color="231F20"/>
            </w:tcBorders>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1</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480" w:type="dxa"/>
            <w:vAlign w:val="bottom"/>
            <w:gridSpan w:val="11"/>
          </w:tcPr>
          <w:p>
            <w:pPr>
              <w:spacing w:after="0" w:line="196" w:lineRule="exact"/>
              <w:rPr>
                <w:sz w:val="20"/>
                <w:szCs w:val="20"/>
                <w:color w:val="auto"/>
              </w:rPr>
            </w:pPr>
            <w:r>
              <w:rPr>
                <w:rFonts w:ascii="Arial" w:cs="Arial" w:eastAsia="Arial" w:hAnsi="Arial"/>
                <w:sz w:val="18"/>
                <w:szCs w:val="18"/>
                <w:color w:val="0000FF"/>
              </w:rPr>
              <w:t>PROSPECTUS SUPPLEMENT SUMMARY</w:t>
            </w:r>
          </w:p>
        </w:tc>
        <w:tc>
          <w:tcPr>
            <w:tcW w:w="5900" w:type="dxa"/>
            <w:vAlign w:val="bottom"/>
          </w:tcPr>
          <w:p>
            <w:pPr>
              <w:spacing w:after="0"/>
              <w:rPr>
                <w:sz w:val="17"/>
                <w:szCs w:val="17"/>
                <w:color w:val="auto"/>
              </w:rPr>
            </w:pPr>
          </w:p>
        </w:tc>
        <w:tc>
          <w:tcPr>
            <w:tcW w:w="38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2</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28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1200" w:type="dxa"/>
            <w:vAlign w:val="bottom"/>
            <w:gridSpan w:val="4"/>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4</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80" w:type="dxa"/>
            <w:vAlign w:val="bottom"/>
            <w:gridSpan w:val="11"/>
          </w:tcPr>
          <w:p>
            <w:pPr>
              <w:spacing w:after="0"/>
              <w:rPr>
                <w:sz w:val="20"/>
                <w:szCs w:val="20"/>
                <w:color w:val="auto"/>
              </w:rPr>
            </w:pPr>
            <w:r>
              <w:rPr>
                <w:rFonts w:ascii="Arial" w:cs="Arial" w:eastAsia="Arial" w:hAnsi="Arial"/>
                <w:sz w:val="18"/>
                <w:szCs w:val="18"/>
                <w:color w:val="0000FF"/>
              </w:rPr>
              <w:t>FORWARD-LOOKING STATEMENTS</w:t>
            </w: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6</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820" w:type="dxa"/>
            <w:vAlign w:val="bottom"/>
            <w:gridSpan w:val="9"/>
          </w:tcPr>
          <w:p>
            <w:pPr>
              <w:spacing w:after="0"/>
              <w:rPr>
                <w:sz w:val="20"/>
                <w:szCs w:val="20"/>
                <w:color w:val="auto"/>
              </w:rPr>
            </w:pPr>
            <w:r>
              <w:rPr>
                <w:rFonts w:ascii="Arial" w:cs="Arial" w:eastAsia="Arial" w:hAnsi="Arial"/>
                <w:sz w:val="18"/>
                <w:szCs w:val="18"/>
                <w:color w:val="0000FF"/>
                <w:w w:val="97"/>
              </w:rPr>
              <w:t>WHERE YOU CAN FIND MORE INFORMATION</w:t>
            </w:r>
          </w:p>
        </w:tc>
        <w:tc>
          <w:tcPr>
            <w:tcW w:w="660" w:type="dxa"/>
            <w:vAlign w:val="bottom"/>
            <w:gridSpan w:val="2"/>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7</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380" w:type="dxa"/>
            <w:vAlign w:val="bottom"/>
            <w:gridSpan w:val="10"/>
          </w:tcPr>
          <w:p>
            <w:pPr>
              <w:spacing w:after="0"/>
              <w:rPr>
                <w:sz w:val="20"/>
                <w:szCs w:val="20"/>
                <w:color w:val="auto"/>
              </w:rPr>
            </w:pPr>
            <w:r>
              <w:rPr>
                <w:rFonts w:ascii="Arial" w:cs="Arial" w:eastAsia="Arial" w:hAnsi="Arial"/>
                <w:sz w:val="18"/>
                <w:szCs w:val="18"/>
                <w:color w:val="0000FF"/>
                <w:w w:val="95"/>
              </w:rPr>
              <w:t>INCORPORATION OF INFORMATION BY REFERENCE</w:t>
            </w:r>
          </w:p>
        </w:tc>
        <w:tc>
          <w:tcPr>
            <w:tcW w:w="1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8</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580" w:type="dxa"/>
            <w:vAlign w:val="bottom"/>
            <w:gridSpan w:val="4"/>
          </w:tcPr>
          <w:p>
            <w:pPr>
              <w:spacing w:after="0"/>
              <w:rPr>
                <w:sz w:val="20"/>
                <w:szCs w:val="20"/>
                <w:color w:val="auto"/>
              </w:rPr>
            </w:pPr>
            <w:r>
              <w:rPr>
                <w:rFonts w:ascii="Arial" w:cs="Arial" w:eastAsia="Arial" w:hAnsi="Arial"/>
                <w:sz w:val="18"/>
                <w:szCs w:val="18"/>
                <w:color w:val="0000FF"/>
                <w:w w:val="88"/>
              </w:rPr>
              <w:t>USE OF PROCEEDS</w:t>
            </w:r>
          </w:p>
        </w:tc>
        <w:tc>
          <w:tcPr>
            <w:tcW w:w="280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color w:val="0000FF"/>
                <w:w w:val="92"/>
              </w:rPr>
              <w:t>9</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580" w:type="dxa"/>
            <w:vAlign w:val="bottom"/>
            <w:gridSpan w:val="4"/>
          </w:tcPr>
          <w:p>
            <w:pPr>
              <w:spacing w:after="0"/>
              <w:rPr>
                <w:sz w:val="20"/>
                <w:szCs w:val="20"/>
                <w:color w:val="auto"/>
              </w:rPr>
            </w:pPr>
            <w:r>
              <w:rPr>
                <w:rFonts w:ascii="Arial" w:cs="Arial" w:eastAsia="Arial" w:hAnsi="Arial"/>
                <w:sz w:val="18"/>
                <w:szCs w:val="18"/>
                <w:color w:val="0000FF"/>
                <w:w w:val="98"/>
              </w:rPr>
              <w:t>DIVIDEND POLICY</w:t>
            </w:r>
          </w:p>
        </w:tc>
        <w:tc>
          <w:tcPr>
            <w:tcW w:w="2900" w:type="dxa"/>
            <w:vAlign w:val="bottom"/>
            <w:gridSpan w:val="7"/>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89"/>
              </w:rPr>
              <w:t>S-</w:t>
            </w:r>
            <w:r>
              <w:rPr>
                <w:rFonts w:ascii="Arial" w:cs="Arial" w:eastAsia="Arial" w:hAnsi="Arial"/>
                <w:sz w:val="18"/>
                <w:szCs w:val="18"/>
                <w:color w:val="0000FF"/>
                <w:w w:val="89"/>
              </w:rPr>
              <w:t>10</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4480" w:type="dxa"/>
            <w:vAlign w:val="bottom"/>
            <w:gridSpan w:val="11"/>
          </w:tcPr>
          <w:p>
            <w:pPr>
              <w:spacing w:after="0"/>
              <w:rPr>
                <w:sz w:val="20"/>
                <w:szCs w:val="20"/>
                <w:color w:val="auto"/>
              </w:rPr>
            </w:pPr>
            <w:r>
              <w:rPr>
                <w:rFonts w:ascii="Arial" w:cs="Arial" w:eastAsia="Arial" w:hAnsi="Arial"/>
                <w:sz w:val="18"/>
                <w:szCs w:val="18"/>
                <w:color w:val="0000FF"/>
              </w:rPr>
              <w:t>PLAN OF DISTRIBUTION</w:t>
            </w: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89"/>
              </w:rPr>
              <w:t>S-</w:t>
            </w:r>
            <w:r>
              <w:rPr>
                <w:rFonts w:ascii="Arial" w:cs="Arial" w:eastAsia="Arial" w:hAnsi="Arial"/>
                <w:sz w:val="18"/>
                <w:szCs w:val="18"/>
                <w:color w:val="0000FF"/>
                <w:w w:val="89"/>
              </w:rPr>
              <w:t>12</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460" w:type="dxa"/>
            <w:vAlign w:val="bottom"/>
            <w:gridSpan w:val="3"/>
          </w:tcPr>
          <w:p>
            <w:pPr>
              <w:spacing w:after="0"/>
              <w:rPr>
                <w:sz w:val="20"/>
                <w:szCs w:val="20"/>
                <w:color w:val="auto"/>
              </w:rPr>
            </w:pPr>
            <w:r>
              <w:rPr>
                <w:rFonts w:ascii="Arial" w:cs="Arial" w:eastAsia="Arial" w:hAnsi="Arial"/>
                <w:sz w:val="18"/>
                <w:szCs w:val="18"/>
                <w:color w:val="0000FF"/>
                <w:w w:val="96"/>
              </w:rPr>
              <w:t>LEGAL MATTERS</w:t>
            </w:r>
          </w:p>
        </w:tc>
        <w:tc>
          <w:tcPr>
            <w:tcW w:w="580" w:type="dxa"/>
            <w:vAlign w:val="bottom"/>
            <w:gridSpan w:val="2"/>
          </w:tcPr>
          <w:p>
            <w:pPr>
              <w:spacing w:after="0"/>
              <w:rPr>
                <w:sz w:val="18"/>
                <w:szCs w:val="18"/>
                <w:color w:val="auto"/>
              </w:rPr>
            </w:pPr>
          </w:p>
        </w:tc>
        <w:tc>
          <w:tcPr>
            <w:tcW w:w="2440" w:type="dxa"/>
            <w:vAlign w:val="bottom"/>
            <w:gridSpan w:val="6"/>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89"/>
              </w:rPr>
              <w:t>S-</w:t>
            </w:r>
            <w:r>
              <w:rPr>
                <w:rFonts w:ascii="Arial" w:cs="Arial" w:eastAsia="Arial" w:hAnsi="Arial"/>
                <w:sz w:val="18"/>
                <w:szCs w:val="18"/>
                <w:color w:val="0000FF"/>
                <w:w w:val="89"/>
              </w:rPr>
              <w:t>13</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1460" w:type="dxa"/>
            <w:vAlign w:val="bottom"/>
            <w:gridSpan w:val="3"/>
          </w:tcPr>
          <w:p>
            <w:pPr>
              <w:spacing w:after="0"/>
              <w:rPr>
                <w:sz w:val="20"/>
                <w:szCs w:val="20"/>
                <w:color w:val="auto"/>
              </w:rPr>
            </w:pPr>
            <w:r>
              <w:rPr>
                <w:rFonts w:ascii="Arial" w:cs="Arial" w:eastAsia="Arial" w:hAnsi="Arial"/>
                <w:sz w:val="18"/>
                <w:szCs w:val="18"/>
                <w:color w:val="0000FF"/>
              </w:rPr>
              <w:t>EXPERTS</w:t>
            </w:r>
          </w:p>
        </w:tc>
        <w:tc>
          <w:tcPr>
            <w:tcW w:w="3020" w:type="dxa"/>
            <w:vAlign w:val="bottom"/>
            <w:gridSpan w:val="8"/>
          </w:tcPr>
          <w:p>
            <w:pPr>
              <w:spacing w:after="0"/>
              <w:rPr>
                <w:sz w:val="18"/>
                <w:szCs w:val="18"/>
                <w:color w:val="auto"/>
              </w:rPr>
            </w:pPr>
          </w:p>
        </w:tc>
        <w:tc>
          <w:tcPr>
            <w:tcW w:w="5900" w:type="dxa"/>
            <w:vAlign w:val="bottom"/>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89"/>
              </w:rPr>
              <w:t>S-</w:t>
            </w:r>
            <w:r>
              <w:rPr>
                <w:rFonts w:ascii="Arial" w:cs="Arial" w:eastAsia="Arial" w:hAnsi="Arial"/>
                <w:sz w:val="18"/>
                <w:szCs w:val="18"/>
                <w:color w:val="0000FF"/>
                <w:w w:val="89"/>
              </w:rPr>
              <w:t>14</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20" w:type="dxa"/>
            <w:vAlign w:val="bottom"/>
            <w:gridSpan w:val="4"/>
          </w:tcPr>
          <w:p>
            <w:pPr>
              <w:ind w:left="360"/>
              <w:spacing w:after="0"/>
              <w:rPr>
                <w:sz w:val="20"/>
                <w:szCs w:val="20"/>
                <w:color w:val="auto"/>
              </w:rPr>
            </w:pPr>
            <w:r>
              <w:rPr>
                <w:rFonts w:ascii="Arial" w:cs="Arial" w:eastAsia="Arial" w:hAnsi="Arial"/>
                <w:sz w:val="20"/>
                <w:szCs w:val="20"/>
                <w:b w:val="1"/>
                <w:bCs w:val="1"/>
                <w:color w:val="auto"/>
              </w:rPr>
              <w:t>Prospectus</w:t>
            </w:r>
          </w:p>
        </w:tc>
      </w:tr>
      <w:tr>
        <w:trPr>
          <w:trHeight w:val="347"/>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20" w:type="dxa"/>
            <w:vAlign w:val="bottom"/>
            <w:gridSpan w:val="4"/>
          </w:tcPr>
          <w:p>
            <w:pPr>
              <w:ind w:left="5640"/>
              <w:spacing w:after="0"/>
              <w:rPr>
                <w:sz w:val="20"/>
                <w:szCs w:val="20"/>
                <w:color w:val="auto"/>
              </w:rPr>
            </w:pPr>
            <w:r>
              <w:rPr>
                <w:rFonts w:ascii="Arial" w:cs="Arial" w:eastAsia="Arial" w:hAnsi="Arial"/>
                <w:sz w:val="14"/>
                <w:szCs w:val="14"/>
                <w:b w:val="1"/>
                <w:bCs w:val="1"/>
                <w:color w:val="231F20"/>
                <w:w w:val="90"/>
              </w:rPr>
              <w:t>PAGE</w:t>
            </w:r>
          </w:p>
        </w:tc>
      </w:tr>
      <w:tr>
        <w:trPr>
          <w:trHeight w:val="331"/>
        </w:trPr>
        <w:tc>
          <w:tcPr>
            <w:tcW w:w="4740" w:type="dxa"/>
            <w:vAlign w:val="bottom"/>
            <w:gridSpan w:val="15"/>
          </w:tcPr>
          <w:p>
            <w:pPr>
              <w:spacing w:after="0"/>
              <w:rPr>
                <w:sz w:val="20"/>
                <w:szCs w:val="20"/>
                <w:color w:val="auto"/>
              </w:rPr>
            </w:pPr>
            <w:r>
              <w:rPr>
                <w:rFonts w:ascii="Arial" w:cs="Arial" w:eastAsia="Arial" w:hAnsi="Arial"/>
                <w:sz w:val="18"/>
                <w:szCs w:val="18"/>
                <w:color w:val="0000FF"/>
              </w:rPr>
              <w:t>ABOUT THIS PROSPECTUS</w:t>
            </w:r>
          </w:p>
        </w:tc>
        <w:tc>
          <w:tcPr>
            <w:tcW w:w="5640" w:type="dxa"/>
            <w:vAlign w:val="bottom"/>
          </w:tcPr>
          <w:p>
            <w:pPr>
              <w:spacing w:after="0"/>
              <w:rPr>
                <w:sz w:val="24"/>
                <w:szCs w:val="24"/>
                <w:color w:val="auto"/>
              </w:rPr>
            </w:pPr>
          </w:p>
        </w:tc>
        <w:tc>
          <w:tcPr>
            <w:tcW w:w="240" w:type="dxa"/>
            <w:vAlign w:val="bottom"/>
            <w:tcBorders>
              <w:top w:val="single" w:sz="8" w:color="231F20"/>
            </w:tcBorders>
            <w:gridSpan w:val="2"/>
          </w:tcPr>
          <w:p>
            <w:pPr>
              <w:jc w:val="center"/>
              <w:ind w:left="50"/>
              <w:spacing w:after="0"/>
              <w:rPr>
                <w:sz w:val="20"/>
                <w:szCs w:val="20"/>
                <w:color w:val="auto"/>
              </w:rPr>
            </w:pPr>
            <w:r>
              <w:rPr>
                <w:rFonts w:ascii="Arial" w:cs="Arial" w:eastAsia="Arial" w:hAnsi="Arial"/>
                <w:sz w:val="18"/>
                <w:szCs w:val="18"/>
                <w:color w:val="0000FF"/>
                <w:w w:val="99"/>
              </w:rPr>
              <w:t>1</w:t>
            </w:r>
          </w:p>
        </w:tc>
        <w:tc>
          <w:tcPr>
            <w:tcW w:w="140" w:type="dxa"/>
            <w:vAlign w:val="bottom"/>
            <w:tcBorders>
              <w:top w:val="single" w:sz="8" w:color="231F20"/>
            </w:tcBorders>
          </w:tcPr>
          <w:p>
            <w:pPr>
              <w:spacing w:after="0"/>
              <w:rPr>
                <w:sz w:val="24"/>
                <w:szCs w:val="24"/>
                <w:color w:val="auto"/>
              </w:rPr>
            </w:pPr>
          </w:p>
        </w:tc>
      </w:tr>
      <w:tr>
        <w:trPr>
          <w:trHeight w:val="209"/>
        </w:trPr>
        <w:tc>
          <w:tcPr>
            <w:tcW w:w="22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PROSPECTUS SUMMARY</w:t>
            </w:r>
          </w:p>
        </w:tc>
        <w:tc>
          <w:tcPr>
            <w:tcW w:w="2520" w:type="dxa"/>
            <w:vAlign w:val="bottom"/>
            <w:gridSpan w:val="7"/>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Pr>
          <w:p>
            <w:pPr>
              <w:spacing w:after="0"/>
              <w:rPr>
                <w:sz w:val="18"/>
                <w:szCs w:val="18"/>
                <w:color w:val="auto"/>
              </w:rPr>
            </w:pPr>
          </w:p>
        </w:tc>
      </w:tr>
      <w:tr>
        <w:trPr>
          <w:trHeight w:val="210"/>
        </w:trPr>
        <w:tc>
          <w:tcPr>
            <w:tcW w:w="20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RISK FACTORS</w:t>
            </w:r>
          </w:p>
        </w:tc>
        <w:tc>
          <w:tcPr>
            <w:tcW w:w="2660" w:type="dxa"/>
            <w:vAlign w:val="bottom"/>
            <w:gridSpan w:val="8"/>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14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740" w:type="dxa"/>
            <w:vAlign w:val="bottom"/>
            <w:gridSpan w:val="15"/>
          </w:tcPr>
          <w:p>
            <w:pPr>
              <w:spacing w:after="0"/>
              <w:rPr>
                <w:sz w:val="20"/>
                <w:szCs w:val="20"/>
                <w:color w:val="auto"/>
              </w:rPr>
            </w:pPr>
            <w:r>
              <w:rPr>
                <w:rFonts w:ascii="Arial" w:cs="Arial" w:eastAsia="Arial" w:hAnsi="Arial"/>
                <w:sz w:val="18"/>
                <w:szCs w:val="18"/>
                <w:color w:val="0000FF"/>
              </w:rPr>
              <w:t>FORWARD-LOOKING STATEMENTS</w:t>
            </w:r>
          </w:p>
        </w:tc>
        <w:tc>
          <w:tcPr>
            <w:tcW w:w="5880" w:type="dxa"/>
            <w:vAlign w:val="bottom"/>
            <w:gridSpan w:val="3"/>
          </w:tcPr>
          <w:p>
            <w:pPr>
              <w:jc w:val="center"/>
              <w:ind w:left="5691"/>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7"/>
              </w:rPr>
              <w:t>WHERE YOU CAN FIND MORE INFORMATION</w:t>
            </w:r>
          </w:p>
        </w:tc>
        <w:tc>
          <w:tcPr>
            <w:tcW w:w="920" w:type="dxa"/>
            <w:vAlign w:val="bottom"/>
            <w:gridSpan w:val="2"/>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140" w:type="dxa"/>
            <w:vAlign w:val="bottom"/>
          </w:tcPr>
          <w:p>
            <w:pPr>
              <w:spacing w:after="0"/>
              <w:rPr>
                <w:sz w:val="18"/>
                <w:szCs w:val="18"/>
                <w:color w:val="auto"/>
              </w:rPr>
            </w:pPr>
          </w:p>
        </w:tc>
      </w:tr>
      <w:tr>
        <w:trPr>
          <w:trHeight w:val="210"/>
        </w:trPr>
        <w:tc>
          <w:tcPr>
            <w:tcW w:w="4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5"/>
              </w:rPr>
              <w:t>INCORPORATION OF INFORMATION BY REFERENCE</w:t>
            </w:r>
          </w:p>
        </w:tc>
        <w:tc>
          <w:tcPr>
            <w:tcW w:w="360" w:type="dxa"/>
            <w:vAlign w:val="bottom"/>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140" w:type="dxa"/>
            <w:vAlign w:val="bottom"/>
          </w:tcPr>
          <w:p>
            <w:pPr>
              <w:spacing w:after="0"/>
              <w:rPr>
                <w:sz w:val="18"/>
                <w:szCs w:val="18"/>
                <w:color w:val="auto"/>
              </w:rPr>
            </w:pPr>
          </w:p>
        </w:tc>
      </w:tr>
      <w:tr>
        <w:trPr>
          <w:trHeight w:val="210"/>
        </w:trPr>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USE OF PROCEEDS</w:t>
            </w:r>
          </w:p>
        </w:tc>
        <w:tc>
          <w:tcPr>
            <w:tcW w:w="3140" w:type="dxa"/>
            <w:vAlign w:val="bottom"/>
            <w:gridSpan w:val="10"/>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140" w:type="dxa"/>
            <w:vAlign w:val="bottom"/>
          </w:tcPr>
          <w:p>
            <w:pPr>
              <w:spacing w:after="0"/>
              <w:rPr>
                <w:sz w:val="18"/>
                <w:szCs w:val="18"/>
                <w:color w:val="auto"/>
              </w:rPr>
            </w:pPr>
          </w:p>
        </w:tc>
      </w:tr>
      <w:tr>
        <w:trPr>
          <w:trHeight w:val="209"/>
        </w:trPr>
        <w:tc>
          <w:tcPr>
            <w:tcW w:w="1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DIVIDEND POLICY</w:t>
            </w:r>
          </w:p>
        </w:tc>
        <w:tc>
          <w:tcPr>
            <w:tcW w:w="3160" w:type="dxa"/>
            <w:vAlign w:val="bottom"/>
            <w:gridSpan w:val="11"/>
          </w:tcPr>
          <w:p>
            <w:pPr>
              <w:spacing w:after="0"/>
              <w:rPr>
                <w:sz w:val="18"/>
                <w:szCs w:val="18"/>
                <w:color w:val="auto"/>
              </w:rPr>
            </w:pPr>
          </w:p>
        </w:tc>
        <w:tc>
          <w:tcPr>
            <w:tcW w:w="57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140" w:type="dxa"/>
            <w:vAlign w:val="bottom"/>
          </w:tcPr>
          <w:p>
            <w:pPr>
              <w:spacing w:after="0"/>
              <w:rPr>
                <w:sz w:val="18"/>
                <w:szCs w:val="18"/>
                <w:color w:val="auto"/>
              </w:rPr>
            </w:pPr>
          </w:p>
        </w:tc>
      </w:tr>
      <w:tr>
        <w:trPr>
          <w:trHeight w:val="210"/>
        </w:trPr>
        <w:tc>
          <w:tcPr>
            <w:tcW w:w="4740" w:type="dxa"/>
            <w:vAlign w:val="bottom"/>
            <w:gridSpan w:val="15"/>
          </w:tcPr>
          <w:p>
            <w:pPr>
              <w:spacing w:after="0"/>
              <w:rPr>
                <w:sz w:val="20"/>
                <w:szCs w:val="20"/>
                <w:color w:val="auto"/>
              </w:rPr>
            </w:pPr>
            <w:r>
              <w:rPr>
                <w:rFonts w:ascii="Arial" w:cs="Arial" w:eastAsia="Arial" w:hAnsi="Arial"/>
                <w:sz w:val="18"/>
                <w:szCs w:val="18"/>
                <w:color w:val="0000FF"/>
              </w:rPr>
              <w:t>PLAN OF DISTRIBUTION</w:t>
            </w:r>
          </w:p>
        </w:tc>
        <w:tc>
          <w:tcPr>
            <w:tcW w:w="6020" w:type="dxa"/>
            <w:vAlign w:val="bottom"/>
            <w:gridSpan w:val="4"/>
          </w:tcPr>
          <w:p>
            <w:pPr>
              <w:jc w:val="center"/>
              <w:ind w:left="5551"/>
              <w:spacing w:after="0"/>
              <w:rPr>
                <w:sz w:val="20"/>
                <w:szCs w:val="20"/>
                <w:color w:val="auto"/>
              </w:rPr>
            </w:pPr>
            <w:r>
              <w:rPr>
                <w:rFonts w:ascii="Arial" w:cs="Arial" w:eastAsia="Arial" w:hAnsi="Arial"/>
                <w:sz w:val="18"/>
                <w:szCs w:val="18"/>
                <w:color w:val="0000FF"/>
                <w:w w:val="89"/>
              </w:rPr>
              <w:t>10</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4740" w:type="dxa"/>
            <w:vAlign w:val="bottom"/>
            <w:gridSpan w:val="15"/>
          </w:tcPr>
          <w:p>
            <w:pPr>
              <w:spacing w:after="0"/>
              <w:rPr>
                <w:sz w:val="20"/>
                <w:szCs w:val="20"/>
                <w:color w:val="auto"/>
              </w:rPr>
            </w:pPr>
            <w:r>
              <w:rPr>
                <w:rFonts w:ascii="Arial" w:cs="Arial" w:eastAsia="Arial" w:hAnsi="Arial"/>
                <w:sz w:val="18"/>
                <w:szCs w:val="18"/>
                <w:color w:val="0000FF"/>
              </w:rPr>
              <w:t>DESCRIPTION OF CAPITAL STOCK</w:t>
            </w:r>
          </w:p>
        </w:tc>
        <w:tc>
          <w:tcPr>
            <w:tcW w:w="6020" w:type="dxa"/>
            <w:vAlign w:val="bottom"/>
            <w:gridSpan w:val="4"/>
          </w:tcPr>
          <w:p>
            <w:pPr>
              <w:jc w:val="center"/>
              <w:ind w:left="5551"/>
              <w:spacing w:after="0"/>
              <w:rPr>
                <w:sz w:val="20"/>
                <w:szCs w:val="20"/>
                <w:color w:val="auto"/>
              </w:rPr>
            </w:pPr>
            <w:r>
              <w:rPr>
                <w:rFonts w:ascii="Arial" w:cs="Arial" w:eastAsia="Arial" w:hAnsi="Arial"/>
                <w:sz w:val="18"/>
                <w:szCs w:val="18"/>
                <w:color w:val="0000FF"/>
                <w:w w:val="89"/>
              </w:rPr>
              <w:t>12</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4740" w:type="dxa"/>
            <w:vAlign w:val="bottom"/>
            <w:gridSpan w:val="15"/>
          </w:tcPr>
          <w:p>
            <w:pPr>
              <w:spacing w:after="0"/>
              <w:rPr>
                <w:sz w:val="20"/>
                <w:szCs w:val="20"/>
                <w:color w:val="auto"/>
              </w:rPr>
            </w:pPr>
            <w:r>
              <w:rPr>
                <w:rFonts w:ascii="Arial" w:cs="Arial" w:eastAsia="Arial" w:hAnsi="Arial"/>
                <w:sz w:val="18"/>
                <w:szCs w:val="18"/>
                <w:color w:val="0000FF"/>
              </w:rPr>
              <w:t>DESCRIPTION OF DEBT SECURITIES</w:t>
            </w:r>
          </w:p>
        </w:tc>
        <w:tc>
          <w:tcPr>
            <w:tcW w:w="6020" w:type="dxa"/>
            <w:vAlign w:val="bottom"/>
            <w:gridSpan w:val="4"/>
          </w:tcPr>
          <w:p>
            <w:pPr>
              <w:jc w:val="center"/>
              <w:ind w:left="5551"/>
              <w:spacing w:after="0"/>
              <w:rPr>
                <w:sz w:val="20"/>
                <w:szCs w:val="20"/>
                <w:color w:val="auto"/>
              </w:rPr>
            </w:pPr>
            <w:r>
              <w:rPr>
                <w:rFonts w:ascii="Arial" w:cs="Arial" w:eastAsia="Arial" w:hAnsi="Arial"/>
                <w:sz w:val="18"/>
                <w:szCs w:val="18"/>
                <w:color w:val="0000FF"/>
                <w:w w:val="89"/>
              </w:rPr>
              <w:t>17</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2480" w:type="dxa"/>
            <w:vAlign w:val="bottom"/>
            <w:gridSpan w:val="9"/>
          </w:tcPr>
          <w:p>
            <w:pPr>
              <w:spacing w:after="0"/>
              <w:rPr>
                <w:sz w:val="20"/>
                <w:szCs w:val="20"/>
                <w:color w:val="auto"/>
              </w:rPr>
            </w:pPr>
            <w:r>
              <w:rPr>
                <w:rFonts w:ascii="Arial" w:cs="Arial" w:eastAsia="Arial" w:hAnsi="Arial"/>
                <w:sz w:val="18"/>
                <w:szCs w:val="18"/>
                <w:color w:val="0000FF"/>
                <w:w w:val="94"/>
              </w:rPr>
              <w:t>DESCRIPTION OF WARRANTS</w:t>
            </w:r>
          </w:p>
        </w:tc>
        <w:tc>
          <w:tcPr>
            <w:tcW w:w="540" w:type="dxa"/>
            <w:vAlign w:val="bottom"/>
            <w:gridSpan w:val="2"/>
          </w:tcPr>
          <w:p>
            <w:pPr>
              <w:spacing w:after="0"/>
              <w:rPr>
                <w:sz w:val="18"/>
                <w:szCs w:val="18"/>
                <w:color w:val="auto"/>
              </w:rPr>
            </w:pPr>
          </w:p>
        </w:tc>
        <w:tc>
          <w:tcPr>
            <w:tcW w:w="1720" w:type="dxa"/>
            <w:vAlign w:val="bottom"/>
            <w:gridSpan w:val="4"/>
          </w:tcPr>
          <w:p>
            <w:pPr>
              <w:spacing w:after="0"/>
              <w:rPr>
                <w:sz w:val="18"/>
                <w:szCs w:val="18"/>
                <w:color w:val="auto"/>
              </w:rPr>
            </w:pPr>
          </w:p>
        </w:tc>
        <w:tc>
          <w:tcPr>
            <w:tcW w:w="5780" w:type="dxa"/>
            <w:vAlign w:val="bottom"/>
            <w:gridSpan w:val="2"/>
          </w:tcPr>
          <w:p>
            <w:pPr>
              <w:spacing w:after="0"/>
              <w:rPr>
                <w:sz w:val="18"/>
                <w:szCs w:val="18"/>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7"/>
                <w:szCs w:val="17"/>
                <w:color w:val="0000FF"/>
                <w:w w:val="73"/>
              </w:rPr>
              <w:t>24</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4740" w:type="dxa"/>
            <w:vAlign w:val="bottom"/>
            <w:gridSpan w:val="15"/>
          </w:tcPr>
          <w:p>
            <w:pPr>
              <w:spacing w:after="0"/>
              <w:rPr>
                <w:sz w:val="20"/>
                <w:szCs w:val="20"/>
                <w:color w:val="auto"/>
              </w:rPr>
            </w:pPr>
            <w:r>
              <w:rPr>
                <w:rFonts w:ascii="Arial" w:cs="Arial" w:eastAsia="Arial" w:hAnsi="Arial"/>
                <w:sz w:val="18"/>
                <w:szCs w:val="18"/>
                <w:color w:val="0000FF"/>
              </w:rPr>
              <w:t>DESCRIPTION OF SUBSCRIPTION RIGHTS</w:t>
            </w:r>
          </w:p>
        </w:tc>
        <w:tc>
          <w:tcPr>
            <w:tcW w:w="6020" w:type="dxa"/>
            <w:vAlign w:val="bottom"/>
            <w:gridSpan w:val="4"/>
          </w:tcPr>
          <w:p>
            <w:pPr>
              <w:jc w:val="center"/>
              <w:ind w:left="5551"/>
              <w:spacing w:after="0"/>
              <w:rPr>
                <w:sz w:val="20"/>
                <w:szCs w:val="20"/>
                <w:color w:val="auto"/>
              </w:rPr>
            </w:pPr>
            <w:r>
              <w:rPr>
                <w:rFonts w:ascii="Arial" w:cs="Arial" w:eastAsia="Arial" w:hAnsi="Arial"/>
                <w:sz w:val="18"/>
                <w:szCs w:val="18"/>
                <w:color w:val="0000FF"/>
                <w:w w:val="89"/>
              </w:rPr>
              <w:t>26</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40" w:type="dxa"/>
            <w:vAlign w:val="bottom"/>
            <w:tcBorders>
              <w:left w:val="single" w:sz="8" w:color="0000FF"/>
            </w:tcBorders>
            <w:gridSpan w:val="6"/>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2020" w:type="dxa"/>
            <w:vAlign w:val="bottom"/>
            <w:gridSpan w:val="6"/>
          </w:tcPr>
          <w:p>
            <w:pPr>
              <w:spacing w:after="0"/>
              <w:rPr>
                <w:sz w:val="20"/>
                <w:szCs w:val="20"/>
                <w:color w:val="auto"/>
              </w:rPr>
            </w:pPr>
            <w:r>
              <w:rPr>
                <w:rFonts w:ascii="Arial" w:cs="Arial" w:eastAsia="Arial" w:hAnsi="Arial"/>
                <w:sz w:val="18"/>
                <w:szCs w:val="18"/>
                <w:color w:val="0000FF"/>
                <w:w w:val="93"/>
              </w:rPr>
              <w:t>DESCRIPTION OF UNITS</w:t>
            </w:r>
          </w:p>
        </w:tc>
        <w:tc>
          <w:tcPr>
            <w:tcW w:w="1440" w:type="dxa"/>
            <w:vAlign w:val="bottom"/>
            <w:gridSpan w:val="6"/>
          </w:tcPr>
          <w:p>
            <w:pPr>
              <w:spacing w:after="0"/>
              <w:rPr>
                <w:sz w:val="18"/>
                <w:szCs w:val="18"/>
                <w:color w:val="auto"/>
              </w:rPr>
            </w:pPr>
          </w:p>
        </w:tc>
        <w:tc>
          <w:tcPr>
            <w:tcW w:w="1280" w:type="dxa"/>
            <w:vAlign w:val="bottom"/>
            <w:gridSpan w:val="3"/>
          </w:tcPr>
          <w:p>
            <w:pPr>
              <w:spacing w:after="0"/>
              <w:rPr>
                <w:sz w:val="18"/>
                <w:szCs w:val="18"/>
                <w:color w:val="auto"/>
              </w:rPr>
            </w:pPr>
          </w:p>
        </w:tc>
        <w:tc>
          <w:tcPr>
            <w:tcW w:w="5780" w:type="dxa"/>
            <w:vAlign w:val="bottom"/>
            <w:gridSpan w:val="2"/>
          </w:tcPr>
          <w:p>
            <w:pPr>
              <w:spacing w:after="0"/>
              <w:rPr>
                <w:sz w:val="18"/>
                <w:szCs w:val="18"/>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7"/>
                <w:szCs w:val="17"/>
                <w:color w:val="0000FF"/>
                <w:w w:val="73"/>
              </w:rPr>
              <w:t>27</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460" w:type="dxa"/>
            <w:vAlign w:val="bottom"/>
            <w:gridSpan w:val="3"/>
          </w:tcPr>
          <w:p>
            <w:pPr>
              <w:spacing w:after="0"/>
              <w:rPr>
                <w:sz w:val="20"/>
                <w:szCs w:val="20"/>
                <w:color w:val="auto"/>
              </w:rPr>
            </w:pPr>
            <w:r>
              <w:rPr>
                <w:rFonts w:ascii="Arial" w:cs="Arial" w:eastAsia="Arial" w:hAnsi="Arial"/>
                <w:sz w:val="18"/>
                <w:szCs w:val="18"/>
                <w:color w:val="0000FF"/>
                <w:w w:val="96"/>
              </w:rPr>
              <w:t>LEGAL MATTERS</w:t>
            </w:r>
          </w:p>
        </w:tc>
        <w:tc>
          <w:tcPr>
            <w:tcW w:w="560" w:type="dxa"/>
            <w:vAlign w:val="bottom"/>
            <w:gridSpan w:val="3"/>
          </w:tcPr>
          <w:p>
            <w:pPr>
              <w:spacing w:after="0"/>
              <w:rPr>
                <w:sz w:val="18"/>
                <w:szCs w:val="18"/>
                <w:color w:val="auto"/>
              </w:rPr>
            </w:pPr>
          </w:p>
        </w:tc>
        <w:tc>
          <w:tcPr>
            <w:tcW w:w="2720" w:type="dxa"/>
            <w:vAlign w:val="bottom"/>
            <w:gridSpan w:val="9"/>
          </w:tcPr>
          <w:p>
            <w:pPr>
              <w:spacing w:after="0"/>
              <w:rPr>
                <w:sz w:val="18"/>
                <w:szCs w:val="18"/>
                <w:color w:val="auto"/>
              </w:rPr>
            </w:pPr>
          </w:p>
        </w:tc>
        <w:tc>
          <w:tcPr>
            <w:tcW w:w="5780" w:type="dxa"/>
            <w:vAlign w:val="bottom"/>
            <w:gridSpan w:val="2"/>
          </w:tcPr>
          <w:p>
            <w:pPr>
              <w:spacing w:after="0"/>
              <w:rPr>
                <w:sz w:val="18"/>
                <w:szCs w:val="18"/>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7"/>
                <w:szCs w:val="17"/>
                <w:color w:val="0000FF"/>
                <w:w w:val="73"/>
              </w:rPr>
              <w:t>28</w:t>
            </w:r>
          </w:p>
        </w:tc>
      </w:tr>
      <w:tr>
        <w:trPr>
          <w:trHeight w:val="20"/>
        </w:trPr>
        <w:tc>
          <w:tcPr>
            <w:tcW w:w="7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80" w:type="dxa"/>
            <w:vAlign w:val="bottom"/>
            <w:gridSpan w:val="12"/>
          </w:tcPr>
          <w:p>
            <w:pPr>
              <w:spacing w:after="0" w:line="20" w:lineRule="exact"/>
              <w:rPr>
                <w:sz w:val="1"/>
                <w:szCs w:val="1"/>
                <w:color w:val="auto"/>
              </w:rPr>
            </w:pPr>
          </w:p>
        </w:tc>
        <w:tc>
          <w:tcPr>
            <w:tcW w:w="578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460" w:type="dxa"/>
            <w:vAlign w:val="bottom"/>
            <w:gridSpan w:val="3"/>
          </w:tcPr>
          <w:p>
            <w:pPr>
              <w:spacing w:after="0"/>
              <w:rPr>
                <w:sz w:val="20"/>
                <w:szCs w:val="20"/>
                <w:color w:val="auto"/>
              </w:rPr>
            </w:pPr>
            <w:r>
              <w:rPr>
                <w:rFonts w:ascii="Arial" w:cs="Arial" w:eastAsia="Arial" w:hAnsi="Arial"/>
                <w:sz w:val="18"/>
                <w:szCs w:val="18"/>
                <w:color w:val="0000FF"/>
              </w:rPr>
              <w:t>EXPERTS</w:t>
            </w:r>
          </w:p>
        </w:tc>
        <w:tc>
          <w:tcPr>
            <w:tcW w:w="3280" w:type="dxa"/>
            <w:vAlign w:val="bottom"/>
            <w:gridSpan w:val="12"/>
          </w:tcPr>
          <w:p>
            <w:pPr>
              <w:spacing w:after="0"/>
              <w:rPr>
                <w:sz w:val="18"/>
                <w:szCs w:val="18"/>
                <w:color w:val="auto"/>
              </w:rPr>
            </w:pPr>
          </w:p>
        </w:tc>
        <w:tc>
          <w:tcPr>
            <w:tcW w:w="5780" w:type="dxa"/>
            <w:vAlign w:val="bottom"/>
            <w:gridSpan w:val="2"/>
          </w:tcPr>
          <w:p>
            <w:pPr>
              <w:spacing w:after="0"/>
              <w:rPr>
                <w:sz w:val="18"/>
                <w:szCs w:val="18"/>
                <w:color w:val="auto"/>
              </w:rPr>
            </w:pPr>
          </w:p>
        </w:tc>
        <w:tc>
          <w:tcPr>
            <w:tcW w:w="240" w:type="dxa"/>
            <w:vAlign w:val="bottom"/>
            <w:gridSpan w:val="2"/>
          </w:tcPr>
          <w:p>
            <w:pPr>
              <w:jc w:val="center"/>
              <w:ind w:right="100"/>
              <w:spacing w:after="0"/>
              <w:rPr>
                <w:sz w:val="20"/>
                <w:szCs w:val="20"/>
                <w:color w:val="auto"/>
              </w:rPr>
            </w:pPr>
            <w:r>
              <w:rPr>
                <w:rFonts w:ascii="Arial" w:cs="Arial" w:eastAsia="Arial" w:hAnsi="Arial"/>
                <w:sz w:val="17"/>
                <w:szCs w:val="17"/>
                <w:color w:val="0000FF"/>
                <w:w w:val="73"/>
              </w:rPr>
              <w:t>29</w:t>
            </w: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60"/>
          </w:cols>
          <w:pgMar w:left="380" w:top="1440" w:right="759" w:bottom="1440" w:gutter="0" w:footer="0" w:header="0"/>
        </w:sectPr>
      </w:pPr>
    </w:p>
    <w:bookmarkStart w:id="2" w:name="page3"/>
    <w:bookmarkEnd w:id="2"/>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ABOUT THIS PROSPECTUS SUPPLEMENT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This prospectus supplement and the accompanying prospectus are part of a registration statement on Form S-3 that we filed with the Securities and Exchange Commission, or the SEC, using a “shelf” registration process. Under this shelf registration process, we may from time to time sell any combination of the securities described in our base prospectus included in the shelf registration statement in one or more offerings up to a total aggregate offering price of $300 million. On December 30, 2021, we filed with the Securities and Exchange Commission, or SEC, a “shelf” registration statement on Form S-3 utilizing a shelf registration process relating to the securities described in this prospectus supplement, which registration statement became effective on January 11, 2022. Under this shelf registration process, we may, from time to time, sell common stock and other securities, of which this offering is a part. The $150 million of common stock that may be offered, issued and sold under this prospectus supplement is included in the $300 million of securities that may be offered, issued and sold by us pursuant to our shelf registration statement.</w:t>
      </w:r>
    </w:p>
    <w:p>
      <w:pPr>
        <w:spacing w:after="0" w:line="12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231F20"/>
        </w:rPr>
        <w:t>This document is in two parts. The first part is this prospectus supplement, including the documents incorporated by reference herein, which describes the specific terms of this offering and also adds to and updates the information contained in the accompanying base prospectus and the documents incorporated by reference. The second part, the accompanying base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base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base prospectus. To the extent that any statement we make in this prospectus supplement is inconsistent with statements made in the accompanying base prospectus or any documents incorporated by reference therein, the statements made in this prospectus supplement will be deemed to modify or supersede those made in the accompanying base prospectus and such documents incorporated by reference therein.</w:t>
      </w:r>
    </w:p>
    <w:p>
      <w:pPr>
        <w:spacing w:after="0" w:line="11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231F20"/>
        </w:rPr>
        <w:t>We have not, and Cowen has not, authorized anyone to provide you with any information other than that contained or incorporated by reference in this prospectus supplement, the accompanying base prospectus or any related free writing prospectus to which we have referred you. Neither we nor Cowen take any responsibility for, and can provide no assurance as to the reliability of, any other information others may give you. We are not, and Cowen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this prospectus supplement, unless the context otherwise requires, the terms “AnaptysBio,” the “Company,” “we,” “us,” and “our” refer to AnaptysBio, Inc., a Delaware corporation. This prospectus supplement, the accompanying base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420" w:top="1440"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1038225</wp:posOffset>
            </wp:positionV>
            <wp:extent cx="7136130" cy="6064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PROSPECTUS SUPPLEMENT SUMMARY</w:t>
      </w:r>
    </w:p>
    <w:p>
      <w:pPr>
        <w:spacing w:after="0" w:line="16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231F20"/>
        </w:rPr>
        <w:t>This summary may not contain all the information that you should consider before investing in securities. You should read the entire prospectus supplement, the accompanying base prospectus and the information incorporated by reference herein and therein carefully, including “Risk Factors” and the financial data and related notes and other information incorporated by reference, before making an investment decision.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Company Overview</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 xml:space="preserve">We are a clinical-stage biotechnology company focused on delivering innovative immunology therapeutics. We are developing immune cell modulators, including two checkpoint agonists in clinical-stage development, for autoimmune and inflammatory disease: rosnilimab, our anti-PD-1 agonist program, previously referred to as ANB030, which is currently in a Phase 2 clinical trial for the treatment of moderate-to-severe alopecia areata; and ANB032, our anti-BTLA agonist program. In addition, we are developing imsidolimab, our anti-IL-36R antibody, which is currently in a Phase 3 clinical trial for the treatment of generalized pustular psoriasis, or GPP. We also have additional preclinical programs and discovery research of potentially innovative immunology therapeutics, including ANB033, an anti-CD122 antagonist antibody for the treatment of inflammatory diseases. We have also developed multiple therapeutic antibodies in an immuno-oncology collaboration with GSK, including an anti-PD-1 antagonist antibody (JEMPERLI (dostarlimab-gxly)), an anti-TIM-3 antagonist antibody (cobolimab, GSK4069889) and an anti-LAG-3 antagonist antibody (GSK4074386). We currently generate revenue from milestones and royalties achieved under our immuno-oncology collaboration with GSK. Our antibody pipeline has been developed using our proprietary somatic hypermutation, or SHM platform, which uses </w:t>
      </w:r>
      <w:r>
        <w:rPr>
          <w:rFonts w:ascii="Arial" w:cs="Arial" w:eastAsia="Arial" w:hAnsi="Arial"/>
          <w:sz w:val="17"/>
          <w:szCs w:val="17"/>
          <w:i w:val="1"/>
          <w:iCs w:val="1"/>
          <w:color w:val="231F20"/>
        </w:rPr>
        <w:t>in</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vitro </w:t>
      </w:r>
      <w:r>
        <w:rPr>
          <w:rFonts w:ascii="Arial" w:cs="Arial" w:eastAsia="Arial" w:hAnsi="Arial"/>
          <w:sz w:val="17"/>
          <w:szCs w:val="17"/>
          <w:color w:val="231F20"/>
        </w:rPr>
        <w:t>SHM for antibody discovery and is designed to replicate key features of the human immune system to overcome the limitations of competing</w:t>
      </w:r>
      <w:r>
        <w:rPr>
          <w:rFonts w:ascii="Arial" w:cs="Arial" w:eastAsia="Arial" w:hAnsi="Arial"/>
          <w:sz w:val="17"/>
          <w:szCs w:val="17"/>
          <w:i w:val="1"/>
          <w:iCs w:val="1"/>
          <w:color w:val="231F20"/>
        </w:rPr>
        <w:t xml:space="preserve"> </w:t>
      </w:r>
      <w:r>
        <w:rPr>
          <w:rFonts w:ascii="Arial" w:cs="Arial" w:eastAsia="Arial" w:hAnsi="Arial"/>
          <w:sz w:val="17"/>
          <w:szCs w:val="17"/>
          <w:color w:val="231F20"/>
        </w:rPr>
        <w:t>antibody discovery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Prior ATM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highlight w:val="white"/>
        </w:rPr>
        <w:t>In December 2021, we had entered into a prior “at-the-market” program and sales agreement with Jefferies LLC, under which we were allowed to, from time to time, offer and sell common stock having an aggregate offering value of up to $150 million, referred to as our “at-the-market” offering with Jefferies LLC. To date, no such shares of our common stock have been offered or sold pursuant to such “at-the-market” offering with Jefferies LLC and on November 3, 2022, we provided notice to Jefferies LLC of our decision to terminate the sales agreement and “at-the-market” offering program with Jefferies LLC., effective as of November 8,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Information</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31F20"/>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 supplement or into the accompanying base prospectus.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Smaller reporting company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highlight w:val="white"/>
        </w:rPr>
        <w:t>We are a “smaller reporting company” as defined in Rule 405 of the Securities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680"/>
          </w:cols>
          <w:pgMar w:left="600" w:top="1440" w:right="6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1038225</wp:posOffset>
            </wp:positionV>
            <wp:extent cx="7136130" cy="612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124575"/>
                    </a:xfrm>
                    <a:prstGeom prst="rect">
                      <a:avLst/>
                    </a:prstGeom>
                    <a:noFill/>
                  </pic:spPr>
                </pic:pic>
              </a:graphicData>
            </a:graphic>
          </wp:anchor>
        </w:drawing>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THE OFFERING</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31F20"/>
        </w:rPr>
        <w:t xml:space="preserve">Common stock offered by us </w:t>
      </w:r>
      <w:r>
        <w:rPr>
          <w:rFonts w:ascii="Arial" w:cs="Arial" w:eastAsia="Arial" w:hAnsi="Arial"/>
          <w:sz w:val="18"/>
          <w:szCs w:val="18"/>
          <w:color w:val="231F20"/>
        </w:rPr>
        <w:t>. . . . . . . . Shares of our common stock having an aggregate offering price of up to $150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Common </w:t>
      </w:r>
      <w:r>
        <w:rPr>
          <w:rFonts w:ascii="Arial" w:cs="Arial" w:eastAsia="Arial" w:hAnsi="Arial"/>
          <w:sz w:val="18"/>
          <w:szCs w:val="18"/>
          <w:b w:val="1"/>
          <w:bCs w:val="1"/>
          <w:color w:val="231F20"/>
        </w:rPr>
        <w:t>stock to be outstanding</w:t>
      </w:r>
    </w:p>
    <w:p>
      <w:pPr>
        <w:spacing w:after="0" w:line="27" w:lineRule="exact"/>
        <w:rPr>
          <w:sz w:val="20"/>
          <w:szCs w:val="20"/>
          <w:color w:val="auto"/>
        </w:rPr>
      </w:pPr>
    </w:p>
    <w:p>
      <w:pPr>
        <w:ind w:left="3240" w:right="320" w:hanging="2951"/>
        <w:spacing w:after="0" w:line="301" w:lineRule="auto"/>
        <w:rPr>
          <w:sz w:val="20"/>
          <w:szCs w:val="20"/>
          <w:color w:val="auto"/>
        </w:rPr>
      </w:pPr>
      <w:r>
        <w:rPr>
          <w:rFonts w:ascii="Arial" w:cs="Arial" w:eastAsia="Arial" w:hAnsi="Arial"/>
          <w:sz w:val="16"/>
          <w:szCs w:val="16"/>
          <w:b w:val="1"/>
          <w:bCs w:val="1"/>
          <w:color w:val="231F20"/>
        </w:rPr>
        <w:t xml:space="preserve">immediately after this offering </w:t>
      </w:r>
      <w:r>
        <w:rPr>
          <w:rFonts w:ascii="Arial" w:cs="Arial" w:eastAsia="Arial" w:hAnsi="Arial"/>
          <w:sz w:val="16"/>
          <w:szCs w:val="16"/>
          <w:color w:val="231F20"/>
        </w:rPr>
        <w:t>. . . . . Up to 33,409,778 shares (as more fully described in the notes following this table), assuming sales of</w:t>
      </w:r>
      <w:r>
        <w:rPr>
          <w:rFonts w:ascii="Arial" w:cs="Arial" w:eastAsia="Arial" w:hAnsi="Arial"/>
          <w:sz w:val="16"/>
          <w:szCs w:val="16"/>
          <w:b w:val="1"/>
          <w:bCs w:val="1"/>
          <w:color w:val="231F20"/>
        </w:rPr>
        <w:t xml:space="preserve"> </w:t>
      </w:r>
      <w:r>
        <w:rPr>
          <w:rFonts w:ascii="Arial" w:cs="Arial" w:eastAsia="Arial" w:hAnsi="Arial"/>
          <w:sz w:val="16"/>
          <w:szCs w:val="16"/>
          <w:color w:val="231F20"/>
        </w:rPr>
        <w:t>5,055,611 shares of our common stock in this offering at an offering price of $29.67 per share, which was the last reported sale price of our common stock on The Nasdaq Global Market on November 4, 2022. The actual number of shares issued will vary depending on the sales price under this offering.</w:t>
      </w:r>
    </w:p>
    <w:p>
      <w:pPr>
        <w:spacing w:after="0" w:line="179" w:lineRule="exact"/>
        <w:rPr>
          <w:sz w:val="20"/>
          <w:szCs w:val="20"/>
          <w:color w:val="auto"/>
        </w:rPr>
      </w:pPr>
    </w:p>
    <w:p>
      <w:pPr>
        <w:ind w:left="3240" w:right="60" w:hanging="3131"/>
        <w:spacing w:after="0" w:line="312" w:lineRule="auto"/>
        <w:rPr>
          <w:sz w:val="20"/>
          <w:szCs w:val="20"/>
          <w:color w:val="auto"/>
        </w:rPr>
      </w:pPr>
      <w:r>
        <w:rPr>
          <w:rFonts w:ascii="Arial" w:cs="Arial" w:eastAsia="Arial" w:hAnsi="Arial"/>
          <w:sz w:val="17"/>
          <w:szCs w:val="17"/>
          <w:b w:val="1"/>
          <w:bCs w:val="1"/>
          <w:color w:val="231F20"/>
        </w:rPr>
        <w:t xml:space="preserve">Plan of Distribution </w:t>
      </w:r>
      <w:r>
        <w:rPr>
          <w:rFonts w:ascii="Arial" w:cs="Arial" w:eastAsia="Arial" w:hAnsi="Arial"/>
          <w:sz w:val="17"/>
          <w:szCs w:val="17"/>
          <w:color w:val="231F20"/>
        </w:rPr>
        <w:t>. . . . . . . . . . . . . . . . “At-the-market” offering that may be made from time to time through our sales agent, Cowen and</w:t>
      </w:r>
      <w:r>
        <w:rPr>
          <w:rFonts w:ascii="Arial" w:cs="Arial" w:eastAsia="Arial" w:hAnsi="Arial"/>
          <w:sz w:val="17"/>
          <w:szCs w:val="17"/>
          <w:b w:val="1"/>
          <w:bCs w:val="1"/>
          <w:color w:val="231F20"/>
        </w:rPr>
        <w:t xml:space="preserve"> </w:t>
      </w:r>
      <w:r>
        <w:rPr>
          <w:rFonts w:ascii="Arial" w:cs="Arial" w:eastAsia="Arial" w:hAnsi="Arial"/>
          <w:sz w:val="17"/>
          <w:szCs w:val="17"/>
          <w:color w:val="231F20"/>
        </w:rPr>
        <w:t>Company, LLC, or Cowen. See “Plan of Distribution” on page S-</w:t>
      </w:r>
      <w:r>
        <w:rPr>
          <w:rFonts w:ascii="Arial" w:cs="Arial" w:eastAsia="Arial" w:hAnsi="Arial"/>
          <w:sz w:val="17"/>
          <w:szCs w:val="17"/>
          <w:u w:val="single" w:color="auto"/>
          <w:color w:val="231F20"/>
        </w:rPr>
        <w:t>12</w:t>
      </w:r>
      <w:r>
        <w:rPr>
          <w:rFonts w:ascii="Arial" w:cs="Arial" w:eastAsia="Arial" w:hAnsi="Arial"/>
          <w:sz w:val="17"/>
          <w:szCs w:val="17"/>
          <w:color w:val="231F20"/>
        </w:rPr>
        <w:t xml:space="preserve"> of this prospectus supplement.</w:t>
      </w:r>
    </w:p>
    <w:p>
      <w:pPr>
        <w:spacing w:after="0" w:line="167" w:lineRule="exact"/>
        <w:rPr>
          <w:sz w:val="20"/>
          <w:szCs w:val="20"/>
          <w:color w:val="auto"/>
        </w:rPr>
      </w:pPr>
    </w:p>
    <w:p>
      <w:pPr>
        <w:ind w:left="3240" w:right="100" w:hanging="3131"/>
        <w:spacing w:after="0" w:line="261" w:lineRule="auto"/>
        <w:rPr>
          <w:sz w:val="20"/>
          <w:szCs w:val="20"/>
          <w:color w:val="auto"/>
        </w:rPr>
      </w:pPr>
      <w:r>
        <w:rPr>
          <w:rFonts w:ascii="Arial" w:cs="Arial" w:eastAsia="Arial" w:hAnsi="Arial"/>
          <w:sz w:val="18"/>
          <w:szCs w:val="18"/>
          <w:b w:val="1"/>
          <w:bCs w:val="1"/>
          <w:color w:val="231F20"/>
        </w:rPr>
        <w:t xml:space="preserve">Use of Proceeds </w:t>
      </w:r>
      <w:r>
        <w:rPr>
          <w:rFonts w:ascii="Arial" w:cs="Arial" w:eastAsia="Arial" w:hAnsi="Arial"/>
          <w:sz w:val="18"/>
          <w:szCs w:val="18"/>
          <w:color w:val="231F20"/>
        </w:rPr>
        <w:t>. . . . . . . . . . . . . . . . . . . We currently intend to use the net proceeds of this offering primarily for general corporate purposes,</w:t>
      </w:r>
      <w:r>
        <w:rPr>
          <w:rFonts w:ascii="Arial" w:cs="Arial" w:eastAsia="Arial" w:hAnsi="Arial"/>
          <w:sz w:val="18"/>
          <w:szCs w:val="18"/>
          <w:b w:val="1"/>
          <w:bCs w:val="1"/>
          <w:color w:val="231F20"/>
        </w:rPr>
        <w:t xml:space="preserve"> </w:t>
      </w:r>
      <w:r>
        <w:rPr>
          <w:rFonts w:ascii="Arial" w:cs="Arial" w:eastAsia="Arial" w:hAnsi="Arial"/>
          <w:sz w:val="18"/>
          <w:szCs w:val="18"/>
          <w:color w:val="231F20"/>
        </w:rPr>
        <w:t>which may include funding research, clinical and process development and manufacturing of our product candidates, working capital and capital expenditures. See “Use of Proceeds” on page S-</w:t>
      </w:r>
      <w:r>
        <w:rPr>
          <w:rFonts w:ascii="Arial" w:cs="Arial" w:eastAsia="Arial" w:hAnsi="Arial"/>
          <w:sz w:val="18"/>
          <w:szCs w:val="18"/>
          <w:u w:val="single" w:color="auto"/>
          <w:color w:val="231F20"/>
        </w:rPr>
        <w:t>9</w:t>
      </w:r>
      <w:r>
        <w:rPr>
          <w:rFonts w:ascii="Arial" w:cs="Arial" w:eastAsia="Arial" w:hAnsi="Arial"/>
          <w:sz w:val="18"/>
          <w:szCs w:val="18"/>
          <w:color w:val="231F20"/>
        </w:rPr>
        <w:t xml:space="preserve"> of this prospectus supplement.</w:t>
      </w:r>
    </w:p>
    <w:p>
      <w:pPr>
        <w:spacing w:after="0" w:line="207" w:lineRule="exact"/>
        <w:rPr>
          <w:sz w:val="20"/>
          <w:szCs w:val="20"/>
          <w:color w:val="auto"/>
        </w:rPr>
      </w:pPr>
    </w:p>
    <w:p>
      <w:pPr>
        <w:jc w:val="both"/>
        <w:ind w:left="3240" w:right="460" w:hanging="3131"/>
        <w:spacing w:after="0" w:line="266" w:lineRule="auto"/>
        <w:rPr>
          <w:sz w:val="20"/>
          <w:szCs w:val="20"/>
          <w:color w:val="auto"/>
        </w:rPr>
      </w:pPr>
      <w:r>
        <w:rPr>
          <w:rFonts w:ascii="Arial" w:cs="Arial" w:eastAsia="Arial" w:hAnsi="Arial"/>
          <w:sz w:val="18"/>
          <w:szCs w:val="18"/>
          <w:b w:val="1"/>
          <w:bCs w:val="1"/>
          <w:color w:val="231F20"/>
        </w:rPr>
        <w:t xml:space="preserve">Risk Factors </w:t>
      </w:r>
      <w:r>
        <w:rPr>
          <w:rFonts w:ascii="Arial" w:cs="Arial" w:eastAsia="Arial" w:hAnsi="Arial"/>
          <w:sz w:val="18"/>
          <w:szCs w:val="18"/>
          <w:color w:val="231F20"/>
        </w:rPr>
        <w:t>. . . . . . . . . . . . . . . . . . . . . . Investing in our common stock involves significant risks. See the disclosure under the heading “Risk</w:t>
      </w:r>
      <w:r>
        <w:rPr>
          <w:rFonts w:ascii="Arial" w:cs="Arial" w:eastAsia="Arial" w:hAnsi="Arial"/>
          <w:sz w:val="18"/>
          <w:szCs w:val="18"/>
          <w:b w:val="1"/>
          <w:bCs w:val="1"/>
          <w:color w:val="231F20"/>
        </w:rPr>
        <w:t xml:space="preserve"> </w:t>
      </w:r>
      <w:r>
        <w:rPr>
          <w:rFonts w:ascii="Arial" w:cs="Arial" w:eastAsia="Arial" w:hAnsi="Arial"/>
          <w:sz w:val="18"/>
          <w:szCs w:val="18"/>
          <w:color w:val="231F20"/>
        </w:rPr>
        <w:t>Factors” on page S-</w:t>
      </w:r>
      <w:r>
        <w:rPr>
          <w:rFonts w:ascii="Arial" w:cs="Arial" w:eastAsia="Arial" w:hAnsi="Arial"/>
          <w:sz w:val="18"/>
          <w:szCs w:val="18"/>
          <w:u w:val="single" w:color="auto"/>
          <w:color w:val="231F20"/>
        </w:rPr>
        <w:t>4</w:t>
      </w:r>
      <w:r>
        <w:rPr>
          <w:rFonts w:ascii="Arial" w:cs="Arial" w:eastAsia="Arial" w:hAnsi="Arial"/>
          <w:sz w:val="18"/>
          <w:szCs w:val="18"/>
          <w:color w:val="231F20"/>
        </w:rPr>
        <w:t xml:space="preserve"> of this prospectus supplement and under similar headings in other documents incorporated by reference into this prospectus.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 xml:space="preserve">The Nasdaq Global Market Symbol </w:t>
      </w:r>
      <w:r>
        <w:rPr>
          <w:rFonts w:ascii="Arial" w:cs="Arial" w:eastAsia="Arial" w:hAnsi="Arial"/>
          <w:sz w:val="18"/>
          <w:szCs w:val="18"/>
          <w:color w:val="231F20"/>
        </w:rPr>
        <w:t>. . “ANAB”</w:t>
      </w:r>
    </w:p>
    <w:p>
      <w:pPr>
        <w:spacing w:after="0" w:line="229" w:lineRule="exact"/>
        <w:rPr>
          <w:sz w:val="20"/>
          <w:szCs w:val="20"/>
          <w:color w:val="auto"/>
        </w:rPr>
      </w:pPr>
    </w:p>
    <w:p>
      <w:pPr>
        <w:ind w:left="120" w:right="3160"/>
        <w:spacing w:after="0" w:line="307" w:lineRule="auto"/>
        <w:rPr>
          <w:sz w:val="20"/>
          <w:szCs w:val="20"/>
          <w:color w:val="auto"/>
        </w:rPr>
      </w:pPr>
      <w:r>
        <w:rPr>
          <w:rFonts w:ascii="Arial" w:cs="Arial" w:eastAsia="Arial" w:hAnsi="Arial"/>
          <w:sz w:val="16"/>
          <w:szCs w:val="16"/>
          <w:color w:val="231F20"/>
        </w:rPr>
        <w:t>The number of shares of our common stock shown above to be outstanding after this offering is based on 28,354,167 shares of our common stock outstanding as of September 30, 2022, and excludes:</w:t>
      </w:r>
    </w:p>
    <w:p>
      <w:pPr>
        <w:spacing w:after="0" w:line="272" w:lineRule="exact"/>
        <w:rPr>
          <w:sz w:val="20"/>
          <w:szCs w:val="20"/>
          <w:color w:val="auto"/>
        </w:rPr>
      </w:pPr>
    </w:p>
    <w:p>
      <w:pPr>
        <w:ind w:left="660" w:hanging="333"/>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231F20"/>
        </w:rPr>
        <w:t>3,711,635 shares of common stock issuable upon exercise of outstanding options as of September 30, 2022, with a weighted-average exercise price of $31.96 per share;</w:t>
      </w:r>
    </w:p>
    <w:p>
      <w:pPr>
        <w:spacing w:after="0" w:line="62"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1,030,443 shares of common stock issuable upon vesting of outstanding restricted stock unit grants as of September 30, 2022;</w:t>
      </w:r>
    </w:p>
    <w:p>
      <w:pPr>
        <w:spacing w:after="0" w:line="117" w:lineRule="exact"/>
        <w:rPr>
          <w:rFonts w:ascii="Arial" w:cs="Arial" w:eastAsia="Arial" w:hAnsi="Arial"/>
          <w:sz w:val="18"/>
          <w:szCs w:val="18"/>
          <w:color w:val="231F20"/>
        </w:rPr>
      </w:pPr>
    </w:p>
    <w:p>
      <w:pPr>
        <w:ind w:left="660" w:right="900" w:hanging="333"/>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231F20"/>
        </w:rPr>
        <w:t>61,850 shares of common stock issuable upon the exercise of options granted after September 30, 2022, with a weighted-average exercise price of $27.30 per share;</w:t>
      </w:r>
    </w:p>
    <w:p>
      <w:pPr>
        <w:spacing w:after="0" w:line="62" w:lineRule="exact"/>
        <w:rPr>
          <w:rFonts w:ascii="Arial" w:cs="Arial" w:eastAsia="Arial" w:hAnsi="Arial"/>
          <w:sz w:val="18"/>
          <w:szCs w:val="18"/>
          <w:color w:val="auto"/>
        </w:rPr>
      </w:pPr>
    </w:p>
    <w:p>
      <w:pPr>
        <w:ind w:left="640" w:hanging="313"/>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231F20"/>
        </w:rPr>
        <w:t>2,406,404 shares of common stock reserved for future issuance under our 2017 Equity Incentive Plan as of September 30, 2022; and</w:t>
      </w:r>
    </w:p>
    <w:p>
      <w:pPr>
        <w:spacing w:after="0" w:line="128" w:lineRule="exact"/>
        <w:rPr>
          <w:rFonts w:ascii="Arial" w:cs="Arial" w:eastAsia="Arial" w:hAnsi="Arial"/>
          <w:sz w:val="17"/>
          <w:szCs w:val="17"/>
          <w:color w:val="auto"/>
        </w:rPr>
      </w:pPr>
    </w:p>
    <w:p>
      <w:pPr>
        <w:ind w:left="660" w:right="740" w:hanging="333"/>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231F20"/>
        </w:rPr>
        <w:t>1,507,549 shares of common stock reserved for future issuance under our 2017 Employee Stock Purchase Plan as of September 30, 2022.</w:t>
      </w:r>
    </w:p>
    <w:p>
      <w:pPr>
        <w:spacing w:after="0" w:line="211" w:lineRule="exact"/>
        <w:rPr>
          <w:sz w:val="20"/>
          <w:szCs w:val="20"/>
          <w:color w:val="auto"/>
        </w:rPr>
      </w:pPr>
    </w:p>
    <w:p>
      <w:pPr>
        <w:ind w:left="100" w:right="160"/>
        <w:spacing w:after="0" w:line="308" w:lineRule="auto"/>
        <w:rPr>
          <w:sz w:val="20"/>
          <w:szCs w:val="20"/>
          <w:color w:val="auto"/>
        </w:rPr>
      </w:pPr>
      <w:r>
        <w:rPr>
          <w:rFonts w:ascii="Arial" w:cs="Arial" w:eastAsia="Arial" w:hAnsi="Arial"/>
          <w:sz w:val="17"/>
          <w:szCs w:val="17"/>
          <w:color w:val="231F20"/>
        </w:rPr>
        <w:t>Except as otherwise indicated, all information in this prospectus supplement assumes no exercise of the outstanding options or vesting of restricted stock units described above and does not assume or give effect to any exercise of outstanding options after September 30, 2022.</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31F2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40"/>
          </w:cols>
          <w:pgMar w:left="500" w:top="1440" w:right="559" w:bottom="1440" w:gutter="0" w:footer="0" w:header="0"/>
        </w:sectPr>
      </w:pPr>
    </w:p>
    <w:bookmarkStart w:id="5" w:name="page6"/>
    <w:bookmarkEnd w:id="5"/>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 FACTORS</w:t>
      </w:r>
    </w:p>
    <w:p>
      <w:pPr>
        <w:spacing w:after="0" w:line="2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231F20"/>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this prospectus supplement and the accompanying base prospectus, together with all of the other information contained or incorporated by reference herein or therein. You should also consider the risks, uncertainties and assumptions discussed under Part II, Item 1A, “Risk Factors,” in our Quarterly Report on Form 10-Q for the quarterly period ended September 30, 2022,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Relating to this Offering</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231F20"/>
        </w:rPr>
        <w:t>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The price per share of our common stock being offered may be higher than the net tangible book value per share of our outstanding common stock prior to this offering. Assuming that an aggregate of 5,055,611 shares of our common stock are sold at a price of $29.67 per share, the last reported sale price of our common stock on the Nasdaq Global Market on November 4, 2022, for aggregate gross proceeds of approximately $150 million, and after deducting commissions and estimated offering expenses payable by us, new investors in this offering will incur immediate dilution of $16.97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We have broad </w:t>
      </w:r>
      <w:r>
        <w:rPr>
          <w:rFonts w:ascii="Arial" w:cs="Arial" w:eastAsia="Arial" w:hAnsi="Arial"/>
          <w:sz w:val="18"/>
          <w:szCs w:val="18"/>
          <w:b w:val="1"/>
          <w:bCs w:val="1"/>
          <w:color w:val="231F20"/>
        </w:rPr>
        <w:t>discretion</w:t>
      </w:r>
      <w:r>
        <w:rPr>
          <w:rFonts w:ascii="Arial" w:cs="Arial" w:eastAsia="Arial" w:hAnsi="Arial"/>
          <w:sz w:val="18"/>
          <w:szCs w:val="18"/>
          <w:b w:val="1"/>
          <w:bCs w:val="1"/>
          <w:i w:val="1"/>
          <w:iCs w:val="1"/>
          <w:color w:val="231F20"/>
        </w:rPr>
        <w:t xml:space="preserve"> in the use of the net proceeds from this offering and may not use them effectively.</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clinical and process development and manufacturing of our product candidates, working capital, capital expenditures and other general corporate purposes. Additionally, we may use a portion of the net proceeds from this offering to develop our commercialization infrastructure, expand our manufacturing capabilities and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60"/>
          </w:cols>
          <w:pgMar w:left="420" w:top="1440" w:right="419" w:bottom="1440" w:gutter="0" w:footer="0" w:header="0"/>
        </w:sectPr>
      </w:pPr>
    </w:p>
    <w:bookmarkStart w:id="6" w:name="page7"/>
    <w:bookmarkEnd w:id="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actual number of shares we may issue under the sales agreement, at any one time or in total, is uncertain.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Subject to certain limitations in the sales agreement and compliance with applicable law, we have the discretion to deliver a placement notice to Cowen at any time throughout the term of the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The common stock offered hereby will be sold in “at-the-market” offerings, and investors who buy shares at different times will likely pay different prices.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80"/>
          </w:cols>
          <w:pgMar w:left="420" w:top="1440" w:right="4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231F20"/>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This prospectus supplement, the accompanying base prospectus and documents incorporated herein and therein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supplement, the accompanying base prospectus or in documents incorporated by reference herein and therein. We intend that such forward-looking statements be subject to the safe harbors created thereby.</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2022, as well as those discussed in this prospectus supplement and the accompanying base prospectus and in the documents incorporated by reference herein and therein. You are cautioned not to place undue reliance on these forward-looking statements, which speak only as of the date of this prospectus supplement or the accompanying base prospectus, as applicable, or, in the case of documents referred to or incorporated by reference herein or therein, the date of those documents.</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31F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40"/>
          </w:cols>
          <w:pgMar w:left="420" w:top="1390"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231F20"/>
        </w:rPr>
        <w:t>WHERE YOU CAN FIND MORE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Information about us is also available at our website at http://www.anaptysbio.com. However, the information on our website is not a part of this prospectus supplement and is not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20"/>
          </w:cols>
          <w:pgMar w:left="420" w:top="1431" w:right="45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231F20"/>
        </w:rPr>
        <w:t>INCORPORATION OF INFORMATION BY REFERENCE</w:t>
      </w:r>
    </w:p>
    <w:p>
      <w:pPr>
        <w:spacing w:after="0" w:line="364" w:lineRule="exact"/>
        <w:rPr>
          <w:sz w:val="20"/>
          <w:szCs w:val="20"/>
          <w:color w:val="auto"/>
        </w:rPr>
      </w:pPr>
    </w:p>
    <w:p>
      <w:pPr>
        <w:ind w:left="100"/>
        <w:spacing w:after="0" w:line="255" w:lineRule="auto"/>
        <w:rPr>
          <w:sz w:val="20"/>
          <w:szCs w:val="20"/>
          <w:color w:val="auto"/>
        </w:rPr>
      </w:pPr>
      <w:r>
        <w:rPr>
          <w:rFonts w:ascii="Arial" w:cs="Arial" w:eastAsia="Arial" w:hAnsi="Arial"/>
          <w:sz w:val="18"/>
          <w:szCs w:val="18"/>
          <w:color w:val="231F20"/>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information we file later with the SEC will automatically update and supersede this information. A Current Report (or portion thereof) furnished, but not filed, on Form 8-K shall not be incorporated by reference into this prospectus supplement. We incorporate by reference the documents listed below and any future filings we make with the SEC under Section 13(a), 13(c), 14, or 15(d) of the Exchange Act prior to the termination of any offering of securities made by this prospectus supplement:</w:t>
      </w:r>
    </w:p>
    <w:p>
      <w:pPr>
        <w:spacing w:after="0" w:line="44" w:lineRule="exact"/>
        <w:rPr>
          <w:sz w:val="20"/>
          <w:szCs w:val="20"/>
          <w:color w:val="auto"/>
        </w:rPr>
      </w:pPr>
    </w:p>
    <w:p>
      <w:pPr>
        <w:ind w:left="660" w:right="60" w:hanging="328"/>
        <w:spacing w:after="0" w:line="263" w:lineRule="auto"/>
        <w:tabs>
          <w:tab w:leader="none" w:pos="655"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 xml:space="preserve">our Annual Report on </w:t>
      </w:r>
      <w:hyperlink r:id="rId13">
        <w:r>
          <w:rPr>
            <w:rFonts w:ascii="Arial" w:cs="Arial" w:eastAsia="Arial" w:hAnsi="Arial"/>
            <w:sz w:val="18"/>
            <w:szCs w:val="18"/>
            <w:u w:val="single" w:color="auto"/>
            <w:color w:val="0000FF"/>
          </w:rPr>
          <w:t>Form 10-K</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 xml:space="preserve">for the fiscal year ended December 31, 2021 filed with the SEC on March 7, 2022, including those portions of our Definitive Proxy Statement on </w:t>
      </w:r>
      <w:hyperlink r:id="rId14">
        <w:r>
          <w:rPr>
            <w:rFonts w:ascii="Arial" w:cs="Arial" w:eastAsia="Arial" w:hAnsi="Arial"/>
            <w:sz w:val="18"/>
            <w:szCs w:val="18"/>
            <w:u w:val="single" w:color="auto"/>
            <w:color w:val="0000FF"/>
          </w:rPr>
          <w:t>Schedule 14A</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filed with the SEC on April 29, 2022 that are specifically incorporated by reference into such Annual Report on Form 10-K;</w:t>
      </w:r>
    </w:p>
    <w:p>
      <w:pPr>
        <w:spacing w:after="0" w:line="48" w:lineRule="exact"/>
        <w:rPr>
          <w:rFonts w:ascii="Arial" w:cs="Arial" w:eastAsia="Arial" w:hAnsi="Arial"/>
          <w:sz w:val="18"/>
          <w:szCs w:val="18"/>
          <w:color w:val="231F20"/>
        </w:rPr>
      </w:pPr>
    </w:p>
    <w:p>
      <w:pPr>
        <w:ind w:left="660" w:hanging="328"/>
        <w:spacing w:after="0"/>
        <w:tabs>
          <w:tab w:leader="none" w:pos="66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 xml:space="preserve">our Quarterly Report on </w:t>
      </w:r>
      <w:hyperlink r:id="rId15">
        <w:r>
          <w:rPr>
            <w:rFonts w:ascii="Arial" w:cs="Arial" w:eastAsia="Arial" w:hAnsi="Arial"/>
            <w:sz w:val="18"/>
            <w:szCs w:val="18"/>
            <w:u w:val="single" w:color="auto"/>
            <w:color w:val="0000FF"/>
          </w:rPr>
          <w:t>Form 10-Q</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for the quarter ended March 31, 2022 and filed with the SEC on May 4, 2022;</w:t>
      </w:r>
    </w:p>
    <w:p>
      <w:pPr>
        <w:spacing w:after="0" w:line="76" w:lineRule="exact"/>
        <w:rPr>
          <w:rFonts w:ascii="Arial" w:cs="Arial" w:eastAsia="Arial" w:hAnsi="Arial"/>
          <w:sz w:val="18"/>
          <w:szCs w:val="18"/>
          <w:color w:val="231F20"/>
        </w:rPr>
      </w:pPr>
    </w:p>
    <w:p>
      <w:pPr>
        <w:ind w:left="660" w:hanging="328"/>
        <w:spacing w:after="0"/>
        <w:tabs>
          <w:tab w:leader="none" w:pos="66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 xml:space="preserve">our Quarterly Report on </w:t>
      </w:r>
      <w:hyperlink r:id="rId16">
        <w:r>
          <w:rPr>
            <w:rFonts w:ascii="Arial" w:cs="Arial" w:eastAsia="Arial" w:hAnsi="Arial"/>
            <w:sz w:val="18"/>
            <w:szCs w:val="18"/>
            <w:u w:val="single" w:color="auto"/>
            <w:color w:val="0000FF"/>
          </w:rPr>
          <w:t>Form 10-Q</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for the quarter ended June 30, 2022 and filed with the SEC on August 8, 2022;</w:t>
      </w:r>
    </w:p>
    <w:p>
      <w:pPr>
        <w:spacing w:after="0" w:line="76" w:lineRule="exact"/>
        <w:rPr>
          <w:rFonts w:ascii="Arial" w:cs="Arial" w:eastAsia="Arial" w:hAnsi="Arial"/>
          <w:sz w:val="18"/>
          <w:szCs w:val="18"/>
          <w:color w:val="231F20"/>
        </w:rPr>
      </w:pPr>
    </w:p>
    <w:p>
      <w:pPr>
        <w:ind w:left="660" w:hanging="328"/>
        <w:spacing w:after="0"/>
        <w:tabs>
          <w:tab w:leader="none" w:pos="66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 xml:space="preserve">our Quarterly Report on </w:t>
      </w:r>
      <w:hyperlink r:id="rId17">
        <w:r>
          <w:rPr>
            <w:rFonts w:ascii="Arial" w:cs="Arial" w:eastAsia="Arial" w:hAnsi="Arial"/>
            <w:sz w:val="18"/>
            <w:szCs w:val="18"/>
            <w:u w:val="single" w:color="auto"/>
            <w:color w:val="0000FF"/>
          </w:rPr>
          <w:t>Form 10-Q</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for the quarter ended September 30, 2022 and filed with the SEC on November 8, 2022;</w:t>
      </w:r>
    </w:p>
    <w:p>
      <w:pPr>
        <w:spacing w:after="0" w:line="90" w:lineRule="exact"/>
        <w:rPr>
          <w:rFonts w:ascii="Arial" w:cs="Arial" w:eastAsia="Arial" w:hAnsi="Arial"/>
          <w:sz w:val="18"/>
          <w:szCs w:val="18"/>
          <w:color w:val="231F20"/>
        </w:rPr>
      </w:pPr>
    </w:p>
    <w:p>
      <w:pPr>
        <w:ind w:left="660" w:hanging="328"/>
        <w:spacing w:after="0" w:line="263" w:lineRule="auto"/>
        <w:tabs>
          <w:tab w:leader="none" w:pos="655"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 xml:space="preserve">our Current Reports on Form 8-K filed on </w:t>
      </w:r>
      <w:hyperlink r:id="rId18">
        <w:r>
          <w:rPr>
            <w:rFonts w:ascii="Arial" w:cs="Arial" w:eastAsia="Arial" w:hAnsi="Arial"/>
            <w:sz w:val="18"/>
            <w:szCs w:val="18"/>
            <w:u w:val="single" w:color="auto"/>
            <w:color w:val="0000FF"/>
          </w:rPr>
          <w:t>March 21, 2022</w:t>
        </w:r>
      </w:hyperlink>
      <w:r>
        <w:rPr>
          <w:rFonts w:ascii="Arial" w:cs="Arial" w:eastAsia="Arial" w:hAnsi="Arial"/>
          <w:sz w:val="18"/>
          <w:szCs w:val="18"/>
          <w:color w:val="231F20"/>
        </w:rPr>
        <w:t xml:space="preserve">, </w:t>
      </w:r>
      <w:hyperlink r:id="rId19">
        <w:r>
          <w:rPr>
            <w:rFonts w:ascii="Arial" w:cs="Arial" w:eastAsia="Arial" w:hAnsi="Arial"/>
            <w:sz w:val="18"/>
            <w:szCs w:val="18"/>
            <w:u w:val="single" w:color="auto"/>
            <w:color w:val="0000FF"/>
          </w:rPr>
          <w:t>April 29, 2022</w:t>
        </w:r>
      </w:hyperlink>
      <w:r>
        <w:rPr>
          <w:rFonts w:ascii="Arial" w:cs="Arial" w:eastAsia="Arial" w:hAnsi="Arial"/>
          <w:sz w:val="18"/>
          <w:szCs w:val="18"/>
          <w:color w:val="231F20"/>
        </w:rPr>
        <w:t xml:space="preserve">, </w:t>
      </w:r>
      <w:hyperlink r:id="rId20">
        <w:r>
          <w:rPr>
            <w:rFonts w:ascii="Arial" w:cs="Arial" w:eastAsia="Arial" w:hAnsi="Arial"/>
            <w:sz w:val="18"/>
            <w:szCs w:val="18"/>
            <w:u w:val="single" w:color="auto"/>
            <w:color w:val="0000FF"/>
          </w:rPr>
          <w:t>June 24, 2022</w:t>
        </w:r>
      </w:hyperlink>
      <w:r>
        <w:rPr>
          <w:rFonts w:ascii="Arial" w:cs="Arial" w:eastAsia="Arial" w:hAnsi="Arial"/>
          <w:sz w:val="18"/>
          <w:szCs w:val="18"/>
          <w:color w:val="231F20"/>
        </w:rPr>
        <w:t xml:space="preserve">, </w:t>
      </w:r>
      <w:hyperlink r:id="rId21">
        <w:r>
          <w:rPr>
            <w:rFonts w:ascii="Arial" w:cs="Arial" w:eastAsia="Arial" w:hAnsi="Arial"/>
            <w:sz w:val="18"/>
            <w:szCs w:val="18"/>
            <w:u w:val="single" w:color="auto"/>
            <w:color w:val="0000FF"/>
          </w:rPr>
          <w:t>September 12, 2022</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(except for the information contained in Item 7.01, which was “furnished” and not “filed”), and November 8, 2022 (except for the information contained in Item 2.02, which was “furnished” and not “filed”);</w:t>
      </w:r>
    </w:p>
    <w:p>
      <w:pPr>
        <w:spacing w:after="0" w:line="35" w:lineRule="exact"/>
        <w:rPr>
          <w:rFonts w:ascii="Arial" w:cs="Arial" w:eastAsia="Arial" w:hAnsi="Arial"/>
          <w:sz w:val="18"/>
          <w:szCs w:val="18"/>
          <w:color w:val="231F20"/>
        </w:rPr>
      </w:pPr>
    </w:p>
    <w:p>
      <w:pPr>
        <w:ind w:left="660" w:right="40" w:hanging="328"/>
        <w:spacing w:after="0" w:line="279" w:lineRule="auto"/>
        <w:tabs>
          <w:tab w:leader="none" w:pos="700" w:val="left"/>
        </w:tabs>
        <w:numPr>
          <w:ilvl w:val="0"/>
          <w:numId w:val="2"/>
        </w:numPr>
        <w:rPr>
          <w:rFonts w:ascii="Arial" w:cs="Arial" w:eastAsia="Arial" w:hAnsi="Arial"/>
          <w:sz w:val="17"/>
          <w:szCs w:val="17"/>
          <w:color w:val="231F20"/>
        </w:rPr>
      </w:pPr>
      <w:r>
        <w:rPr>
          <w:rFonts w:ascii="Arial" w:cs="Arial" w:eastAsia="Arial" w:hAnsi="Arial"/>
          <w:sz w:val="17"/>
          <w:szCs w:val="17"/>
          <w:color w:val="231F20"/>
        </w:rPr>
        <w:t xml:space="preserve">the description of our common stock contained in our registration statement on </w:t>
      </w:r>
      <w:hyperlink r:id="rId22">
        <w:r>
          <w:rPr>
            <w:rFonts w:ascii="Arial" w:cs="Arial" w:eastAsia="Arial" w:hAnsi="Arial"/>
            <w:sz w:val="17"/>
            <w:szCs w:val="17"/>
            <w:u w:val="single" w:color="auto"/>
            <w:color w:val="0000FF"/>
          </w:rPr>
          <w:t>Form 8-A</w:t>
        </w:r>
        <w:r>
          <w:rPr>
            <w:rFonts w:ascii="Arial" w:cs="Arial" w:eastAsia="Arial" w:hAnsi="Arial"/>
            <w:sz w:val="17"/>
            <w:szCs w:val="17"/>
            <w:u w:val="single" w:color="auto"/>
            <w:color w:val="231F20"/>
          </w:rPr>
          <w:t xml:space="preserve"> </w:t>
        </w:r>
      </w:hyperlink>
      <w:r>
        <w:rPr>
          <w:rFonts w:ascii="Arial" w:cs="Arial" w:eastAsia="Arial" w:hAnsi="Arial"/>
          <w:sz w:val="17"/>
          <w:szCs w:val="17"/>
          <w:color w:val="231F20"/>
        </w:rPr>
        <w:t xml:space="preserve">filed with the SEC on January 17, 2017 under Section 12 of the Exchange Act, as further amended by </w:t>
      </w:r>
      <w:hyperlink r:id="rId23">
        <w:r>
          <w:rPr>
            <w:rFonts w:ascii="Arial" w:cs="Arial" w:eastAsia="Arial" w:hAnsi="Arial"/>
            <w:sz w:val="17"/>
            <w:szCs w:val="17"/>
            <w:u w:val="single" w:color="auto"/>
            <w:color w:val="0000FF"/>
          </w:rPr>
          <w:t>Exhibit 4.3</w:t>
        </w:r>
        <w:r>
          <w:rPr>
            <w:rFonts w:ascii="Arial" w:cs="Arial" w:eastAsia="Arial" w:hAnsi="Arial"/>
            <w:sz w:val="17"/>
            <w:szCs w:val="17"/>
            <w:u w:val="single" w:color="auto"/>
            <w:color w:val="231F20"/>
          </w:rPr>
          <w:t xml:space="preserve"> </w:t>
        </w:r>
      </w:hyperlink>
      <w:r>
        <w:rPr>
          <w:rFonts w:ascii="Arial" w:cs="Arial" w:eastAsia="Arial" w:hAnsi="Arial"/>
          <w:sz w:val="17"/>
          <w:szCs w:val="17"/>
          <w:color w:val="231F20"/>
        </w:rPr>
        <w:t xml:space="preserve">(Description of the Registrant’s Securities Registered Pursuant to Section 12 of the Securities Exchange Act of 1934) to our Annual Report on </w:t>
      </w:r>
      <w:hyperlink r:id="rId24">
        <w:r>
          <w:rPr>
            <w:rFonts w:ascii="Arial" w:cs="Arial" w:eastAsia="Arial" w:hAnsi="Arial"/>
            <w:sz w:val="17"/>
            <w:szCs w:val="17"/>
            <w:u w:val="single" w:color="auto"/>
            <w:color w:val="0000FF"/>
          </w:rPr>
          <w:t>Form 10-K</w:t>
        </w:r>
        <w:r>
          <w:rPr>
            <w:rFonts w:ascii="Arial" w:cs="Arial" w:eastAsia="Arial" w:hAnsi="Arial"/>
            <w:sz w:val="17"/>
            <w:szCs w:val="17"/>
            <w:u w:val="single" w:color="auto"/>
            <w:color w:val="231F20"/>
          </w:rPr>
          <w:t xml:space="preserve"> </w:t>
        </w:r>
      </w:hyperlink>
      <w:r>
        <w:rPr>
          <w:rFonts w:ascii="Arial" w:cs="Arial" w:eastAsia="Arial" w:hAnsi="Arial"/>
          <w:sz w:val="17"/>
          <w:szCs w:val="17"/>
          <w:color w:val="231F20"/>
        </w:rPr>
        <w:t>for the fiscal year ended December 31, 2019 and filed with the SEC on March 2, 2020, including any amendment or report filed for the purpose of updating such description.</w:t>
      </w:r>
    </w:p>
    <w:p>
      <w:pPr>
        <w:spacing w:after="0" w:line="63" w:lineRule="exact"/>
        <w:rPr>
          <w:rFonts w:ascii="Arial" w:cs="Arial" w:eastAsia="Arial" w:hAnsi="Arial"/>
          <w:sz w:val="17"/>
          <w:szCs w:val="17"/>
          <w:color w:val="231F20"/>
        </w:rPr>
      </w:pPr>
    </w:p>
    <w:p>
      <w:pPr>
        <w:ind w:firstLine="90"/>
        <w:spacing w:after="0" w:line="255" w:lineRule="auto"/>
        <w:rPr>
          <w:sz w:val="20"/>
          <w:szCs w:val="20"/>
          <w:color w:val="auto"/>
        </w:rPr>
      </w:pPr>
      <w:r>
        <w:rPr>
          <w:rFonts w:ascii="Arial" w:cs="Arial" w:eastAsia="Arial" w:hAnsi="Arial"/>
          <w:sz w:val="18"/>
          <w:szCs w:val="18"/>
          <w:color w:val="231F20"/>
        </w:rPr>
        <w:t>Upon written or oral request, we will provide without charge to each person, including any beneficial owner, to whom this prospectus supplement is delivered, a copy of any or all of such information that has been incorporated herein by reference (other than exhibits to such documents unless such exhibits are specifically incorporated by reference into the documents that this prospectus supplement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84" w:lineRule="exact"/>
        <w:rPr>
          <w:rFonts w:ascii="Arial" w:cs="Arial" w:eastAsia="Arial" w:hAnsi="Arial"/>
          <w:sz w:val="17"/>
          <w:szCs w:val="17"/>
          <w:color w:val="231F20"/>
        </w:rPr>
      </w:pPr>
    </w:p>
    <w:p>
      <w:pPr>
        <w:ind w:right="220" w:firstLine="90"/>
        <w:spacing w:after="0" w:line="279" w:lineRule="auto"/>
        <w:rPr>
          <w:sz w:val="20"/>
          <w:szCs w:val="20"/>
          <w:color w:val="auto"/>
        </w:rPr>
      </w:pPr>
      <w:r>
        <w:rPr>
          <w:rFonts w:ascii="Arial" w:cs="Arial" w:eastAsia="Arial" w:hAnsi="Arial"/>
          <w:sz w:val="17"/>
          <w:szCs w:val="17"/>
          <w:color w:val="231F20"/>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the accompanying base prospectus or any document incorporated by reference modifies or supersedes such statement. Any such statement so modified or superseded shall not, except as so modified or superseded, constitute a part of this prospectus supplement.</w:t>
      </w:r>
    </w:p>
    <w:p>
      <w:pPr>
        <w:spacing w:after="0" w:line="200" w:lineRule="exact"/>
        <w:rPr>
          <w:rFonts w:ascii="Arial" w:cs="Arial" w:eastAsia="Arial" w:hAnsi="Arial"/>
          <w:sz w:val="17"/>
          <w:szCs w:val="17"/>
          <w:color w:val="231F20"/>
        </w:rPr>
      </w:pPr>
    </w:p>
    <w:p>
      <w:pPr>
        <w:spacing w:after="0" w:line="200" w:lineRule="exact"/>
        <w:rPr>
          <w:rFonts w:ascii="Arial" w:cs="Arial" w:eastAsia="Arial" w:hAnsi="Arial"/>
          <w:sz w:val="17"/>
          <w:szCs w:val="17"/>
          <w:color w:val="231F20"/>
        </w:rPr>
      </w:pPr>
    </w:p>
    <w:p>
      <w:pPr>
        <w:spacing w:after="0" w:line="200" w:lineRule="exact"/>
        <w:rPr>
          <w:rFonts w:ascii="Arial" w:cs="Arial" w:eastAsia="Arial" w:hAnsi="Arial"/>
          <w:sz w:val="17"/>
          <w:szCs w:val="17"/>
          <w:color w:val="231F20"/>
        </w:rPr>
      </w:pPr>
    </w:p>
    <w:p>
      <w:pPr>
        <w:spacing w:after="0" w:line="200" w:lineRule="exact"/>
        <w:rPr>
          <w:rFonts w:ascii="Arial" w:cs="Arial" w:eastAsia="Arial" w:hAnsi="Arial"/>
          <w:sz w:val="17"/>
          <w:szCs w:val="17"/>
          <w:color w:val="231F20"/>
        </w:rPr>
      </w:pPr>
    </w:p>
    <w:p>
      <w:pPr>
        <w:spacing w:after="0" w:line="397" w:lineRule="exact"/>
        <w:rPr>
          <w:rFonts w:ascii="Arial" w:cs="Arial" w:eastAsia="Arial" w:hAnsi="Arial"/>
          <w:sz w:val="17"/>
          <w:szCs w:val="17"/>
          <w:color w:val="231F20"/>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1431" w:right="479" w:bottom="1440" w:gutter="0" w:footer="0" w:header="0"/>
        </w:sectPr>
      </w:pPr>
    </w:p>
    <w:bookmarkStart w:id="10" w:name="page11"/>
    <w:bookmarkEnd w:id="10"/>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USE OF PROCEEDS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may issue and sell shares of our common stock having aggregate sales proceeds of up to $150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Cowen as a source of financing.</w:t>
      </w:r>
    </w:p>
    <w:p>
      <w:pPr>
        <w:spacing w:after="0" w:line="13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31F20"/>
        </w:rPr>
        <w:t>We currently intend to use any net proceeds from the sale of securities under this prospectus supplement primarily to fund research, clinical and process development and manufacturing of our product candidates, working capital, capital expenditures and other general corporate purposes. Additionally, we may use a portion of the net proceeds from this offering to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40"/>
          </w:cols>
          <w:pgMar w:left="420" w:top="1440" w:right="439" w:bottom="1440" w:gutter="0" w:footer="0" w:header="0"/>
        </w:sectPr>
      </w:pPr>
    </w:p>
    <w:bookmarkStart w:id="11" w:name="page12"/>
    <w:bookmarkEnd w:id="11"/>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DIVIDEND POLICY</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860"/>
          </w:cols>
          <w:pgMar w:left="420" w:top="1440" w:right="619" w:bottom="1440" w:gutter="0" w:footer="0" w:header="0"/>
        </w:sectPr>
      </w:pPr>
    </w:p>
    <w:bookmarkStart w:id="12" w:name="page13"/>
    <w:bookmarkEnd w:id="12"/>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DILUTION</w:t>
      </w:r>
    </w:p>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September 30, 2022 was approximately $277.6 million, or approximately $9.79 per share of common stock based upon 28,354,167 shares of common stock outstanding. Net tangible book value per share is equal to our total tangible assets, less our total liabilities, divided by the total number of shares of common stock outstanding as of September 30, 2022.</w:t>
      </w:r>
    </w:p>
    <w:p>
      <w:pPr>
        <w:spacing w:after="0" w:line="13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231F20"/>
        </w:rPr>
        <w:t>After giving effect to the sale of our common stock in the aggregate amount of $150 million at an assumed offering price of $29.67 per share, the last reported sale price of our common stock on the Nasdaq Global Market on November 4, 2022, and after deducting commissions and estimated offering expenses payable by us, our as adjusted net tangible book value as of September 30, 2022 would have been $424.4 million, or $12.70 per share of common stock. This represents an immediate increase in net tangible book value of $2.91 per share to our existing stockholders and an immediate dilution in net tangible book value of $16.97 per share to new investors in this offering.</w:t>
      </w:r>
    </w:p>
    <w:p>
      <w:pPr>
        <w:spacing w:after="0" w:line="12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231F20"/>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$150 million is sold at the assumed offering price of $29.67 per share, the last reported sale price of our common stock on the Nasdaq Global Market on November 4, 2022. The shares sold in this offering, if any, will be sold from time to time at various prices.</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2040" w:type="dxa"/>
            <w:vAlign w:val="bottom"/>
            <w:gridSpan w:val="3"/>
          </w:tcPr>
          <w:p>
            <w:pPr>
              <w:jc w:val="right"/>
              <w:ind w:right="35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189"/>
        </w:trPr>
        <w:tc>
          <w:tcPr>
            <w:tcW w:w="5040" w:type="dxa"/>
            <w:vAlign w:val="bottom"/>
          </w:tcPr>
          <w:p>
            <w:pPr>
              <w:ind w:left="920"/>
              <w:spacing w:after="0" w:line="189" w:lineRule="exact"/>
              <w:rPr>
                <w:sz w:val="20"/>
                <w:szCs w:val="20"/>
                <w:color w:val="auto"/>
              </w:rPr>
            </w:pPr>
            <w:r>
              <w:rPr>
                <w:rFonts w:ascii="Arial" w:cs="Arial" w:eastAsia="Arial" w:hAnsi="Arial"/>
                <w:sz w:val="18"/>
                <w:szCs w:val="18"/>
                <w:color w:val="auto"/>
                <w:w w:val="93"/>
              </w:rPr>
              <w:t>Net tangible book value per share as of 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060"/>
              <w:spacing w:after="0"/>
              <w:rPr>
                <w:sz w:val="20"/>
                <w:szCs w:val="20"/>
                <w:color w:val="auto"/>
              </w:rPr>
            </w:pPr>
            <w:r>
              <w:rPr>
                <w:rFonts w:ascii="Arial" w:cs="Arial" w:eastAsia="Arial" w:hAnsi="Arial"/>
                <w:sz w:val="18"/>
                <w:szCs w:val="18"/>
                <w:color w:val="auto"/>
              </w:rPr>
              <w:t>2022</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88"/>
              </w:rPr>
              <w:t>$9.79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920"/>
              <w:spacing w:after="0" w:line="189" w:lineRule="exact"/>
              <w:rPr>
                <w:sz w:val="20"/>
                <w:szCs w:val="20"/>
                <w:color w:val="auto"/>
              </w:rPr>
            </w:pPr>
            <w:r>
              <w:rPr>
                <w:rFonts w:ascii="Arial" w:cs="Arial" w:eastAsia="Arial" w:hAnsi="Arial"/>
                <w:sz w:val="18"/>
                <w:szCs w:val="18"/>
                <w:color w:val="auto"/>
                <w:w w:val="90"/>
              </w:rPr>
              <w:t>Increase in net tangible book value per share attributable</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060"/>
              <w:spacing w:after="0"/>
              <w:rPr>
                <w:sz w:val="20"/>
                <w:szCs w:val="20"/>
                <w:color w:val="auto"/>
              </w:rPr>
            </w:pPr>
            <w:r>
              <w:rPr>
                <w:rFonts w:ascii="Arial" w:cs="Arial" w:eastAsia="Arial" w:hAnsi="Arial"/>
                <w:sz w:val="18"/>
                <w:szCs w:val="18"/>
                <w:color w:val="auto"/>
              </w:rPr>
              <w:t>to the offering</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8"/>
              </w:rPr>
              <w:t>$2.91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Arial" w:cs="Arial" w:eastAsia="Arial" w:hAnsi="Arial"/>
                <w:sz w:val="18"/>
                <w:szCs w:val="18"/>
                <w:color w:val="auto"/>
              </w:rPr>
              <w:t>As adjusted net tangible book value per share after giving</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effect to the offering</w:t>
            </w:r>
          </w:p>
        </w:tc>
        <w:tc>
          <w:tcPr>
            <w:tcW w:w="1080" w:type="dxa"/>
            <w:vAlign w:val="bottom"/>
            <w:gridSpan w:val="2"/>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0"/>
              </w:rPr>
              <w:t>$12.70</w:t>
            </w:r>
          </w:p>
        </w:tc>
        <w:tc>
          <w:tcPr>
            <w:tcW w:w="0" w:type="dxa"/>
            <w:vAlign w:val="bottom"/>
          </w:tcPr>
          <w:p>
            <w:pPr>
              <w:spacing w:after="0"/>
              <w:rPr>
                <w:sz w:val="1"/>
                <w:szCs w:val="1"/>
                <w:color w:val="auto"/>
              </w:rPr>
            </w:pPr>
          </w:p>
        </w:tc>
      </w:tr>
      <w:tr>
        <w:trPr>
          <w:trHeight w:val="168"/>
        </w:trPr>
        <w:tc>
          <w:tcPr>
            <w:tcW w:w="5040" w:type="dxa"/>
            <w:vAlign w:val="bottom"/>
          </w:tcPr>
          <w:p>
            <w:pPr>
              <w:spacing w:after="0" w:line="168" w:lineRule="exact"/>
              <w:rPr>
                <w:sz w:val="20"/>
                <w:szCs w:val="20"/>
                <w:color w:val="auto"/>
              </w:rPr>
            </w:pPr>
            <w:r>
              <w:rPr>
                <w:rFonts w:ascii="Arial" w:cs="Arial" w:eastAsia="Arial" w:hAnsi="Arial"/>
                <w:sz w:val="18"/>
                <w:szCs w:val="18"/>
                <w:color w:val="auto"/>
              </w:rPr>
              <w:t>Dilution per share to new investors participating in the</w:t>
            </w:r>
          </w:p>
        </w:tc>
        <w:tc>
          <w:tcPr>
            <w:tcW w:w="2040" w:type="dxa"/>
            <w:vAlign w:val="bottom"/>
            <w:gridSpan w:val="3"/>
            <w:vMerge w:val="restart"/>
          </w:tcPr>
          <w:p>
            <w:pPr>
              <w:jc w:val="right"/>
              <w:ind w:right="35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3"/>
        </w:trPr>
        <w:tc>
          <w:tcPr>
            <w:tcW w:w="5040" w:type="dxa"/>
            <w:vAlign w:val="bottom"/>
          </w:tcPr>
          <w:p>
            <w:pPr>
              <w:ind w:left="260"/>
              <w:spacing w:after="0" w:line="203" w:lineRule="exact"/>
              <w:rPr>
                <w:sz w:val="20"/>
                <w:szCs w:val="20"/>
                <w:color w:val="auto"/>
              </w:rPr>
            </w:pPr>
            <w:r>
              <w:rPr>
                <w:rFonts w:ascii="Arial" w:cs="Arial" w:eastAsia="Arial" w:hAnsi="Arial"/>
                <w:sz w:val="18"/>
                <w:szCs w:val="18"/>
                <w:color w:val="auto"/>
              </w:rPr>
              <w:t>offering</w:t>
            </w:r>
          </w:p>
        </w:tc>
        <w:tc>
          <w:tcPr>
            <w:tcW w:w="20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520"/>
        <w:spacing w:after="0" w:line="359" w:lineRule="auto"/>
        <w:rPr>
          <w:sz w:val="20"/>
          <w:szCs w:val="20"/>
          <w:color w:val="auto"/>
        </w:rPr>
      </w:pPr>
      <w:r>
        <w:rPr>
          <w:rFonts w:ascii="Arial" w:cs="Arial" w:eastAsia="Arial" w:hAnsi="Arial"/>
          <w:sz w:val="16"/>
          <w:szCs w:val="16"/>
          <w:color w:val="231F20"/>
        </w:rPr>
        <w:t>The number of shares of our common stock shown above to be outstanding after this offering is based on 28,354,167 shares of our common stock outstanding as of September 30, 2022, and excludes:</w:t>
      </w:r>
    </w:p>
    <w:p>
      <w:pPr>
        <w:spacing w:after="0" w:line="3" w:lineRule="exact"/>
        <w:rPr>
          <w:sz w:val="20"/>
          <w:szCs w:val="20"/>
          <w:color w:val="auto"/>
        </w:rPr>
      </w:pPr>
    </w:p>
    <w:p>
      <w:pPr>
        <w:ind w:left="560" w:right="340" w:hanging="328"/>
        <w:spacing w:after="0" w:line="277" w:lineRule="auto"/>
        <w:tabs>
          <w:tab w:leader="none" w:pos="555" w:val="left"/>
        </w:tabs>
        <w:numPr>
          <w:ilvl w:val="0"/>
          <w:numId w:val="3"/>
        </w:numPr>
        <w:rPr>
          <w:rFonts w:ascii="Arial" w:cs="Arial" w:eastAsia="Arial" w:hAnsi="Arial"/>
          <w:sz w:val="18"/>
          <w:szCs w:val="18"/>
          <w:color w:val="auto"/>
        </w:rPr>
      </w:pPr>
      <w:r>
        <w:rPr>
          <w:rFonts w:ascii="Arial" w:cs="Arial" w:eastAsia="Arial" w:hAnsi="Arial"/>
          <w:sz w:val="18"/>
          <w:szCs w:val="18"/>
          <w:color w:val="231F20"/>
        </w:rPr>
        <w:t>3,711,635 shares of common stock issuable upon exercise of outstanding options as of September 30, 2022, with a weighted-average exercise price of $31.96 per share;</w:t>
      </w:r>
    </w:p>
    <w:p>
      <w:pPr>
        <w:spacing w:after="0" w:line="21" w:lineRule="exact"/>
        <w:rPr>
          <w:rFonts w:ascii="Arial" w:cs="Arial" w:eastAsia="Arial" w:hAnsi="Arial"/>
          <w:sz w:val="18"/>
          <w:szCs w:val="18"/>
          <w:color w:val="auto"/>
        </w:rPr>
      </w:pPr>
    </w:p>
    <w:p>
      <w:pPr>
        <w:ind w:left="560" w:hanging="328"/>
        <w:spacing w:after="0"/>
        <w:tabs>
          <w:tab w:leader="none" w:pos="5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1,030,443 shares of common stock issuable upon vesting of outstanding restricted stock unit grants as of September 30, 2022;</w:t>
      </w:r>
    </w:p>
    <w:p>
      <w:pPr>
        <w:spacing w:after="0" w:line="76" w:lineRule="exact"/>
        <w:rPr>
          <w:rFonts w:ascii="Arial" w:cs="Arial" w:eastAsia="Arial" w:hAnsi="Arial"/>
          <w:sz w:val="18"/>
          <w:szCs w:val="18"/>
          <w:color w:val="231F20"/>
        </w:rPr>
      </w:pPr>
    </w:p>
    <w:p>
      <w:pPr>
        <w:ind w:left="560" w:hanging="328"/>
        <w:spacing w:after="0" w:line="277" w:lineRule="auto"/>
        <w:tabs>
          <w:tab w:leader="none" w:pos="555" w:val="left"/>
        </w:tabs>
        <w:numPr>
          <w:ilvl w:val="0"/>
          <w:numId w:val="3"/>
        </w:numPr>
        <w:rPr>
          <w:rFonts w:ascii="Arial" w:cs="Arial" w:eastAsia="Arial" w:hAnsi="Arial"/>
          <w:sz w:val="18"/>
          <w:szCs w:val="18"/>
          <w:color w:val="auto"/>
        </w:rPr>
      </w:pPr>
      <w:r>
        <w:rPr>
          <w:rFonts w:ascii="Arial" w:cs="Arial" w:eastAsia="Arial" w:hAnsi="Arial"/>
          <w:sz w:val="18"/>
          <w:szCs w:val="18"/>
          <w:color w:val="231F20"/>
        </w:rPr>
        <w:t>61,850 shares of common stock issuable upon the exercise of options granted after September 30, 2022, with a weighted-average exercise price of $27.30 per share;</w:t>
      </w:r>
    </w:p>
    <w:p>
      <w:pPr>
        <w:spacing w:after="0" w:line="35" w:lineRule="exact"/>
        <w:rPr>
          <w:rFonts w:ascii="Arial" w:cs="Arial" w:eastAsia="Arial" w:hAnsi="Arial"/>
          <w:sz w:val="18"/>
          <w:szCs w:val="18"/>
          <w:color w:val="auto"/>
        </w:rPr>
      </w:pPr>
    </w:p>
    <w:p>
      <w:pPr>
        <w:ind w:left="560" w:hanging="328"/>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2,406,404 shares of common stock reserved for future issuance under our 2017 Equity Incentive Plan as of September 30, 2022; and</w:t>
      </w:r>
    </w:p>
    <w:p>
      <w:pPr>
        <w:spacing w:after="0" w:line="88" w:lineRule="exact"/>
        <w:rPr>
          <w:rFonts w:ascii="Arial" w:cs="Arial" w:eastAsia="Arial" w:hAnsi="Arial"/>
          <w:sz w:val="17"/>
          <w:szCs w:val="17"/>
          <w:color w:val="auto"/>
        </w:rPr>
      </w:pPr>
    </w:p>
    <w:p>
      <w:pPr>
        <w:ind w:left="560" w:hanging="328"/>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231F20"/>
        </w:rPr>
        <w:t>1,507,549 shares of common stock reserved for future issuance under our 2017 Employee Stock Purchase Plan as of September 30, 2022.</w:t>
      </w:r>
    </w:p>
    <w:p>
      <w:pPr>
        <w:spacing w:after="0" w:line="1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The foregoing table assumes no exercise of the outstanding options or vesting of restricted stock units described above and does not assume or give effect to any exercise of outstanding options after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420" w:top="1440" w:right="399" w:bottom="1440" w:gutter="0" w:footer="0" w:header="0"/>
        </w:sectPr>
      </w:pPr>
    </w:p>
    <w:bookmarkStart w:id="13" w:name="page14"/>
    <w:bookmarkEnd w:id="13"/>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PLAN OF DISTRIBUTION</w:t>
      </w:r>
    </w:p>
    <w:p>
      <w:pPr>
        <w:spacing w:after="0" w:line="9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231F20"/>
        </w:rPr>
        <w:t>We have entered into a sales agreement with Cowen, under which we may issue and sell from time to time up to $150 million of our common stock through Cowen as our sales agent. Sales of our common stock, if any, will be made at market prices by any method that is deemed to be an “at-the-market” offering as defined in Rule 415 under the Securities Act.</w:t>
      </w:r>
    </w:p>
    <w:p>
      <w:pPr>
        <w:spacing w:after="0" w:line="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Cowen and we each have the right, by giving written notice as specified in the sales agreement, to terminate the sales agreement in each party’s sole discretion at any time.</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The aggregate compensation payable to Cowen as sales agent will be up to 3.0% of the gross sales price of the shares sold through it pursuant to the sales agreement. We have also agreed to reimburse Cowen up to $75,000 of Cowen’s actual outside legal expenses incurred by Cowen in connection with this offering, and for certain other expenses. We estimate that the total expenses of the offering payable by us, excluding commissions payable to Cowen under the sales agreement, will be approximately $200,000.</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6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231F20"/>
        </w:rPr>
        <w:t>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We will report at least quarterly the number of shares of common stock sold through Cowen under the sales agreement, the net proceeds to us and the compensation paid by us to Cowen in connection with the sales of common stock.</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31F20"/>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transactions that stabilizes our common stock.</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Our common stock is listed on The Nasdaq Global Market and trades under the symbol “ANAB”. The transfer agent of our common stock is America Stock Transfer &amp; Trust Company, LLC.</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420" w:top="1440" w:right="439" w:bottom="1440" w:gutter="0" w:footer="0" w:header="0"/>
        </w:sectPr>
      </w:pPr>
    </w:p>
    <w:bookmarkStart w:id="14" w:name="page15"/>
    <w:bookmarkEnd w:id="14"/>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LEGAL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Fenwick &amp; West LLP, Mountain View, California, will pass on certain legal matters relating to the issuance and sale of the securities offered hereby on behalf of AnaptysBio, Inc. Cowen and Company, LLC is being represented in connection with this offering by Mintz, Levin, Cohn, Ferris, Glovsky and Popeo, P.C., 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40"/>
          </w:cols>
          <w:pgMar w:left="420" w:top="1440" w:right="539" w:bottom="1440" w:gutter="0" w:footer="0" w:header="0"/>
        </w:sectPr>
      </w:pPr>
    </w:p>
    <w:bookmarkStart w:id="15" w:name="page16"/>
    <w:bookmarkEnd w:id="15"/>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EXPERTS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231F20"/>
        </w:rPr>
        <w:t>The consolidated financial statements of AnaptysBio,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80"/>
          </w:cols>
          <w:pgMar w:left="420" w:top="1440" w:right="499" w:bottom="1440" w:gutter="0" w:footer="0" w:header="0"/>
        </w:sectPr>
      </w:pPr>
    </w:p>
    <w:bookmarkStart w:id="16" w:name="page17"/>
    <w:bookmarkEnd w:id="16"/>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PROSPECTUS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231F20"/>
        </w:rPr>
        <w:t>$300,000,000</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231F20"/>
        </w:rPr>
        <w:t>AnaptysBio, Inc.</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231F20"/>
        </w:rPr>
        <w:t>Common Stock, Preferred Stock,</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231F20"/>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129540</wp:posOffset>
            </wp:positionV>
            <wp:extent cx="1457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From time to time, we may offer up to $300,000,000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$300,000,000.</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231F20"/>
        </w:rPr>
        <w:t>You should read this prospectus, the information incorporated, or deemed to be incorporated, by reference in this prospectus, and any applicable prospectus supplement and related free writing prospectus carefully before you invest.</w:t>
      </w:r>
    </w:p>
    <w:p>
      <w:pPr>
        <w:spacing w:after="0" w:line="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231F20"/>
        </w:rPr>
        <w:t>Our common stock is traded on the Nasdaq Global Market under the symbol “ANAB.” On December 28, 2021 the last reported sales price for our common stock was $35.93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91440</wp:posOffset>
            </wp:positionV>
            <wp:extent cx="1457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13" w:lineRule="exact"/>
        <w:rPr>
          <w:sz w:val="20"/>
          <w:szCs w:val="20"/>
          <w:color w:val="auto"/>
        </w:rPr>
      </w:pPr>
    </w:p>
    <w:p>
      <w:pPr>
        <w:ind w:right="140"/>
        <w:spacing w:after="0" w:line="307" w:lineRule="auto"/>
        <w:rPr>
          <w:sz w:val="20"/>
          <w:szCs w:val="20"/>
          <w:color w:val="auto"/>
        </w:rPr>
      </w:pPr>
      <w:r>
        <w:rPr>
          <w:rFonts w:ascii="Arial" w:cs="Arial" w:eastAsia="Arial" w:hAnsi="Arial"/>
          <w:sz w:val="21"/>
          <w:szCs w:val="21"/>
          <w:b w:val="1"/>
          <w:bCs w:val="1"/>
          <w:color w:val="231F20"/>
        </w:rPr>
        <w:t>An investment in our securities involves a high degree of risk. You should carefully consider the information under the heading “Risk Factors” beginning on page 4 of this prospectus before investing in our securities.</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104775</wp:posOffset>
            </wp:positionV>
            <wp:extent cx="1448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70" w:lineRule="exact"/>
        <w:rPr>
          <w:sz w:val="20"/>
          <w:szCs w:val="20"/>
          <w:color w:val="auto"/>
        </w:rPr>
      </w:pPr>
    </w:p>
    <w:p>
      <w:pPr>
        <w:ind w:right="600"/>
        <w:spacing w:after="0" w:line="312" w:lineRule="auto"/>
        <w:rPr>
          <w:sz w:val="20"/>
          <w:szCs w:val="20"/>
          <w:color w:val="auto"/>
        </w:rPr>
      </w:pPr>
      <w:r>
        <w:rPr>
          <w:rFonts w:ascii="Arial" w:cs="Arial" w:eastAsia="Arial" w:hAnsi="Arial"/>
          <w:sz w:val="17"/>
          <w:szCs w:val="17"/>
          <w:b w:val="1"/>
          <w:bCs w:val="1"/>
          <w:color w:val="231F20"/>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74930</wp:posOffset>
            </wp:positionV>
            <wp:extent cx="1457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17" w:name="page18"/>
    <w:bookmarkEnd w:id="1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80" w:type="dxa"/>
            <w:vAlign w:val="bottom"/>
            <w:gridSpan w:val="4"/>
          </w:tcPr>
          <w:p>
            <w:pPr>
              <w:ind w:left="80"/>
              <w:spacing w:after="0"/>
              <w:rPr>
                <w:sz w:val="20"/>
                <w:szCs w:val="20"/>
                <w:color w:val="auto"/>
              </w:rPr>
            </w:pPr>
            <w:r>
              <w:rPr>
                <w:rFonts w:ascii="Arial" w:cs="Arial" w:eastAsia="Arial" w:hAnsi="Arial"/>
                <w:sz w:val="18"/>
                <w:szCs w:val="18"/>
                <w:b w:val="1"/>
                <w:bCs w:val="1"/>
                <w:color w:val="231F20"/>
              </w:rPr>
              <w:t>TABLE OF CONTENTS</w:t>
            </w:r>
          </w:p>
        </w:tc>
      </w:tr>
      <w:tr>
        <w:trPr>
          <w:trHeight w:val="270"/>
        </w:trPr>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380" w:type="dxa"/>
            <w:vAlign w:val="bottom"/>
            <w:tcBorders>
              <w:bottom w:val="single" w:sz="8" w:color="231F20"/>
            </w:tcBorders>
            <w:gridSpan w:val="3"/>
          </w:tcPr>
          <w:p>
            <w:pPr>
              <w:spacing w:after="0"/>
              <w:rPr>
                <w:sz w:val="20"/>
                <w:szCs w:val="20"/>
                <w:color w:val="auto"/>
              </w:rPr>
            </w:pPr>
            <w:r>
              <w:rPr>
                <w:rFonts w:ascii="Arial" w:cs="Arial" w:eastAsia="Arial" w:hAnsi="Arial"/>
                <w:sz w:val="14"/>
                <w:szCs w:val="14"/>
                <w:b w:val="1"/>
                <w:bCs w:val="1"/>
                <w:color w:val="231F20"/>
                <w:w w:val="90"/>
              </w:rPr>
              <w:t>PAGE</w:t>
            </w:r>
          </w:p>
        </w:tc>
      </w:tr>
      <w:tr>
        <w:trPr>
          <w:trHeight w:val="331"/>
        </w:trPr>
        <w:tc>
          <w:tcPr>
            <w:tcW w:w="4440" w:type="dxa"/>
            <w:vAlign w:val="bottom"/>
            <w:gridSpan w:val="13"/>
          </w:tcPr>
          <w:p>
            <w:pPr>
              <w:spacing w:after="0"/>
              <w:rPr>
                <w:sz w:val="20"/>
                <w:szCs w:val="20"/>
                <w:color w:val="auto"/>
              </w:rPr>
            </w:pPr>
            <w:r>
              <w:rPr>
                <w:rFonts w:ascii="Arial" w:cs="Arial" w:eastAsia="Arial" w:hAnsi="Arial"/>
                <w:sz w:val="18"/>
                <w:szCs w:val="18"/>
                <w:color w:val="0000FF"/>
              </w:rPr>
              <w:t>ABOUT THIS PROSPECTUS</w:t>
            </w:r>
          </w:p>
        </w:tc>
        <w:tc>
          <w:tcPr>
            <w:tcW w:w="6020" w:type="dxa"/>
            <w:vAlign w:val="bottom"/>
            <w:gridSpan w:val="3"/>
          </w:tcPr>
          <w:p>
            <w:pPr>
              <w:jc w:val="center"/>
              <w:ind w:left="5830"/>
              <w:spacing w:after="0"/>
              <w:rPr>
                <w:sz w:val="20"/>
                <w:szCs w:val="20"/>
                <w:color w:val="auto"/>
              </w:rPr>
            </w:pPr>
            <w:r>
              <w:rPr>
                <w:rFonts w:ascii="Arial" w:cs="Arial" w:eastAsia="Arial" w:hAnsi="Arial"/>
                <w:sz w:val="18"/>
                <w:szCs w:val="18"/>
                <w:color w:val="0000FF"/>
                <w:w w:val="99"/>
              </w:rPr>
              <w:t>1</w:t>
            </w:r>
          </w:p>
        </w:tc>
        <w:tc>
          <w:tcPr>
            <w:tcW w:w="16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20" w:type="dxa"/>
            <w:vAlign w:val="bottom"/>
            <w:gridSpan w:val="5"/>
          </w:tcPr>
          <w:p>
            <w:pPr>
              <w:spacing w:after="0"/>
              <w:rPr>
                <w:sz w:val="20"/>
                <w:szCs w:val="20"/>
                <w:color w:val="auto"/>
              </w:rPr>
            </w:pPr>
            <w:r>
              <w:rPr>
                <w:rFonts w:ascii="Arial" w:cs="Arial" w:eastAsia="Arial" w:hAnsi="Arial"/>
                <w:sz w:val="18"/>
                <w:szCs w:val="18"/>
                <w:color w:val="0000FF"/>
                <w:w w:val="89"/>
              </w:rPr>
              <w:t>PROSPECTUS SUMMARY</w:t>
            </w:r>
          </w:p>
        </w:tc>
        <w:tc>
          <w:tcPr>
            <w:tcW w:w="200" w:type="dxa"/>
            <w:vAlign w:val="bottom"/>
          </w:tcPr>
          <w:p>
            <w:pPr>
              <w:spacing w:after="0"/>
              <w:rPr>
                <w:sz w:val="18"/>
                <w:szCs w:val="18"/>
                <w:color w:val="auto"/>
              </w:rPr>
            </w:pPr>
          </w:p>
        </w:tc>
        <w:tc>
          <w:tcPr>
            <w:tcW w:w="2220" w:type="dxa"/>
            <w:vAlign w:val="bottom"/>
            <w:gridSpan w:val="7"/>
          </w:tcPr>
          <w:p>
            <w:pPr>
              <w:spacing w:after="0"/>
              <w:rPr>
                <w:sz w:val="18"/>
                <w:szCs w:val="18"/>
                <w:color w:val="auto"/>
              </w:rPr>
            </w:pPr>
          </w:p>
        </w:tc>
        <w:tc>
          <w:tcPr>
            <w:tcW w:w="5940" w:type="dxa"/>
            <w:vAlign w:val="bottom"/>
            <w:gridSpan w:val="2"/>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20" w:type="dxa"/>
            <w:vAlign w:val="bottom"/>
            <w:gridSpan w:val="5"/>
          </w:tcPr>
          <w:p>
            <w:pPr>
              <w:spacing w:after="0"/>
              <w:rPr>
                <w:sz w:val="20"/>
                <w:szCs w:val="20"/>
                <w:color w:val="auto"/>
              </w:rPr>
            </w:pPr>
            <w:r>
              <w:rPr>
                <w:rFonts w:ascii="Arial" w:cs="Arial" w:eastAsia="Arial" w:hAnsi="Arial"/>
                <w:sz w:val="18"/>
                <w:szCs w:val="18"/>
                <w:color w:val="0000FF"/>
              </w:rPr>
              <w:t>RISK FACTORS</w:t>
            </w:r>
          </w:p>
        </w:tc>
        <w:tc>
          <w:tcPr>
            <w:tcW w:w="2420" w:type="dxa"/>
            <w:vAlign w:val="bottom"/>
            <w:gridSpan w:val="8"/>
          </w:tcPr>
          <w:p>
            <w:pPr>
              <w:spacing w:after="0"/>
              <w:rPr>
                <w:sz w:val="18"/>
                <w:szCs w:val="18"/>
                <w:color w:val="auto"/>
              </w:rPr>
            </w:pPr>
          </w:p>
        </w:tc>
        <w:tc>
          <w:tcPr>
            <w:tcW w:w="5940" w:type="dxa"/>
            <w:vAlign w:val="bottom"/>
            <w:gridSpan w:val="2"/>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gridSpan w:val="13"/>
          </w:tcPr>
          <w:p>
            <w:pPr>
              <w:spacing w:after="0"/>
              <w:rPr>
                <w:sz w:val="20"/>
                <w:szCs w:val="20"/>
                <w:color w:val="auto"/>
              </w:rPr>
            </w:pPr>
            <w:r>
              <w:rPr>
                <w:rFonts w:ascii="Arial" w:cs="Arial" w:eastAsia="Arial" w:hAnsi="Arial"/>
                <w:sz w:val="18"/>
                <w:szCs w:val="18"/>
                <w:color w:val="0000FF"/>
              </w:rPr>
              <w:t>FORWARD-LOOKING STATEMENTS</w:t>
            </w:r>
          </w:p>
        </w:tc>
        <w:tc>
          <w:tcPr>
            <w:tcW w:w="6020" w:type="dxa"/>
            <w:vAlign w:val="bottom"/>
            <w:gridSpan w:val="3"/>
          </w:tcPr>
          <w:p>
            <w:pPr>
              <w:jc w:val="center"/>
              <w:ind w:left="5830"/>
              <w:spacing w:after="0"/>
              <w:rPr>
                <w:sz w:val="20"/>
                <w:szCs w:val="20"/>
                <w:color w:val="auto"/>
              </w:rPr>
            </w:pPr>
            <w:r>
              <w:rPr>
                <w:rFonts w:ascii="Arial" w:cs="Arial" w:eastAsia="Arial" w:hAnsi="Arial"/>
                <w:sz w:val="18"/>
                <w:szCs w:val="18"/>
                <w:color w:val="0000FF"/>
                <w:w w:val="99"/>
              </w:rPr>
              <w:t>5</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40" w:type="dxa"/>
            <w:vAlign w:val="bottom"/>
            <w:gridSpan w:val="13"/>
          </w:tcPr>
          <w:p>
            <w:pPr>
              <w:spacing w:after="0"/>
              <w:rPr>
                <w:sz w:val="20"/>
                <w:szCs w:val="20"/>
                <w:color w:val="auto"/>
              </w:rPr>
            </w:pPr>
            <w:r>
              <w:rPr>
                <w:rFonts w:ascii="Arial" w:cs="Arial" w:eastAsia="Arial" w:hAnsi="Arial"/>
                <w:sz w:val="18"/>
                <w:szCs w:val="18"/>
                <w:color w:val="0000FF"/>
              </w:rPr>
              <w:t>WHERE YOU CAN FIND MORE INFORMATION</w:t>
            </w:r>
          </w:p>
        </w:tc>
        <w:tc>
          <w:tcPr>
            <w:tcW w:w="6020" w:type="dxa"/>
            <w:vAlign w:val="bottom"/>
            <w:gridSpan w:val="3"/>
          </w:tcPr>
          <w:p>
            <w:pPr>
              <w:jc w:val="center"/>
              <w:ind w:left="5830"/>
              <w:spacing w:after="0"/>
              <w:rPr>
                <w:sz w:val="20"/>
                <w:szCs w:val="20"/>
                <w:color w:val="auto"/>
              </w:rPr>
            </w:pPr>
            <w:r>
              <w:rPr>
                <w:rFonts w:ascii="Arial" w:cs="Arial" w:eastAsia="Arial" w:hAnsi="Arial"/>
                <w:sz w:val="18"/>
                <w:szCs w:val="18"/>
                <w:color w:val="0000FF"/>
                <w:w w:val="99"/>
              </w:rPr>
              <w:t>6</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380" w:type="dxa"/>
            <w:vAlign w:val="bottom"/>
            <w:gridSpan w:val="12"/>
          </w:tcPr>
          <w:p>
            <w:pPr>
              <w:spacing w:after="0"/>
              <w:rPr>
                <w:sz w:val="20"/>
                <w:szCs w:val="20"/>
                <w:color w:val="auto"/>
              </w:rPr>
            </w:pPr>
            <w:r>
              <w:rPr>
                <w:rFonts w:ascii="Arial" w:cs="Arial" w:eastAsia="Arial" w:hAnsi="Arial"/>
                <w:sz w:val="18"/>
                <w:szCs w:val="18"/>
                <w:color w:val="0000FF"/>
                <w:w w:val="95"/>
              </w:rPr>
              <w:t>INCORPORATION OF INFORMATION BY REFERENCE</w:t>
            </w:r>
          </w:p>
        </w:tc>
        <w:tc>
          <w:tcPr>
            <w:tcW w:w="60" w:type="dxa"/>
            <w:vAlign w:val="bottom"/>
          </w:tcPr>
          <w:p>
            <w:pPr>
              <w:spacing w:after="0"/>
              <w:rPr>
                <w:sz w:val="18"/>
                <w:szCs w:val="18"/>
                <w:color w:val="auto"/>
              </w:rPr>
            </w:pPr>
          </w:p>
        </w:tc>
        <w:tc>
          <w:tcPr>
            <w:tcW w:w="5940" w:type="dxa"/>
            <w:vAlign w:val="bottom"/>
            <w:gridSpan w:val="2"/>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560" w:type="dxa"/>
            <w:vAlign w:val="bottom"/>
            <w:gridSpan w:val="4"/>
          </w:tcPr>
          <w:p>
            <w:pPr>
              <w:spacing w:after="0"/>
              <w:rPr>
                <w:sz w:val="20"/>
                <w:szCs w:val="20"/>
                <w:color w:val="auto"/>
              </w:rPr>
            </w:pPr>
            <w:r>
              <w:rPr>
                <w:rFonts w:ascii="Arial" w:cs="Arial" w:eastAsia="Arial" w:hAnsi="Arial"/>
                <w:sz w:val="18"/>
                <w:szCs w:val="18"/>
                <w:color w:val="0000FF"/>
                <w:w w:val="87"/>
              </w:rPr>
              <w:t>USE OF PROCEEDS</w:t>
            </w:r>
          </w:p>
        </w:tc>
        <w:tc>
          <w:tcPr>
            <w:tcW w:w="2820" w:type="dxa"/>
            <w:vAlign w:val="bottom"/>
            <w:gridSpan w:val="8"/>
          </w:tcPr>
          <w:p>
            <w:pPr>
              <w:spacing w:after="0"/>
              <w:rPr>
                <w:sz w:val="18"/>
                <w:szCs w:val="18"/>
                <w:color w:val="auto"/>
              </w:rPr>
            </w:pPr>
          </w:p>
        </w:tc>
        <w:tc>
          <w:tcPr>
            <w:tcW w:w="60" w:type="dxa"/>
            <w:vAlign w:val="bottom"/>
          </w:tcPr>
          <w:p>
            <w:pPr>
              <w:spacing w:after="0"/>
              <w:rPr>
                <w:sz w:val="18"/>
                <w:szCs w:val="18"/>
                <w:color w:val="auto"/>
              </w:rPr>
            </w:pPr>
          </w:p>
        </w:tc>
        <w:tc>
          <w:tcPr>
            <w:tcW w:w="5940" w:type="dxa"/>
            <w:vAlign w:val="bottom"/>
            <w:gridSpan w:val="2"/>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560" w:type="dxa"/>
            <w:vAlign w:val="bottom"/>
            <w:gridSpan w:val="4"/>
          </w:tcPr>
          <w:p>
            <w:pPr>
              <w:spacing w:after="0"/>
              <w:rPr>
                <w:sz w:val="20"/>
                <w:szCs w:val="20"/>
                <w:color w:val="auto"/>
              </w:rPr>
            </w:pPr>
            <w:r>
              <w:rPr>
                <w:rFonts w:ascii="Arial" w:cs="Arial" w:eastAsia="Arial" w:hAnsi="Arial"/>
                <w:sz w:val="18"/>
                <w:szCs w:val="18"/>
                <w:color w:val="0000FF"/>
                <w:w w:val="96"/>
              </w:rPr>
              <w:t>DIVIDEND POLICY</w:t>
            </w:r>
          </w:p>
        </w:tc>
        <w:tc>
          <w:tcPr>
            <w:tcW w:w="2880" w:type="dxa"/>
            <w:vAlign w:val="bottom"/>
            <w:gridSpan w:val="9"/>
          </w:tcPr>
          <w:p>
            <w:pPr>
              <w:spacing w:after="0"/>
              <w:rPr>
                <w:sz w:val="18"/>
                <w:szCs w:val="18"/>
                <w:color w:val="auto"/>
              </w:rPr>
            </w:pPr>
          </w:p>
        </w:tc>
        <w:tc>
          <w:tcPr>
            <w:tcW w:w="5940" w:type="dxa"/>
            <w:vAlign w:val="bottom"/>
            <w:gridSpan w:val="2"/>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gridSpan w:val="13"/>
          </w:tcPr>
          <w:p>
            <w:pPr>
              <w:spacing w:after="0"/>
              <w:rPr>
                <w:sz w:val="20"/>
                <w:szCs w:val="20"/>
                <w:color w:val="auto"/>
              </w:rPr>
            </w:pPr>
            <w:r>
              <w:rPr>
                <w:rFonts w:ascii="Arial" w:cs="Arial" w:eastAsia="Arial" w:hAnsi="Arial"/>
                <w:sz w:val="18"/>
                <w:szCs w:val="18"/>
                <w:color w:val="0000FF"/>
              </w:rPr>
              <w:t>PLAN OF DISTRIBUTION</w:t>
            </w: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10</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4440" w:type="dxa"/>
            <w:vAlign w:val="bottom"/>
            <w:gridSpan w:val="13"/>
          </w:tcPr>
          <w:p>
            <w:pPr>
              <w:spacing w:after="0"/>
              <w:rPr>
                <w:sz w:val="20"/>
                <w:szCs w:val="20"/>
                <w:color w:val="auto"/>
              </w:rPr>
            </w:pPr>
            <w:r>
              <w:rPr>
                <w:rFonts w:ascii="Arial" w:cs="Arial" w:eastAsia="Arial" w:hAnsi="Arial"/>
                <w:sz w:val="18"/>
                <w:szCs w:val="18"/>
                <w:color w:val="0000FF"/>
              </w:rPr>
              <w:t>DESCRIPTION OF CAPITAL STOCK</w:t>
            </w: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12</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020" w:type="dxa"/>
            <w:vAlign w:val="bottom"/>
            <w:gridSpan w:val="9"/>
          </w:tcPr>
          <w:p>
            <w:pPr>
              <w:spacing w:after="0"/>
              <w:rPr>
                <w:sz w:val="20"/>
                <w:szCs w:val="20"/>
                <w:color w:val="auto"/>
              </w:rPr>
            </w:pPr>
            <w:r>
              <w:rPr>
                <w:rFonts w:ascii="Arial" w:cs="Arial" w:eastAsia="Arial" w:hAnsi="Arial"/>
                <w:sz w:val="18"/>
                <w:szCs w:val="18"/>
                <w:color w:val="0000FF"/>
                <w:w w:val="94"/>
              </w:rPr>
              <w:t>DESCRIPTION OF DEBT SECURITIES</w:t>
            </w:r>
          </w:p>
        </w:tc>
        <w:tc>
          <w:tcPr>
            <w:tcW w:w="1420" w:type="dxa"/>
            <w:vAlign w:val="bottom"/>
            <w:gridSpan w:val="4"/>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17</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2480" w:type="dxa"/>
            <w:vAlign w:val="bottom"/>
            <w:gridSpan w:val="7"/>
          </w:tcPr>
          <w:p>
            <w:pPr>
              <w:spacing w:after="0"/>
              <w:rPr>
                <w:sz w:val="20"/>
                <w:szCs w:val="20"/>
                <w:color w:val="auto"/>
              </w:rPr>
            </w:pPr>
            <w:r>
              <w:rPr>
                <w:rFonts w:ascii="Arial" w:cs="Arial" w:eastAsia="Arial" w:hAnsi="Arial"/>
                <w:sz w:val="18"/>
                <w:szCs w:val="18"/>
                <w:color w:val="0000FF"/>
                <w:w w:val="94"/>
              </w:rPr>
              <w:t>DESCRIPTION OF WARRANTS</w:t>
            </w:r>
          </w:p>
        </w:tc>
        <w:tc>
          <w:tcPr>
            <w:tcW w:w="540" w:type="dxa"/>
            <w:vAlign w:val="bottom"/>
            <w:gridSpan w:val="2"/>
          </w:tcPr>
          <w:p>
            <w:pPr>
              <w:spacing w:after="0"/>
              <w:rPr>
                <w:sz w:val="18"/>
                <w:szCs w:val="18"/>
                <w:color w:val="auto"/>
              </w:rPr>
            </w:pPr>
          </w:p>
        </w:tc>
        <w:tc>
          <w:tcPr>
            <w:tcW w:w="1420" w:type="dxa"/>
            <w:vAlign w:val="bottom"/>
            <w:gridSpan w:val="4"/>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24</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460" w:type="dxa"/>
            <w:vAlign w:val="bottom"/>
            <w:gridSpan w:val="10"/>
          </w:tcPr>
          <w:p>
            <w:pPr>
              <w:spacing w:after="0"/>
              <w:rPr>
                <w:sz w:val="20"/>
                <w:szCs w:val="20"/>
                <w:color w:val="auto"/>
              </w:rPr>
            </w:pPr>
            <w:r>
              <w:rPr>
                <w:rFonts w:ascii="Arial" w:cs="Arial" w:eastAsia="Arial" w:hAnsi="Arial"/>
                <w:sz w:val="18"/>
                <w:szCs w:val="18"/>
                <w:color w:val="0000FF"/>
                <w:w w:val="93"/>
              </w:rPr>
              <w:t>DESCRIPTION OF SUBSCRIPTION RIGHTS</w:t>
            </w:r>
          </w:p>
        </w:tc>
        <w:tc>
          <w:tcPr>
            <w:tcW w:w="980" w:type="dxa"/>
            <w:vAlign w:val="bottom"/>
            <w:gridSpan w:val="3"/>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26</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5"/>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2020" w:type="dxa"/>
            <w:vAlign w:val="bottom"/>
            <w:gridSpan w:val="5"/>
          </w:tcPr>
          <w:p>
            <w:pPr>
              <w:spacing w:after="0"/>
              <w:rPr>
                <w:sz w:val="20"/>
                <w:szCs w:val="20"/>
                <w:color w:val="auto"/>
              </w:rPr>
            </w:pPr>
            <w:r>
              <w:rPr>
                <w:rFonts w:ascii="Arial" w:cs="Arial" w:eastAsia="Arial" w:hAnsi="Arial"/>
                <w:sz w:val="18"/>
                <w:szCs w:val="18"/>
                <w:color w:val="0000FF"/>
                <w:w w:val="93"/>
              </w:rPr>
              <w:t>DESCRIPTION OF UNITS</w:t>
            </w:r>
          </w:p>
        </w:tc>
        <w:tc>
          <w:tcPr>
            <w:tcW w:w="1440" w:type="dxa"/>
            <w:vAlign w:val="bottom"/>
            <w:gridSpan w:val="5"/>
          </w:tcPr>
          <w:p>
            <w:pPr>
              <w:spacing w:after="0"/>
              <w:rPr>
                <w:sz w:val="18"/>
                <w:szCs w:val="18"/>
                <w:color w:val="auto"/>
              </w:rPr>
            </w:pPr>
          </w:p>
        </w:tc>
        <w:tc>
          <w:tcPr>
            <w:tcW w:w="980" w:type="dxa"/>
            <w:vAlign w:val="bottom"/>
            <w:gridSpan w:val="3"/>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27</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2020" w:type="dxa"/>
            <w:vAlign w:val="bottom"/>
            <w:gridSpan w:val="5"/>
          </w:tcPr>
          <w:p>
            <w:pPr>
              <w:spacing w:after="0"/>
              <w:rPr>
                <w:sz w:val="20"/>
                <w:szCs w:val="20"/>
                <w:color w:val="auto"/>
              </w:rPr>
            </w:pPr>
            <w:r>
              <w:rPr>
                <w:rFonts w:ascii="Arial" w:cs="Arial" w:eastAsia="Arial" w:hAnsi="Arial"/>
                <w:sz w:val="18"/>
                <w:szCs w:val="18"/>
                <w:color w:val="0000FF"/>
              </w:rPr>
              <w:t>LEGAL MATTERS</w:t>
            </w:r>
          </w:p>
        </w:tc>
        <w:tc>
          <w:tcPr>
            <w:tcW w:w="2420" w:type="dxa"/>
            <w:vAlign w:val="bottom"/>
            <w:gridSpan w:val="8"/>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28</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5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color w:val="0000FF"/>
              </w:rPr>
              <w:t>EXPERTS</w:t>
            </w:r>
          </w:p>
        </w:tc>
        <w:tc>
          <w:tcPr>
            <w:tcW w:w="3000" w:type="dxa"/>
            <w:vAlign w:val="bottom"/>
            <w:gridSpan w:val="10"/>
          </w:tcPr>
          <w:p>
            <w:pPr>
              <w:spacing w:after="0"/>
              <w:rPr>
                <w:sz w:val="18"/>
                <w:szCs w:val="18"/>
                <w:color w:val="auto"/>
              </w:rPr>
            </w:pPr>
          </w:p>
        </w:tc>
        <w:tc>
          <w:tcPr>
            <w:tcW w:w="6020" w:type="dxa"/>
            <w:vAlign w:val="bottom"/>
            <w:gridSpan w:val="3"/>
          </w:tcPr>
          <w:p>
            <w:pPr>
              <w:jc w:val="center"/>
              <w:ind w:left="5750"/>
              <w:spacing w:after="0"/>
              <w:rPr>
                <w:sz w:val="20"/>
                <w:szCs w:val="20"/>
                <w:color w:val="auto"/>
              </w:rPr>
            </w:pPr>
            <w:r>
              <w:rPr>
                <w:rFonts w:ascii="Arial" w:cs="Arial" w:eastAsia="Arial" w:hAnsi="Arial"/>
                <w:sz w:val="18"/>
                <w:szCs w:val="18"/>
                <w:color w:val="0000FF"/>
                <w:w w:val="89"/>
              </w:rPr>
              <w:t>29</w:t>
            </w:r>
          </w:p>
        </w:tc>
        <w:tc>
          <w:tcPr>
            <w:tcW w:w="16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231F20"/>
        </w:rPr>
        <w:t>i</w:t>
      </w:r>
    </w:p>
    <w:p>
      <w:pPr>
        <w:sectPr>
          <w:pgSz w:w="11900" w:h="16838" w:orient="portrait"/>
          <w:cols w:equalWidth="0" w:num="1">
            <w:col w:w="10620"/>
          </w:cols>
          <w:pgMar w:left="460" w:top="1440" w:right="819" w:bottom="1440" w:gutter="0" w:footer="0" w:header="0"/>
        </w:sectPr>
      </w:pPr>
    </w:p>
    <w:bookmarkStart w:id="18" w:name="page19"/>
    <w:bookmarkEnd w:id="18"/>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ABOUT THIS PROSPECTUS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This prospectus is part of a registration statement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2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231F20"/>
        </w:rPr>
        <w:t>THIS PROSPECTUS MAY NOT BE USED TO OFFER AND SELL SECURITIES UNLESS IT IS ACCOMPANIED BY A PROSPECTUS SUPPLEMENT.</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31F20"/>
        </w:rPr>
        <w:t>In this prospectus, unless the context otherwise requires, the terms “AnaptysBio,” the “Company,” “we,” “us,” and “our” refer to AnaptysBio, Inc., a Delaware corporation. This prospectus supplement,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20" w:top="1440" w:right="439" w:bottom="1440" w:gutter="0" w:footer="0" w:header="0"/>
        </w:sectPr>
      </w:pPr>
    </w:p>
    <w:bookmarkStart w:id="19" w:name="page20"/>
    <w:bookmarkEnd w:id="1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935355</wp:posOffset>
            </wp:positionV>
            <wp:extent cx="7136130" cy="5935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6130" cy="59359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231F20"/>
        </w:rPr>
        <w:t>PROSPECTUS SUMMARY</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31F20"/>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Company Overview</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We are a clinical stage biotechnology company developing first-in-class immunology therapeutic product candidates focused on emerging immune control mechanisms applicable to inflammation and immuno-oncology indications. We develop our product candidates to address emerging biological targets using our proprietary antibody discovery technology platform, which is based upon a breakthrough understanding of the natural process of antibody generation, known as somatic hypermutation (“SHM”) and replicates this natural process of antibody generation in vitro.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and ANB032, are designed to modulate therapeutic targets that are genetically associated with human inflammatory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Corporate Information</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231F20"/>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Securities We May Offer</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231F20"/>
        </w:rPr>
        <w:t>With this prospectus, we may offer common stock, preferred stock, debt securities, warrants, subscription rights to purchase our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We may offer shares of our common stock, par value $0.001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Preferred Stock</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w:t>
      </w:r>
    </w:p>
    <w:p>
      <w:pPr>
        <w:spacing w:after="0" w:line="3" w:lineRule="exact"/>
        <w:rPr>
          <w:sz w:val="20"/>
          <w:szCs w:val="20"/>
          <w:color w:val="auto"/>
        </w:rPr>
      </w:pPr>
    </w:p>
    <w:p>
      <w:pPr>
        <w:ind w:left="20" w:right="140"/>
        <w:spacing w:after="0" w:line="260" w:lineRule="auto"/>
        <w:rPr>
          <w:sz w:val="20"/>
          <w:szCs w:val="20"/>
          <w:color w:val="auto"/>
        </w:rPr>
      </w:pPr>
      <w:r>
        <w:rPr>
          <w:rFonts w:ascii="Arial" w:cs="Arial" w:eastAsia="Arial" w:hAnsi="Arial"/>
          <w:sz w:val="18"/>
          <w:szCs w:val="18"/>
          <w:color w:val="231F20"/>
        </w:rPr>
        <w:t>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40"/>
          </w:cols>
          <w:pgMar w:left="600" w:top="1440" w:right="659" w:bottom="1440" w:gutter="0" w:footer="0" w:header="0"/>
        </w:sectPr>
      </w:pPr>
    </w:p>
    <w:bookmarkStart w:id="20" w:name="page21"/>
    <w:bookmarkEnd w:id="20"/>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935355</wp:posOffset>
            </wp:positionV>
            <wp:extent cx="7136130" cy="3672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36130" cy="36728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231F20"/>
        </w:rPr>
        <w:t>Debt Securities</w:t>
      </w:r>
    </w:p>
    <w:p>
      <w:pPr>
        <w:spacing w:after="0" w:line="117" w:lineRule="exact"/>
        <w:rPr>
          <w:sz w:val="20"/>
          <w:szCs w:val="20"/>
          <w:color w:val="auto"/>
        </w:rPr>
      </w:pPr>
    </w:p>
    <w:p>
      <w:pPr>
        <w:jc w:val="both"/>
        <w:ind w:left="100" w:right="160"/>
        <w:spacing w:after="0" w:line="263" w:lineRule="auto"/>
        <w:rPr>
          <w:sz w:val="20"/>
          <w:szCs w:val="20"/>
          <w:color w:val="auto"/>
        </w:rPr>
      </w:pPr>
      <w:r>
        <w:rPr>
          <w:rFonts w:ascii="Arial" w:cs="Arial" w:eastAsia="Arial" w:hAnsi="Arial"/>
          <w:sz w:val="18"/>
          <w:szCs w:val="18"/>
          <w:color w:val="231F20"/>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76" w:lineRule="exact"/>
        <w:rPr>
          <w:sz w:val="20"/>
          <w:szCs w:val="20"/>
          <w:color w:val="auto"/>
        </w:rPr>
      </w:pPr>
    </w:p>
    <w:p>
      <w:pPr>
        <w:ind w:left="100" w:right="80"/>
        <w:spacing w:after="0" w:line="263" w:lineRule="auto"/>
        <w:rPr>
          <w:sz w:val="20"/>
          <w:szCs w:val="20"/>
          <w:color w:val="auto"/>
        </w:rPr>
      </w:pPr>
      <w:r>
        <w:rPr>
          <w:rFonts w:ascii="Arial" w:cs="Arial" w:eastAsia="Arial" w:hAnsi="Arial"/>
          <w:sz w:val="18"/>
          <w:szCs w:val="18"/>
          <w:color w:val="231F20"/>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231F20"/>
        </w:rPr>
        <w:t>Warrants</w:t>
      </w:r>
    </w:p>
    <w:p>
      <w:pPr>
        <w:spacing w:after="0" w:line="117" w:lineRule="exact"/>
        <w:rPr>
          <w:sz w:val="20"/>
          <w:szCs w:val="20"/>
          <w:color w:val="auto"/>
        </w:rPr>
      </w:pPr>
    </w:p>
    <w:p>
      <w:pPr>
        <w:ind w:left="100" w:right="960"/>
        <w:spacing w:after="0" w:line="308" w:lineRule="auto"/>
        <w:rPr>
          <w:sz w:val="20"/>
          <w:szCs w:val="20"/>
          <w:color w:val="auto"/>
        </w:rPr>
      </w:pPr>
      <w:r>
        <w:rPr>
          <w:rFonts w:ascii="Arial" w:cs="Arial" w:eastAsia="Arial" w:hAnsi="Arial"/>
          <w:sz w:val="17"/>
          <w:szCs w:val="17"/>
          <w:color w:val="231F20"/>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231F20"/>
        </w:rPr>
        <w:t>Subscription Rights</w:t>
      </w:r>
    </w:p>
    <w:p>
      <w:pPr>
        <w:spacing w:after="0" w:line="117" w:lineRule="exact"/>
        <w:rPr>
          <w:sz w:val="20"/>
          <w:szCs w:val="20"/>
          <w:color w:val="auto"/>
        </w:rPr>
      </w:pPr>
    </w:p>
    <w:p>
      <w:pPr>
        <w:ind w:left="100" w:right="920"/>
        <w:spacing w:after="0" w:line="308" w:lineRule="auto"/>
        <w:rPr>
          <w:sz w:val="20"/>
          <w:szCs w:val="20"/>
          <w:color w:val="auto"/>
        </w:rPr>
      </w:pPr>
      <w:r>
        <w:rPr>
          <w:rFonts w:ascii="Arial" w:cs="Arial" w:eastAsia="Arial" w:hAnsi="Arial"/>
          <w:sz w:val="17"/>
          <w:szCs w:val="17"/>
          <w:color w:val="231F20"/>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231F20"/>
        </w:rPr>
        <w:t>Units</w:t>
      </w:r>
    </w:p>
    <w:p>
      <w:pPr>
        <w:spacing w:after="0" w:line="117"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231F20"/>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31F20"/>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500" w:top="1440" w:right="619" w:bottom="1440" w:gutter="0" w:footer="0" w:header="0"/>
        </w:sectPr>
      </w:pPr>
    </w:p>
    <w:bookmarkStart w:id="21" w:name="page22"/>
    <w:bookmarkEnd w:id="21"/>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RISK FACTORS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2021,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20" w:top="1440" w:right="4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231F20"/>
        </w:rPr>
        <w:t>FORWARD-LOOKING STATEMENTS</w:t>
      </w:r>
    </w:p>
    <w:p>
      <w:pPr>
        <w:spacing w:after="0" w:line="2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60"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2021,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31F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20" w:top="1404" w:right="4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231F20"/>
        </w:rPr>
        <w:t>WHERE YOU CAN FIND MORE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Information about us is also available at our website at http://www.anaptysbio.com. However, the information on our website is not a part of this prospectus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20" w:top="1404" w:right="4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231F20"/>
        </w:rPr>
        <w:t>INCORPORATION OF INFORMATION BY REFERENCE</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53" w:lineRule="exact"/>
        <w:rPr>
          <w:sz w:val="20"/>
          <w:szCs w:val="20"/>
          <w:color w:val="auto"/>
        </w:rPr>
      </w:pPr>
    </w:p>
    <w:p>
      <w:pPr>
        <w:ind w:left="360" w:right="780" w:hanging="326"/>
        <w:spacing w:after="0" w:line="263" w:lineRule="auto"/>
        <w:tabs>
          <w:tab w:leader="none" w:pos="355"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 xml:space="preserve">our Annual Report on </w:t>
      </w:r>
      <w:hyperlink r:id="rId31">
        <w:r>
          <w:rPr>
            <w:rFonts w:ascii="Arial" w:cs="Arial" w:eastAsia="Arial" w:hAnsi="Arial"/>
            <w:sz w:val="18"/>
            <w:szCs w:val="18"/>
            <w:u w:val="single" w:color="auto"/>
            <w:color w:val="0000FF"/>
          </w:rPr>
          <w:t>Form 10-K</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 xml:space="preserve">for the fiscal year ended December 31, 2020 filed with the SEC on February 25, 2021, including those portions of our Definitive Proxy Statement on </w:t>
      </w:r>
      <w:hyperlink r:id="rId32">
        <w:r>
          <w:rPr>
            <w:rFonts w:ascii="Arial" w:cs="Arial" w:eastAsia="Arial" w:hAnsi="Arial"/>
            <w:sz w:val="18"/>
            <w:szCs w:val="18"/>
            <w:u w:val="single" w:color="auto"/>
            <w:color w:val="0000FF"/>
          </w:rPr>
          <w:t>Schedule 14A</w:t>
        </w:r>
        <w:r>
          <w:rPr>
            <w:rFonts w:ascii="Arial" w:cs="Arial" w:eastAsia="Arial" w:hAnsi="Arial"/>
            <w:sz w:val="18"/>
            <w:szCs w:val="18"/>
            <w:u w:val="single" w:color="auto"/>
            <w:color w:val="231F20"/>
          </w:rPr>
          <w:t xml:space="preserve"> </w:t>
        </w:r>
      </w:hyperlink>
      <w:r>
        <w:rPr>
          <w:rFonts w:ascii="Arial" w:cs="Arial" w:eastAsia="Arial" w:hAnsi="Arial"/>
          <w:sz w:val="18"/>
          <w:szCs w:val="18"/>
          <w:color w:val="231F20"/>
        </w:rPr>
        <w:t>filed with the SEC on April 26, 2021 that are specifically incorporated by reference into such Annual Report on Form 10-K;</w:t>
      </w:r>
    </w:p>
    <w:p>
      <w:pPr>
        <w:spacing w:after="0" w:line="35" w:lineRule="exact"/>
        <w:rPr>
          <w:rFonts w:ascii="Arial" w:cs="Arial" w:eastAsia="Arial" w:hAnsi="Arial"/>
          <w:sz w:val="18"/>
          <w:szCs w:val="18"/>
          <w:color w:val="231F20"/>
        </w:rPr>
      </w:pPr>
    </w:p>
    <w:p>
      <w:pPr>
        <w:ind w:left="360" w:hanging="326"/>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3">
        <w:r>
          <w:rPr>
            <w:rFonts w:ascii="Arial" w:cs="Arial" w:eastAsia="Arial" w:hAnsi="Arial"/>
            <w:sz w:val="18"/>
            <w:szCs w:val="18"/>
            <w:color w:val="0000FF"/>
          </w:rPr>
          <w:t>Form 10-Q</w:t>
        </w:r>
        <w:r>
          <w:rPr>
            <w:rFonts w:ascii="Arial" w:cs="Arial" w:eastAsia="Arial" w:hAnsi="Arial"/>
            <w:sz w:val="18"/>
            <w:szCs w:val="18"/>
            <w:color w:val="auto"/>
          </w:rPr>
          <w:t xml:space="preserve"> </w:t>
        </w:r>
      </w:hyperlink>
      <w:r>
        <w:rPr>
          <w:rFonts w:ascii="Arial" w:cs="Arial" w:eastAsia="Arial" w:hAnsi="Arial"/>
          <w:sz w:val="18"/>
          <w:szCs w:val="18"/>
          <w:color w:val="auto"/>
        </w:rPr>
        <w:t>for the quarter ended March 31, 2021 and filed with the SEC on May 4, 2021;</w:t>
      </w:r>
    </w:p>
    <w:p>
      <w:pPr>
        <w:spacing w:after="0" w:line="90" w:lineRule="exact"/>
        <w:rPr>
          <w:rFonts w:ascii="Arial" w:cs="Arial" w:eastAsia="Arial" w:hAnsi="Arial"/>
          <w:sz w:val="18"/>
          <w:szCs w:val="18"/>
          <w:color w:val="auto"/>
        </w:rPr>
      </w:pPr>
    </w:p>
    <w:p>
      <w:pPr>
        <w:ind w:left="360" w:hanging="326"/>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4">
        <w:r>
          <w:rPr>
            <w:rFonts w:ascii="Arial" w:cs="Arial" w:eastAsia="Arial" w:hAnsi="Arial"/>
            <w:sz w:val="18"/>
            <w:szCs w:val="18"/>
            <w:color w:val="0000FF"/>
          </w:rPr>
          <w:t>Form 10-Q</w:t>
        </w:r>
        <w:r>
          <w:rPr>
            <w:rFonts w:ascii="Arial" w:cs="Arial" w:eastAsia="Arial" w:hAnsi="Arial"/>
            <w:sz w:val="18"/>
            <w:szCs w:val="18"/>
            <w:color w:val="auto"/>
          </w:rPr>
          <w:t xml:space="preserve"> </w:t>
        </w:r>
      </w:hyperlink>
      <w:r>
        <w:rPr>
          <w:rFonts w:ascii="Arial" w:cs="Arial" w:eastAsia="Arial" w:hAnsi="Arial"/>
          <w:sz w:val="18"/>
          <w:szCs w:val="18"/>
          <w:color w:val="auto"/>
        </w:rPr>
        <w:t>for the quarter ended June 30, 2021 and filed with the SEC on August 9, 2021;</w:t>
      </w:r>
    </w:p>
    <w:p>
      <w:pPr>
        <w:spacing w:after="0" w:line="76" w:lineRule="exact"/>
        <w:rPr>
          <w:rFonts w:ascii="Arial" w:cs="Arial" w:eastAsia="Arial" w:hAnsi="Arial"/>
          <w:sz w:val="18"/>
          <w:szCs w:val="18"/>
          <w:color w:val="auto"/>
        </w:rPr>
      </w:pPr>
    </w:p>
    <w:p>
      <w:pPr>
        <w:ind w:left="360" w:hanging="326"/>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5">
        <w:r>
          <w:rPr>
            <w:rFonts w:ascii="Arial" w:cs="Arial" w:eastAsia="Arial" w:hAnsi="Arial"/>
            <w:sz w:val="18"/>
            <w:szCs w:val="18"/>
            <w:color w:val="0000FF"/>
          </w:rPr>
          <w:t>Form 10-Q</w:t>
        </w:r>
        <w:r>
          <w:rPr>
            <w:rFonts w:ascii="Arial" w:cs="Arial" w:eastAsia="Arial" w:hAnsi="Arial"/>
            <w:sz w:val="18"/>
            <w:szCs w:val="18"/>
            <w:color w:val="auto"/>
          </w:rPr>
          <w:t xml:space="preserve"> </w:t>
        </w:r>
      </w:hyperlink>
      <w:r>
        <w:rPr>
          <w:rFonts w:ascii="Arial" w:cs="Arial" w:eastAsia="Arial" w:hAnsi="Arial"/>
          <w:sz w:val="18"/>
          <w:szCs w:val="18"/>
          <w:color w:val="auto"/>
        </w:rPr>
        <w:t>for the quarter ended September 30, 2021 and filed with the SEC on November 4, 2021;</w:t>
      </w:r>
    </w:p>
    <w:p>
      <w:pPr>
        <w:spacing w:after="0" w:line="76" w:lineRule="exact"/>
        <w:rPr>
          <w:rFonts w:ascii="Arial" w:cs="Arial" w:eastAsia="Arial" w:hAnsi="Arial"/>
          <w:sz w:val="18"/>
          <w:szCs w:val="18"/>
          <w:color w:val="auto"/>
        </w:rPr>
      </w:pPr>
    </w:p>
    <w:p>
      <w:pPr>
        <w:ind w:left="360" w:right="900" w:hanging="326"/>
        <w:spacing w:after="0" w:line="277" w:lineRule="auto"/>
        <w:tabs>
          <w:tab w:leader="none" w:pos="355" w:val="left"/>
        </w:tabs>
        <w:numPr>
          <w:ilvl w:val="0"/>
          <w:numId w:val="4"/>
        </w:numPr>
        <w:rPr>
          <w:rFonts w:ascii="Arial" w:cs="Arial" w:eastAsia="Arial" w:hAnsi="Arial"/>
          <w:sz w:val="18"/>
          <w:szCs w:val="18"/>
          <w:color w:val="0000FF"/>
        </w:rPr>
      </w:pPr>
      <w:r>
        <w:rPr>
          <w:rFonts w:ascii="Arial" w:cs="Arial" w:eastAsia="Arial" w:hAnsi="Arial"/>
          <w:sz w:val="18"/>
          <w:szCs w:val="18"/>
          <w:color w:val="auto"/>
        </w:rPr>
        <w:t xml:space="preserve">our Current Reports on Form 8-K filed on </w:t>
      </w:r>
      <w:hyperlink r:id="rId36">
        <w:r>
          <w:rPr>
            <w:rFonts w:ascii="Arial" w:cs="Arial" w:eastAsia="Arial" w:hAnsi="Arial"/>
            <w:sz w:val="18"/>
            <w:szCs w:val="18"/>
            <w:color w:val="0000FF"/>
          </w:rPr>
          <w:t>January 19, 2021</w:t>
        </w:r>
      </w:hyperlink>
      <w:r>
        <w:rPr>
          <w:rFonts w:ascii="Arial" w:cs="Arial" w:eastAsia="Arial" w:hAnsi="Arial"/>
          <w:sz w:val="18"/>
          <w:szCs w:val="18"/>
          <w:color w:val="auto"/>
        </w:rPr>
        <w:t xml:space="preserve">, </w:t>
      </w:r>
      <w:hyperlink r:id="rId37">
        <w:r>
          <w:rPr>
            <w:rFonts w:ascii="Arial" w:cs="Arial" w:eastAsia="Arial" w:hAnsi="Arial"/>
            <w:sz w:val="18"/>
            <w:szCs w:val="18"/>
            <w:color w:val="0000FF"/>
          </w:rPr>
          <w:t>April 12, 2021</w:t>
        </w:r>
      </w:hyperlink>
      <w:r>
        <w:rPr>
          <w:rFonts w:ascii="Arial" w:cs="Arial" w:eastAsia="Arial" w:hAnsi="Arial"/>
          <w:sz w:val="18"/>
          <w:szCs w:val="18"/>
          <w:color w:val="auto"/>
        </w:rPr>
        <w:t xml:space="preserve">, </w:t>
      </w:r>
      <w:hyperlink r:id="rId38">
        <w:r>
          <w:rPr>
            <w:rFonts w:ascii="Arial" w:cs="Arial" w:eastAsia="Arial" w:hAnsi="Arial"/>
            <w:sz w:val="18"/>
            <w:szCs w:val="18"/>
            <w:color w:val="0000FF"/>
          </w:rPr>
          <w:t>June 17, 2021</w:t>
        </w:r>
      </w:hyperlink>
      <w:r>
        <w:rPr>
          <w:rFonts w:ascii="Arial" w:cs="Arial" w:eastAsia="Arial" w:hAnsi="Arial"/>
          <w:sz w:val="18"/>
          <w:szCs w:val="18"/>
          <w:color w:val="auto"/>
        </w:rPr>
        <w:t xml:space="preserve">, </w:t>
      </w:r>
      <w:hyperlink r:id="rId39">
        <w:r>
          <w:rPr>
            <w:rFonts w:ascii="Arial" w:cs="Arial" w:eastAsia="Arial" w:hAnsi="Arial"/>
            <w:sz w:val="18"/>
            <w:szCs w:val="18"/>
            <w:color w:val="0000FF"/>
          </w:rPr>
          <w:t>October 25, 2021</w:t>
        </w:r>
      </w:hyperlink>
      <w:r>
        <w:rPr>
          <w:rFonts w:ascii="Arial" w:cs="Arial" w:eastAsia="Arial" w:hAnsi="Arial"/>
          <w:sz w:val="18"/>
          <w:szCs w:val="18"/>
          <w:color w:val="auto"/>
        </w:rPr>
        <w:t xml:space="preserve">, </w:t>
      </w:r>
      <w:hyperlink r:id="rId40">
        <w:r>
          <w:rPr>
            <w:rFonts w:ascii="Arial" w:cs="Arial" w:eastAsia="Arial" w:hAnsi="Arial"/>
            <w:sz w:val="18"/>
            <w:szCs w:val="18"/>
            <w:color w:val="0000FF"/>
          </w:rPr>
          <w:t>November 29, 2021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color w:val="0000FF"/>
          </w:rPr>
          <w:t>December 1, 2021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35" w:lineRule="exact"/>
        <w:rPr>
          <w:rFonts w:ascii="Arial" w:cs="Arial" w:eastAsia="Arial" w:hAnsi="Arial"/>
          <w:sz w:val="18"/>
          <w:szCs w:val="18"/>
          <w:color w:val="0000FF"/>
        </w:rPr>
      </w:pPr>
    </w:p>
    <w:p>
      <w:pPr>
        <w:ind w:left="360" w:right="460" w:hanging="326"/>
        <w:spacing w:after="0" w:line="279" w:lineRule="auto"/>
        <w:tabs>
          <w:tab w:leader="none" w:pos="35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22">
        <w:r>
          <w:rPr>
            <w:rFonts w:ascii="Arial" w:cs="Arial" w:eastAsia="Arial" w:hAnsi="Arial"/>
            <w:sz w:val="17"/>
            <w:szCs w:val="17"/>
            <w:color w:val="0000FF"/>
          </w:rPr>
          <w:t>Form 8-A</w:t>
        </w:r>
        <w:r>
          <w:rPr>
            <w:rFonts w:ascii="Arial" w:cs="Arial" w:eastAsia="Arial" w:hAnsi="Arial"/>
            <w:sz w:val="17"/>
            <w:szCs w:val="17"/>
            <w:color w:val="auto"/>
          </w:rPr>
          <w:t xml:space="preserve"> </w:t>
        </w:r>
      </w:hyperlink>
      <w:r>
        <w:rPr>
          <w:rFonts w:ascii="Arial" w:cs="Arial" w:eastAsia="Arial" w:hAnsi="Arial"/>
          <w:sz w:val="17"/>
          <w:szCs w:val="17"/>
          <w:color w:val="auto"/>
        </w:rPr>
        <w:t xml:space="preserve">filed with the SEC on January 17, 2017 under Section 12 of the Exchange Act, as further amended by </w:t>
      </w:r>
      <w:hyperlink r:id="rId23">
        <w:r>
          <w:rPr>
            <w:rFonts w:ascii="Arial" w:cs="Arial" w:eastAsia="Arial" w:hAnsi="Arial"/>
            <w:sz w:val="17"/>
            <w:szCs w:val="17"/>
            <w:color w:val="0000FF"/>
          </w:rPr>
          <w:t>Exhibit 4.3</w:t>
        </w:r>
        <w:r>
          <w:rPr>
            <w:rFonts w:ascii="Arial" w:cs="Arial" w:eastAsia="Arial" w:hAnsi="Arial"/>
            <w:sz w:val="17"/>
            <w:szCs w:val="17"/>
            <w:color w:val="auto"/>
          </w:rPr>
          <w:t xml:space="preserve"> </w:t>
        </w:r>
      </w:hyperlink>
      <w:r>
        <w:rPr>
          <w:rFonts w:ascii="Arial" w:cs="Arial" w:eastAsia="Arial" w:hAnsi="Arial"/>
          <w:sz w:val="17"/>
          <w:szCs w:val="17"/>
          <w:color w:val="auto"/>
        </w:rPr>
        <w:t xml:space="preserve">(Description of the Registrant’s Securities Registered Pursuant to Section 12 of the Securities Exchange Act of 1934) to our Annual Report on </w:t>
      </w:r>
      <w:hyperlink r:id="rId24">
        <w:r>
          <w:rPr>
            <w:rFonts w:ascii="Arial" w:cs="Arial" w:eastAsia="Arial" w:hAnsi="Arial"/>
            <w:sz w:val="17"/>
            <w:szCs w:val="17"/>
            <w:color w:val="0000FF"/>
          </w:rPr>
          <w:t>Form 10-K</w:t>
        </w:r>
        <w:r>
          <w:rPr>
            <w:rFonts w:ascii="Arial" w:cs="Arial" w:eastAsia="Arial" w:hAnsi="Arial"/>
            <w:sz w:val="17"/>
            <w:szCs w:val="17"/>
            <w:color w:val="auto"/>
          </w:rPr>
          <w:t xml:space="preserve"> </w:t>
        </w:r>
      </w:hyperlink>
      <w:r>
        <w:rPr>
          <w:rFonts w:ascii="Arial" w:cs="Arial" w:eastAsia="Arial" w:hAnsi="Arial"/>
          <w:sz w:val="17"/>
          <w:szCs w:val="17"/>
          <w:color w:val="auto"/>
        </w:rPr>
        <w:t>for the fiscal year ended December 31, 2019 and filed with the SEC on March 2, 2020, including any amendment or report filed for the purpose of updating such description.</w:t>
      </w:r>
    </w:p>
    <w:p>
      <w:pPr>
        <w:spacing w:after="0" w:line="63" w:lineRule="exact"/>
        <w:rPr>
          <w:rFonts w:ascii="Arial" w:cs="Arial" w:eastAsia="Arial" w:hAnsi="Arial"/>
          <w:sz w:val="17"/>
          <w:szCs w:val="17"/>
          <w:color w:val="auto"/>
        </w:rPr>
      </w:pPr>
    </w:p>
    <w:p>
      <w:pPr>
        <w:jc w:val="both"/>
        <w:ind w:right="280"/>
        <w:spacing w:after="0" w:line="296" w:lineRule="auto"/>
        <w:rPr>
          <w:sz w:val="20"/>
          <w:szCs w:val="20"/>
          <w:color w:val="auto"/>
        </w:rPr>
      </w:pPr>
      <w:r>
        <w:rPr>
          <w:rFonts w:ascii="Arial" w:cs="Arial" w:eastAsia="Arial" w:hAnsi="Arial"/>
          <w:sz w:val="16"/>
          <w:szCs w:val="16"/>
          <w:color w:val="231F20"/>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53" w:lineRule="exact"/>
        <w:rPr>
          <w:rFonts w:ascii="Arial" w:cs="Arial" w:eastAsia="Arial" w:hAnsi="Arial"/>
          <w:sz w:val="17"/>
          <w:szCs w:val="17"/>
          <w:color w:val="auto"/>
        </w:rPr>
      </w:pPr>
    </w:p>
    <w:p>
      <w:pPr>
        <w:ind w:right="80"/>
        <w:spacing w:after="0" w:line="259" w:lineRule="auto"/>
        <w:rPr>
          <w:sz w:val="20"/>
          <w:szCs w:val="20"/>
          <w:color w:val="auto"/>
        </w:rPr>
      </w:pPr>
      <w:r>
        <w:rPr>
          <w:rFonts w:ascii="Arial" w:cs="Arial" w:eastAsia="Arial" w:hAnsi="Arial"/>
          <w:sz w:val="18"/>
          <w:szCs w:val="18"/>
          <w:color w:val="231F20"/>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6" w:lineRule="exact"/>
        <w:rPr>
          <w:rFonts w:ascii="Arial" w:cs="Arial" w:eastAsia="Arial" w:hAnsi="Arial"/>
          <w:sz w:val="17"/>
          <w:szCs w:val="17"/>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20" w:top="1404" w:right="5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231F20"/>
        </w:rPr>
        <w:t>USE OF PROCEEDS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20" w:top="1404" w:right="45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color w:val="231F20"/>
        </w:rPr>
        <w:t>DIVIDEND POLICY</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420" w:top="1404" w:right="6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231F20"/>
        </w:rPr>
        <w:t>PLAN OF DISTRIBUTION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may sell the securities covered by this prospectus to one or more underwriters for public offering and sale by them, and may also sell the securities to investors directly, including our affiliates, through agents or through a combination of any of these methods.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80" w:lineRule="exact"/>
        <w:rPr>
          <w:sz w:val="20"/>
          <w:szCs w:val="20"/>
          <w:color w:val="auto"/>
        </w:rPr>
      </w:pPr>
    </w:p>
    <w:p>
      <w:pPr>
        <w:ind w:left="340" w:hanging="252"/>
        <w:spacing w:after="0"/>
        <w:tabs>
          <w:tab w:leader="none" w:pos="3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at a fixed price or prices, which may be changed;</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at market prices prevailing at the time of sale;</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at prices related to such prevailing market prices; or</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at negotiated prices.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231F20"/>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We will file a prospectus supplement to describe the terms of any offering of our securities covered by this prospectus. The prospectus supplement will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20" w:top="1404" w:right="459" w:bottom="1440" w:gutter="0" w:footer="0" w:header="0"/>
        </w:sectPr>
      </w:pPr>
    </w:p>
    <w:bookmarkStart w:id="28" w:name="page29"/>
    <w:bookmarkEnd w:id="28"/>
    <w:p>
      <w:pPr>
        <w:spacing w:after="0" w:line="319" w:lineRule="exact"/>
        <w:rPr>
          <w:sz w:val="20"/>
          <w:szCs w:val="20"/>
          <w:color w:val="auto"/>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terms of the offer;</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names of any underwriters, including any managing underwriters, as well as any dealers or agents;</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purchase price of the securities from us;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net proceeds to us from the sale of the securities;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any delayed delivery arrangements;</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any over-allotment or other options under which underwriters, if any, may purchase additional securities from us;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any underwriting discounts, commissions or other items constituting underwriters’ compensation, and any commissions paid to agents;</w:t>
      </w:r>
    </w:p>
    <w:p>
      <w:pPr>
        <w:spacing w:after="0" w:line="76" w:lineRule="exact"/>
        <w:rPr>
          <w:rFonts w:ascii="Arial" w:cs="Arial" w:eastAsia="Arial" w:hAnsi="Arial"/>
          <w:sz w:val="18"/>
          <w:szCs w:val="18"/>
          <w:color w:val="231F20"/>
        </w:rPr>
      </w:pPr>
    </w:p>
    <w:p>
      <w:pPr>
        <w:ind w:left="360" w:right="620" w:hanging="272"/>
        <w:spacing w:after="0" w:line="277" w:lineRule="auto"/>
        <w:tabs>
          <w:tab w:leader="none" w:pos="333"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in a subscription rights offering, whether we have engaged dealer-managers to facilitate the offering or subscription, including their name or names and compensation;</w:t>
      </w:r>
    </w:p>
    <w:p>
      <w:pPr>
        <w:spacing w:after="0" w:line="35"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any public offering price; and</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other facts material to the transaction.</w:t>
      </w:r>
    </w:p>
    <w:p>
      <w:pPr>
        <w:spacing w:after="0" w:line="77" w:lineRule="exact"/>
        <w:rPr>
          <w:sz w:val="20"/>
          <w:szCs w:val="20"/>
          <w:color w:val="auto"/>
        </w:rPr>
      </w:pPr>
    </w:p>
    <w:p>
      <w:pPr>
        <w:spacing w:after="0" w:line="308" w:lineRule="auto"/>
        <w:rPr>
          <w:sz w:val="20"/>
          <w:szCs w:val="20"/>
          <w:color w:val="auto"/>
        </w:rPr>
      </w:pPr>
      <w:r>
        <w:rPr>
          <w:rFonts w:ascii="Arial" w:cs="Arial" w:eastAsia="Arial" w:hAnsi="Arial"/>
          <w:sz w:val="17"/>
          <w:szCs w:val="17"/>
          <w:color w:val="231F20"/>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20" w:top="1440" w:right="439" w:bottom="1440" w:gutter="0" w:footer="0" w:header="0"/>
        </w:sectPr>
      </w:pPr>
    </w:p>
    <w:bookmarkStart w:id="29" w:name="page30"/>
    <w:bookmarkEnd w:id="29"/>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The following description of our common stock, together with the additional information we include in any applicable prospectus supplement, summarizes the material terms and provisions of the common stock that we may offer from time to time pursuant to this prospectus. While the terms we have summarized below will apply generally to any future shares of common stock that we may offer, we will describe the particular terms of any offering in more detail in the applicable prospectus supplement. The following description of our common stock and provisions of our Amended and Restated Certificate of Incorporation are summaries and are qualified in its entirety by reference to applicable Delaware law and our Amended and Restated Certificate of Incorporation, a copy of which has been filed as Exhibit 3.1 to our Quarterly Report on Form 10-Q for the quarterly period March 31, 2017 and filed with the SEC on May 12, 2017.</w:t>
      </w:r>
    </w:p>
    <w:p>
      <w:pPr>
        <w:spacing w:after="0" w:line="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231F20"/>
        </w:rPr>
        <w:t>We are authorized to issue 510,000,000 shares of all classes of capital stock, of which 500,000,000 shares are common stock, $0.001 par value per share, and 10,000,000 shares are preferred stock, $0.001 par value per share. Our capital is stated in U.S. dollars. As of December 28, 2021 we had 27,644,726 outstanding shares of common stock and no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Dividend Rights</w:t>
      </w:r>
    </w:p>
    <w:p>
      <w:pPr>
        <w:spacing w:after="0" w:line="121" w:lineRule="exact"/>
        <w:rPr>
          <w:sz w:val="20"/>
          <w:szCs w:val="20"/>
          <w:color w:val="auto"/>
        </w:rPr>
      </w:pPr>
    </w:p>
    <w:p>
      <w:pPr>
        <w:ind w:right="60" w:firstLine="360"/>
        <w:spacing w:after="0" w:line="263" w:lineRule="auto"/>
        <w:rPr>
          <w:sz w:val="20"/>
          <w:szCs w:val="20"/>
          <w:color w:val="auto"/>
        </w:rPr>
      </w:pPr>
      <w:r>
        <w:rPr>
          <w:rFonts w:ascii="Arial" w:cs="Arial" w:eastAsia="Arial" w:hAnsi="Arial"/>
          <w:sz w:val="18"/>
          <w:szCs w:val="18"/>
          <w:color w:val="231F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Voting Rights</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231F20"/>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Preemptive or Similar Rights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Right to Receive Liquidation Distributions</w:t>
      </w:r>
    </w:p>
    <w:p>
      <w:pPr>
        <w:spacing w:after="0" w:line="229" w:lineRule="exact"/>
        <w:rPr>
          <w:sz w:val="20"/>
          <w:szCs w:val="20"/>
          <w:color w:val="auto"/>
        </w:rPr>
      </w:pPr>
    </w:p>
    <w:p>
      <w:pPr>
        <w:ind w:firstLine="360"/>
        <w:spacing w:after="0" w:line="303" w:lineRule="auto"/>
        <w:rPr>
          <w:sz w:val="20"/>
          <w:szCs w:val="20"/>
          <w:color w:val="auto"/>
        </w:rPr>
      </w:pPr>
      <w:r>
        <w:rPr>
          <w:rFonts w:ascii="Arial" w:cs="Arial" w:eastAsia="Arial" w:hAnsi="Arial"/>
          <w:sz w:val="16"/>
          <w:szCs w:val="16"/>
          <w:color w:val="231F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Registration Rights</w:t>
      </w:r>
    </w:p>
    <w:p>
      <w:pPr>
        <w:spacing w:after="0" w:line="243" w:lineRule="exact"/>
        <w:rPr>
          <w:sz w:val="20"/>
          <w:szCs w:val="20"/>
          <w:color w:val="auto"/>
        </w:rPr>
      </w:pPr>
    </w:p>
    <w:p>
      <w:pPr>
        <w:ind w:left="20" w:right="620"/>
        <w:spacing w:after="0" w:line="251" w:lineRule="auto"/>
        <w:rPr>
          <w:sz w:val="20"/>
          <w:szCs w:val="20"/>
          <w:color w:val="auto"/>
        </w:rPr>
      </w:pPr>
      <w:r>
        <w:rPr>
          <w:rFonts w:ascii="Arial" w:cs="Arial" w:eastAsia="Arial" w:hAnsi="Arial"/>
          <w:sz w:val="18"/>
          <w:szCs w:val="18"/>
          <w:color w:val="231F20"/>
        </w:rPr>
        <w:t>According to the terms of our amended and restated investors’ rights agreement entered into in July 2015, as amended by Amendment No. 1 our amended and restated investors’ rights agreement entered into on May 8.</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2018, certain of our common stockholders are entitled to demand, piggyback and Form S-3 registration rights.</w:t>
      </w:r>
    </w:p>
    <w:p>
      <w:pPr>
        <w:spacing w:after="0" w:line="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231F20"/>
        </w:rPr>
        <w:t xml:space="preserve">Demand Registration Rights. </w:t>
      </w:r>
      <w:r>
        <w:rPr>
          <w:rFonts w:ascii="Arial" w:cs="Arial" w:eastAsia="Arial" w:hAnsi="Arial"/>
          <w:sz w:val="18"/>
          <w:szCs w:val="18"/>
          <w:color w:val="231F20"/>
        </w:rPr>
        <w:t>At any point, the holders of at least a majority of the then-outstanding registrable securities may make a written request to</w:t>
      </w:r>
      <w:r>
        <w:rPr>
          <w:rFonts w:ascii="Arial" w:cs="Arial" w:eastAsia="Arial" w:hAnsi="Arial"/>
          <w:sz w:val="18"/>
          <w:szCs w:val="18"/>
          <w:i w:val="1"/>
          <w:iCs w:val="1"/>
          <w:color w:val="231F20"/>
        </w:rPr>
        <w:t xml:space="preserve"> </w:t>
      </w:r>
      <w:r>
        <w:rPr>
          <w:rFonts w:ascii="Arial" w:cs="Arial" w:eastAsia="Arial" w:hAnsi="Arial"/>
          <w:sz w:val="18"/>
          <w:szCs w:val="18"/>
          <w:color w:val="231F20"/>
        </w:rPr>
        <w:t>us for the registration of any of the registrable securities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20" w:top="1440" w:right="439" w:bottom="1440" w:gutter="0" w:footer="0" w:header="0"/>
        </w:sectPr>
      </w:pPr>
    </w:p>
    <w:bookmarkStart w:id="30" w:name="page31"/>
    <w:bookmarkEnd w:id="30"/>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7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i w:val="1"/>
          <w:iCs w:val="1"/>
          <w:color w:val="231F20"/>
        </w:rPr>
        <w:t xml:space="preserve">Piggyback Registration Rights. </w:t>
      </w:r>
      <w:r>
        <w:rPr>
          <w:rFonts w:ascii="Arial" w:cs="Arial" w:eastAsia="Arial" w:hAnsi="Arial"/>
          <w:sz w:val="16"/>
          <w:szCs w:val="16"/>
          <w:color w:val="231F20"/>
        </w:rPr>
        <w:t>If we register any of our securities for public sale in an offering, holders of registrable securities will have the right to</w:t>
      </w:r>
      <w:r>
        <w:rPr>
          <w:rFonts w:ascii="Arial" w:cs="Arial" w:eastAsia="Arial" w:hAnsi="Arial"/>
          <w:sz w:val="16"/>
          <w:szCs w:val="16"/>
          <w:i w:val="1"/>
          <w:iCs w:val="1"/>
          <w:color w:val="231F20"/>
        </w:rPr>
        <w:t xml:space="preserve"> </w:t>
      </w:r>
      <w:r>
        <w:rPr>
          <w:rFonts w:ascii="Arial" w:cs="Arial" w:eastAsia="Arial" w:hAnsi="Arial"/>
          <w:sz w:val="16"/>
          <w:szCs w:val="16"/>
          <w:color w:val="231F20"/>
        </w:rPr>
        <w:t>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231F20"/>
        </w:rPr>
        <w:t xml:space="preserve">Form S-3 Registration Rights. </w:t>
      </w:r>
      <w:r>
        <w:rPr>
          <w:rFonts w:ascii="Arial" w:cs="Arial" w:eastAsia="Arial" w:hAnsi="Arial"/>
          <w:sz w:val="16"/>
          <w:szCs w:val="16"/>
          <w:color w:val="231F20"/>
        </w:rPr>
        <w:t>Any holder of then-outstanding registrable securities can request that we register all or part of their shares on Form S-3 if</w:t>
      </w:r>
      <w:r>
        <w:rPr>
          <w:rFonts w:ascii="Arial" w:cs="Arial" w:eastAsia="Arial" w:hAnsi="Arial"/>
          <w:sz w:val="16"/>
          <w:szCs w:val="16"/>
          <w:i w:val="1"/>
          <w:iCs w:val="1"/>
          <w:color w:val="231F20"/>
        </w:rPr>
        <w:t xml:space="preserve"> </w:t>
      </w:r>
      <w:r>
        <w:rPr>
          <w:rFonts w:ascii="Arial" w:cs="Arial" w:eastAsia="Arial" w:hAnsi="Arial"/>
          <w:sz w:val="16"/>
          <w:szCs w:val="16"/>
          <w:color w:val="231F20"/>
        </w:rPr>
        <w:t>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w:t>
      </w:r>
    </w:p>
    <w:p>
      <w:pPr>
        <w:spacing w:after="0" w:line="2" w:lineRule="exact"/>
        <w:rPr>
          <w:sz w:val="20"/>
          <w:szCs w:val="20"/>
          <w:color w:val="auto"/>
        </w:rPr>
      </w:pPr>
    </w:p>
    <w:p>
      <w:pPr>
        <w:ind w:left="20"/>
        <w:spacing w:after="0" w:line="260" w:lineRule="auto"/>
        <w:rPr>
          <w:sz w:val="20"/>
          <w:szCs w:val="20"/>
          <w:color w:val="auto"/>
        </w:rPr>
      </w:pPr>
      <w:r>
        <w:rPr>
          <w:rFonts w:ascii="Arial" w:cs="Arial" w:eastAsia="Arial" w:hAnsi="Arial"/>
          <w:sz w:val="18"/>
          <w:szCs w:val="18"/>
          <w:color w:val="231F20"/>
        </w:rPr>
        <w:t>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231F20"/>
        </w:rPr>
        <w:t xml:space="preserve">Expenses of Registration. </w:t>
      </w:r>
      <w:r>
        <w:rPr>
          <w:rFonts w:ascii="Arial" w:cs="Arial" w:eastAsia="Arial" w:hAnsi="Arial"/>
          <w:sz w:val="18"/>
          <w:szCs w:val="18"/>
          <w:color w:val="231F20"/>
        </w:rPr>
        <w:t>We generally will pay all expenses, other than underwriting discounts and commissions.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231F20"/>
        </w:rPr>
        <w:t>Expiration of Registration Right</w:t>
      </w:r>
      <w:r>
        <w:rPr>
          <w:rFonts w:ascii="Arial" w:cs="Arial" w:eastAsia="Arial" w:hAnsi="Arial"/>
          <w:sz w:val="18"/>
          <w:szCs w:val="18"/>
          <w:color w:val="231F20"/>
        </w:rPr>
        <w:t>s. The registration rights described above will expire, with respect to any particular holder of these rights, on the earlier</w:t>
      </w:r>
      <w:r>
        <w:rPr>
          <w:rFonts w:ascii="Arial" w:cs="Arial" w:eastAsia="Arial" w:hAnsi="Arial"/>
          <w:sz w:val="18"/>
          <w:szCs w:val="18"/>
          <w:i w:val="1"/>
          <w:iCs w:val="1"/>
          <w:color w:val="231F20"/>
        </w:rPr>
        <w:t xml:space="preserve"> </w:t>
      </w:r>
      <w:r>
        <w:rPr>
          <w:rFonts w:ascii="Arial" w:cs="Arial" w:eastAsia="Arial" w:hAnsi="Arial"/>
          <w:sz w:val="18"/>
          <w:szCs w:val="18"/>
          <w:color w:val="231F20"/>
        </w:rPr>
        <w:t>of the fifth anniversary of the closing of our initial public offering, and such time as we have completed our initial public offering and all registrable securities issuable or issued upon conversion of our shares held by and issuable to a holder with such registration rights (and its affiliates) may be sold pursuant to Rule 144 during any 90-day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Preferred Stock</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6"/>
          <w:szCs w:val="16"/>
          <w:color w:val="231F20"/>
        </w:rPr>
        <w:t>As of September 30, 2021, no shares of our preferred stock are issued and outstanding and no such shares were subject to outstanding options or other rights to purchase or acquire. However, shares of preferred stock may be issued in one or more series from time to time by our board of directors, and the</w:t>
      </w:r>
    </w:p>
    <w:p>
      <w:pPr>
        <w:ind w:right="40"/>
        <w:spacing w:after="0" w:line="311" w:lineRule="auto"/>
        <w:rPr>
          <w:sz w:val="20"/>
          <w:szCs w:val="20"/>
          <w:color w:val="auto"/>
        </w:rPr>
      </w:pPr>
      <w:r>
        <w:rPr>
          <w:rFonts w:ascii="Arial" w:cs="Arial" w:eastAsia="Arial" w:hAnsi="Arial"/>
          <w:sz w:val="18"/>
          <w:szCs w:val="18"/>
          <w:color w:val="231F20"/>
        </w:rPr>
        <w:t>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Anti-Takeover Effect of Unissued Shares of Capital Stock</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231F20"/>
        </w:rPr>
        <w:t xml:space="preserve">Common Stock. </w:t>
      </w:r>
      <w:r>
        <w:rPr>
          <w:rFonts w:ascii="Arial" w:cs="Arial" w:eastAsia="Arial" w:hAnsi="Arial"/>
          <w:sz w:val="18"/>
          <w:szCs w:val="18"/>
          <w:color w:val="231F20"/>
        </w:rPr>
        <w:t>Our shares of authorized and unissued common stock are available for future issuance without additional stockholder approval. While</w:t>
      </w:r>
      <w:r>
        <w:rPr>
          <w:rFonts w:ascii="Arial" w:cs="Arial" w:eastAsia="Arial" w:hAnsi="Arial"/>
          <w:sz w:val="18"/>
          <w:szCs w:val="18"/>
          <w:i w:val="1"/>
          <w:iCs w:val="1"/>
          <w:color w:val="231F20"/>
        </w:rPr>
        <w:t xml:space="preserve"> </w:t>
      </w:r>
      <w:r>
        <w:rPr>
          <w:rFonts w:ascii="Arial" w:cs="Arial" w:eastAsia="Arial" w:hAnsi="Arial"/>
          <w:sz w:val="18"/>
          <w:szCs w:val="18"/>
          <w:color w:val="231F20"/>
        </w:rPr>
        <w:t>these additional shares are not designed to deter or prevent a change of control, under some circumstances we could use the additional shares to create voting impediments or to frustrate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20" w:top="1440" w:right="459" w:bottom="1440" w:gutter="0" w:footer="0" w:header="0"/>
        </w:sectPr>
      </w:pPr>
    </w:p>
    <w:bookmarkStart w:id="31" w:name="page32"/>
    <w:bookmarkEnd w:id="31"/>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persons seeking to effect a takeover or otherwise gain control by, for example, issuing those shares in private placements to purchasers who might side with our board of directors in opposing a hostile takeover bid.</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231F20"/>
        </w:rPr>
        <w:t xml:space="preserve">Preferred Stock. </w:t>
      </w:r>
      <w:r>
        <w:rPr>
          <w:rFonts w:ascii="Arial" w:cs="Arial" w:eastAsia="Arial" w:hAnsi="Arial"/>
          <w:sz w:val="17"/>
          <w:szCs w:val="17"/>
          <w:color w:val="231F20"/>
        </w:rPr>
        <w:t>Our certificate of incorporation grants our board of directors the authority, without any further vote or action by our stockholders, to</w:t>
      </w:r>
      <w:r>
        <w:rPr>
          <w:rFonts w:ascii="Arial" w:cs="Arial" w:eastAsia="Arial" w:hAnsi="Arial"/>
          <w:sz w:val="17"/>
          <w:szCs w:val="17"/>
          <w:i w:val="1"/>
          <w:iCs w:val="1"/>
          <w:color w:val="231F20"/>
        </w:rPr>
        <w:t xml:space="preserve"> </w:t>
      </w:r>
      <w:r>
        <w:rPr>
          <w:rFonts w:ascii="Arial" w:cs="Arial" w:eastAsia="Arial" w:hAnsi="Arial"/>
          <w:sz w:val="17"/>
          <w:szCs w:val="17"/>
          <w:color w:val="231F20"/>
        </w:rPr>
        <w:t>issue 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49" w:lineRule="exact"/>
        <w:rPr>
          <w:sz w:val="20"/>
          <w:szCs w:val="20"/>
          <w:color w:val="auto"/>
        </w:rPr>
      </w:pPr>
    </w:p>
    <w:p>
      <w:pPr>
        <w:ind w:left="380" w:right="480" w:hanging="274"/>
        <w:spacing w:after="0" w:line="277" w:lineRule="auto"/>
        <w:tabs>
          <w:tab w:leader="none" w:pos="353"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prior to the date of the transaction, the board of directors of the corporation approved either the business combination or the transaction which resulted in the stockholder becoming an interested stockholder;</w:t>
      </w:r>
    </w:p>
    <w:p>
      <w:pPr>
        <w:spacing w:after="0" w:line="21" w:lineRule="exact"/>
        <w:rPr>
          <w:rFonts w:ascii="Arial" w:cs="Arial" w:eastAsia="Arial" w:hAnsi="Arial"/>
          <w:sz w:val="18"/>
          <w:szCs w:val="18"/>
          <w:color w:val="231F20"/>
        </w:rPr>
      </w:pPr>
    </w:p>
    <w:p>
      <w:pPr>
        <w:ind w:left="380" w:right="800" w:hanging="274"/>
        <w:spacing w:after="0" w:line="308" w:lineRule="auto"/>
        <w:tabs>
          <w:tab w:leader="none" w:pos="385"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1" w:lineRule="exact"/>
        <w:rPr>
          <w:rFonts w:ascii="Arial" w:cs="Arial" w:eastAsia="Arial" w:hAnsi="Arial"/>
          <w:sz w:val="17"/>
          <w:szCs w:val="17"/>
          <w:color w:val="231F20"/>
        </w:rPr>
      </w:pPr>
    </w:p>
    <w:p>
      <w:pPr>
        <w:ind w:left="380" w:right="640" w:hanging="274"/>
        <w:spacing w:after="0" w:line="263" w:lineRule="auto"/>
        <w:tabs>
          <w:tab w:leader="none" w:pos="353"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Restated Certificate of Incorporation and Restated Bylaw Provisions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Our restated certificate of incorporation and our restated bylaws include a number of provisions that may have the effect of deterring hostile takeovers or delaying or preventing changes in control, including the following:</w:t>
      </w:r>
    </w:p>
    <w:p>
      <w:pPr>
        <w:spacing w:after="0" w:line="62" w:lineRule="exact"/>
        <w:rPr>
          <w:sz w:val="20"/>
          <w:szCs w:val="20"/>
          <w:color w:val="auto"/>
        </w:rPr>
      </w:pPr>
    </w:p>
    <w:p>
      <w:pPr>
        <w:ind w:left="360" w:right="120" w:hanging="272"/>
        <w:spacing w:after="0" w:line="263" w:lineRule="auto"/>
        <w:tabs>
          <w:tab w:leader="none" w:pos="333"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 xml:space="preserve">Board of Directors Vacancies. </w:t>
      </w:r>
      <w:r>
        <w:rPr>
          <w:rFonts w:ascii="Arial" w:cs="Arial" w:eastAsia="Arial" w:hAnsi="Arial"/>
          <w:sz w:val="18"/>
          <w:szCs w:val="18"/>
          <w:color w:val="231F20"/>
        </w:rPr>
        <w:t>Our restated certificate of incorporation and restated bylaws authorize only our board of directors to fill vacant</w:t>
      </w:r>
      <w:r>
        <w:rPr>
          <w:rFonts w:ascii="Arial" w:cs="Arial" w:eastAsia="Arial" w:hAnsi="Arial"/>
          <w:sz w:val="18"/>
          <w:szCs w:val="18"/>
          <w:i w:val="1"/>
          <w:iCs w:val="1"/>
          <w:color w:val="231F20"/>
        </w:rPr>
        <w:t xml:space="preserve"> </w:t>
      </w:r>
      <w:r>
        <w:rPr>
          <w:rFonts w:ascii="Arial" w:cs="Arial" w:eastAsia="Arial" w:hAnsi="Arial"/>
          <w:sz w:val="18"/>
          <w:szCs w:val="18"/>
          <w:color w:val="231F20"/>
        </w:rPr>
        <w:t>directorships, including newly created seats. In addition, the number of directors constituting our board of directors is permitted to be set only by a resolution adopted by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20" w:top="1440" w:right="439" w:bottom="1440" w:gutter="0" w:footer="0" w:header="0"/>
        </w:sectPr>
      </w:pPr>
    </w:p>
    <w:bookmarkStart w:id="32" w:name="page33"/>
    <w:bookmarkEnd w:id="32"/>
    <w:p>
      <w:pPr>
        <w:spacing w:after="0" w:line="76" w:lineRule="exact"/>
        <w:rPr>
          <w:sz w:val="20"/>
          <w:szCs w:val="20"/>
          <w:color w:val="auto"/>
        </w:rPr>
      </w:pPr>
    </w:p>
    <w:p>
      <w:pPr>
        <w:ind w:left="280" w:right="500"/>
        <w:spacing w:after="0" w:line="263" w:lineRule="auto"/>
        <w:rPr>
          <w:sz w:val="20"/>
          <w:szCs w:val="20"/>
          <w:color w:val="auto"/>
        </w:rPr>
      </w:pPr>
      <w:r>
        <w:rPr>
          <w:rFonts w:ascii="Arial" w:cs="Arial" w:eastAsia="Arial" w:hAnsi="Arial"/>
          <w:sz w:val="18"/>
          <w:szCs w:val="18"/>
          <w:color w:val="231F20"/>
        </w:rPr>
        <w:t>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6" w:lineRule="exact"/>
        <w:rPr>
          <w:sz w:val="20"/>
          <w:szCs w:val="20"/>
          <w:color w:val="auto"/>
        </w:rPr>
      </w:pPr>
    </w:p>
    <w:p>
      <w:pPr>
        <w:jc w:val="both"/>
        <w:ind w:left="280" w:hanging="272"/>
        <w:spacing w:after="0" w:line="311" w:lineRule="auto"/>
        <w:tabs>
          <w:tab w:leader="none" w:pos="253" w:val="left"/>
        </w:tabs>
        <w:numPr>
          <w:ilvl w:val="0"/>
          <w:numId w:val="9"/>
        </w:numPr>
        <w:rPr>
          <w:rFonts w:ascii="Arial" w:cs="Arial" w:eastAsia="Arial" w:hAnsi="Arial"/>
          <w:sz w:val="16"/>
          <w:szCs w:val="16"/>
          <w:color w:val="231F20"/>
        </w:rPr>
      </w:pPr>
      <w:r>
        <w:rPr>
          <w:rFonts w:ascii="Arial" w:cs="Arial" w:eastAsia="Arial" w:hAnsi="Arial"/>
          <w:sz w:val="16"/>
          <w:szCs w:val="16"/>
          <w:i w:val="1"/>
          <w:iCs w:val="1"/>
          <w:color w:val="231F20"/>
        </w:rPr>
        <w:t xml:space="preserve">Classified Board. </w:t>
      </w:r>
      <w:r>
        <w:rPr>
          <w:rFonts w:ascii="Arial" w:cs="Arial" w:eastAsia="Arial" w:hAnsi="Arial"/>
          <w:sz w:val="16"/>
          <w:szCs w:val="16"/>
          <w:color w:val="231F20"/>
        </w:rPr>
        <w:t>Our restated certificate of incorporation and restated bylaws provide that our board is classified into three classes of directors, each</w:t>
      </w:r>
      <w:r>
        <w:rPr>
          <w:rFonts w:ascii="Arial" w:cs="Arial" w:eastAsia="Arial" w:hAnsi="Arial"/>
          <w:sz w:val="16"/>
          <w:szCs w:val="16"/>
          <w:i w:val="1"/>
          <w:iCs w:val="1"/>
          <w:color w:val="231F20"/>
        </w:rPr>
        <w:t xml:space="preserve"> </w:t>
      </w:r>
      <w:r>
        <w:rPr>
          <w:rFonts w:ascii="Arial" w:cs="Arial" w:eastAsia="Arial" w:hAnsi="Arial"/>
          <w:sz w:val="16"/>
          <w:szCs w:val="16"/>
          <w:color w:val="231F20"/>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ind w:left="280" w:hanging="272"/>
        <w:spacing w:after="0" w:line="272" w:lineRule="auto"/>
        <w:tabs>
          <w:tab w:leader="none" w:pos="253" w:val="left"/>
        </w:tabs>
        <w:numPr>
          <w:ilvl w:val="0"/>
          <w:numId w:val="9"/>
        </w:numPr>
        <w:rPr>
          <w:rFonts w:ascii="Arial" w:cs="Arial" w:eastAsia="Arial" w:hAnsi="Arial"/>
          <w:sz w:val="17"/>
          <w:szCs w:val="17"/>
          <w:color w:val="231F20"/>
        </w:rPr>
      </w:pPr>
      <w:r>
        <w:rPr>
          <w:rFonts w:ascii="Arial" w:cs="Arial" w:eastAsia="Arial" w:hAnsi="Arial"/>
          <w:sz w:val="17"/>
          <w:szCs w:val="17"/>
          <w:i w:val="1"/>
          <w:iCs w:val="1"/>
          <w:color w:val="231F20"/>
        </w:rPr>
        <w:t xml:space="preserve">Stockholder Action; Special Meetings of Stockholders. </w:t>
      </w:r>
      <w:r>
        <w:rPr>
          <w:rFonts w:ascii="Arial" w:cs="Arial" w:eastAsia="Arial" w:hAnsi="Arial"/>
          <w:sz w:val="17"/>
          <w:szCs w:val="17"/>
          <w:color w:val="231F20"/>
        </w:rPr>
        <w:t>Our restated certificate of incorporation provides that our stockholders may not take action by</w:t>
      </w:r>
      <w:r>
        <w:rPr>
          <w:rFonts w:ascii="Arial" w:cs="Arial" w:eastAsia="Arial" w:hAnsi="Arial"/>
          <w:sz w:val="17"/>
          <w:szCs w:val="17"/>
          <w:i w:val="1"/>
          <w:iCs w:val="1"/>
          <w:color w:val="231F20"/>
        </w:rPr>
        <w:t xml:space="preserve"> </w:t>
      </w:r>
      <w:r>
        <w:rPr>
          <w:rFonts w:ascii="Arial" w:cs="Arial" w:eastAsia="Arial" w:hAnsi="Arial"/>
          <w:sz w:val="17"/>
          <w:szCs w:val="17"/>
          <w:color w:val="231F20"/>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42" w:lineRule="exact"/>
        <w:rPr>
          <w:rFonts w:ascii="Arial" w:cs="Arial" w:eastAsia="Arial" w:hAnsi="Arial"/>
          <w:sz w:val="17"/>
          <w:szCs w:val="17"/>
          <w:color w:val="231F20"/>
        </w:rPr>
      </w:pPr>
    </w:p>
    <w:p>
      <w:pPr>
        <w:ind w:left="280" w:right="140" w:hanging="272"/>
        <w:spacing w:after="0" w:line="254" w:lineRule="auto"/>
        <w:tabs>
          <w:tab w:leader="none" w:pos="253"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Advance Notice Requirements for Stockholder Proposals and Director Nominations. </w:t>
      </w:r>
      <w:r>
        <w:rPr>
          <w:rFonts w:ascii="Arial" w:cs="Arial" w:eastAsia="Arial" w:hAnsi="Arial"/>
          <w:sz w:val="18"/>
          <w:szCs w:val="18"/>
          <w:color w:val="231F20"/>
        </w:rPr>
        <w:t>Our restated bylaws provide advance notice procedures for</w:t>
      </w:r>
      <w:r>
        <w:rPr>
          <w:rFonts w:ascii="Arial" w:cs="Arial" w:eastAsia="Arial" w:hAnsi="Arial"/>
          <w:sz w:val="18"/>
          <w:szCs w:val="18"/>
          <w:i w:val="1"/>
          <w:iCs w:val="1"/>
          <w:color w:val="231F20"/>
        </w:rPr>
        <w:t xml:space="preserve"> </w:t>
      </w:r>
      <w:r>
        <w:rPr>
          <w:rFonts w:ascii="Arial" w:cs="Arial" w:eastAsia="Arial" w:hAnsi="Arial"/>
          <w:sz w:val="18"/>
          <w:szCs w:val="18"/>
          <w:color w:val="231F20"/>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46" w:lineRule="exact"/>
        <w:rPr>
          <w:rFonts w:ascii="Arial" w:cs="Arial" w:eastAsia="Arial" w:hAnsi="Arial"/>
          <w:sz w:val="18"/>
          <w:szCs w:val="18"/>
          <w:color w:val="231F20"/>
        </w:rPr>
      </w:pPr>
    </w:p>
    <w:p>
      <w:pPr>
        <w:ind w:left="280" w:right="420" w:hanging="272"/>
        <w:spacing w:after="0" w:line="263" w:lineRule="auto"/>
        <w:tabs>
          <w:tab w:leader="none" w:pos="253"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No Cumulative Voting. </w:t>
      </w:r>
      <w:r>
        <w:rPr>
          <w:rFonts w:ascii="Arial" w:cs="Arial" w:eastAsia="Arial" w:hAnsi="Arial"/>
          <w:sz w:val="18"/>
          <w:szCs w:val="18"/>
          <w:color w:val="231F20"/>
        </w:rPr>
        <w:t>The Delaware General Corporation Law provides that stockholders are not entitled to the right to cumulate votes in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election of directors unless a corporation’s certificate of incorporation provides otherwise. Our restated certificate of incorporation and restated bylaws do not provide for cumulative voting.</w:t>
      </w:r>
    </w:p>
    <w:p>
      <w:pPr>
        <w:spacing w:after="0" w:line="35" w:lineRule="exact"/>
        <w:rPr>
          <w:rFonts w:ascii="Arial" w:cs="Arial" w:eastAsia="Arial" w:hAnsi="Arial"/>
          <w:sz w:val="18"/>
          <w:szCs w:val="18"/>
          <w:color w:val="231F20"/>
        </w:rPr>
      </w:pPr>
    </w:p>
    <w:p>
      <w:pPr>
        <w:ind w:left="280" w:right="340" w:hanging="272"/>
        <w:spacing w:after="0" w:line="277" w:lineRule="auto"/>
        <w:tabs>
          <w:tab w:leader="none" w:pos="253"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Directors Removed Only for Cause. </w:t>
      </w:r>
      <w:r>
        <w:rPr>
          <w:rFonts w:ascii="Arial" w:cs="Arial" w:eastAsia="Arial" w:hAnsi="Arial"/>
          <w:sz w:val="18"/>
          <w:szCs w:val="18"/>
          <w:color w:val="231F20"/>
        </w:rPr>
        <w:t>Our restated certificate of incorporation provides that stockholders may remove directors only for cause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only by the affirmative vote of the holders of at least two-thirds of our outstanding common stock.</w:t>
      </w:r>
    </w:p>
    <w:p>
      <w:pPr>
        <w:spacing w:after="0" w:line="35" w:lineRule="exact"/>
        <w:rPr>
          <w:rFonts w:ascii="Arial" w:cs="Arial" w:eastAsia="Arial" w:hAnsi="Arial"/>
          <w:sz w:val="18"/>
          <w:szCs w:val="18"/>
          <w:color w:val="231F20"/>
        </w:rPr>
      </w:pPr>
    </w:p>
    <w:p>
      <w:pPr>
        <w:ind w:left="300" w:right="160" w:hanging="274"/>
        <w:spacing w:after="0" w:line="325" w:lineRule="auto"/>
        <w:tabs>
          <w:tab w:leader="none" w:pos="273" w:val="left"/>
        </w:tabs>
        <w:numPr>
          <w:ilvl w:val="1"/>
          <w:numId w:val="9"/>
        </w:numPr>
        <w:rPr>
          <w:rFonts w:ascii="Arial" w:cs="Arial" w:eastAsia="Arial" w:hAnsi="Arial"/>
          <w:sz w:val="16"/>
          <w:szCs w:val="16"/>
          <w:color w:val="231F20"/>
        </w:rPr>
      </w:pPr>
      <w:r>
        <w:rPr>
          <w:rFonts w:ascii="Arial" w:cs="Arial" w:eastAsia="Arial" w:hAnsi="Arial"/>
          <w:sz w:val="16"/>
          <w:szCs w:val="16"/>
          <w:i w:val="1"/>
          <w:iCs w:val="1"/>
          <w:color w:val="231F20"/>
        </w:rPr>
        <w:t xml:space="preserve">Amendment to Certificate of Incorporation and Bylaws. </w:t>
      </w:r>
      <w:r>
        <w:rPr>
          <w:rFonts w:ascii="Arial" w:cs="Arial" w:eastAsia="Arial" w:hAnsi="Arial"/>
          <w:sz w:val="16"/>
          <w:szCs w:val="16"/>
          <w:color w:val="231F20"/>
        </w:rPr>
        <w:t>Any amendment of the above provisions in our restated certificate of incorporation and</w:t>
      </w:r>
      <w:r>
        <w:rPr>
          <w:rFonts w:ascii="Arial" w:cs="Arial" w:eastAsia="Arial" w:hAnsi="Arial"/>
          <w:sz w:val="16"/>
          <w:szCs w:val="16"/>
          <w:i w:val="1"/>
          <w:iCs w:val="1"/>
          <w:color w:val="231F20"/>
        </w:rPr>
        <w:t xml:space="preserve"> </w:t>
      </w:r>
      <w:r>
        <w:rPr>
          <w:rFonts w:ascii="Arial" w:cs="Arial" w:eastAsia="Arial" w:hAnsi="Arial"/>
          <w:sz w:val="16"/>
          <w:szCs w:val="16"/>
          <w:color w:val="231F20"/>
        </w:rPr>
        <w:t>restated bylaws requires approval by holders of at least two-thirds of our then-outstanding capital stock entitled to vote in the election of directors.</w:t>
      </w:r>
    </w:p>
    <w:p>
      <w:pPr>
        <w:spacing w:after="0" w:line="1" w:lineRule="exact"/>
        <w:rPr>
          <w:rFonts w:ascii="Arial" w:cs="Arial" w:eastAsia="Arial" w:hAnsi="Arial"/>
          <w:sz w:val="16"/>
          <w:szCs w:val="16"/>
          <w:color w:val="231F20"/>
        </w:rPr>
      </w:pPr>
    </w:p>
    <w:p>
      <w:pPr>
        <w:ind w:left="300" w:right="200" w:hanging="274"/>
        <w:spacing w:after="0" w:line="279" w:lineRule="auto"/>
        <w:tabs>
          <w:tab w:leader="none" w:pos="273" w:val="left"/>
        </w:tabs>
        <w:numPr>
          <w:ilvl w:val="1"/>
          <w:numId w:val="9"/>
        </w:numPr>
        <w:rPr>
          <w:rFonts w:ascii="Arial" w:cs="Arial" w:eastAsia="Arial" w:hAnsi="Arial"/>
          <w:sz w:val="17"/>
          <w:szCs w:val="17"/>
          <w:color w:val="231F20"/>
        </w:rPr>
      </w:pPr>
      <w:r>
        <w:rPr>
          <w:rFonts w:ascii="Arial" w:cs="Arial" w:eastAsia="Arial" w:hAnsi="Arial"/>
          <w:sz w:val="17"/>
          <w:szCs w:val="17"/>
          <w:i w:val="1"/>
          <w:iCs w:val="1"/>
          <w:color w:val="231F20"/>
        </w:rPr>
        <w:t xml:space="preserve">Issuance of Undesignated Preferred Stock. </w:t>
      </w:r>
      <w:r>
        <w:rPr>
          <w:rFonts w:ascii="Arial" w:cs="Arial" w:eastAsia="Arial" w:hAnsi="Arial"/>
          <w:sz w:val="17"/>
          <w:szCs w:val="17"/>
          <w:color w:val="231F20"/>
        </w:rPr>
        <w:t>Our board of directors has the authority, without further action by the stockholders, to issue up to</w:t>
      </w:r>
      <w:r>
        <w:rPr>
          <w:rFonts w:ascii="Arial" w:cs="Arial" w:eastAsia="Arial" w:hAnsi="Arial"/>
          <w:sz w:val="17"/>
          <w:szCs w:val="17"/>
          <w:i w:val="1"/>
          <w:iCs w:val="1"/>
          <w:color w:val="231F20"/>
        </w:rPr>
        <w:t xml:space="preserve"> </w:t>
      </w:r>
      <w:r>
        <w:rPr>
          <w:rFonts w:ascii="Arial" w:cs="Arial" w:eastAsia="Arial" w:hAnsi="Arial"/>
          <w:sz w:val="17"/>
          <w:szCs w:val="17"/>
          <w:color w:val="231F20"/>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22" w:lineRule="exact"/>
        <w:rPr>
          <w:rFonts w:ascii="Arial" w:cs="Arial" w:eastAsia="Arial" w:hAnsi="Arial"/>
          <w:sz w:val="17"/>
          <w:szCs w:val="17"/>
          <w:color w:val="231F20"/>
        </w:rPr>
      </w:pPr>
    </w:p>
    <w:p>
      <w:pPr>
        <w:ind w:left="300" w:right="100" w:hanging="274"/>
        <w:spacing w:after="0" w:line="255" w:lineRule="auto"/>
        <w:tabs>
          <w:tab w:leader="none" w:pos="273" w:val="left"/>
        </w:tabs>
        <w:numPr>
          <w:ilvl w:val="1"/>
          <w:numId w:val="9"/>
        </w:numPr>
        <w:rPr>
          <w:rFonts w:ascii="Arial" w:cs="Arial" w:eastAsia="Arial" w:hAnsi="Arial"/>
          <w:sz w:val="18"/>
          <w:szCs w:val="18"/>
          <w:color w:val="231F20"/>
        </w:rPr>
      </w:pPr>
      <w:r>
        <w:rPr>
          <w:rFonts w:ascii="Arial" w:cs="Arial" w:eastAsia="Arial" w:hAnsi="Arial"/>
          <w:sz w:val="18"/>
          <w:szCs w:val="18"/>
          <w:i w:val="1"/>
          <w:iCs w:val="1"/>
          <w:color w:val="231F20"/>
        </w:rPr>
        <w:t xml:space="preserve">Choice of Forum. </w:t>
      </w:r>
      <w:r>
        <w:rPr>
          <w:rFonts w:ascii="Arial" w:cs="Arial" w:eastAsia="Arial" w:hAnsi="Arial"/>
          <w:sz w:val="18"/>
          <w:szCs w:val="18"/>
          <w:color w:val="231F20"/>
        </w:rPr>
        <w:t>Our restated certificate of incorporation provides that the Court of Chancery of the State of Delaware will be the exclusive forum</w:t>
      </w:r>
      <w:r>
        <w:rPr>
          <w:rFonts w:ascii="Arial" w:cs="Arial" w:eastAsia="Arial" w:hAnsi="Arial"/>
          <w:sz w:val="18"/>
          <w:szCs w:val="18"/>
          <w:i w:val="1"/>
          <w:iCs w:val="1"/>
          <w:color w:val="231F20"/>
        </w:rPr>
        <w:t xml:space="preserve"> </w:t>
      </w:r>
      <w:r>
        <w:rPr>
          <w:rFonts w:ascii="Arial" w:cs="Arial" w:eastAsia="Arial" w:hAnsi="Arial"/>
          <w:sz w:val="18"/>
          <w:szCs w:val="18"/>
          <w:color w:val="231F20"/>
        </w:rPr>
        <w:t>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would not apply to suits brought to enforce any liability or duty created by the Securities Act or the Exchange Act or any other claim for which the federal courts have exclusive jurisdiction.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500" w:top="1440" w:right="419" w:bottom="1440" w:gutter="0" w:footer="0" w:header="0"/>
        </w:sectPr>
      </w:pPr>
    </w:p>
    <w:bookmarkStart w:id="33" w:name="page34"/>
    <w:bookmarkEnd w:id="33"/>
    <w:p>
      <w:pPr>
        <w:spacing w:after="0" w:line="36"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231F20"/>
        </w:rPr>
        <w:t>that any such claims may be based upon federal law claims, Section 27 of the Exchange Act creates exclusive federal jurisdiction over all suits brought to enforce any duty or liability created by the Exchange</w:t>
      </w:r>
    </w:p>
    <w:p>
      <w:pPr>
        <w:spacing w:after="0" w:line="386" w:lineRule="exact"/>
        <w:rPr>
          <w:sz w:val="20"/>
          <w:szCs w:val="20"/>
          <w:color w:val="auto"/>
        </w:rPr>
      </w:pPr>
    </w:p>
    <w:p>
      <w:pPr>
        <w:ind w:left="380"/>
        <w:spacing w:after="0" w:line="272" w:lineRule="auto"/>
        <w:rPr>
          <w:sz w:val="20"/>
          <w:szCs w:val="20"/>
          <w:color w:val="auto"/>
        </w:rPr>
      </w:pPr>
      <w:r>
        <w:rPr>
          <w:rFonts w:ascii="Arial" w:cs="Arial" w:eastAsia="Arial" w:hAnsi="Arial"/>
          <w:sz w:val="17"/>
          <w:szCs w:val="17"/>
          <w:color w:val="231F20"/>
        </w:rPr>
        <w:t>Act or the rules and regulations thereunder. Furthermore, Section 22 of the Securities Act 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although our restated certificate contains the choice of forum provision described above, it is possible that a court could rule that such a provision is inapplicable for a particular claim or action or that such provision is unenforceable.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transfer agent and registrar for our common stock is America Stock Transfer &amp; Trust Company, LLC.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Our common stock is quoted on the Nasdaq Global Market under the trading symbol “ANAB.”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20" w:top="1440" w:right="479" w:bottom="1440" w:gutter="0" w:footer="0" w:header="0"/>
        </w:sectPr>
      </w:pPr>
    </w:p>
    <w:bookmarkStart w:id="34" w:name="page35"/>
    <w:bookmarkEnd w:id="34"/>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rank equally with all of our other unsecured indebtedness.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may offer under this prospectus up to an aggregate principal amount of $300,000,000 in debt securities, or if debt securities are issued at a discount, or in a foreign currency, foreign currency units or composite currency, the principal amount as may be sold for an aggregate public offering price of up to $300,000,000. Unless otherwise specified in the applicable prospectus supplement, the debt securities will represent our direct, unsecured obligations and will rank equally with all of our other unsecured indebtedness.</w:t>
      </w:r>
    </w:p>
    <w:p>
      <w:pPr>
        <w:spacing w:after="0" w:line="7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231F20"/>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231F20"/>
        </w:rPr>
        <w:t>series of debt securities being offered will specify the particular amounts, prices and terms of those debt securities. These terms may include:</w:t>
      </w:r>
    </w:p>
    <w:p>
      <w:pPr>
        <w:spacing w:after="0" w:line="114" w:lineRule="exact"/>
        <w:rPr>
          <w:sz w:val="20"/>
          <w:szCs w:val="20"/>
          <w:color w:val="auto"/>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title of the series;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aggregate principal amount, and, if a series, the total amount authorized and the total amount outstanding;</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issue price or prices, expressed as a percentage of the aggregate principal amount of the debt securities;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any limit on the aggregate principal amount;</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date or dates on which principal is payable;</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interest rate or rates (which may be fixed or variable) or, if applicable, the method used to determine such rate or rates;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date or dates from which interest, if any, will be payable and any regular record date for the interest payable;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place or places where principal and, if applicable, premium and interest, is payable;</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terms and conditions upon which we may, or the holders may require us to, redeem or repurchase the debt securities;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the denominations in which such debt securities may be issuable, if other than denominations of $1,000 or any integral multiple of that number;</w:t>
      </w:r>
    </w:p>
    <w:p>
      <w:pPr>
        <w:spacing w:after="0" w:line="99" w:lineRule="exact"/>
        <w:rPr>
          <w:rFonts w:ascii="Arial" w:cs="Arial" w:eastAsia="Arial" w:hAnsi="Arial"/>
          <w:sz w:val="16"/>
          <w:szCs w:val="16"/>
          <w:color w:val="231F20"/>
        </w:rPr>
      </w:pPr>
    </w:p>
    <w:p>
      <w:pPr>
        <w:ind w:left="340" w:hanging="252"/>
        <w:spacing w:after="0"/>
        <w:tabs>
          <w:tab w:leader="none" w:pos="34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whether the debt securities are to be issuable in the form of certificated securities (as described below) or global securities (as described below);</w:t>
      </w:r>
    </w:p>
    <w:p>
      <w:pPr>
        <w:spacing w:after="0" w:line="113" w:lineRule="exact"/>
        <w:rPr>
          <w:rFonts w:ascii="Arial" w:cs="Arial" w:eastAsia="Arial" w:hAnsi="Arial"/>
          <w:sz w:val="16"/>
          <w:szCs w:val="16"/>
          <w:color w:val="231F20"/>
        </w:rPr>
      </w:pPr>
    </w:p>
    <w:p>
      <w:pPr>
        <w:ind w:left="360" w:right="260" w:hanging="272"/>
        <w:spacing w:after="0" w:line="277" w:lineRule="auto"/>
        <w:tabs>
          <w:tab w:leader="none" w:pos="333"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portion of principal amount that will be payable upon declaration of acceleration of the maturity date if other than the principal amount of the debt securities;</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currency of denomination;</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designation of the currency, currencies or currency units in which payment of principal and, if applicable, premium and interest, will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be made;</w:t>
      </w:r>
    </w:p>
    <w:p>
      <w:pPr>
        <w:spacing w:after="0" w:line="62" w:lineRule="exact"/>
        <w:rPr>
          <w:sz w:val="20"/>
          <w:szCs w:val="20"/>
          <w:color w:val="auto"/>
        </w:rPr>
      </w:pPr>
    </w:p>
    <w:p>
      <w:pPr>
        <w:ind w:left="360" w:right="320" w:hanging="272"/>
        <w:spacing w:after="0" w:line="342" w:lineRule="auto"/>
        <w:tabs>
          <w:tab w:leader="none" w:pos="333"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420" w:top="1440" w:right="439" w:bottom="1440" w:gutter="0" w:footer="0" w:header="0"/>
        </w:sectPr>
      </w:pPr>
    </w:p>
    <w:bookmarkStart w:id="35" w:name="page36"/>
    <w:bookmarkEnd w:id="35"/>
    <w:p>
      <w:pPr>
        <w:spacing w:after="0" w:line="36" w:lineRule="exact"/>
        <w:rPr>
          <w:sz w:val="20"/>
          <w:szCs w:val="20"/>
          <w:color w:val="auto"/>
        </w:rPr>
      </w:pPr>
    </w:p>
    <w:p>
      <w:pPr>
        <w:ind w:left="360" w:hanging="272"/>
        <w:spacing w:after="0" w:line="334" w:lineRule="auto"/>
        <w:tabs>
          <w:tab w:leader="none" w:pos="348"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provisions, if any, relating to any collateral provided for such debt securities;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any addition to or change in the covenants and/or the acceleration provisions described in this prospectus or in the indenture;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any events of default, if not otherwise described below under “Events of Default”;</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terms and conditions, if any, for conversion into or exchange for shares of our common stock or preferred stock;</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any depositaries, interest rate calculation agents, exchange rate calculation agents or other agents; and</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terms and conditions, if any, upon which the debt securities shall be subordinated in right of payment to our other indebtedness.</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231F20"/>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Registrar and Paying Agent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Conversion or Exchange Rights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231F20"/>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22" w:lineRule="exact"/>
        <w:rPr>
          <w:sz w:val="20"/>
          <w:szCs w:val="20"/>
          <w:color w:val="auto"/>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conversion or exchange price;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conversion or exchange period;</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provisions regarding the convertibility or exchangeability of the debt securities, including who may convert or exchange;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events requiring adjustment to the conversion or exchange price;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provisions affecting conversion or exchange in the event of our redemption of the debt securities; and</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any anti-dilution provisions, if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Registered Global Securities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If we decide to issue debt securities in the form of one or more global securities, then we will register the global securities in the name of the depositary for the global securities or the nominee of the depositary, and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420" w:top="1440" w:right="399" w:bottom="1440" w:gutter="0" w:footer="0" w:header="0"/>
        </w:sectPr>
      </w:pPr>
    </w:p>
    <w:bookmarkStart w:id="36" w:name="page37"/>
    <w:bookmarkEnd w:id="36"/>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231F20"/>
        </w:rPr>
        <w:t>securities will be delivered by the trustee to the depositary for credit to the accounts of the holders of beneficial interests in the debt securities.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Protection in the Event of Change of Control</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31F20"/>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Covenants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Merger, Consolidation or Sale of Assets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31F20"/>
        </w:rPr>
        <w:t>The form of indenture provides that we will not consolidate with or merge into any other person or convey, transfer, sell or lease our properties and assets substantially as an entirety to any person, unless:</w:t>
      </w:r>
    </w:p>
    <w:p>
      <w:pPr>
        <w:spacing w:after="0" w:line="62" w:lineRule="exact"/>
        <w:rPr>
          <w:sz w:val="20"/>
          <w:szCs w:val="20"/>
          <w:color w:val="auto"/>
        </w:rPr>
      </w:pPr>
    </w:p>
    <w:p>
      <w:pPr>
        <w:ind w:left="360" w:hanging="272"/>
        <w:spacing w:after="0" w:line="275" w:lineRule="auto"/>
        <w:tabs>
          <w:tab w:leader="none" w:pos="333" w:val="left"/>
        </w:tabs>
        <w:numPr>
          <w:ilvl w:val="0"/>
          <w:numId w:val="14"/>
        </w:numPr>
        <w:rPr>
          <w:rFonts w:ascii="Arial" w:cs="Arial" w:eastAsia="Arial" w:hAnsi="Arial"/>
          <w:sz w:val="17"/>
          <w:szCs w:val="17"/>
          <w:color w:val="231F20"/>
        </w:rPr>
      </w:pPr>
      <w:r>
        <w:rPr>
          <w:rFonts w:ascii="Arial" w:cs="Arial" w:eastAsia="Arial" w:hAnsi="Arial"/>
          <w:sz w:val="17"/>
          <w:szCs w:val="17"/>
          <w:color w:val="231F20"/>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27" w:lineRule="exact"/>
        <w:rPr>
          <w:rFonts w:ascii="Arial" w:cs="Arial" w:eastAsia="Arial" w:hAnsi="Arial"/>
          <w:sz w:val="17"/>
          <w:szCs w:val="17"/>
          <w:color w:val="231F20"/>
        </w:rPr>
      </w:pPr>
    </w:p>
    <w:p>
      <w:pPr>
        <w:ind w:left="360" w:right="40" w:hanging="272"/>
        <w:spacing w:after="0" w:line="277" w:lineRule="auto"/>
        <w:tabs>
          <w:tab w:leader="none" w:pos="333"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Events of Default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Unless otherwise specified in the applicable prospectus supplement, the following events will be events of default under the indenture with respect to debt securities of any series:</w:t>
      </w:r>
    </w:p>
    <w:p>
      <w:pPr>
        <w:spacing w:after="0" w:line="62" w:lineRule="exact"/>
        <w:rPr>
          <w:sz w:val="20"/>
          <w:szCs w:val="20"/>
          <w:color w:val="auto"/>
        </w:rPr>
      </w:pPr>
    </w:p>
    <w:p>
      <w:pPr>
        <w:ind w:left="340" w:hanging="25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we fail to pay any principal or premium, if any, when it becomes due;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we fail to pay any interest within 30 days after it becomes due;</w:t>
      </w:r>
    </w:p>
    <w:p>
      <w:pPr>
        <w:spacing w:after="0" w:line="76" w:lineRule="exact"/>
        <w:rPr>
          <w:rFonts w:ascii="Arial" w:cs="Arial" w:eastAsia="Arial" w:hAnsi="Arial"/>
          <w:sz w:val="18"/>
          <w:szCs w:val="18"/>
          <w:color w:val="231F20"/>
        </w:rPr>
      </w:pPr>
    </w:p>
    <w:p>
      <w:pPr>
        <w:ind w:left="360" w:right="200" w:hanging="272"/>
        <w:spacing w:after="0" w:line="308" w:lineRule="auto"/>
        <w:tabs>
          <w:tab w:leader="none" w:pos="333"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11" w:lineRule="exact"/>
        <w:rPr>
          <w:rFonts w:ascii="Arial" w:cs="Arial" w:eastAsia="Arial" w:hAnsi="Arial"/>
          <w:sz w:val="17"/>
          <w:szCs w:val="17"/>
          <w:color w:val="231F20"/>
        </w:rPr>
      </w:pPr>
    </w:p>
    <w:p>
      <w:pPr>
        <w:ind w:left="340" w:hanging="252"/>
        <w:spacing w:after="0"/>
        <w:tabs>
          <w:tab w:leader="none" w:pos="3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certain events involving bankruptcy, insolvency or reorganization of us or any of our significant subsidiaries.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20" w:top="1440" w:right="479" w:bottom="1440" w:gutter="0" w:footer="0" w:header="0"/>
        </w:sectPr>
      </w:pPr>
    </w:p>
    <w:bookmarkStart w:id="37" w:name="page38"/>
    <w:bookmarkEnd w:id="37"/>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84" w:lineRule="exact"/>
        <w:rPr>
          <w:sz w:val="20"/>
          <w:szCs w:val="20"/>
          <w:color w:val="auto"/>
        </w:rPr>
      </w:pPr>
    </w:p>
    <w:p>
      <w:pPr>
        <w:ind w:left="340" w:hanging="252"/>
        <w:spacing w:after="0"/>
        <w:tabs>
          <w:tab w:leader="none" w:pos="3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all events of default (other than nonpayment of accelerated principal, premium or interest) have been cured or waived;</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all lawful interest on overdue interest and overdue principal has been paid; and</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rescission would not conflict with any judgment or decree.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76" w:lineRule="exact"/>
        <w:rPr>
          <w:sz w:val="20"/>
          <w:szCs w:val="20"/>
          <w:color w:val="auto"/>
        </w:rPr>
      </w:pPr>
    </w:p>
    <w:p>
      <w:pPr>
        <w:jc w:val="both"/>
        <w:ind w:right="800"/>
        <w:spacing w:after="0" w:line="286" w:lineRule="auto"/>
        <w:rPr>
          <w:sz w:val="20"/>
          <w:szCs w:val="20"/>
          <w:color w:val="auto"/>
        </w:rPr>
      </w:pPr>
      <w:r>
        <w:rPr>
          <w:rFonts w:ascii="Arial" w:cs="Arial" w:eastAsia="Arial" w:hAnsi="Arial"/>
          <w:sz w:val="17"/>
          <w:szCs w:val="17"/>
          <w:color w:val="231F20"/>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No holder of any debt security of a series will have any right to institute any proceeding with respect to the indenture or for any remedy under the indenture, unless:</w:t>
      </w:r>
    </w:p>
    <w:p>
      <w:pPr>
        <w:spacing w:after="0" w:line="62" w:lineRule="exact"/>
        <w:rPr>
          <w:sz w:val="20"/>
          <w:szCs w:val="20"/>
          <w:color w:val="auto"/>
        </w:rPr>
      </w:pPr>
    </w:p>
    <w:p>
      <w:pPr>
        <w:ind w:left="340" w:hanging="252"/>
        <w:spacing w:after="0"/>
        <w:tabs>
          <w:tab w:leader="none" w:pos="3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holder gives to the trustee written notice of a continuing event of default;</w:t>
      </w:r>
    </w:p>
    <w:p>
      <w:pPr>
        <w:spacing w:after="0" w:line="76" w:lineRule="exact"/>
        <w:rPr>
          <w:rFonts w:ascii="Arial" w:cs="Arial" w:eastAsia="Arial" w:hAnsi="Arial"/>
          <w:sz w:val="18"/>
          <w:szCs w:val="18"/>
          <w:color w:val="231F20"/>
        </w:rPr>
      </w:pPr>
    </w:p>
    <w:p>
      <w:pPr>
        <w:ind w:left="360" w:right="200" w:hanging="272"/>
        <w:spacing w:after="0" w:line="277" w:lineRule="auto"/>
        <w:tabs>
          <w:tab w:leader="none" w:pos="333"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holders of at least 25% in aggregate principal amount of the outstanding debt securities of the affected series make a written request and offer reasonable indemnity to the trustee to institute a proceeding as trustee;</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trustee fails to institute a proceeding within 60 days after such request; and</w:t>
      </w:r>
    </w:p>
    <w:p>
      <w:pPr>
        <w:spacing w:after="0" w:line="90" w:lineRule="exact"/>
        <w:rPr>
          <w:rFonts w:ascii="Arial" w:cs="Arial" w:eastAsia="Arial" w:hAnsi="Arial"/>
          <w:sz w:val="18"/>
          <w:szCs w:val="18"/>
          <w:color w:val="231F20"/>
        </w:rPr>
      </w:pPr>
    </w:p>
    <w:p>
      <w:pPr>
        <w:ind w:left="360" w:right="260" w:hanging="272"/>
        <w:spacing w:after="0" w:line="277" w:lineRule="auto"/>
        <w:tabs>
          <w:tab w:leader="none" w:pos="333"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holders of a majority in aggregate principal amount of the outstanding debt securities of the affected series do not give the trustee a direction inconsistent with such request during such 60-day period.</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These limitations do not, however, apply to a suit instituted for payment on debt securities of any series on or after the due dates expressed in the debt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Modification and Waiver</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2" w:lineRule="exact"/>
        <w:rPr>
          <w:sz w:val="20"/>
          <w:szCs w:val="20"/>
          <w:color w:val="auto"/>
        </w:rPr>
      </w:pPr>
    </w:p>
    <w:p>
      <w:pPr>
        <w:ind w:left="360" w:right="640" w:hanging="272"/>
        <w:spacing w:after="0" w:line="277" w:lineRule="auto"/>
        <w:tabs>
          <w:tab w:leader="none" w:pos="333"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to provide that the surviving entity following a change of control permitted under the indenture will assume all of our obligations under the indenture and debt securities;</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to provide for certificated debt securities in addition to uncertificated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20" w:top="1440" w:right="499" w:bottom="1440" w:gutter="0" w:footer="0" w:header="0"/>
        </w:sectPr>
      </w:pPr>
    </w:p>
    <w:bookmarkStart w:id="38" w:name="page39"/>
    <w:bookmarkEnd w:id="38"/>
    <w:p>
      <w:pPr>
        <w:spacing w:after="0" w:line="36" w:lineRule="exact"/>
        <w:rPr>
          <w:sz w:val="20"/>
          <w:szCs w:val="20"/>
          <w:color w:val="auto"/>
        </w:rPr>
      </w:pPr>
    </w:p>
    <w:p>
      <w:pPr>
        <w:ind w:left="340" w:hanging="252"/>
        <w:spacing w:after="0"/>
        <w:tabs>
          <w:tab w:leader="none" w:pos="34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to comply with any requirements of the SEC under the Trust Indenture Act of 1939;</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19"/>
        </w:numPr>
        <w:rPr>
          <w:rFonts w:ascii="Arial" w:cs="Arial" w:eastAsia="Arial" w:hAnsi="Arial"/>
          <w:sz w:val="17"/>
          <w:szCs w:val="17"/>
          <w:color w:val="231F20"/>
        </w:rPr>
      </w:pPr>
      <w:r>
        <w:rPr>
          <w:rFonts w:ascii="Arial" w:cs="Arial" w:eastAsia="Arial" w:hAnsi="Arial"/>
          <w:sz w:val="17"/>
          <w:szCs w:val="17"/>
          <w:color w:val="231F20"/>
        </w:rPr>
        <w:t>to provide for the issuance of and establish the form and terms and conditions of debt securities of any series as permitted by the indenture;</w:t>
      </w:r>
    </w:p>
    <w:p>
      <w:pPr>
        <w:spacing w:after="0" w:line="88" w:lineRule="exact"/>
        <w:rPr>
          <w:rFonts w:ascii="Arial" w:cs="Arial" w:eastAsia="Arial" w:hAnsi="Arial"/>
          <w:sz w:val="17"/>
          <w:szCs w:val="17"/>
          <w:color w:val="231F20"/>
        </w:rPr>
      </w:pPr>
    </w:p>
    <w:p>
      <w:pPr>
        <w:ind w:left="360" w:right="340" w:hanging="272"/>
        <w:spacing w:after="0" w:line="277" w:lineRule="auto"/>
        <w:tabs>
          <w:tab w:leader="none" w:pos="333"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to cure any ambiguity, defect or inconsistency, or make any other change that does not materially and adversely affect the rights of any holder; and</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to appoint a successor trustee under the indenture with respect to one or more series.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63" w:lineRule="exact"/>
        <w:rPr>
          <w:sz w:val="20"/>
          <w:szCs w:val="20"/>
          <w:color w:val="auto"/>
        </w:rPr>
      </w:pPr>
    </w:p>
    <w:p>
      <w:pPr>
        <w:ind w:left="340" w:hanging="252"/>
        <w:spacing w:after="0"/>
        <w:tabs>
          <w:tab w:leader="none" w:pos="340" w:val="left"/>
        </w:tabs>
        <w:numPr>
          <w:ilvl w:val="0"/>
          <w:numId w:val="20"/>
        </w:numPr>
        <w:rPr>
          <w:rFonts w:ascii="Arial" w:cs="Arial" w:eastAsia="Arial" w:hAnsi="Arial"/>
          <w:sz w:val="16"/>
          <w:szCs w:val="16"/>
          <w:color w:val="231F20"/>
        </w:rPr>
      </w:pPr>
      <w:r>
        <w:rPr>
          <w:rFonts w:ascii="Arial" w:cs="Arial" w:eastAsia="Arial" w:hAnsi="Arial"/>
          <w:sz w:val="16"/>
          <w:szCs w:val="16"/>
          <w:color w:val="231F20"/>
        </w:rPr>
        <w:t>reduce the amount of debt securities whose holders must consent to an amendment, supplement, or waiver to the indenture or such debt security;</w:t>
      </w:r>
    </w:p>
    <w:p>
      <w:pPr>
        <w:spacing w:after="0" w:line="113" w:lineRule="exact"/>
        <w:rPr>
          <w:rFonts w:ascii="Arial" w:cs="Arial" w:eastAsia="Arial" w:hAnsi="Arial"/>
          <w:sz w:val="16"/>
          <w:szCs w:val="16"/>
          <w:color w:val="231F20"/>
        </w:rPr>
      </w:pPr>
    </w:p>
    <w:p>
      <w:pPr>
        <w:ind w:left="360" w:right="740" w:hanging="272"/>
        <w:spacing w:after="0" w:line="277" w:lineRule="auto"/>
        <w:tabs>
          <w:tab w:leader="none" w:pos="333"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reduce the rate of or change the time for payment of interest or reduce the amount of or postpone the date for payment of sinking fund or analogous obligations;</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reduce the principal of or change the stated maturity of the debt securities;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make any debt security payable in money other than that stated in the debt security;</w:t>
      </w:r>
    </w:p>
    <w:p>
      <w:pPr>
        <w:spacing w:after="0" w:line="90" w:lineRule="exact"/>
        <w:rPr>
          <w:rFonts w:ascii="Arial" w:cs="Arial" w:eastAsia="Arial" w:hAnsi="Arial"/>
          <w:sz w:val="18"/>
          <w:szCs w:val="18"/>
          <w:color w:val="231F20"/>
        </w:rPr>
      </w:pPr>
    </w:p>
    <w:p>
      <w:pPr>
        <w:ind w:left="360" w:hanging="272"/>
        <w:spacing w:after="0" w:line="277" w:lineRule="auto"/>
        <w:tabs>
          <w:tab w:leader="none" w:pos="333"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change the amount or time of any payment required or reduce the premium payable upon any redemption, or change the time before which no such redemption may be made;</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waive a default in the payment of the principal of, premium, if any, or interest on the debt securities or a redemption payment;</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waive a redemption payment with respect to any debt securities or change any provision with respect to redemption of debt securities; or</w:t>
      </w:r>
    </w:p>
    <w:p>
      <w:pPr>
        <w:spacing w:after="0" w:line="101" w:lineRule="exact"/>
        <w:rPr>
          <w:rFonts w:ascii="Arial" w:cs="Arial" w:eastAsia="Arial" w:hAnsi="Arial"/>
          <w:sz w:val="17"/>
          <w:szCs w:val="17"/>
          <w:color w:val="231F20"/>
        </w:rPr>
      </w:pPr>
    </w:p>
    <w:p>
      <w:pPr>
        <w:ind w:left="340" w:hanging="252"/>
        <w:spacing w:after="0"/>
        <w:tabs>
          <w:tab w:leader="none" w:pos="3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Defeasance of Debt Securities and Certain Covenants in Certain Circumstances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The indenture permits us, at any time, to elect to discharge our obligations with respect to one or more series of debt securities by following certain procedures described in the indenture. These procedures will allow us either:</w:t>
      </w:r>
    </w:p>
    <w:p>
      <w:pPr>
        <w:spacing w:after="0" w:line="197" w:lineRule="exact"/>
        <w:rPr>
          <w:sz w:val="20"/>
          <w:szCs w:val="20"/>
          <w:color w:val="auto"/>
        </w:rPr>
      </w:pPr>
    </w:p>
    <w:p>
      <w:pPr>
        <w:ind w:left="360" w:right="320" w:hanging="272"/>
        <w:spacing w:after="0" w:line="277" w:lineRule="auto"/>
        <w:tabs>
          <w:tab w:leader="none" w:pos="333"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to defease and be discharged from any and all of our obligations with respect to any debt securities except for the following obligations (which discharge is referred to as “legal defeasance”):</w:t>
      </w:r>
    </w:p>
    <w:p>
      <w:pPr>
        <w:spacing w:after="0" w:line="62" w:lineRule="exact"/>
        <w:rPr>
          <w:rFonts w:ascii="Arial" w:cs="Arial" w:eastAsia="Arial" w:hAnsi="Arial"/>
          <w:sz w:val="18"/>
          <w:szCs w:val="18"/>
          <w:color w:val="231F20"/>
        </w:rPr>
      </w:pPr>
    </w:p>
    <w:p>
      <w:pPr>
        <w:ind w:left="700" w:hanging="252"/>
        <w:spacing w:after="0"/>
        <w:tabs>
          <w:tab w:leader="none" w:pos="7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to register the transfer or exchange of such debt securities;</w:t>
      </w:r>
    </w:p>
    <w:p>
      <w:pPr>
        <w:spacing w:after="0" w:line="90" w:lineRule="exact"/>
        <w:rPr>
          <w:rFonts w:ascii="Arial" w:cs="Arial" w:eastAsia="Arial" w:hAnsi="Arial"/>
          <w:sz w:val="18"/>
          <w:szCs w:val="18"/>
          <w:color w:val="231F20"/>
        </w:rPr>
      </w:pPr>
    </w:p>
    <w:p>
      <w:pPr>
        <w:ind w:left="700" w:hanging="252"/>
        <w:spacing w:after="0"/>
        <w:tabs>
          <w:tab w:leader="none" w:pos="7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to replace temporary or mutilated, destroyed, lost or stolen debt securities;</w:t>
      </w:r>
    </w:p>
    <w:p>
      <w:pPr>
        <w:spacing w:after="0" w:line="76" w:lineRule="exact"/>
        <w:rPr>
          <w:rFonts w:ascii="Arial" w:cs="Arial" w:eastAsia="Arial" w:hAnsi="Arial"/>
          <w:sz w:val="18"/>
          <w:szCs w:val="18"/>
          <w:color w:val="231F20"/>
        </w:rPr>
      </w:pPr>
    </w:p>
    <w:p>
      <w:pPr>
        <w:ind w:left="700" w:hanging="252"/>
        <w:spacing w:after="0"/>
        <w:tabs>
          <w:tab w:leader="none" w:pos="7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to compensate and indemnify the trustee; or</w:t>
      </w:r>
    </w:p>
    <w:p>
      <w:pPr>
        <w:spacing w:after="0" w:line="76" w:lineRule="exact"/>
        <w:rPr>
          <w:rFonts w:ascii="Arial" w:cs="Arial" w:eastAsia="Arial" w:hAnsi="Arial"/>
          <w:sz w:val="18"/>
          <w:szCs w:val="18"/>
          <w:color w:val="231F20"/>
        </w:rPr>
      </w:pPr>
    </w:p>
    <w:p>
      <w:pPr>
        <w:ind w:left="700" w:hanging="252"/>
        <w:spacing w:after="0"/>
        <w:tabs>
          <w:tab w:leader="none" w:pos="7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to maintain an office or agency in respect of the debt securities and to hold monies for payment in trust;</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231F20"/>
        </w:rPr>
        <w:t>or</w:t>
      </w:r>
    </w:p>
    <w:p>
      <w:pPr>
        <w:spacing w:after="0" w:line="77" w:lineRule="exact"/>
        <w:rPr>
          <w:sz w:val="20"/>
          <w:szCs w:val="20"/>
          <w:color w:val="auto"/>
        </w:rPr>
      </w:pPr>
    </w:p>
    <w:p>
      <w:pPr>
        <w:ind w:left="360" w:right="20" w:hanging="272"/>
        <w:spacing w:after="0" w:line="342" w:lineRule="auto"/>
        <w:tabs>
          <w:tab w:leader="none" w:pos="345"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231F20"/>
        </w:rPr>
        <w:t>In order to exercise either defeasance option, we must irrevocably deposit with the trustee or other qualifying trustee, in trust for that purpose:</w:t>
      </w:r>
    </w:p>
    <w:p>
      <w:pPr>
        <w:spacing w:after="0" w:line="129"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6"/>
          <w:szCs w:val="16"/>
          <w:color w:val="231F20"/>
        </w:rPr>
        <w:t>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20" w:top="1440" w:right="559" w:bottom="1440" w:gutter="0" w:footer="0" w:header="0"/>
        </w:sectPr>
      </w:pPr>
    </w:p>
    <w:bookmarkStart w:id="39" w:name="page40"/>
    <w:bookmarkEnd w:id="39"/>
    <w:p>
      <w:pPr>
        <w:spacing w:after="0" w:line="36" w:lineRule="exact"/>
        <w:rPr>
          <w:sz w:val="20"/>
          <w:szCs w:val="20"/>
          <w:color w:val="auto"/>
        </w:rPr>
      </w:pPr>
    </w:p>
    <w:p>
      <w:pPr>
        <w:ind w:left="360" w:right="280" w:hanging="272"/>
        <w:spacing w:after="0" w:line="259" w:lineRule="auto"/>
        <w:tabs>
          <w:tab w:leader="none" w:pos="333"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51" w:lineRule="exact"/>
        <w:rPr>
          <w:rFonts w:ascii="Arial" w:cs="Arial" w:eastAsia="Arial" w:hAnsi="Arial"/>
          <w:sz w:val="18"/>
          <w:szCs w:val="18"/>
          <w:color w:val="231F20"/>
        </w:rPr>
      </w:pPr>
    </w:p>
    <w:p>
      <w:pPr>
        <w:ind w:left="360" w:right="80" w:hanging="272"/>
        <w:spacing w:after="0" w:line="308" w:lineRule="auto"/>
        <w:tabs>
          <w:tab w:leader="none" w:pos="333" w:val="left"/>
        </w:tabs>
        <w:numPr>
          <w:ilvl w:val="0"/>
          <w:numId w:val="23"/>
        </w:numPr>
        <w:rPr>
          <w:rFonts w:ascii="Arial" w:cs="Arial" w:eastAsia="Arial" w:hAnsi="Arial"/>
          <w:sz w:val="17"/>
          <w:szCs w:val="17"/>
          <w:color w:val="231F20"/>
        </w:rPr>
      </w:pPr>
      <w:r>
        <w:rPr>
          <w:rFonts w:ascii="Arial" w:cs="Arial" w:eastAsia="Arial" w:hAnsi="Arial"/>
          <w:sz w:val="17"/>
          <w:szCs w:val="17"/>
          <w:color w:val="231F20"/>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231F20"/>
        </w:rPr>
        <w:t>In addition, defeasance may be effected only if, among other things:</w:t>
      </w:r>
    </w:p>
    <w:p>
      <w:pPr>
        <w:spacing w:after="0" w:line="117" w:lineRule="exact"/>
        <w:rPr>
          <w:sz w:val="20"/>
          <w:szCs w:val="20"/>
          <w:color w:val="auto"/>
        </w:rPr>
      </w:pPr>
    </w:p>
    <w:p>
      <w:pPr>
        <w:ind w:left="360" w:right="220" w:hanging="272"/>
        <w:spacing w:after="0" w:line="263" w:lineRule="auto"/>
        <w:tabs>
          <w:tab w:leader="none" w:pos="333"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35" w:lineRule="exact"/>
        <w:rPr>
          <w:rFonts w:ascii="Arial" w:cs="Arial" w:eastAsia="Arial" w:hAnsi="Arial"/>
          <w:sz w:val="18"/>
          <w:szCs w:val="18"/>
          <w:color w:val="231F20"/>
        </w:rPr>
      </w:pPr>
    </w:p>
    <w:p>
      <w:pPr>
        <w:ind w:left="360" w:right="60" w:hanging="272"/>
        <w:spacing w:after="0" w:line="296" w:lineRule="auto"/>
        <w:tabs>
          <w:tab w:leader="none" w:pos="333"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 w:lineRule="exact"/>
        <w:rPr>
          <w:rFonts w:ascii="Arial" w:cs="Arial" w:eastAsia="Arial" w:hAnsi="Arial"/>
          <w:sz w:val="16"/>
          <w:szCs w:val="16"/>
          <w:color w:val="231F20"/>
        </w:rPr>
      </w:pPr>
    </w:p>
    <w:p>
      <w:pPr>
        <w:ind w:left="360" w:hanging="272"/>
        <w:spacing w:after="0" w:line="259" w:lineRule="auto"/>
        <w:tabs>
          <w:tab w:leader="none" w:pos="333"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51" w:lineRule="exact"/>
        <w:rPr>
          <w:rFonts w:ascii="Arial" w:cs="Arial" w:eastAsia="Arial" w:hAnsi="Arial"/>
          <w:sz w:val="18"/>
          <w:szCs w:val="18"/>
          <w:color w:val="231F20"/>
        </w:rPr>
      </w:pPr>
    </w:p>
    <w:p>
      <w:pPr>
        <w:ind w:left="340" w:hanging="252"/>
        <w:spacing w:after="0"/>
        <w:tabs>
          <w:tab w:leader="none" w:pos="3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certain other conditions described in the indenture are satisfied.</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31F20"/>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31F20"/>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Regarding the Trustee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420" w:top="1440" w:right="439" w:bottom="1440" w:gutter="0" w:footer="0" w:header="0"/>
        </w:sectPr>
      </w:pPr>
    </w:p>
    <w:bookmarkStart w:id="40" w:name="page41"/>
    <w:bookmarkEnd w:id="40"/>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231F20"/>
        </w:rPr>
        <w:t>affiliates. If, however, the trustee acquires any “conflicting interest” within the meaning of the Trust Indenture Act of 1939, it must eliminate such conflict or resign.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 Individual Liability of Incorporators, Stockholders, Officers or Directors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231F20"/>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indentures and the debt securities will be governed by, and construed in accordance with, the laws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420" w:top="1440" w:right="439" w:bottom="1440" w:gutter="0" w:footer="0" w:header="0"/>
        </w:sectPr>
      </w:pPr>
    </w:p>
    <w:bookmarkStart w:id="41" w:name="page42"/>
    <w:bookmarkEnd w:id="41"/>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WARRANTS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Debt Warrants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The prospectus supplement relating to a particular issue of warrants to purchase debt securities will describe the terms of the debt warrants, including the following:</w:t>
      </w:r>
    </w:p>
    <w:p>
      <w:pPr>
        <w:spacing w:after="0" w:line="62" w:lineRule="exact"/>
        <w:rPr>
          <w:sz w:val="20"/>
          <w:szCs w:val="20"/>
          <w:color w:val="auto"/>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title of the debt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offering price for the debt warrants, if any;</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aggregate number of the debt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designation and terms of the debt securities, including any conversion rights, purchasable upon exercise of the debt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if applicable, the date from and after which the debt warrants and any debt securities issued with them will be separately transferable;</w:t>
      </w:r>
    </w:p>
    <w:p>
      <w:pPr>
        <w:spacing w:after="0" w:line="90" w:lineRule="exact"/>
        <w:rPr>
          <w:rFonts w:ascii="Arial" w:cs="Arial" w:eastAsia="Arial" w:hAnsi="Arial"/>
          <w:sz w:val="18"/>
          <w:szCs w:val="18"/>
          <w:color w:val="231F20"/>
        </w:rPr>
      </w:pPr>
    </w:p>
    <w:p>
      <w:pPr>
        <w:ind w:left="360" w:right="680" w:hanging="272"/>
        <w:spacing w:after="0" w:line="277" w:lineRule="auto"/>
        <w:tabs>
          <w:tab w:leader="none" w:pos="33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principal amount of debt securities that may be purchased upon exercise of a debt warrant and the exercise price for the warrants, which may be payable in cash, securities or other property;</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dates on which the right to exercise the debt warrants will commence and expire;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if applicable, the minimum or maximum amount of the debt warrants that may be exercised at any one time;</w:t>
      </w:r>
    </w:p>
    <w:p>
      <w:pPr>
        <w:spacing w:after="0" w:line="90" w:lineRule="exact"/>
        <w:rPr>
          <w:rFonts w:ascii="Arial" w:cs="Arial" w:eastAsia="Arial" w:hAnsi="Arial"/>
          <w:sz w:val="18"/>
          <w:szCs w:val="18"/>
          <w:color w:val="231F20"/>
        </w:rPr>
      </w:pPr>
    </w:p>
    <w:p>
      <w:pPr>
        <w:ind w:left="360" w:right="220" w:hanging="272"/>
        <w:spacing w:after="0" w:line="277" w:lineRule="auto"/>
        <w:tabs>
          <w:tab w:leader="none" w:pos="33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whether the debt warrants represented by the debt warrant certificates or debt securities that may be issued upon exercise of the debt warrants will be issued in registered or bearer form;</w:t>
      </w:r>
    </w:p>
    <w:p>
      <w:pPr>
        <w:spacing w:after="0" w:line="21"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information with respect to book-entry procedures, if any;</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currency or currency units in which the offering price, if any, and the exercise price are payable;</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if applicable, a discussion of material U.S. federal income tax considerations;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antidilution provisions of the debt warrants, if any;</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the redemption or call provisions, if any, applicable to the debt warrants;</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5"/>
        </w:numPr>
        <w:rPr>
          <w:rFonts w:ascii="Arial" w:cs="Arial" w:eastAsia="Arial" w:hAnsi="Arial"/>
          <w:sz w:val="17"/>
          <w:szCs w:val="17"/>
          <w:color w:val="231F20"/>
        </w:rPr>
      </w:pPr>
      <w:r>
        <w:rPr>
          <w:rFonts w:ascii="Arial" w:cs="Arial" w:eastAsia="Arial" w:hAnsi="Arial"/>
          <w:sz w:val="17"/>
          <w:szCs w:val="17"/>
          <w:color w:val="231F20"/>
        </w:rPr>
        <w:t>any provisions with respect to the holder’s right to require us to repurchase the debt warrants upon a change in control or similar event; and</w:t>
      </w:r>
    </w:p>
    <w:p>
      <w:pPr>
        <w:spacing w:after="0" w:line="88" w:lineRule="exact"/>
        <w:rPr>
          <w:rFonts w:ascii="Arial" w:cs="Arial" w:eastAsia="Arial" w:hAnsi="Arial"/>
          <w:sz w:val="17"/>
          <w:szCs w:val="17"/>
          <w:color w:val="231F20"/>
        </w:rPr>
      </w:pPr>
    </w:p>
    <w:p>
      <w:pPr>
        <w:ind w:left="360" w:right="660" w:hanging="272"/>
        <w:spacing w:after="0" w:line="277" w:lineRule="auto"/>
        <w:tabs>
          <w:tab w:leader="none" w:pos="333"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any additional terms of the debt warrants, including procedures and limitations relating to the exchange, exercise, and settlement of the debt warrants.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420" w:top="1440" w:right="419" w:bottom="1440" w:gutter="0" w:footer="0" w:header="0"/>
        </w:sectPr>
      </w:pPr>
    </w:p>
    <w:bookmarkStart w:id="42" w:name="page43"/>
    <w:bookmarkEnd w:id="4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Equity Warrants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The prospectus supplement relating to a particular series of warrants to purchase our common stock or preferred stock will describe the terms of the warrants, including the following:</w:t>
      </w:r>
    </w:p>
    <w:p>
      <w:pPr>
        <w:spacing w:after="0" w:line="62" w:lineRule="exact"/>
        <w:rPr>
          <w:sz w:val="20"/>
          <w:szCs w:val="20"/>
          <w:color w:val="auto"/>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title of the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offering price for the warrants, if any;</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aggregate number of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designation and terms of the common stock or preferred stock that may be purchased upon exercise of the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if applicable, the designation and terms of the securities with which the warrants are issued and the number of warrants issued with each security;</w:t>
      </w:r>
    </w:p>
    <w:p>
      <w:pPr>
        <w:spacing w:after="0" w:line="113" w:lineRule="exact"/>
        <w:rPr>
          <w:rFonts w:ascii="Arial" w:cs="Arial" w:eastAsia="Arial" w:hAnsi="Arial"/>
          <w:sz w:val="16"/>
          <w:szCs w:val="16"/>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if applicable, the date from and after which the warrants and any securities issued with the warrants will be separately transferable;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6"/>
          <w:szCs w:val="16"/>
          <w:color w:val="231F20"/>
        </w:rPr>
      </w:pPr>
      <w:r>
        <w:rPr>
          <w:rFonts w:ascii="Arial" w:cs="Arial" w:eastAsia="Arial" w:hAnsi="Arial"/>
          <w:sz w:val="16"/>
          <w:szCs w:val="16"/>
          <w:color w:val="231F20"/>
        </w:rPr>
        <w:t>the number of shares of common stock or preferred stock that may be purchased upon exercise of a warrant and the exercise price for the warrants;</w:t>
      </w:r>
    </w:p>
    <w:p>
      <w:pPr>
        <w:spacing w:after="0" w:line="99" w:lineRule="exact"/>
        <w:rPr>
          <w:rFonts w:ascii="Arial" w:cs="Arial" w:eastAsia="Arial" w:hAnsi="Arial"/>
          <w:sz w:val="16"/>
          <w:szCs w:val="16"/>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dates on which the right to exercise the warrants shall commence and expire;</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if applicable, the minimum or maximum amount of the warrants that may be exercised at any one time;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currency or currency units in which the offering price, if any, and the exercise price are payable;</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if applicable, a discussion of material U.S. federal income tax considerations;</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antidilution provisions of the warrants, if any;</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redemption or call provisions, if any, applicable to the warrants;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any provisions with respect to a holder’s right to require us to repurchase the warrants upon a change in control or similar event; and</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any additional terms of the warrants, including procedures and limitations relating to the exchange, exercise and settlement of the warrants.</w:t>
      </w:r>
    </w:p>
    <w:p>
      <w:pPr>
        <w:spacing w:after="0" w:line="200" w:lineRule="exact"/>
        <w:rPr>
          <w:sz w:val="20"/>
          <w:szCs w:val="20"/>
          <w:color w:val="auto"/>
        </w:rPr>
      </w:pPr>
    </w:p>
    <w:p>
      <w:pPr>
        <w:spacing w:after="0" w:line="212" w:lineRule="exact"/>
        <w:rPr>
          <w:sz w:val="20"/>
          <w:szCs w:val="20"/>
          <w:color w:val="auto"/>
        </w:rPr>
      </w:pPr>
    </w:p>
    <w:p>
      <w:pPr>
        <w:ind w:left="340" w:hanging="252"/>
        <w:spacing w:after="0"/>
        <w:tabs>
          <w:tab w:leader="none" w:pos="3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to vote, consent, or receive dividends;</w:t>
      </w:r>
    </w:p>
    <w:p>
      <w:pPr>
        <w:spacing w:after="0" w:line="76" w:lineRule="exact"/>
        <w:rPr>
          <w:rFonts w:ascii="Arial" w:cs="Arial" w:eastAsia="Arial" w:hAnsi="Arial"/>
          <w:sz w:val="18"/>
          <w:szCs w:val="18"/>
          <w:color w:val="231F20"/>
        </w:rPr>
      </w:pPr>
    </w:p>
    <w:p>
      <w:pPr>
        <w:ind w:left="340" w:hanging="252"/>
        <w:spacing w:after="0"/>
        <w:tabs>
          <w:tab w:leader="none" w:pos="3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receive notice as stockholders with respect to any meeting of stockholders for the election of our directors or any other matter; or</w:t>
      </w:r>
    </w:p>
    <w:p>
      <w:pPr>
        <w:spacing w:after="0" w:line="90" w:lineRule="exact"/>
        <w:rPr>
          <w:rFonts w:ascii="Arial" w:cs="Arial" w:eastAsia="Arial" w:hAnsi="Arial"/>
          <w:sz w:val="18"/>
          <w:szCs w:val="18"/>
          <w:color w:val="231F20"/>
        </w:rPr>
      </w:pPr>
    </w:p>
    <w:p>
      <w:pPr>
        <w:ind w:left="340" w:hanging="252"/>
        <w:spacing w:after="0"/>
        <w:tabs>
          <w:tab w:leader="none" w:pos="3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20" w:top="1440" w:right="579" w:bottom="1440" w:gutter="0" w:footer="0" w:header="0"/>
        </w:sectPr>
      </w:pPr>
    </w:p>
    <w:bookmarkStart w:id="43" w:name="page44"/>
    <w:bookmarkEnd w:id="43"/>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DESCRIPTION OF SUBSCRIPTION RIGHTS</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80" w:lineRule="exact"/>
        <w:rPr>
          <w:sz w:val="20"/>
          <w:szCs w:val="20"/>
          <w:color w:val="auto"/>
        </w:rPr>
      </w:pPr>
    </w:p>
    <w:p>
      <w:pPr>
        <w:ind w:left="20" w:right="620"/>
        <w:spacing w:after="0" w:line="277" w:lineRule="auto"/>
        <w:rPr>
          <w:sz w:val="20"/>
          <w:szCs w:val="20"/>
          <w:color w:val="auto"/>
        </w:rPr>
      </w:pPr>
      <w:r>
        <w:rPr>
          <w:rFonts w:ascii="Arial" w:cs="Arial" w:eastAsia="Arial" w:hAnsi="Arial"/>
          <w:sz w:val="18"/>
          <w:szCs w:val="18"/>
          <w:color w:val="231F20"/>
        </w:rPr>
        <w:t>The prospectus supplement relating to any subscription rights we offer, if any, will, to the extent applicable, include specific terms relating to the offering, including some or all of the following:</w:t>
      </w:r>
    </w:p>
    <w:p>
      <w:pPr>
        <w:spacing w:after="0" w:line="62" w:lineRule="exact"/>
        <w:rPr>
          <w:sz w:val="20"/>
          <w:szCs w:val="20"/>
          <w:color w:val="auto"/>
        </w:rPr>
      </w:pPr>
    </w:p>
    <w:p>
      <w:pPr>
        <w:ind w:left="340" w:hanging="234"/>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price, if any, for the subscription rights;</w:t>
      </w:r>
    </w:p>
    <w:p>
      <w:pPr>
        <w:spacing w:after="0" w:line="90" w:lineRule="exact"/>
        <w:rPr>
          <w:rFonts w:ascii="Arial" w:cs="Arial" w:eastAsia="Arial" w:hAnsi="Arial"/>
          <w:sz w:val="18"/>
          <w:szCs w:val="18"/>
          <w:color w:val="231F20"/>
        </w:rPr>
      </w:pPr>
    </w:p>
    <w:p>
      <w:pPr>
        <w:ind w:left="340" w:hanging="234"/>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exercise price payable for our common stock, preferred stock or debt securities upon the exercise of the subscription rights;</w:t>
      </w:r>
    </w:p>
    <w:p>
      <w:pPr>
        <w:spacing w:after="0" w:line="76" w:lineRule="exact"/>
        <w:rPr>
          <w:rFonts w:ascii="Arial" w:cs="Arial" w:eastAsia="Arial" w:hAnsi="Arial"/>
          <w:sz w:val="18"/>
          <w:szCs w:val="18"/>
          <w:color w:val="231F20"/>
        </w:rPr>
      </w:pPr>
    </w:p>
    <w:p>
      <w:pPr>
        <w:ind w:left="340" w:hanging="234"/>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number of subscription rights to be issued to each stockholder;</w:t>
      </w:r>
    </w:p>
    <w:p>
      <w:pPr>
        <w:spacing w:after="0" w:line="76" w:lineRule="exact"/>
        <w:rPr>
          <w:rFonts w:ascii="Arial" w:cs="Arial" w:eastAsia="Arial" w:hAnsi="Arial"/>
          <w:sz w:val="18"/>
          <w:szCs w:val="18"/>
          <w:color w:val="231F20"/>
        </w:rPr>
      </w:pPr>
    </w:p>
    <w:p>
      <w:pPr>
        <w:ind w:left="340" w:hanging="234"/>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number and terms of our common stock, preferred stock or debt securities which may be purchased per each subscription right;</w:t>
      </w:r>
    </w:p>
    <w:p>
      <w:pPr>
        <w:spacing w:after="0" w:line="90" w:lineRule="exact"/>
        <w:rPr>
          <w:rFonts w:ascii="Arial" w:cs="Arial" w:eastAsia="Arial" w:hAnsi="Arial"/>
          <w:sz w:val="18"/>
          <w:szCs w:val="18"/>
          <w:color w:val="231F20"/>
        </w:rPr>
      </w:pPr>
    </w:p>
    <w:p>
      <w:pPr>
        <w:ind w:left="340" w:hanging="234"/>
        <w:spacing w:after="0"/>
        <w:tabs>
          <w:tab w:leader="none" w:pos="3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extent to which the subscription rights are transferable;</w:t>
      </w:r>
    </w:p>
    <w:p>
      <w:pPr>
        <w:spacing w:after="0" w:line="76" w:lineRule="exact"/>
        <w:rPr>
          <w:rFonts w:ascii="Arial" w:cs="Arial" w:eastAsia="Arial" w:hAnsi="Arial"/>
          <w:sz w:val="18"/>
          <w:szCs w:val="18"/>
          <w:color w:val="231F20"/>
        </w:rPr>
      </w:pPr>
    </w:p>
    <w:p>
      <w:pPr>
        <w:ind w:left="380" w:right="1080" w:hanging="274"/>
        <w:spacing w:after="0" w:line="277" w:lineRule="auto"/>
        <w:tabs>
          <w:tab w:leader="none" w:pos="353"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any other terms of the subscription rights, including the terms, procedures and limitations relating to the exchange and exercise of the subscription rights;</w:t>
      </w:r>
    </w:p>
    <w:p>
      <w:pPr>
        <w:spacing w:after="0" w:line="21" w:lineRule="exact"/>
        <w:rPr>
          <w:rFonts w:ascii="Arial" w:cs="Arial" w:eastAsia="Arial" w:hAnsi="Arial"/>
          <w:sz w:val="18"/>
          <w:szCs w:val="18"/>
          <w:color w:val="231F20"/>
        </w:rPr>
      </w:pPr>
    </w:p>
    <w:p>
      <w:pPr>
        <w:ind w:left="340" w:hanging="234"/>
        <w:spacing w:after="0"/>
        <w:tabs>
          <w:tab w:leader="none" w:pos="340" w:val="left"/>
        </w:tabs>
        <w:numPr>
          <w:ilvl w:val="0"/>
          <w:numId w:val="28"/>
        </w:numPr>
        <w:rPr>
          <w:rFonts w:ascii="Arial" w:cs="Arial" w:eastAsia="Arial" w:hAnsi="Arial"/>
          <w:sz w:val="17"/>
          <w:szCs w:val="17"/>
          <w:color w:val="231F20"/>
        </w:rPr>
      </w:pPr>
      <w:r>
        <w:rPr>
          <w:rFonts w:ascii="Arial" w:cs="Arial" w:eastAsia="Arial" w:hAnsi="Arial"/>
          <w:sz w:val="17"/>
          <w:szCs w:val="17"/>
          <w:color w:val="231F20"/>
        </w:rPr>
        <w:t>the date on which the right to exercise the subscription rights shall commence, and the date on which the subscription rights shall expire;</w:t>
      </w:r>
    </w:p>
    <w:p>
      <w:pPr>
        <w:spacing w:after="0" w:line="101" w:lineRule="exact"/>
        <w:rPr>
          <w:rFonts w:ascii="Arial" w:cs="Arial" w:eastAsia="Arial" w:hAnsi="Arial"/>
          <w:sz w:val="17"/>
          <w:szCs w:val="17"/>
          <w:color w:val="231F20"/>
        </w:rPr>
      </w:pPr>
    </w:p>
    <w:p>
      <w:pPr>
        <w:ind w:left="380" w:right="220" w:hanging="274"/>
        <w:spacing w:after="0" w:line="277" w:lineRule="auto"/>
        <w:tabs>
          <w:tab w:leader="none" w:pos="353"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the extent to which the subscription rights may include an over-subscription privilege with respect to unsubscribed securities or an over-allotment privilege to the extent the securities are fully subscribed; and</w:t>
      </w:r>
    </w:p>
    <w:p>
      <w:pPr>
        <w:spacing w:after="0" w:line="21" w:lineRule="exact"/>
        <w:rPr>
          <w:rFonts w:ascii="Arial" w:cs="Arial" w:eastAsia="Arial" w:hAnsi="Arial"/>
          <w:sz w:val="18"/>
          <w:szCs w:val="18"/>
          <w:color w:val="231F20"/>
        </w:rPr>
      </w:pPr>
    </w:p>
    <w:p>
      <w:pPr>
        <w:ind w:left="380" w:right="480" w:hanging="274"/>
        <w:spacing w:after="0" w:line="277" w:lineRule="auto"/>
        <w:tabs>
          <w:tab w:leader="none" w:pos="353"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if applicable, the material terms of any standby underwriting or purchase arrangement which may be entered into by us in connection with the offering of subscription rights.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420" w:top="1440" w:right="439" w:bottom="1440" w:gutter="0" w:footer="0" w:header="0"/>
        </w:sectPr>
      </w:pPr>
    </w:p>
    <w:bookmarkStart w:id="44" w:name="page45"/>
    <w:bookmarkEnd w:id="44"/>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DESCRIPTION OF UNITS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20" w:top="1440" w:right="499" w:bottom="1440" w:gutter="0" w:footer="0" w:header="0"/>
        </w:sectPr>
      </w:pPr>
    </w:p>
    <w:bookmarkStart w:id="45" w:name="page46"/>
    <w:bookmarkEnd w:id="45"/>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LEGAL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20" w:top="1440" w:right="4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231F20"/>
        </w:rPr>
        <w:t>EXPERTS</w:t>
      </w:r>
    </w:p>
    <w:p>
      <w:pPr>
        <w:spacing w:after="0" w:line="94" w:lineRule="exact"/>
        <w:rPr>
          <w:sz w:val="20"/>
          <w:szCs w:val="20"/>
          <w:color w:val="auto"/>
        </w:rPr>
      </w:pPr>
    </w:p>
    <w:p>
      <w:pPr>
        <w:spacing w:after="0" w:line="311" w:lineRule="auto"/>
        <w:rPr>
          <w:sz w:val="20"/>
          <w:szCs w:val="20"/>
          <w:color w:val="auto"/>
        </w:rPr>
      </w:pPr>
      <w:r>
        <w:rPr>
          <w:rFonts w:ascii="Arial" w:cs="Arial" w:eastAsia="Arial" w:hAnsi="Arial"/>
          <w:sz w:val="16"/>
          <w:szCs w:val="16"/>
          <w:color w:val="231F20"/>
        </w:rPr>
        <w:t>The consolidated financial statements of AnaptysBio, Inc. as of December 31, 2020 and 2019, and for each of the years in the three-year period ended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20" w:top="1390" w:right="49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23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955040</wp:posOffset>
            </wp:positionV>
            <wp:extent cx="7123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231F20"/>
        </w:rPr>
        <w:t>AnaptysBio, Inc.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1F20"/>
        </w:rPr>
        <w:t>$150,000,000</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1F20"/>
        </w:rPr>
        <w:t>Common Stock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231F20"/>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231F20"/>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November 8, 2022</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lvl w:ilvl="1">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13" Type="http://schemas.openxmlformats.org/officeDocument/2006/relationships/hyperlink" Target="https://www.sec.gov/ix?doc=/Archives/edgar/data/0001370053/000137005322000009/anab-20211231.htm" TargetMode="External"/><Relationship Id="rId14" Type="http://schemas.openxmlformats.org/officeDocument/2006/relationships/hyperlink" Target="https://www.sec.gov/Archives/edgar/data/1370053/000137005322000025/proxystatementfy2021.htm" TargetMode="External"/><Relationship Id="rId15" Type="http://schemas.openxmlformats.org/officeDocument/2006/relationships/hyperlink" Target="https://www.sec.gov/ix?doc=/Archives/edgar/data/0001370053/000137005322000032/anab-20220331.htm" TargetMode="External"/><Relationship Id="rId16" Type="http://schemas.openxmlformats.org/officeDocument/2006/relationships/hyperlink" Target="https://www.sec.gov/ix?doc=/Archives/edgar/data/0001370053/000137005322000043/anab-20220630.htm" TargetMode="External"/><Relationship Id="rId17" Type="http://schemas.openxmlformats.org/officeDocument/2006/relationships/hyperlink" Target="https://www.sec.gov/ix?doc=/Archives/edgar/data/0001370053/000137005322000066/anab-20220930.htm" TargetMode="External"/><Relationship Id="rId18" Type="http://schemas.openxmlformats.org/officeDocument/2006/relationships/hyperlink" Target="https://www.sec.gov/ix?doc=/Archives/edgar/data/0001370053/000137005322000017/anab-20220320.htm" TargetMode="External"/><Relationship Id="rId19" Type="http://schemas.openxmlformats.org/officeDocument/2006/relationships/hyperlink" Target="https://www.sec.gov/ix?doc=/Archives/edgar/data/0001370053/000137005322000024/anab-20220425.htm" TargetMode="External"/><Relationship Id="rId20" Type="http://schemas.openxmlformats.org/officeDocument/2006/relationships/hyperlink" Target="https://www.sec.gov/ix?doc=/Archives/edgar/data/0001370053/000137005322000036/anab-20220623.htm" TargetMode="External"/><Relationship Id="rId21" Type="http://schemas.openxmlformats.org/officeDocument/2006/relationships/hyperlink" Target="https://www.sec.gov/ix?doc=/Archives/edgar/data/0001370053/000137005322000052/anab-20220909.htm" TargetMode="External"/><Relationship Id="rId22" Type="http://schemas.openxmlformats.org/officeDocument/2006/relationships/hyperlink" Target="https://www.sec.gov/Archives/edgar/data/1370053/000119312517010791/d284961d8a12b.htm" TargetMode="External"/><Relationship Id="rId23" Type="http://schemas.openxmlformats.org/officeDocument/2006/relationships/hyperlink" Target="https://www.sec.gov/Archives/edgar/data/1370053/000137005320000009/anaptys-10xkfy2019xexh.htm" TargetMode="External"/><Relationship Id="rId24" Type="http://schemas.openxmlformats.org/officeDocument/2006/relationships/hyperlink" Target="https://www.sec.gov/ix?doc=/Archives/edgar/data/1370053/000137005320000009/anab-12311910k.htm" TargetMode="External"/><Relationship Id="rId31" Type="http://schemas.openxmlformats.org/officeDocument/2006/relationships/hyperlink" Target="https://www.sec.gov/ix?doc=/Archives/edgar/data/0001370053/000137005321000019/anab-20201231.htm" TargetMode="External"/><Relationship Id="rId32" Type="http://schemas.openxmlformats.org/officeDocument/2006/relationships/hyperlink" Target="https://www.sec.gov/Archives/edgar/data/1370053/000137005321000031/proxystatementfy2020.htm" TargetMode="External"/><Relationship Id="rId33" Type="http://schemas.openxmlformats.org/officeDocument/2006/relationships/hyperlink" Target="https://www.sec.gov/ix?doc=/Archives/edgar/data/1370053/000137005321000041/anab-20210331.htm" TargetMode="External"/><Relationship Id="rId34" Type="http://schemas.openxmlformats.org/officeDocument/2006/relationships/hyperlink" Target="https://www.sec.gov/ix?doc=/Archives/edgar/data/1370053/000137005321000056/anab-20210630.htm" TargetMode="External"/><Relationship Id="rId35" Type="http://schemas.openxmlformats.org/officeDocument/2006/relationships/hyperlink" Target="https://www.sec.gov/ix?doc=/Archives/edgar/data/1370053/000137005321000069/anab-20210930.htm" TargetMode="External"/><Relationship Id="rId36" Type="http://schemas.openxmlformats.org/officeDocument/2006/relationships/hyperlink" Target="https://www.sec.gov/ix?doc=/Archives/edgar/data/1370053/000137005321000010/anab-20210118.htm" TargetMode="External"/><Relationship Id="rId37" Type="http://schemas.openxmlformats.org/officeDocument/2006/relationships/hyperlink" Target="https://www.sec.gov/ix?doc=/Archives/edgar/data/1370053/000137005321000025/anab-20210408.htm" TargetMode="External"/><Relationship Id="rId38" Type="http://schemas.openxmlformats.org/officeDocument/2006/relationships/hyperlink" Target="https://www.sec.gov/ix?doc=/Archives/edgar/data/1370053/000137005321000049/anab-20210617.htm" TargetMode="External"/><Relationship Id="rId39" Type="http://schemas.openxmlformats.org/officeDocument/2006/relationships/hyperlink" Target="https://www.sec.gov/ix?doc=/Archives/edgar/data/1370053/000137005321000063/anab-20211025.htm" TargetMode="External"/><Relationship Id="rId40" Type="http://schemas.openxmlformats.org/officeDocument/2006/relationships/hyperlink" Target="https://www.sec.gov/ix?doc=/Archives/edgar/data/1370053/000137005321000075/anab-20211126.htm" TargetMode="External"/><Relationship Id="rId41" Type="http://schemas.openxmlformats.org/officeDocument/2006/relationships/hyperlink" Target="https://www.sec.gov/ix?doc=/Archives/edgar/data/1370053/000137005321000079/anab-202112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2022-11-08T16:36:47Z</dcterms:created>
  <dcterms:modified xsi:type="dcterms:W3CDTF">2022-11-08T16:36:47Z</dcterms:modified>
</cp:coreProperties>
</file>