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 2020</w:t>
      </w:r>
    </w:p>
    <w:p>
      <w:pPr>
        <w:spacing w:after="0" w:line="11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3960" w:type="dxa"/>
            <w:vAlign w:val="bottom"/>
          </w:tcPr>
          <w:p>
            <w:pPr>
              <w:jc w:val="center"/>
              <w:ind w:right="2002"/>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20-3828755</w:t>
            </w:r>
          </w:p>
        </w:tc>
      </w:tr>
      <w:tr>
        <w:trPr>
          <w:trHeight w:val="180"/>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3"/>
              </w:rPr>
              <w:t>(State or other jurisdiction of</w:t>
            </w:r>
          </w:p>
        </w:tc>
        <w:tc>
          <w:tcPr>
            <w:tcW w:w="3520" w:type="dxa"/>
            <w:vAlign w:val="bottom"/>
          </w:tcPr>
          <w:p>
            <w:pPr>
              <w:jc w:val="center"/>
              <w:ind w:left="20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2"/>
              <w:spacing w:after="0"/>
              <w:rPr>
                <w:sz w:val="20"/>
                <w:szCs w:val="20"/>
                <w:color w:val="auto"/>
              </w:rPr>
            </w:pPr>
            <w:r>
              <w:rPr>
                <w:rFonts w:ascii="Arial" w:cs="Arial" w:eastAsia="Arial" w:hAnsi="Arial"/>
                <w:sz w:val="14"/>
                <w:szCs w:val="14"/>
                <w:b w:val="1"/>
                <w:bCs w:val="1"/>
                <w:color w:val="auto"/>
                <w:w w:val="94"/>
              </w:rPr>
              <w:t>incorporation or organization)</w:t>
            </w:r>
          </w:p>
        </w:tc>
        <w:tc>
          <w:tcPr>
            <w:tcW w:w="3520" w:type="dxa"/>
            <w:vAlign w:val="bottom"/>
          </w:tcPr>
          <w:p>
            <w:pPr>
              <w:jc w:val="center"/>
              <w:ind w:left="20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Freedman,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5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740"/>
              <w:spacing w:after="0"/>
              <w:rPr>
                <w:sz w:val="20"/>
                <w:szCs w:val="20"/>
                <w:color w:val="auto"/>
              </w:rPr>
            </w:pPr>
            <w:r>
              <w:rPr>
                <w:rFonts w:ascii="Arial" w:cs="Arial" w:eastAsia="Arial" w:hAnsi="Arial"/>
                <w:sz w:val="14"/>
                <w:szCs w:val="14"/>
                <w:color w:val="auto"/>
              </w:rPr>
              <w:t>x</w:t>
            </w:r>
          </w:p>
        </w:tc>
        <w:tc>
          <w:tcPr>
            <w:tcW w:w="488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19"/>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2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88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62" w:lineRule="exact"/>
        <w:rPr>
          <w:sz w:val="24"/>
          <w:szCs w:val="24"/>
          <w:color w:val="auto"/>
        </w:rPr>
      </w:pPr>
    </w:p>
    <w:p>
      <w:pPr>
        <w:sectPr>
          <w:pgSz w:w="11900" w:h="16838" w:orient="portrait"/>
          <w:cols w:equalWidth="0" w:num="1">
            <w:col w:w="11420"/>
          </w:cols>
          <w:pgMar w:left="240" w:top="229" w:right="239" w:bottom="1440" w:gutter="0" w:footer="0" w:header="0"/>
        </w:sect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320" w:type="dxa"/>
            <w:vAlign w:val="bottom"/>
            <w:tcBorders>
              <w:top w:val="single" w:sz="8" w:color="auto"/>
              <w:left w:val="single" w:sz="8" w:color="auto"/>
            </w:tcBorders>
            <w:vMerge w:val="restart"/>
          </w:tcPr>
          <w:p>
            <w:pPr>
              <w:ind w:left="2200"/>
              <w:spacing w:after="0"/>
              <w:rPr>
                <w:sz w:val="20"/>
                <w:szCs w:val="20"/>
                <w:color w:val="auto"/>
              </w:rPr>
            </w:pPr>
            <w:r>
              <w:rPr>
                <w:rFonts w:ascii="Arial" w:cs="Arial" w:eastAsia="Arial" w:hAnsi="Arial"/>
                <w:sz w:val="14"/>
                <w:szCs w:val="14"/>
                <w:b w:val="1"/>
                <w:bCs w:val="1"/>
                <w:color w:val="auto"/>
              </w:rPr>
              <w:t>Title of Securities</w:t>
            </w: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To Be</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Proposed Maximum</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Amount of</w:t>
            </w: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tcBorders>
              <w:left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20" w:type="dxa"/>
            <w:vAlign w:val="bottom"/>
            <w:tcBorders>
              <w:left w:val="single" w:sz="8" w:color="auto"/>
            </w:tcBorders>
          </w:tcPr>
          <w:p>
            <w:pPr>
              <w:ind w:left="2200"/>
              <w:spacing w:after="0"/>
              <w:rPr>
                <w:sz w:val="20"/>
                <w:szCs w:val="20"/>
                <w:color w:val="auto"/>
              </w:rPr>
            </w:pPr>
            <w:r>
              <w:rPr>
                <w:rFonts w:ascii="Arial" w:cs="Arial" w:eastAsia="Arial" w:hAnsi="Arial"/>
                <w:sz w:val="14"/>
                <w:szCs w:val="14"/>
                <w:b w:val="1"/>
                <w:bCs w:val="1"/>
                <w:color w:val="auto"/>
              </w:rPr>
              <w:t>To Be Registered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Registered </w:t>
            </w:r>
            <w:r>
              <w:rPr>
                <w:rFonts w:ascii="Arial" w:cs="Arial" w:eastAsia="Arial" w:hAnsi="Arial"/>
                <w:sz w:val="8"/>
                <w:szCs w:val="8"/>
                <w:b w:val="1"/>
                <w:bCs w:val="1"/>
                <w:color w:val="auto"/>
                <w:w w:val="92"/>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Registration Fee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Equity Incentive Plan</w:t>
            </w:r>
          </w:p>
        </w:tc>
        <w:tc>
          <w:tcPr>
            <w:tcW w:w="1480" w:type="dxa"/>
            <w:vAlign w:val="bottom"/>
          </w:tcPr>
          <w:p>
            <w:pPr>
              <w:jc w:val="center"/>
              <w:ind w:left="88"/>
              <w:spacing w:after="0"/>
              <w:rPr>
                <w:sz w:val="20"/>
                <w:szCs w:val="20"/>
                <w:color w:val="auto"/>
              </w:rPr>
            </w:pPr>
            <w:r>
              <w:rPr>
                <w:rFonts w:ascii="Arial" w:cs="Arial" w:eastAsia="Arial" w:hAnsi="Arial"/>
                <w:sz w:val="14"/>
                <w:szCs w:val="14"/>
                <w:color w:val="auto"/>
                <w:w w:val="94"/>
              </w:rPr>
              <w:t>1,090,203</w:t>
            </w:r>
            <w:r>
              <w:rPr>
                <w:rFonts w:ascii="Arial" w:cs="Arial" w:eastAsia="Arial" w:hAnsi="Arial"/>
                <w:sz w:val="8"/>
                <w:szCs w:val="8"/>
                <w:color w:val="auto"/>
                <w:w w:val="94"/>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$15.64</w:t>
            </w:r>
            <w:r>
              <w:rPr>
                <w:rFonts w:ascii="Arial" w:cs="Arial" w:eastAsia="Arial" w:hAnsi="Arial"/>
                <w:sz w:val="8"/>
                <w:szCs w:val="8"/>
                <w:color w:val="auto"/>
                <w:w w:val="94"/>
              </w:rPr>
              <w:t>(3)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17,050,775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2,213</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w w:val="94"/>
              </w:rPr>
              <w:t>Common Stock, $0.001 par value per share, reserved for issuance pursuant to the 2017</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5"/>
              </w:rPr>
              <w:t>272,550</w:t>
            </w:r>
            <w:r>
              <w:rPr>
                <w:rFonts w:ascii="Arial" w:cs="Arial" w:eastAsia="Arial" w:hAnsi="Arial"/>
                <w:sz w:val="8"/>
                <w:szCs w:val="8"/>
                <w:color w:val="auto"/>
                <w:w w:val="95"/>
              </w:rPr>
              <w:t>(4)</w:t>
            </w:r>
          </w:p>
        </w:tc>
        <w:tc>
          <w:tcPr>
            <w:tcW w:w="1600" w:type="dxa"/>
            <w:vAlign w:val="bottom"/>
          </w:tcPr>
          <w:p>
            <w:pPr>
              <w:jc w:val="center"/>
              <w:spacing w:after="0"/>
              <w:rPr>
                <w:sz w:val="20"/>
                <w:szCs w:val="20"/>
                <w:color w:val="auto"/>
              </w:rPr>
            </w:pPr>
            <w:r>
              <w:rPr>
                <w:rFonts w:ascii="Arial" w:cs="Arial" w:eastAsia="Arial" w:hAnsi="Arial"/>
                <w:sz w:val="14"/>
                <w:szCs w:val="14"/>
                <w:color w:val="auto"/>
                <w:w w:val="94"/>
              </w:rPr>
              <w:t>$13.29</w:t>
            </w:r>
            <w:r>
              <w:rPr>
                <w:rFonts w:ascii="Arial" w:cs="Arial" w:eastAsia="Arial" w:hAnsi="Arial"/>
                <w:sz w:val="8"/>
                <w:szCs w:val="8"/>
                <w:color w:val="auto"/>
                <w:w w:val="94"/>
              </w:rPr>
              <w:t>(5)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3,622,190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32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Common Stock, $0.001 par value per share</w:t>
            </w:r>
          </w:p>
        </w:tc>
        <w:tc>
          <w:tcPr>
            <w:tcW w:w="1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3"/>
              </w:rPr>
              <w:t>1,362,753</w:t>
            </w:r>
          </w:p>
        </w:tc>
        <w:tc>
          <w:tcPr>
            <w:tcW w:w="16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20,672,965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2,683</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lef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320" w:type="dxa"/>
            <w:vAlign w:val="bottom"/>
            <w:tcBorders>
              <w:left w:val="single" w:sz="8" w:color="auto"/>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5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25, 2020.</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55" w:lineRule="exact"/>
        <w:rPr>
          <w:rFonts w:ascii="Arial" w:cs="Arial" w:eastAsia="Arial" w:hAnsi="Arial"/>
          <w:sz w:val="14"/>
          <w:szCs w:val="14"/>
          <w:color w:val="auto"/>
        </w:rPr>
      </w:pPr>
    </w:p>
    <w:p>
      <w:pPr>
        <w:jc w:val="both"/>
        <w:ind w:left="340" w:right="2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25, 2020. In the case of the 2017 Employee Stock Purchase Plan, this price per share is multiplied by 85%, which is the percentage of the price per share applicable to purchases under the 2017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2" w:name="page3"/>
    <w:bookmarkEnd w:id="2"/>
    <w:p>
      <w:pPr>
        <w:ind w:left="3860"/>
        <w:spacing w:after="0"/>
        <w:rPr>
          <w:sz w:val="20"/>
          <w:szCs w:val="20"/>
          <w:color w:val="auto"/>
        </w:rPr>
      </w:pPr>
      <w:r>
        <w:rPr>
          <w:rFonts w:ascii="Arial" w:cs="Arial" w:eastAsia="Arial" w:hAnsi="Arial"/>
          <w:sz w:val="18"/>
          <w:szCs w:val="18"/>
          <w:b w:val="1"/>
          <w:bCs w:val="1"/>
          <w:color w:val="auto"/>
        </w:rPr>
        <w:t>REGISTRATION OF ADDITIONAL SHARES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PURSUANT TO GENERAL INSTRUCTION E</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General Instruction E of Form S-8, AnaptysBio, Inc. (the “Registrant”) is filing this Registration Statement with the Securities and Exchange Commission (the “Commission”) to register 1,090,203 additional shares of Common Stock under the Registrant’s 2017 Equity Incentive Plan (“EIP”), pursuant to the provisions of the EIP providing for an automatic increase in the number of shares reserved for issuance under the EIP, and 272,550 additional shares of Common Stock under the Registrant’s 2017 Employee Stock Purchase Plan (“ESPP”), pursuant to the provisions of the ESPP providing for an automatic increase in the number of shares reserved for issuance under the ESPP. This Registration Statement hereby incorporates by reference the contents of the Registrant’s registration statements on Form S-8 filed with the Commission on January 26, 2017 (Registration No. 333-215741), March 5, 2018 (Registration No. 333-223446) and February 28, 2019 (Registration No. 333-229927).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337" w:right="299" w:bottom="1440" w:gutter="0" w:footer="0" w:header="0"/>
        </w:sectPr>
      </w:pPr>
    </w:p>
    <w:bookmarkStart w:id="3" w:name="page4"/>
    <w:bookmarkEnd w:id="3"/>
    <w:p>
      <w:pPr>
        <w:jc w:val="center"/>
        <w:ind w:left="11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w w:val="96"/>
              </w:rPr>
              <w:t>Incorporated by Reference</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0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3740" w:type="dxa"/>
            <w:vAlign w:val="bottom"/>
            <w:gridSpan w:val="15"/>
          </w:tcPr>
          <w:p>
            <w:pPr>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7"/>
                <w:szCs w:val="17"/>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3740" w:type="dxa"/>
            <w:vAlign w:val="bottom"/>
            <w:gridSpan w:val="15"/>
          </w:tcPr>
          <w:p>
            <w:pPr>
              <w:spacing w:after="0"/>
              <w:rPr>
                <w:rFonts w:ascii="Arial" w:cs="Arial" w:eastAsia="Arial" w:hAnsi="Arial"/>
                <w:sz w:val="18"/>
                <w:szCs w:val="18"/>
                <w:color w:val="0000FF"/>
              </w:rPr>
            </w:pPr>
            <w:hyperlink r:id="rId15">
              <w:r>
                <w:rPr>
                  <w:rFonts w:ascii="Arial" w:cs="Arial" w:eastAsia="Arial" w:hAnsi="Arial"/>
                  <w:sz w:val="18"/>
                  <w:szCs w:val="18"/>
                  <w:color w:val="0000FF"/>
                </w:rPr>
                <w:t>Amended and Restated Certificate of</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12,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Incorporation of the Registrant</w:t>
              </w:r>
            </w:hyperlink>
          </w:p>
        </w:tc>
        <w:tc>
          <w:tcPr>
            <w:tcW w:w="440" w:type="dxa"/>
            <w:vAlign w:val="bottom"/>
            <w:tcBorders>
              <w:top w:val="single" w:sz="8" w:color="0000FF"/>
            </w:tcBorders>
            <w:gridSpan w:val="2"/>
          </w:tcPr>
          <w:p>
            <w:pPr>
              <w:spacing w:after="0"/>
              <w:rPr>
                <w:sz w:val="17"/>
                <w:szCs w:val="17"/>
                <w:color w:val="auto"/>
              </w:rPr>
            </w:pPr>
          </w:p>
        </w:tc>
        <w:tc>
          <w:tcPr>
            <w:tcW w:w="10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3080" w:type="dxa"/>
            <w:vAlign w:val="bottom"/>
            <w:tcBorders>
              <w:bottom w:val="single" w:sz="8" w:color="0000FF"/>
            </w:tcBorders>
            <w:gridSpan w:val="10"/>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Form of Restated Bylaws of the Registrant</w:t>
              </w:r>
            </w:hyperlink>
          </w:p>
        </w:tc>
        <w:tc>
          <w:tcPr>
            <w:tcW w:w="660" w:type="dxa"/>
            <w:vAlign w:val="bottom"/>
            <w:gridSpan w:val="5"/>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344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Registrant’s Common Stock certificate</w:t>
              </w:r>
            </w:hyperlink>
          </w:p>
        </w:tc>
        <w:tc>
          <w:tcPr>
            <w:tcW w:w="30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 23, 2015</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3740" w:type="dxa"/>
            <w:vAlign w:val="bottom"/>
            <w:gridSpan w:val="15"/>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2017 Equity Incentive Plan and forms of award</w:t>
              </w:r>
            </w:hyperlink>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8">
              <w:r>
                <w:rPr>
                  <w:rFonts w:ascii="Arial" w:cs="Arial" w:eastAsia="Arial" w:hAnsi="Arial"/>
                  <w:sz w:val="18"/>
                  <w:szCs w:val="18"/>
                  <w:color w:val="0000FF"/>
                  <w:w w:val="84"/>
                </w:rPr>
                <w:t>agreements</w:t>
              </w:r>
            </w:hyperlink>
          </w:p>
        </w:tc>
        <w:tc>
          <w:tcPr>
            <w:tcW w:w="2580" w:type="dxa"/>
            <w:vAlign w:val="bottom"/>
            <w:tcBorders>
              <w:top w:val="single" w:sz="8" w:color="0000FF"/>
            </w:tcBorders>
            <w:gridSpan w:val="11"/>
          </w:tcPr>
          <w:p>
            <w:pPr>
              <w:spacing w:after="0"/>
              <w:rPr>
                <w:sz w:val="17"/>
                <w:szCs w:val="17"/>
                <w:color w:val="auto"/>
              </w:rPr>
            </w:pPr>
          </w:p>
        </w:tc>
        <w:tc>
          <w:tcPr>
            <w:tcW w:w="3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3420" w:type="dxa"/>
            <w:vAlign w:val="bottom"/>
            <w:tcBorders>
              <w:bottom w:val="single" w:sz="8" w:color="0000FF"/>
            </w:tcBorders>
            <w:gridSpan w:val="13"/>
          </w:tcPr>
          <w:p>
            <w:pPr>
              <w:spacing w:after="0"/>
              <w:rPr>
                <w:rFonts w:ascii="Arial" w:cs="Arial" w:eastAsia="Arial" w:hAnsi="Arial"/>
                <w:sz w:val="18"/>
                <w:szCs w:val="18"/>
                <w:color w:val="0000FF"/>
                <w:w w:val="88"/>
              </w:rPr>
            </w:pPr>
            <w:hyperlink r:id="rId19">
              <w:r>
                <w:rPr>
                  <w:rFonts w:ascii="Arial" w:cs="Arial" w:eastAsia="Arial" w:hAnsi="Arial"/>
                  <w:sz w:val="18"/>
                  <w:szCs w:val="18"/>
                  <w:color w:val="0000FF"/>
                  <w:w w:val="88"/>
                </w:rPr>
                <w:t>2017 Employee Stock Purchase Plan and forms</w:t>
              </w:r>
            </w:hyperlink>
          </w:p>
        </w:tc>
        <w:tc>
          <w:tcPr>
            <w:tcW w:w="3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5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19">
              <w:r>
                <w:rPr>
                  <w:rFonts w:ascii="Arial" w:cs="Arial" w:eastAsia="Arial" w:hAnsi="Arial"/>
                  <w:sz w:val="18"/>
                  <w:szCs w:val="18"/>
                  <w:color w:val="0000FF"/>
                  <w:w w:val="87"/>
                </w:rPr>
                <w:t>of award agreements</w:t>
              </w:r>
            </w:hyperlink>
          </w:p>
        </w:tc>
        <w:tc>
          <w:tcPr>
            <w:tcW w:w="2240" w:type="dxa"/>
            <w:vAlign w:val="bottom"/>
            <w:gridSpan w:val="11"/>
          </w:tcPr>
          <w:p>
            <w:pPr>
              <w:spacing w:after="0"/>
              <w:rPr>
                <w:sz w:val="17"/>
                <w:szCs w:val="17"/>
                <w:color w:val="auto"/>
              </w:rPr>
            </w:pPr>
          </w:p>
        </w:tc>
        <w:tc>
          <w:tcPr>
            <w:tcW w:w="92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333-206849</w:t>
            </w:r>
          </w:p>
        </w:tc>
        <w:tc>
          <w:tcPr>
            <w:tcW w:w="2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18"/>
                <w:szCs w:val="18"/>
                <w:color w:val="auto"/>
                <w:w w:val="87"/>
              </w:rPr>
              <w:t>Jan. 17, 2017</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240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Opinion of Fenwick &amp; West LLP</w:t>
              </w:r>
            </w:hyperlink>
          </w:p>
        </w:tc>
        <w:tc>
          <w:tcPr>
            <w:tcW w:w="134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74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Consent of Fenwick &amp; West LLP (contained in</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Exhibit 5.1)</w:t>
              </w:r>
            </w:hyperlink>
          </w:p>
        </w:tc>
        <w:tc>
          <w:tcPr>
            <w:tcW w:w="2520" w:type="dxa"/>
            <w:vAlign w:val="bottom"/>
            <w:tcBorders>
              <w:top w:val="single" w:sz="8" w:color="0000FF"/>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374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KPMG, independent registered</w:t>
              </w:r>
            </w:hyperlink>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w:anchor="page8">
              <w:r>
                <w:rPr>
                  <w:rFonts w:ascii="Arial" w:cs="Arial" w:eastAsia="Arial" w:hAnsi="Arial"/>
                  <w:sz w:val="18"/>
                  <w:szCs w:val="18"/>
                  <w:color w:val="0000FF"/>
                  <w:w w:val="93"/>
                </w:rPr>
                <w:t>public accounting firm</w:t>
              </w:r>
            </w:hyperlink>
          </w:p>
        </w:tc>
        <w:tc>
          <w:tcPr>
            <w:tcW w:w="1420" w:type="dxa"/>
            <w:vAlign w:val="bottom"/>
            <w:tcBorders>
              <w:top w:val="single" w:sz="8" w:color="0000FF"/>
            </w:tcBorders>
            <w:gridSpan w:val="4"/>
          </w:tcPr>
          <w:p>
            <w:pPr>
              <w:spacing w:after="0"/>
              <w:rPr>
                <w:sz w:val="17"/>
                <w:szCs w:val="17"/>
                <w:color w:val="auto"/>
              </w:rPr>
            </w:pPr>
          </w:p>
        </w:tc>
        <w:tc>
          <w:tcPr>
            <w:tcW w:w="6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Power of Attorney</w:t>
              </w:r>
            </w:hyperlink>
          </w:p>
        </w:tc>
        <w:tc>
          <w:tcPr>
            <w:tcW w:w="24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300" w:space="380"/>
            <w:col w:w="580"/>
          </w:cols>
          <w:pgMar w:left="240" w:top="337"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March, 2020.</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844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Hamza Suria</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Hamza Suria and Eric Loumeau,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418"/>
        </w:trPr>
        <w:tc>
          <w:tcPr>
            <w:tcW w:w="4000" w:type="dxa"/>
            <w:vAlign w:val="bottom"/>
          </w:tcPr>
          <w:p>
            <w:pPr>
              <w:jc w:val="center"/>
              <w:spacing w:after="0"/>
              <w:rPr>
                <w:sz w:val="20"/>
                <w:szCs w:val="20"/>
                <w:color w:val="auto"/>
              </w:rPr>
            </w:pPr>
            <w:r>
              <w:rPr>
                <w:rFonts w:ascii="Arial" w:cs="Arial" w:eastAsia="Arial" w:hAnsi="Arial"/>
                <w:sz w:val="18"/>
                <w:szCs w:val="18"/>
                <w:color w:val="auto"/>
                <w:w w:val="88"/>
              </w:rPr>
              <w:t>/s/ Hamza Suria</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spacing w:after="0"/>
              <w:rPr>
                <w:sz w:val="24"/>
                <w:szCs w:val="24"/>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360" w:type="dxa"/>
            <w:vAlign w:val="bottom"/>
          </w:tcPr>
          <w:p>
            <w:pPr>
              <w:spacing w:after="0"/>
              <w:rPr>
                <w:sz w:val="20"/>
                <w:szCs w:val="20"/>
                <w:color w:val="auto"/>
              </w:rPr>
            </w:pPr>
          </w:p>
        </w:tc>
        <w:tc>
          <w:tcPr>
            <w:tcW w:w="51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4"/>
              </w:rPr>
              <w:t>(Principal Executive Officer)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473"/>
        </w:trPr>
        <w:tc>
          <w:tcPr>
            <w:tcW w:w="4000" w:type="dxa"/>
            <w:vAlign w:val="bottom"/>
          </w:tcPr>
          <w:p>
            <w:pPr>
              <w:jc w:val="center"/>
              <w:spacing w:after="0"/>
              <w:rPr>
                <w:sz w:val="20"/>
                <w:szCs w:val="20"/>
                <w:color w:val="auto"/>
              </w:rPr>
            </w:pPr>
            <w:r>
              <w:rPr>
                <w:rFonts w:ascii="Arial" w:cs="Arial" w:eastAsia="Arial" w:hAnsi="Arial"/>
                <w:sz w:val="18"/>
                <w:szCs w:val="18"/>
                <w:color w:val="auto"/>
                <w:w w:val="91"/>
              </w:rPr>
              <w:t>/s/ Eric Loumeau</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Interim Chief Financial Officer and General Counsel</w:t>
            </w:r>
          </w:p>
        </w:tc>
        <w:tc>
          <w:tcPr>
            <w:tcW w:w="1940" w:type="dxa"/>
            <w:vAlign w:val="bottom"/>
          </w:tcPr>
          <w:p>
            <w:pPr>
              <w:spacing w:after="0"/>
              <w:rPr>
                <w:sz w:val="24"/>
                <w:szCs w:val="24"/>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1"/>
              </w:rPr>
              <w:t>Eric Loumeau</w:t>
            </w:r>
          </w:p>
        </w:tc>
        <w:tc>
          <w:tcPr>
            <w:tcW w:w="360" w:type="dxa"/>
            <w:vAlign w:val="bottom"/>
          </w:tcPr>
          <w:p>
            <w:pPr>
              <w:spacing w:after="0"/>
              <w:rPr>
                <w:sz w:val="20"/>
                <w:szCs w:val="20"/>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473"/>
        </w:trPr>
        <w:tc>
          <w:tcPr>
            <w:tcW w:w="4000" w:type="dxa"/>
            <w:vAlign w:val="bottom"/>
          </w:tcPr>
          <w:p>
            <w:pPr>
              <w:jc w:val="center"/>
              <w:spacing w:after="0"/>
              <w:rPr>
                <w:sz w:val="20"/>
                <w:szCs w:val="20"/>
                <w:color w:val="auto"/>
              </w:rPr>
            </w:pPr>
            <w:r>
              <w:rPr>
                <w:rFonts w:ascii="Arial" w:cs="Arial" w:eastAsia="Arial" w:hAnsi="Arial"/>
                <w:sz w:val="18"/>
                <w:szCs w:val="18"/>
                <w:color w:val="auto"/>
                <w:w w:val="89"/>
              </w:rPr>
              <w:t>/s/ Dennis Fenton</w:t>
            </w:r>
          </w:p>
        </w:tc>
        <w:tc>
          <w:tcPr>
            <w:tcW w:w="360" w:type="dxa"/>
            <w:vAlign w:val="bottom"/>
          </w:tcPr>
          <w:p>
            <w:pPr>
              <w:spacing w:after="0"/>
              <w:rPr>
                <w:sz w:val="24"/>
                <w:szCs w:val="24"/>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89"/>
              </w:rPr>
              <w:t>Dennis Fenton Ph.D.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2"/>
              </w:rPr>
              <w:t>/s/ Laura J. Hamill</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88"/>
              </w:rPr>
              <w:t>/s/ John Schmid</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87"/>
              </w:rPr>
              <w:t>/s/ James N. Topper</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4000" w:type="dxa"/>
            <w:vAlign w:val="bottom"/>
          </w:tcPr>
          <w:p>
            <w:pPr>
              <w:jc w:val="center"/>
              <w:spacing w:after="0"/>
              <w:rPr>
                <w:sz w:val="20"/>
                <w:szCs w:val="20"/>
                <w:color w:val="auto"/>
              </w:rPr>
            </w:pPr>
            <w:r>
              <w:rPr>
                <w:rFonts w:ascii="Arial" w:cs="Arial" w:eastAsia="Arial" w:hAnsi="Arial"/>
                <w:sz w:val="18"/>
                <w:szCs w:val="18"/>
                <w:color w:val="auto"/>
                <w:w w:val="90"/>
              </w:rPr>
              <w:t>/s/ J. Anthony Ware</w:t>
            </w:r>
          </w:p>
        </w:tc>
        <w:tc>
          <w:tcPr>
            <w:tcW w:w="360" w:type="dxa"/>
            <w:vAlign w:val="bottom"/>
          </w:tcPr>
          <w:p>
            <w:pPr>
              <w:spacing w:after="0"/>
              <w:rPr>
                <w:sz w:val="23"/>
                <w:szCs w:val="23"/>
                <w:color w:val="auto"/>
              </w:rPr>
            </w:pP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ind w:left="860"/>
              <w:spacing w:after="0"/>
              <w:rPr>
                <w:sz w:val="20"/>
                <w:szCs w:val="20"/>
                <w:color w:val="auto"/>
              </w:rPr>
            </w:pPr>
            <w:r>
              <w:rPr>
                <w:rFonts w:ascii="Arial" w:cs="Arial" w:eastAsia="Arial" w:hAnsi="Arial"/>
                <w:sz w:val="18"/>
                <w:szCs w:val="18"/>
                <w:color w:val="auto"/>
                <w:w w:val="92"/>
              </w:rPr>
              <w:t>March 2, 2020</w:t>
            </w:r>
          </w:p>
        </w:tc>
      </w:tr>
      <w:tr>
        <w:trPr>
          <w:trHeight w:val="27"/>
        </w:trPr>
        <w:tc>
          <w:tcPr>
            <w:tcW w:w="4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00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5" w:name="page6"/>
    <w:bookmarkEnd w:id="5"/>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88900</wp:posOffset>
            </wp:positionV>
            <wp:extent cx="2898775"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898775" cy="909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5.01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have examined the Registration Statement on Form S-8 to be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March 2, 2020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an aggregate of 1,362,753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subject to issuance by the Company (a) upon the exercise or settlement of awards (including any stock option, restricted stock, stock bonus, stock appreciation right, restricted stock unit or award of performance shares) granted or to be granted under the 2017 Equity Incentive Plan (the “</w:t>
      </w:r>
      <w:r>
        <w:rPr>
          <w:rFonts w:ascii="Arial" w:cs="Arial" w:eastAsia="Arial" w:hAnsi="Arial"/>
          <w:sz w:val="16"/>
          <w:szCs w:val="16"/>
          <w:b w:val="1"/>
          <w:bCs w:val="1"/>
          <w:i w:val="1"/>
          <w:iCs w:val="1"/>
          <w:color w:val="auto"/>
        </w:rPr>
        <w:t>EIP</w:t>
      </w:r>
      <w:r>
        <w:rPr>
          <w:rFonts w:ascii="Arial" w:cs="Arial" w:eastAsia="Arial" w:hAnsi="Arial"/>
          <w:sz w:val="16"/>
          <w:szCs w:val="16"/>
          <w:color w:val="auto"/>
        </w:rPr>
        <w:t>”) and (b) pursuant to purchase rights granted or to be granted under the Company’s 2017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The plans referred to in clauses (a) through (b) above are collectively referred to in this letter as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At your request we are providing this letter to express our opinion on the matters set forth below in this letter (“</w:t>
      </w:r>
      <w:r>
        <w:rPr>
          <w:rFonts w:ascii="Arial" w:cs="Arial" w:eastAsia="Arial" w:hAnsi="Arial"/>
          <w:sz w:val="16"/>
          <w:szCs w:val="16"/>
          <w:b w:val="1"/>
          <w:bCs w:val="1"/>
          <w:i w:val="1"/>
          <w:iCs w:val="1"/>
          <w:color w:val="auto"/>
        </w:rPr>
        <w:t>our opinion</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our opinion expressed below we have examined originals or copies of the Company’s certificate of incorporation and bylaws, certain corporate proceedings of the Company’s board of directors and stockholders relating to the Registration Statement, the Plans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pacing w:after="0" w:line="3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and subject to, the foregoing, it is our opinion that when the 1,362,753 Shares of Common Stock that may be issued and sold by the Company (a) upon the exercise or settlement of awards (including any stock option,</w:t>
      </w:r>
    </w:p>
    <w:p>
      <w:pPr>
        <w:sectPr>
          <w:pgSz w:w="11900" w:h="16838" w:orient="portrait"/>
          <w:cols w:equalWidth="0" w:num="1">
            <w:col w:w="11420"/>
          </w:cols>
          <w:pgMar w:left="240" w:top="1440"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restricted stock, stock bonus, stock appreciation right, restricted stock unit or award of performance shares) granted or to be granted under the EIP and (b) pursuant to purchase rights granted or to be granted under the ESPP, have been issued and sold by the Company against the Company’s receipt of payment therefor (in an amount and type of consideration not less than the par value per Share) in accordance with the terms (including payment provisions) of the applicable Plan and have been duly registered on the books of the transfer agent and registrar for the Shares in the name or on behalf of the holders thereof, such Shares will be validly issued, fully paid and non-assessable.</w:t>
      </w:r>
    </w:p>
    <w:p>
      <w:pPr>
        <w:spacing w:after="0" w:line="188"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66" w:lineRule="exact"/>
        <w:rPr>
          <w:sz w:val="20"/>
          <w:szCs w:val="20"/>
          <w:color w:val="auto"/>
        </w:rPr>
      </w:pPr>
    </w:p>
    <w:p>
      <w:pPr>
        <w:jc w:val="both"/>
        <w:ind w:firstLine="662"/>
        <w:spacing w:after="0" w:line="255" w:lineRule="auto"/>
        <w:rPr>
          <w:sz w:val="20"/>
          <w:szCs w:val="20"/>
          <w:color w:val="auto"/>
        </w:rPr>
      </w:pPr>
      <w:r>
        <w:rPr>
          <w:rFonts w:ascii="Arial" w:cs="Arial" w:eastAsia="Arial" w:hAnsi="Arial"/>
          <w:sz w:val="18"/>
          <w:szCs w:val="18"/>
          <w:color w:val="auto"/>
        </w:rPr>
        <w:t>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Fenwick &amp; West LLP</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420"/>
          </w:cols>
          <w:pgMar w:left="240" w:top="557" w:right="239" w:bottom="1440" w:gutter="0" w:footer="0" w:header="0"/>
        </w:sectPr>
      </w:pPr>
    </w:p>
    <w:bookmarkStart w:id="7" w:name="page8"/>
    <w:bookmarkEnd w:id="7"/>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consent to the use of our reports with respect to the consolidated financial statements and the effectiveness of internal control over financial reporting incorporated by reference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5" Type="http://schemas.openxmlformats.org/officeDocument/2006/relationships/hyperlink" Target="http://www.sec.gov/Archives/edgar/data/1370053/000137005317000005/anab-033117x10qxexx31.htm" TargetMode="External"/><Relationship Id="rId16" Type="http://schemas.openxmlformats.org/officeDocument/2006/relationships/hyperlink" Target="http://www.sec.gov/Archives/edgar/data/1370053/000119312515315918/d942137dex34.htm" TargetMode="External"/><Relationship Id="rId17" Type="http://schemas.openxmlformats.org/officeDocument/2006/relationships/hyperlink" Target="http://www.sec.gov/Archives/edgar/data/1370053/000119312515412604/d942137dex41.htm" TargetMode="External"/><Relationship Id="rId18" Type="http://schemas.openxmlformats.org/officeDocument/2006/relationships/hyperlink" Target="http://www.sec.gov/Archives/edgar/data/1370053/000119312517010405/d320192dex103.htm" TargetMode="External"/><Relationship Id="rId19"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2020-03-02T08:02:30Z</dcterms:created>
  <dcterms:modified xsi:type="dcterms:W3CDTF">2020-03-02T08:02:30Z</dcterms:modified>
</cp:coreProperties>
</file>