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8122025_080842.xml.htm"/>
      <w:bookmarkStart w:id="1" w:name="ksform408122025_08084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RENTON HOLLINGS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ANAPTYSBIO,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10770 WATERIDGE CIRCLE, SUITE 210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DIEGO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92121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ANAPTYSBIO, INC</w:t>
              </w:r>
            </w:hyperlink>
            <w:r>
              <w:rPr/>
              <w:t xml:space="preserve"> [ </w:t>
            </w:r>
            <w:r>
              <w:rPr>
                <w:rFonts w:ascii="Times;serif" w:hAnsi="Times;serif"/>
                <w:color w:val="0000FF"/>
                <w:sz w:val="24"/>
                <w:shd w:fill="FFFFFF" w:val="clear"/>
              </w:rPr>
              <w:t>ANAB</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08/08/2025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95"/>
        <w:gridCol w:w="900"/>
        <w:gridCol w:w="771"/>
        <w:gridCol w:w="598"/>
        <w:gridCol w:w="345"/>
        <w:gridCol w:w="921"/>
        <w:gridCol w:w="446"/>
        <w:gridCol w:w="879"/>
        <w:gridCol w:w="1147"/>
        <w:gridCol w:w="986"/>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9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4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9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7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08/08/2025</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10,231</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6.93</w:t>
            </w:r>
            <w:r>
              <w:rPr/>
              <w:t xml:space="preserve"> </w:t>
            </w:r>
          </w:p>
        </w:tc>
        <w:tc>
          <w:tcPr>
            <w:tcW w:w="11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15,196</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08/08/2025</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3,110</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19.44</w:t>
            </w:r>
            <w:r>
              <w:rPr>
                <w:rFonts w:ascii="Times;serif" w:hAnsi="Times;serif"/>
                <w:color w:val="008000"/>
                <w:position w:val="7"/>
                <w:sz w:val="16"/>
                <w:sz w:val="20"/>
                <w:shd w:fill="FFFFFF" w:val="clear"/>
              </w:rPr>
              <w:t>(2)</w:t>
            </w:r>
            <w:r>
              <w:rPr/>
              <w:t xml:space="preserve"> </w:t>
            </w:r>
          </w:p>
        </w:tc>
        <w:tc>
          <w:tcPr>
            <w:tcW w:w="11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12,086</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9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08/08/2025</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7,121</w:t>
            </w:r>
          </w:p>
        </w:tc>
        <w:tc>
          <w:tcPr>
            <w:tcW w:w="4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19.696</w:t>
            </w:r>
            <w:r>
              <w:rPr>
                <w:rFonts w:ascii="Times;serif" w:hAnsi="Times;serif"/>
                <w:color w:val="008000"/>
                <w:position w:val="7"/>
                <w:sz w:val="16"/>
                <w:sz w:val="20"/>
                <w:shd w:fill="FFFFFF" w:val="clear"/>
              </w:rPr>
              <w:t>(3)</w:t>
            </w:r>
            <w:r>
              <w:rPr/>
              <w:t xml:space="preserve"> </w:t>
            </w:r>
          </w:p>
        </w:tc>
        <w:tc>
          <w:tcPr>
            <w:tcW w:w="11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4,965</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19" w:type="dxa"/>
        <w:jc w:val="left"/>
        <w:tblInd w:w="-7" w:type="dxa"/>
        <w:tblLayout w:type="fixed"/>
        <w:tblCellMar>
          <w:top w:w="60" w:type="dxa"/>
          <w:left w:w="60" w:type="dxa"/>
          <w:bottom w:w="60" w:type="dxa"/>
          <w:right w:w="60" w:type="dxa"/>
        </w:tblCellMar>
      </w:tblPr>
      <w:tblGrid>
        <w:gridCol w:w="905"/>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11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Common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6.93</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08/08/2025</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10,231</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08/13/2025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10,231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w:t>
            </w:r>
            <w:r>
              <w:rPr>
                <w:rFonts w:ascii="Times;serif" w:hAnsi="Times;serif"/>
                <w:color w:val="008000"/>
                <w:position w:val="7"/>
                <w:sz w:val="16"/>
                <w:sz w:val="20"/>
                <w:shd w:fill="FFFFFF" w:val="clear"/>
              </w:rPr>
              <w:t>(5)</w:t>
            </w:r>
            <w:r>
              <w:rPr/>
              <w:t xml:space="preserve"> </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 reported on this Form 4 was effected pursuant to a Rule 10b5-1 trading plan adopted by the Reporting Person on March 14, 2024. Mr. Renton holds various stock options that are expiring in 2025 and wished to put the plan in place to facilitate the orderly exercise of such options, including the options exercised and sold under this Form 4, which have an expiration date of August 13,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reported price in Column 4 is a weighted average price. These shares were sold in multiple transactions at prices ranging from $19.375 to $19.46 per share,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reported price in Column 4 is a weighted average price. These shares were sold in multiple transactions at prices ranging from $19.48 to $20.46 per share,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stock option grant was issued on August 14, 2015, is fully vested and exercisable until its expiration date of August 13,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In addition to the remaining options to purchase 10,231 shares of common stock as set forth in Table II, the Reporting Person also holds additional options to purchase up to an aggregate of 101,820 shares of common stock, which options vest according to their terms.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Eric Loumeau,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08/12/2025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187333" TargetMode="External"/><Relationship Id="rId5" Type="http://schemas.openxmlformats.org/officeDocument/2006/relationships/hyperlink" Target="http://www.sec.gov/cgi-bin/browse-edgar?action=getcompany&amp;CIK=000137005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884</Words>
  <Characters>4647</Characters>
  <CharactersWithSpaces>5447</CharactersWithSpaces>
  <Paragraphs>127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