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nab-20260728.htm"/>
      <w:bookmarkStart w:id="1" w:name="ksanab2026072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ANAPTYSBIO,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212" w:type="dxa"/>
        <w:jc w:val="left"/>
        <w:tblInd w:w="0" w:type="dxa"/>
        <w:tblLayout w:type="fixed"/>
        <w:tblCellMar>
          <w:top w:w="28" w:type="dxa"/>
          <w:left w:w="28" w:type="dxa"/>
          <w:bottom w:w="28" w:type="dxa"/>
          <w:right w:w="28" w:type="dxa"/>
        </w:tblCellMar>
      </w:tblPr>
      <w:tblGrid>
        <w:gridCol w:w="1071"/>
        <w:gridCol w:w="977"/>
        <w:gridCol w:w="982"/>
        <w:gridCol w:w="1846"/>
        <w:gridCol w:w="1336"/>
      </w:tblGrid>
      <w:tr>
        <w:trPr/>
        <w:tc>
          <w:tcPr>
            <w:tcW w:w="107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001-37985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20-3828755</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10770 Wateridge Circle, Suite 210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362-6295</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35" w:type="dxa"/>
        <w:jc w:val="left"/>
        <w:tblInd w:w="0" w:type="dxa"/>
        <w:tblLayout w:type="fixed"/>
        <w:tblCellMar>
          <w:top w:w="28" w:type="dxa"/>
          <w:left w:w="28" w:type="dxa"/>
          <w:bottom w:w="28" w:type="dxa"/>
          <w:right w:w="28" w:type="dxa"/>
        </w:tblCellMar>
      </w:tblPr>
      <w:tblGrid>
        <w:gridCol w:w="3571"/>
        <w:gridCol w:w="146"/>
        <w:gridCol w:w="94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sz w:val="20"/>
        </w:rPr>
      </w:pPr>
      <w:r>
        <w:rPr>
          <w:rFonts w:ascii="Times New Roman" w:hAnsi="Times New Roman"/>
          <w:color w:val="000000"/>
          <w:sz w:val="20"/>
        </w:rPr>
        <w:t xml:space="preserve">As previously disclosed, on November 20, 2025, AnaptysBio, Inc. (the “Company”) filed a Verified Complaint in Delaware Court of Chancery (the “Court”), requesting a court declaration that TESARO, Inc. (“Tesaro”) has materially breached the parties’ Collaboration and Exclusive License Agreement (“Collaboration Agreement”) and that GlaxoSmithKline (together with Tesaro and TESARO Development, Ltd., the “Defendants”), Tesaro’s corporate parent, has tortiously interfered with the Collaboration Agreement. The litigation was subsequently consolidated with a case filed against the Company by Tesaro and TESARO Development, Ltd., and captioned </w:t>
      </w:r>
      <w:r>
        <w:rPr>
          <w:rFonts w:ascii="Times New Roman" w:hAnsi="Times New Roman"/>
          <w:i/>
          <w:color w:val="000000"/>
          <w:sz w:val="20"/>
        </w:rPr>
        <w:t xml:space="preserve">In re Tesaro, Inc. Litigation, </w:t>
      </w:r>
      <w:r>
        <w:rPr>
          <w:rFonts w:ascii="Times New Roman" w:hAnsi="Times New Roman"/>
          <w:color w:val="000000"/>
          <w:sz w:val="20"/>
        </w:rPr>
        <w:t>C.A. No. 2025-1357-KSJM.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trial of the consolidated litigation was held July 14-17, 2026. Following the trial, on July 28, 2026, the Company, and the Defendants, submitted a Joint Stipulation and Proposed Order (the “Stipulation”) with the Court to propose a schedule governing the post-trial briefing. On July 28, 2026, the Court granted the Stipulation.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Stipulation, (i) the Company will file its opening post-trial brief on or before August 21, 2026, (ii) the Defendants will file their answering post-trial brief on or before September 25, 2026, (iii) the Company will file its reply post-trial brief on or before October 9, 2026, and (iv) post-trial argument will be held on October 20,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in this Item 7.01 shall not be deemed “filed” for purposes of Section 18 of the Securities Exchange Act of 1934, as amended (the “Exchange Act”), or otherwise subject to the liabilities of that Section, and shall not be deemed to be incorporated by reference into any filing of the Company under the Exchange Act or the Securities Act of 1933, as amended, except as shall be expressly set forth by specific reference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549" w:type="dxa"/>
        <w:jc w:val="left"/>
        <w:tblInd w:w="0" w:type="dxa"/>
        <w:tblLayout w:type="fixed"/>
        <w:tblCellMar>
          <w:top w:w="28" w:type="dxa"/>
          <w:left w:w="28" w:type="dxa"/>
          <w:bottom w:w="28" w:type="dxa"/>
          <w:right w:w="28" w:type="dxa"/>
        </w:tblCellMar>
      </w:tblPr>
      <w:tblGrid>
        <w:gridCol w:w="556"/>
        <w:gridCol w:w="1216"/>
        <w:gridCol w:w="451"/>
        <w:gridCol w:w="232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ANAPTYSBIO,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30,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Christopher M. Murphy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Christopher M. Murphy</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3530</Characters>
  <CharactersWithSpaces>4162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