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620395</wp:posOffset>
            </wp:positionV>
            <wp:extent cx="258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105410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132080</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120015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116205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980" w:type="dxa"/>
            <w:vAlign w:val="bottom"/>
            <w:gridSpan w:val="2"/>
          </w:tcPr>
          <w:p>
            <w:pPr>
              <w:jc w:val="center"/>
              <w:ind w:left="1976"/>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8"/>
                <w:szCs w:val="18"/>
                <w:b w:val="1"/>
                <w:bCs w:val="1"/>
                <w:color w:val="auto"/>
                <w:w w:val="91"/>
              </w:rPr>
              <w:t>20-3828755</w:t>
            </w:r>
          </w:p>
        </w:tc>
      </w:tr>
      <w:tr>
        <w:trPr>
          <w:trHeight w:val="144"/>
        </w:trPr>
        <w:tc>
          <w:tcPr>
            <w:tcW w:w="3980" w:type="dxa"/>
            <w:vAlign w:val="bottom"/>
            <w:gridSpan w:val="2"/>
          </w:tcPr>
          <w:p>
            <w:pPr>
              <w:jc w:val="center"/>
              <w:ind w:left="1976"/>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219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gridSpan w:val="2"/>
          </w:tcPr>
          <w:p>
            <w:pPr>
              <w:jc w:val="center"/>
              <w:ind w:left="1976"/>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6"/>
              </w:rPr>
              <w:t>Identification Number)</w:t>
            </w:r>
          </w:p>
        </w:tc>
      </w:tr>
      <w:tr>
        <w:trPr>
          <w:trHeight w:val="295"/>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10770 Wateridge Circle, Suite 210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0"/>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2"/>
          </w:tcPr>
          <w:p>
            <w:pPr>
              <w:jc w:val="center"/>
              <w:ind w:left="102"/>
              <w:spacing w:after="0"/>
              <w:rPr>
                <w:sz w:val="20"/>
                <w:szCs w:val="20"/>
                <w:color w:val="auto"/>
              </w:rPr>
            </w:pPr>
            <w:r>
              <w:rPr>
                <w:rFonts w:ascii="Arial" w:cs="Arial" w:eastAsia="Arial" w:hAnsi="Arial"/>
                <w:sz w:val="18"/>
                <w:szCs w:val="18"/>
                <w:b w:val="1"/>
                <w:bCs w:val="1"/>
                <w:color w:val="auto"/>
                <w:w w:val="90"/>
              </w:rPr>
              <w:t>(858) 362-6295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23"/>
        </w:trPr>
        <w:tc>
          <w:tcPr>
            <w:tcW w:w="358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318"/>
        </w:trPr>
        <w:tc>
          <w:tcPr>
            <w:tcW w:w="11260" w:type="dxa"/>
            <w:vAlign w:val="bottom"/>
            <w:gridSpan w:val="7"/>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259"/>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Arial" w:cs="Arial" w:eastAsia="Arial" w:hAnsi="Arial"/>
                <w:sz w:val="18"/>
                <w:szCs w:val="18"/>
                <w:color w:val="auto"/>
                <w:w w:val="8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19"/>
              <w:spacing w:after="0"/>
              <w:rPr>
                <w:sz w:val="20"/>
                <w:szCs w:val="20"/>
                <w:color w:val="auto"/>
              </w:rPr>
            </w:pPr>
            <w:r>
              <w:rPr>
                <w:rFonts w:ascii="Arial" w:cs="Arial" w:eastAsia="Arial" w:hAnsi="Arial"/>
                <w:sz w:val="18"/>
                <w:szCs w:val="18"/>
                <w:color w:val="auto"/>
                <w:w w:val="92"/>
              </w:rPr>
              <w:t>The Nasdaq Stock Market LLC</w:t>
            </w:r>
          </w:p>
        </w:tc>
      </w:tr>
    </w:tbl>
    <w:p>
      <w:pPr>
        <w:spacing w:after="0" w:line="80" w:lineRule="exact"/>
        <w:rPr>
          <w:sz w:val="24"/>
          <w:szCs w:val="24"/>
          <w:color w:val="auto"/>
        </w:rPr>
      </w:pPr>
    </w:p>
    <w:p>
      <w:pPr>
        <w:ind w:right="26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308"/>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6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20"/>
              <w:spacing w:after="0" w:line="251" w:lineRule="exact"/>
              <w:rPr>
                <w:sz w:val="20"/>
                <w:szCs w:val="20"/>
                <w:color w:val="auto"/>
              </w:rPr>
            </w:pPr>
            <w:r>
              <w:rPr>
                <w:rFonts w:ascii="MS PGothic" w:cs="MS PGothic" w:eastAsia="MS PGothic" w:hAnsi="MS PGothic"/>
                <w:sz w:val="25"/>
                <w:szCs w:val="25"/>
                <w:color w:val="auto"/>
              </w:rPr>
              <w:t>☒</w:t>
            </w:r>
          </w:p>
        </w:tc>
        <w:tc>
          <w:tcPr>
            <w:tcW w:w="498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3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38"/>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380"/>
              <w:spacing w:after="0" w:line="221" w:lineRule="exact"/>
              <w:rPr>
                <w:sz w:val="20"/>
                <w:szCs w:val="20"/>
                <w:color w:val="auto"/>
              </w:rPr>
            </w:pPr>
            <w:r>
              <w:rPr>
                <w:rFonts w:ascii="MS PGothic" w:cs="MS PGothic" w:eastAsia="MS PGothic" w:hAnsi="MS PGothic"/>
                <w:sz w:val="22"/>
                <w:szCs w:val="22"/>
                <w:color w:val="auto"/>
                <w:w w:val="90"/>
              </w:rPr>
              <w:t>☐</w:t>
            </w:r>
          </w:p>
        </w:tc>
      </w:tr>
    </w:tbl>
    <w:p>
      <w:pPr>
        <w:spacing w:after="0" w:line="60"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88" w:lineRule="exact"/>
        <w:tabs>
          <w:tab w:leader="none" w:pos="7640" w:val="left"/>
          <w:tab w:leader="none" w:pos="8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5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November 2, 2021, there were 27,507,922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140970</wp:posOffset>
            </wp:positionV>
            <wp:extent cx="2588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1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920" w:type="dxa"/>
            <w:vAlign w:val="bottom"/>
            <w:gridSpan w:val="10"/>
          </w:tcPr>
          <w:p>
            <w:pPr>
              <w:jc w:val="center"/>
              <w:ind w:right="3100"/>
              <w:spacing w:after="0"/>
              <w:rPr>
                <w:sz w:val="20"/>
                <w:szCs w:val="20"/>
                <w:color w:val="auto"/>
              </w:rPr>
            </w:pPr>
            <w:r>
              <w:rPr>
                <w:rFonts w:ascii="Arial" w:cs="Arial" w:eastAsia="Arial" w:hAnsi="Arial"/>
                <w:sz w:val="22"/>
                <w:szCs w:val="22"/>
                <w:b w:val="1"/>
                <w:bCs w:val="1"/>
                <w:color w:val="auto"/>
                <w:w w:val="89"/>
              </w:rPr>
              <w:t>AnaptysBio, Inc.</w:t>
            </w:r>
          </w:p>
        </w:tc>
      </w:tr>
      <w:tr>
        <w:trPr>
          <w:trHeight w:val="280"/>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20" w:type="dxa"/>
            <w:vAlign w:val="bottom"/>
            <w:gridSpan w:val="10"/>
          </w:tcPr>
          <w:p>
            <w:pPr>
              <w:jc w:val="center"/>
              <w:ind w:right="3100"/>
              <w:spacing w:after="0"/>
              <w:rPr>
                <w:sz w:val="20"/>
                <w:szCs w:val="20"/>
                <w:color w:val="auto"/>
              </w:rPr>
            </w:pPr>
            <w:r>
              <w:rPr>
                <w:rFonts w:ascii="Arial" w:cs="Arial" w:eastAsia="Arial" w:hAnsi="Arial"/>
                <w:sz w:val="22"/>
                <w:szCs w:val="22"/>
                <w:b w:val="1"/>
                <w:bCs w:val="1"/>
                <w:color w:val="auto"/>
                <w:w w:val="87"/>
              </w:rPr>
              <w:t>Table of Contents</w:t>
            </w:r>
          </w:p>
        </w:tc>
      </w:tr>
      <w:tr>
        <w:trPr>
          <w:trHeight w:val="827"/>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rPr>
              <w:t>PART I. FINANCIAL INFORMATION</w:t>
            </w:r>
          </w:p>
        </w:tc>
      </w:tr>
      <w:tr>
        <w:trPr>
          <w:trHeight w:val="297"/>
        </w:trPr>
        <w:tc>
          <w:tcPr>
            <w:tcW w:w="1300" w:type="dxa"/>
            <w:vAlign w:val="bottom"/>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26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 (unaudited)</w:t>
              </w:r>
            </w:hyperlink>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0000FF"/>
            </w:tcBorders>
            <w:gridSpan w:val="14"/>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Consolidated Balance Sheets as of September 30, 2021 and December 31, 2020</w:t>
              </w:r>
            </w:hyperlink>
          </w:p>
        </w:tc>
        <w:tc>
          <w:tcPr>
            <w:tcW w:w="2560" w:type="dxa"/>
            <w:vAlign w:val="bottom"/>
            <w:gridSpan w:val="6"/>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and Comprehensive Loss for the Three and Nine Months Ended September</w:t>
              </w:r>
            </w:hyperlink>
          </w:p>
        </w:tc>
      </w:tr>
      <w:tr>
        <w:trPr>
          <w:trHeight w:val="156"/>
        </w:trPr>
        <w:tc>
          <w:tcPr>
            <w:tcW w:w="130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30, 2021 and 2020</w:t>
              </w:r>
            </w:hyperlink>
          </w:p>
        </w:tc>
        <w:tc>
          <w:tcPr>
            <w:tcW w:w="69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3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Consolidated Statements of Stockholders' Equity for the Three and Nine Months Ended September 30, 2021</w:t>
              </w:r>
            </w:hyperlink>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FF"/>
                <w:w w:val="95"/>
              </w:rPr>
            </w:pPr>
            <w:hyperlink w:anchor="page6">
              <w:r>
                <w:rPr>
                  <w:rFonts w:ascii="Arial" w:cs="Arial" w:eastAsia="Arial" w:hAnsi="Arial"/>
                  <w:sz w:val="18"/>
                  <w:szCs w:val="18"/>
                  <w:color w:val="0000FF"/>
                  <w:w w:val="95"/>
                </w:rPr>
                <w:t>Consolidated Statements of Stockholders’ Equity for the Three and Nine Months Ended September 30, 2020</w:t>
              </w:r>
            </w:hyperlink>
          </w:p>
        </w:tc>
      </w:tr>
      <w:tr>
        <w:trPr>
          <w:trHeight w:val="304"/>
        </w:trPr>
        <w:tc>
          <w:tcPr>
            <w:tcW w:w="1300" w:type="dxa"/>
            <w:vAlign w:val="bottom"/>
          </w:tcPr>
          <w:p>
            <w:pPr>
              <w:spacing w:after="0"/>
              <w:rPr>
                <w:sz w:val="24"/>
                <w:szCs w:val="24"/>
                <w:color w:val="auto"/>
              </w:rPr>
            </w:pPr>
          </w:p>
        </w:tc>
        <w:tc>
          <w:tcPr>
            <w:tcW w:w="7780" w:type="dxa"/>
            <w:vAlign w:val="bottom"/>
            <w:tcBorders>
              <w:top w:val="single" w:sz="8" w:color="0000FF"/>
            </w:tcBorders>
            <w:gridSpan w:val="18"/>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Consolidated Statements of Cash Flows for the Nine Months Ended September 30, 2021 and 2020</w:t>
              </w:r>
            </w:hyperlink>
          </w:p>
        </w:tc>
        <w:tc>
          <w:tcPr>
            <w:tcW w:w="48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41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the Unaudited Consolidated Financial Statements</w:t>
              </w:r>
            </w:hyperlink>
          </w:p>
        </w:tc>
        <w:tc>
          <w:tcPr>
            <w:tcW w:w="2860" w:type="dxa"/>
            <w:vAlign w:val="bottom"/>
            <w:tcBorders>
              <w:top w:val="single" w:sz="8" w:color="0000FF"/>
            </w:tcBorders>
            <w:gridSpan w:val="5"/>
          </w:tcPr>
          <w:p>
            <w:pPr>
              <w:spacing w:after="0"/>
              <w:rPr>
                <w:sz w:val="24"/>
                <w:szCs w:val="24"/>
                <w:color w:val="auto"/>
              </w:rPr>
            </w:pPr>
          </w:p>
        </w:tc>
        <w:tc>
          <w:tcPr>
            <w:tcW w:w="1220" w:type="dxa"/>
            <w:vAlign w:val="bottom"/>
            <w:gridSpan w:val="4"/>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8260" w:type="dxa"/>
            <w:vAlign w:val="bottom"/>
            <w:gridSpan w:val="2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r>
      <w:tr>
        <w:trPr>
          <w:trHeight w:val="304"/>
        </w:trPr>
        <w:tc>
          <w:tcPr>
            <w:tcW w:w="1300" w:type="dxa"/>
            <w:vAlign w:val="bottom"/>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43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1840" w:type="dxa"/>
            <w:vAlign w:val="bottom"/>
            <w:gridSpan w:val="5"/>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826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Controls and Procedures</w:t>
              </w:r>
            </w:hyperlink>
          </w:p>
        </w:tc>
      </w:tr>
      <w:tr>
        <w:trPr>
          <w:trHeight w:val="614"/>
        </w:trPr>
        <w:tc>
          <w:tcPr>
            <w:tcW w:w="13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11"/>
          </w:tcPr>
          <w:p>
            <w:pPr>
              <w:jc w:val="center"/>
              <w:ind w:right="2080"/>
              <w:spacing w:after="0"/>
              <w:rPr>
                <w:sz w:val="20"/>
                <w:szCs w:val="20"/>
                <w:color w:val="auto"/>
              </w:rPr>
            </w:pPr>
            <w:r>
              <w:rPr>
                <w:rFonts w:ascii="Arial" w:cs="Arial" w:eastAsia="Arial" w:hAnsi="Arial"/>
                <w:sz w:val="18"/>
                <w:szCs w:val="18"/>
                <w:b w:val="1"/>
                <w:bCs w:val="1"/>
                <w:color w:val="auto"/>
              </w:rPr>
              <w:t>PART II. OTHER INFORMATION</w:t>
            </w:r>
          </w:p>
        </w:tc>
      </w:tr>
      <w:tr>
        <w:trPr>
          <w:trHeight w:val="459"/>
        </w:trPr>
        <w:tc>
          <w:tcPr>
            <w:tcW w:w="1300" w:type="dxa"/>
            <w:vAlign w:val="bottom"/>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1.</w:t>
              </w:r>
            </w:hyperlink>
          </w:p>
        </w:tc>
        <w:tc>
          <w:tcPr>
            <w:tcW w:w="8260" w:type="dxa"/>
            <w:vAlign w:val="bottom"/>
            <w:gridSpan w:val="20"/>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r>
      <w:tr>
        <w:trPr>
          <w:trHeight w:val="304"/>
        </w:trPr>
        <w:tc>
          <w:tcPr>
            <w:tcW w:w="1300" w:type="dxa"/>
            <w:vAlign w:val="bottom"/>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1A.</w:t>
              </w:r>
            </w:hyperlink>
          </w:p>
        </w:tc>
        <w:tc>
          <w:tcPr>
            <w:tcW w:w="8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Risk Factors</w:t>
              </w:r>
            </w:hyperlink>
          </w:p>
        </w:tc>
        <w:tc>
          <w:tcPr>
            <w:tcW w:w="420" w:type="dxa"/>
            <w:vAlign w:val="bottom"/>
            <w:tcBorders>
              <w:top w:val="single" w:sz="8" w:color="0000FF"/>
            </w:tcBorders>
            <w:gridSpan w:val="3"/>
          </w:tcPr>
          <w:p>
            <w:pPr>
              <w:spacing w:after="0"/>
              <w:rPr>
                <w:sz w:val="24"/>
                <w:szCs w:val="24"/>
                <w:color w:val="auto"/>
              </w:rPr>
            </w:pPr>
          </w:p>
        </w:tc>
        <w:tc>
          <w:tcPr>
            <w:tcW w:w="6960" w:type="dxa"/>
            <w:vAlign w:val="bottom"/>
            <w:gridSpan w:val="14"/>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2.</w:t>
              </w:r>
            </w:hyperlink>
          </w:p>
        </w:tc>
        <w:tc>
          <w:tcPr>
            <w:tcW w:w="43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73">
              <w:r>
                <w:rPr>
                  <w:rFonts w:ascii="Arial" w:cs="Arial" w:eastAsia="Arial" w:hAnsi="Arial"/>
                  <w:sz w:val="18"/>
                  <w:szCs w:val="18"/>
                  <w:color w:val="0000FF"/>
                  <w:w w:val="88"/>
                </w:rPr>
                <w:t>Unregistered Sales of Equity Securities and Use of Proceeds</w:t>
              </w:r>
            </w:hyperlink>
          </w:p>
        </w:tc>
        <w:tc>
          <w:tcPr>
            <w:tcW w:w="3940" w:type="dxa"/>
            <w:vAlign w:val="bottom"/>
            <w:gridSpan w:val="8"/>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3.</w:t>
              </w:r>
            </w:hyperlink>
          </w:p>
        </w:tc>
        <w:tc>
          <w:tcPr>
            <w:tcW w:w="23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Defaults Upon Senior Securities</w:t>
              </w:r>
            </w:hyperlink>
          </w:p>
        </w:tc>
        <w:tc>
          <w:tcPr>
            <w:tcW w:w="5960" w:type="dxa"/>
            <w:vAlign w:val="bottom"/>
            <w:gridSpan w:val="11"/>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Item 4.</w:t>
              </w:r>
            </w:hyperlink>
          </w:p>
        </w:tc>
        <w:tc>
          <w:tcPr>
            <w:tcW w:w="17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Mine Safety Disclosures</w:t>
              </w:r>
            </w:hyperlink>
          </w:p>
        </w:tc>
        <w:tc>
          <w:tcPr>
            <w:tcW w:w="6520" w:type="dxa"/>
            <w:vAlign w:val="bottom"/>
            <w:gridSpan w:val="12"/>
          </w:tcPr>
          <w:p>
            <w:pPr>
              <w:spacing w:after="0"/>
              <w:rPr>
                <w:sz w:val="24"/>
                <w:szCs w:val="24"/>
                <w:color w:val="auto"/>
              </w:rPr>
            </w:pPr>
          </w:p>
        </w:tc>
      </w:tr>
      <w:tr>
        <w:trPr>
          <w:trHeight w:val="304"/>
        </w:trPr>
        <w:tc>
          <w:tcPr>
            <w:tcW w:w="1300" w:type="dxa"/>
            <w:vAlign w:val="bottom"/>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5.</w:t>
              </w:r>
            </w:hyperlink>
          </w:p>
        </w:tc>
        <w:tc>
          <w:tcPr>
            <w:tcW w:w="8260" w:type="dxa"/>
            <w:vAlign w:val="bottom"/>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r>
      <w:tr>
        <w:trPr>
          <w:trHeight w:val="304"/>
        </w:trPr>
        <w:tc>
          <w:tcPr>
            <w:tcW w:w="1300" w:type="dxa"/>
            <w:vAlign w:val="bottom"/>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6.</w:t>
              </w:r>
            </w:hyperlink>
          </w:p>
        </w:tc>
        <w:tc>
          <w:tcPr>
            <w:tcW w:w="1280" w:type="dxa"/>
            <w:vAlign w:val="bottom"/>
            <w:tcBorders>
              <w:top w:val="single" w:sz="8" w:color="0000FF"/>
            </w:tcBorders>
            <w:gridSpan w:val="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Exhibits</w:t>
              </w:r>
            </w:hyperlink>
          </w:p>
        </w:tc>
        <w:tc>
          <w:tcPr>
            <w:tcW w:w="6980" w:type="dxa"/>
            <w:vAlign w:val="bottom"/>
            <w:gridSpan w:val="15"/>
          </w:tcPr>
          <w:p>
            <w:pPr>
              <w:spacing w:after="0"/>
              <w:rPr>
                <w:sz w:val="24"/>
                <w:szCs w:val="24"/>
                <w:color w:val="auto"/>
              </w:rPr>
            </w:pPr>
          </w:p>
        </w:tc>
      </w:tr>
      <w:tr>
        <w:trPr>
          <w:trHeight w:val="20"/>
        </w:trPr>
        <w:tc>
          <w:tcPr>
            <w:tcW w:w="13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r>
      <w:tr>
        <w:trPr>
          <w:trHeight w:val="304"/>
        </w:trPr>
        <w:tc>
          <w:tcPr>
            <w:tcW w:w="1300" w:type="dxa"/>
            <w:vAlign w:val="bottom"/>
          </w:tcPr>
          <w:p>
            <w:pPr>
              <w:spacing w:after="0"/>
              <w:rPr>
                <w:sz w:val="24"/>
                <w:szCs w:val="24"/>
                <w:color w:val="auto"/>
              </w:rPr>
            </w:pPr>
          </w:p>
        </w:tc>
        <w:tc>
          <w:tcPr>
            <w:tcW w:w="1000" w:type="dxa"/>
            <w:vAlign w:val="bottom"/>
            <w:tcBorders>
              <w:bottom w:val="single" w:sz="8" w:color="0000FF"/>
            </w:tcBorders>
            <w:gridSpan w:val="4"/>
          </w:tcPr>
          <w:p>
            <w:pPr>
              <w:spacing w:after="0"/>
              <w:rPr>
                <w:rFonts w:ascii="Arial" w:cs="Arial" w:eastAsia="Arial" w:hAnsi="Arial"/>
                <w:sz w:val="18"/>
                <w:szCs w:val="18"/>
                <w:color w:val="0000FF"/>
                <w:w w:val="95"/>
              </w:rPr>
            </w:pPr>
            <w:hyperlink w:anchor="page74">
              <w:r>
                <w:rPr>
                  <w:rFonts w:ascii="Arial" w:cs="Arial" w:eastAsia="Arial" w:hAnsi="Arial"/>
                  <w:sz w:val="18"/>
                  <w:szCs w:val="18"/>
                  <w:color w:val="0000FF"/>
                  <w:w w:val="95"/>
                </w:rPr>
                <w:t>Exhibit Index</w:t>
              </w:r>
            </w:hyperlink>
          </w:p>
        </w:tc>
        <w:tc>
          <w:tcPr>
            <w:tcW w:w="7260" w:type="dxa"/>
            <w:vAlign w:val="bottom"/>
            <w:gridSpan w:val="16"/>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8260" w:type="dxa"/>
            <w:vAlign w:val="bottom"/>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Signatures</w:t>
              </w:r>
            </w:hyperlink>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673100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-4431030</wp:posOffset>
            </wp:positionV>
            <wp:extent cx="711517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-4019550</wp:posOffset>
            </wp:positionV>
            <wp:extent cx="711517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16865"/>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-3496945</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-3085465</wp:posOffset>
            </wp:positionV>
            <wp:extent cx="71151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-2673985</wp:posOffset>
            </wp:positionV>
            <wp:extent cx="711517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-2262505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-1945005</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-1567815</wp:posOffset>
            </wp:positionV>
            <wp:extent cx="711517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-1156970</wp:posOffset>
            </wp:positionV>
            <wp:extent cx="711517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-745490</wp:posOffset>
            </wp:positionV>
            <wp:extent cx="711517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-334010</wp:posOffset>
            </wp:positionV>
            <wp:extent cx="711517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36830</wp:posOffset>
            </wp:positionV>
            <wp:extent cx="840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p>
      <w:pPr>
        <w:spacing w:after="0" w:line="293" w:lineRule="exact"/>
        <w:rPr>
          <w:sz w:val="20"/>
          <w:szCs w:val="20"/>
          <w:color w:val="auto"/>
        </w:rPr>
      </w:pPr>
    </w:p>
    <w:p>
      <w:pPr>
        <w:ind w:left="44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p>
      <w:pPr>
        <w:spacing w:after="0" w:line="117" w:lineRule="exact"/>
        <w:rPr>
          <w:sz w:val="20"/>
          <w:szCs w:val="20"/>
          <w:color w:val="auto"/>
        </w:rPr>
      </w:pPr>
    </w:p>
    <w:p>
      <w:pPr>
        <w:ind w:left="4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4">
        <w:r>
          <w:rPr>
            <w:rFonts w:ascii="Arial" w:cs="Arial" w:eastAsia="Arial" w:hAnsi="Arial"/>
            <w:sz w:val="18"/>
            <w:szCs w:val="18"/>
            <w:color w:val="0000FF"/>
          </w:rPr>
          <w:t>71</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74">
        <w:r>
          <w:rPr>
            <w:rFonts w:ascii="Arial" w:cs="Arial" w:eastAsia="Arial" w:hAnsi="Arial"/>
            <w:sz w:val="18"/>
            <w:szCs w:val="18"/>
            <w:color w:val="0000FF"/>
          </w:rPr>
          <w:t>72</w:t>
        </w:r>
      </w:hyperlink>
    </w:p>
    <w:p>
      <w:pPr>
        <w:sectPr>
          <w:pgSz w:w="11900" w:h="16838" w:orient="portrait"/>
          <w:cols w:equalWidth="0" w:num="2">
            <w:col w:w="9540" w:space="460"/>
            <w:col w:w="980"/>
          </w:cols>
          <w:pgMar w:left="400" w:top="895" w:right="51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53"/>
        </w:trPr>
        <w:tc>
          <w:tcPr>
            <w:tcW w:w="7980" w:type="dxa"/>
            <w:vAlign w:val="bottom"/>
          </w:tcPr>
          <w:p>
            <w:pPr>
              <w:ind w:left="53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336,328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 collaborative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Short-term restricted cash</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4"/>
        </w:trPr>
        <w:tc>
          <w:tcPr>
            <w:tcW w:w="7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80" w:type="dxa"/>
            <w:vAlign w:val="bottom"/>
          </w:tcPr>
          <w:p>
            <w:pPr>
              <w:ind w:left="20"/>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September 30, 2021</w:t>
            </w:r>
          </w:p>
        </w:tc>
        <w:tc>
          <w:tcPr>
            <w:tcW w:w="140" w:type="dxa"/>
            <w:vAlign w:val="bottom"/>
          </w:tcPr>
          <w:p>
            <w:pPr>
              <w:spacing w:after="0"/>
              <w:rPr>
                <w:sz w:val="15"/>
                <w:szCs w:val="15"/>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and December 31, 2020, respectively</w:t>
            </w:r>
          </w:p>
        </w:tc>
        <w:tc>
          <w:tcPr>
            <w:tcW w:w="1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$0.001 par value, 500,000 shares authorized, 27,454 shares and 27,356 shares issued and outstanding at</w:t>
            </w: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30, 2021 and December 31, 2020, respectively</w:t>
            </w: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Additional paid in capital</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672,996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383,608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7"/>
        </w:trPr>
        <w:tc>
          <w:tcPr>
            <w:tcW w:w="798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20,890</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62,164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71,720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58,458</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16,101</w:t>
            </w:r>
          </w:p>
        </w:tc>
        <w:tc>
          <w:tcPr>
            <w:tcW w:w="1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13,766</w:t>
            </w:r>
          </w:p>
        </w:tc>
        <w:tc>
          <w:tcPr>
            <w:tcW w:w="0" w:type="dxa"/>
            <w:vAlign w:val="bottom"/>
          </w:tcPr>
          <w:p>
            <w:pPr>
              <w:spacing w:after="0"/>
              <w:rPr>
                <w:sz w:val="1"/>
                <w:szCs w:val="1"/>
                <w:color w:val="auto"/>
              </w:rPr>
            </w:pPr>
          </w:p>
        </w:tc>
      </w:tr>
      <w:tr>
        <w:trPr>
          <w:trHeight w:val="212"/>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27,653</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24,336</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87,821</w:t>
            </w:r>
          </w:p>
        </w:tc>
        <w:tc>
          <w:tcPr>
            <w:tcW w:w="1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72,224</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(6,763)</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(24,336)</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(25,657)</w:t>
            </w:r>
          </w:p>
        </w:tc>
        <w:tc>
          <w:tcPr>
            <w:tcW w:w="1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(57,224)</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3,583</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(6,666)</w:t>
            </w: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(53,577)</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FF0FC"/>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(6,690)</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(24,261)</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(25,454)</w:t>
            </w: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(53,656)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27,436</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27,316</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27,397</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27,286</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120" w:type="dxa"/>
            <w:vAlign w:val="bottom"/>
            <w:gridSpan w:val="2"/>
          </w:tcPr>
          <w:p>
            <w:pPr>
              <w:jc w:val="center"/>
              <w:ind w:right="340"/>
              <w:spacing w:after="0" w:line="81" w:lineRule="exact"/>
              <w:rPr>
                <w:sz w:val="20"/>
                <w:szCs w:val="20"/>
                <w:color w:val="auto"/>
              </w:rPr>
            </w:pPr>
            <w:r>
              <w:rPr>
                <w:rFonts w:ascii="Arial" w:cs="Arial" w:eastAsia="Arial" w:hAnsi="Arial"/>
                <w:sz w:val="9"/>
                <w:szCs w:val="9"/>
                <w:b w:val="1"/>
                <w:bCs w:val="1"/>
                <w:color w:val="auto"/>
              </w:rPr>
              <w:t>Paid-in</w:t>
            </w:r>
          </w:p>
        </w:tc>
        <w:tc>
          <w:tcPr>
            <w:tcW w:w="120" w:type="dxa"/>
            <w:vAlign w:val="bottom"/>
          </w:tcPr>
          <w:p>
            <w:pPr>
              <w:spacing w:after="0"/>
              <w:rPr>
                <w:sz w:val="7"/>
                <w:szCs w:val="7"/>
                <w:color w:val="auto"/>
              </w:rPr>
            </w:pPr>
          </w:p>
        </w:tc>
        <w:tc>
          <w:tcPr>
            <w:tcW w:w="122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Accumulated Other</w:t>
            </w:r>
          </w:p>
        </w:tc>
        <w:tc>
          <w:tcPr>
            <w:tcW w:w="200" w:type="dxa"/>
            <w:vAlign w:val="bottom"/>
          </w:tcPr>
          <w:p>
            <w:pPr>
              <w:spacing w:after="0"/>
              <w:rPr>
                <w:sz w:val="7"/>
                <w:szCs w:val="7"/>
                <w:color w:val="auto"/>
              </w:rPr>
            </w:pPr>
          </w:p>
        </w:tc>
        <w:tc>
          <w:tcPr>
            <w:tcW w:w="114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40" w:type="dxa"/>
            <w:vAlign w:val="bottom"/>
          </w:tcPr>
          <w:p>
            <w:pPr>
              <w:jc w:val="center"/>
              <w:ind w:right="139"/>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Comprehensive Loss</w:t>
            </w:r>
          </w:p>
        </w:tc>
        <w:tc>
          <w:tcPr>
            <w:tcW w:w="200" w:type="dxa"/>
            <w:vAlign w:val="bottom"/>
          </w:tcPr>
          <w:p>
            <w:pPr>
              <w:spacing w:after="0"/>
              <w:rPr>
                <w:sz w:val="12"/>
                <w:szCs w:val="12"/>
                <w:color w:val="auto"/>
              </w:rPr>
            </w:pPr>
          </w:p>
        </w:tc>
        <w:tc>
          <w:tcPr>
            <w:tcW w:w="114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040" w:type="dxa"/>
            <w:vAlign w:val="bottom"/>
          </w:tcPr>
          <w:p>
            <w:pPr>
              <w:jc w:val="center"/>
              <w:ind w:right="139"/>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660,665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(263,957)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396,731</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3,315</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(18,163)</w:t>
            </w:r>
          </w:p>
        </w:tc>
        <w:tc>
          <w:tcPr>
            <w:tcW w:w="0" w:type="dxa"/>
            <w:vAlign w:val="bottom"/>
          </w:tcPr>
          <w:p>
            <w:pPr>
              <w:spacing w:after="0"/>
              <w:rPr>
                <w:sz w:val="1"/>
                <w:szCs w:val="1"/>
                <w:color w:val="auto"/>
              </w:rPr>
            </w:pPr>
          </w:p>
        </w:tc>
      </w:tr>
      <w:tr>
        <w:trPr>
          <w:trHeight w:val="163"/>
        </w:trPr>
        <w:tc>
          <w:tcPr>
            <w:tcW w:w="4140" w:type="dxa"/>
            <w:vAlign w:val="bottom"/>
            <w:tcBorders>
              <w:bottom w:val="single" w:sz="8" w:color="CFF0FC"/>
            </w:tcBorders>
          </w:tcPr>
          <w:p>
            <w:pPr>
              <w:ind w:left="20"/>
              <w:spacing w:after="0" w:line="144" w:lineRule="exact"/>
              <w:rPr>
                <w:sz w:val="20"/>
                <w:szCs w:val="20"/>
                <w:color w:val="auto"/>
              </w:rPr>
            </w:pPr>
            <w:r>
              <w:rPr>
                <w:rFonts w:ascii="Arial" w:cs="Arial" w:eastAsia="Arial" w:hAnsi="Arial"/>
                <w:sz w:val="13"/>
                <w:szCs w:val="13"/>
                <w:b w:val="1"/>
                <w:bCs w:val="1"/>
                <w:color w:val="auto"/>
              </w:rPr>
              <w:t>Balance,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27,367</w:t>
            </w:r>
          </w:p>
        </w:tc>
        <w:tc>
          <w:tcPr>
            <w:tcW w:w="10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664,147</w:t>
            </w:r>
          </w:p>
        </w:tc>
        <w:tc>
          <w:tcPr>
            <w:tcW w:w="12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(282,120)</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381,943</w:t>
            </w:r>
          </w:p>
        </w:tc>
        <w:tc>
          <w:tcPr>
            <w:tcW w:w="0" w:type="dxa"/>
            <w:vAlign w:val="bottom"/>
          </w:tcPr>
          <w:p>
            <w:pPr>
              <w:spacing w:after="0"/>
              <w:rPr>
                <w:sz w:val="1"/>
                <w:szCs w:val="1"/>
                <w:color w:val="auto"/>
              </w:rPr>
            </w:pPr>
          </w:p>
        </w:tc>
      </w:tr>
      <w:tr>
        <w:trPr>
          <w:trHeight w:val="176"/>
        </w:trPr>
        <w:tc>
          <w:tcPr>
            <w:tcW w:w="4140" w:type="dxa"/>
            <w:vAlign w:val="bottom"/>
            <w:shd w:val="clear" w:color="auto" w:fill="CFF0FC"/>
          </w:tcPr>
          <w:p>
            <w:pPr>
              <w:ind w:left="20"/>
              <w:spacing w:after="0" w:line="147"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3,690</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9"/>
        </w:trPr>
        <w:tc>
          <w:tcPr>
            <w:tcW w:w="4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76"/>
        </w:trPr>
        <w:tc>
          <w:tcPr>
            <w:tcW w:w="41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27,433</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668,429</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(282,549)</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385,731</w:t>
            </w:r>
          </w:p>
        </w:tc>
        <w:tc>
          <w:tcPr>
            <w:tcW w:w="0" w:type="dxa"/>
            <w:vAlign w:val="bottom"/>
          </w:tcPr>
          <w:p>
            <w:pPr>
              <w:spacing w:after="0"/>
              <w:rPr>
                <w:sz w:val="1"/>
                <w:szCs w:val="1"/>
                <w:color w:val="auto"/>
              </w:rPr>
            </w:pPr>
          </w:p>
        </w:tc>
      </w:tr>
      <w:tr>
        <w:trPr>
          <w:trHeight w:val="161"/>
        </w:trPr>
        <w:tc>
          <w:tcPr>
            <w:tcW w:w="4140" w:type="dxa"/>
            <w:vAlign w:val="bottom"/>
          </w:tcPr>
          <w:p>
            <w:pPr>
              <w:ind w:left="20"/>
              <w:spacing w:after="0" w:line="141"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ind w:left="9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4,364</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3"/>
        </w:trPr>
        <w:tc>
          <w:tcPr>
            <w:tcW w:w="4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ind w:left="9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(6,666)</w:t>
            </w:r>
          </w:p>
        </w:tc>
        <w:tc>
          <w:tcPr>
            <w:tcW w:w="0" w:type="dxa"/>
            <w:vAlign w:val="bottom"/>
          </w:tcPr>
          <w:p>
            <w:pPr>
              <w:spacing w:after="0"/>
              <w:rPr>
                <w:sz w:val="1"/>
                <w:szCs w:val="1"/>
                <w:color w:val="auto"/>
              </w:rPr>
            </w:pPr>
          </w:p>
        </w:tc>
      </w:tr>
      <w:tr>
        <w:trPr>
          <w:trHeight w:val="163"/>
        </w:trPr>
        <w:tc>
          <w:tcPr>
            <w:tcW w:w="414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27,454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672,996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(289,215)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383,608</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7"/>
                <w:szCs w:val="7"/>
                <w:color w:val="auto"/>
              </w:rPr>
            </w:pPr>
          </w:p>
        </w:tc>
        <w:tc>
          <w:tcPr>
            <w:tcW w:w="124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Comprehensive (Loss)</w:t>
            </w:r>
          </w:p>
        </w:tc>
        <w:tc>
          <w:tcPr>
            <w:tcW w:w="180" w:type="dxa"/>
            <w:vAlign w:val="bottom"/>
          </w:tcPr>
          <w:p>
            <w:pPr>
              <w:spacing w:after="0"/>
              <w:rPr>
                <w:sz w:val="7"/>
                <w:szCs w:val="7"/>
                <w:color w:val="auto"/>
              </w:rPr>
            </w:pPr>
          </w:p>
        </w:tc>
        <w:tc>
          <w:tcPr>
            <w:tcW w:w="110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1020" w:type="dxa"/>
            <w:vAlign w:val="bottom"/>
          </w:tcPr>
          <w:p>
            <w:pPr>
              <w:jc w:val="center"/>
              <w:ind w:right="139"/>
              <w:spacing w:after="0" w:line="81"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2"/>
                <w:szCs w:val="12"/>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020" w:type="dxa"/>
            <w:vAlign w:val="bottom"/>
          </w:tcPr>
          <w:p>
            <w:pPr>
              <w:jc w:val="center"/>
              <w:ind w:right="139"/>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Balance,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27,255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648,669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(244,026)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405,008</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2,975</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Comprehensive income,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63"/>
        </w:trPr>
        <w:tc>
          <w:tcPr>
            <w:tcW w:w="4160" w:type="dxa"/>
            <w:vAlign w:val="bottom"/>
            <w:tcBorders>
              <w:bottom w:val="single" w:sz="8" w:color="CFF0FC"/>
            </w:tcBorders>
          </w:tcPr>
          <w:p>
            <w:pPr>
              <w:ind w:left="20"/>
              <w:spacing w:after="0" w:line="144" w:lineRule="exact"/>
              <w:rPr>
                <w:sz w:val="20"/>
                <w:szCs w:val="20"/>
                <w:color w:val="auto"/>
              </w:rPr>
            </w:pPr>
            <w:r>
              <w:rPr>
                <w:rFonts w:ascii="Arial" w:cs="Arial" w:eastAsia="Arial" w:hAnsi="Arial"/>
                <w:sz w:val="13"/>
                <w:szCs w:val="13"/>
                <w:b w:val="1"/>
                <w:bCs w:val="1"/>
                <w:color w:val="auto"/>
              </w:rPr>
              <w:t>Balance,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27,277</w:t>
            </w: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651,680</w:t>
            </w:r>
          </w:p>
        </w:tc>
        <w:tc>
          <w:tcPr>
            <w:tcW w:w="10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1,145</w:t>
            </w:r>
          </w:p>
        </w:tc>
        <w:tc>
          <w:tcPr>
            <w:tcW w:w="12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(252,288)</w:t>
            </w:r>
          </w:p>
        </w:tc>
        <w:tc>
          <w:tcPr>
            <w:tcW w:w="1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400,564</w:t>
            </w: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line="147"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 net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69"/>
        </w:trPr>
        <w:tc>
          <w:tcPr>
            <w:tcW w:w="4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(21,548)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(21,548)</w:t>
            </w:r>
          </w:p>
        </w:tc>
        <w:tc>
          <w:tcPr>
            <w:tcW w:w="0" w:type="dxa"/>
            <w:vAlign w:val="bottom"/>
          </w:tcPr>
          <w:p>
            <w:pPr>
              <w:spacing w:after="0"/>
              <w:rPr>
                <w:sz w:val="1"/>
                <w:szCs w:val="1"/>
                <w:color w:val="auto"/>
              </w:rPr>
            </w:pPr>
          </w:p>
        </w:tc>
      </w:tr>
      <w:tr>
        <w:trPr>
          <w:trHeight w:val="175"/>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27,287</w:t>
            </w: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654,492</w:t>
            </w: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753</w:t>
            </w: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(273,836)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381,436</w:t>
            </w:r>
          </w:p>
        </w:tc>
        <w:tc>
          <w:tcPr>
            <w:tcW w:w="0" w:type="dxa"/>
            <w:vAlign w:val="bottom"/>
          </w:tcPr>
          <w:p>
            <w:pPr>
              <w:spacing w:after="0"/>
              <w:rPr>
                <w:sz w:val="1"/>
                <w:szCs w:val="1"/>
                <w:color w:val="auto"/>
              </w:rPr>
            </w:pPr>
          </w:p>
        </w:tc>
      </w:tr>
      <w:tr>
        <w:trPr>
          <w:trHeight w:val="161"/>
        </w:trPr>
        <w:tc>
          <w:tcPr>
            <w:tcW w:w="4160" w:type="dxa"/>
            <w:vAlign w:val="bottom"/>
          </w:tcPr>
          <w:p>
            <w:pPr>
              <w:ind w:left="20"/>
              <w:spacing w:after="0" w:line="141" w:lineRule="exact"/>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2,805</w:t>
            </w:r>
          </w:p>
        </w:tc>
        <w:tc>
          <w:tcPr>
            <w:tcW w:w="0" w:type="dxa"/>
            <w:vAlign w:val="bottom"/>
          </w:tcPr>
          <w:p>
            <w:pPr>
              <w:spacing w:after="0"/>
              <w:rPr>
                <w:sz w:val="1"/>
                <w:szCs w:val="1"/>
                <w:color w:val="auto"/>
              </w:rPr>
            </w:pP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Comprehensive loss, net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(23,767)</w:t>
            </w:r>
          </w:p>
        </w:tc>
        <w:tc>
          <w:tcPr>
            <w:tcW w:w="0" w:type="dxa"/>
            <w:vAlign w:val="bottom"/>
          </w:tcPr>
          <w:p>
            <w:pPr>
              <w:spacing w:after="0"/>
              <w:rPr>
                <w:sz w:val="1"/>
                <w:szCs w:val="1"/>
                <w:color w:val="auto"/>
              </w:rPr>
            </w:pPr>
          </w:p>
        </w:tc>
      </w:tr>
      <w:tr>
        <w:trPr>
          <w:trHeight w:val="163"/>
        </w:trPr>
        <w:tc>
          <w:tcPr>
            <w:tcW w:w="416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657,560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(297,603)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360,243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Nine Months Ended</w:t>
      </w:r>
    </w:p>
    <w:p>
      <w:pPr>
        <w:jc w:val="center"/>
        <w:ind w:left="77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(53,577)</w:t>
            </w:r>
          </w:p>
        </w:tc>
        <w:tc>
          <w:tcPr>
            <w:tcW w:w="0" w:type="dxa"/>
            <w:vAlign w:val="bottom"/>
          </w:tcPr>
          <w:p>
            <w:pPr>
              <w:spacing w:after="0"/>
              <w:rPr>
                <w:sz w:val="1"/>
                <w:szCs w:val="1"/>
                <w:color w:val="auto"/>
              </w:rPr>
            </w:pPr>
          </w:p>
        </w:tc>
      </w:tr>
      <w:tr>
        <w:trPr>
          <w:trHeight w:val="23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8,521</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right-of-use assets – operating</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3"/>
        </w:trPr>
        <w:tc>
          <w:tcPr>
            <w:tcW w:w="7780" w:type="dxa"/>
            <w:vAlign w:val="bottom"/>
          </w:tcPr>
          <w:p>
            <w:pPr>
              <w:ind w:left="260"/>
              <w:spacing w:after="0"/>
              <w:rPr>
                <w:sz w:val="20"/>
                <w:szCs w:val="20"/>
                <w:color w:val="auto"/>
              </w:rPr>
            </w:pPr>
            <w:r>
              <w:rPr>
                <w:rFonts w:ascii="Arial" w:cs="Arial" w:eastAsia="Arial" w:hAnsi="Arial"/>
                <w:sz w:val="16"/>
                <w:szCs w:val="16"/>
                <w:color w:val="auto"/>
              </w:rPr>
              <w:t>Gain on disposal of property and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Receivables from collaborative partners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213"/>
        </w:trPr>
        <w:tc>
          <w:tcPr>
            <w:tcW w:w="778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520"/>
              <w:spacing w:after="0"/>
              <w:rPr>
                <w:sz w:val="20"/>
                <w:szCs w:val="20"/>
                <w:color w:val="auto"/>
              </w:rPr>
            </w:pPr>
            <w:r>
              <w:rPr>
                <w:rFonts w:ascii="Arial" w:cs="Arial" w:eastAsia="Arial" w:hAnsi="Arial"/>
                <w:sz w:val="16"/>
                <w:szCs w:val="16"/>
                <w:color w:val="auto"/>
              </w:rPr>
              <w:t>Operating lease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(20,619)</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(51,735)</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(26,482)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(156,572)</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 and maturities of investments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133,348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247,707</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the sale of property and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105,529</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90,877</w:t>
            </w:r>
          </w:p>
        </w:tc>
        <w:tc>
          <w:tcPr>
            <w:tcW w:w="0" w:type="dxa"/>
            <w:vAlign w:val="bottom"/>
          </w:tcPr>
          <w:p>
            <w:pPr>
              <w:spacing w:after="0"/>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notes payable</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77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increase in cash, cash equivalents, and restricted cash</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85,872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38,137</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250,516</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0" w:type="dxa"/>
            <w:vAlign w:val="bottom"/>
          </w:tcPr>
          <w:p>
            <w:pPr>
              <w:spacing w:after="0"/>
              <w:rPr>
                <w:sz w:val="1"/>
                <w:szCs w:val="1"/>
                <w:color w:val="auto"/>
              </w:rPr>
            </w:pPr>
          </w:p>
        </w:tc>
      </w:tr>
      <w:tr>
        <w:trPr>
          <w:trHeight w:val="234"/>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4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336,388</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209,214</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8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and royalties achieved under our collaborative research and development arrangements.</w:t>
      </w:r>
    </w:p>
    <w:p>
      <w:pPr>
        <w:spacing w:after="0" w:line="19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The accompanying consolidated financial statements do not include any adjustments that might be necessary if we are unable to continue as a going concern.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2020 financial information to conform to the current year presentation of other long-term assets, operating lease right-of-use, or “ROU” asset, and operating lease liabilities on the Consolidated Balance Sheets and Consolidated Statements of Cash Flows. Operating results for the nine months ended September 30, 2021 are not necessarily indicative of the results that may be expected for the year ending December 31, 2021. Interim results are not necessarily indicative of results for a full year, particularly in light of the novel coronavirus (“COVID-19”) pandemic, and its impact on domestic and global economies. To limit the spread of COVID-19, governments have taken various actions, including the issuance of stay-at-home orders and social distancing guidelines, which have resulted in some businesses suspending operations or experiencing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and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the COVID-19 pandemic on the costs and timing associated with the conduct of our clinical trials and other related business activities, to date there has not been any material delays in clinical operations. The financial statements should be read in conjunction with our audited financial statements for the year ended December 31, 2020 included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84"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84"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one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September 30, 2021, there have not been material differences between actual and estimated royalty revenues.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18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8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2,838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3,655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(4,771)</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7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tcPr>
          <w:p>
            <w:pPr>
              <w:ind w:left="380"/>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7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development and manufacturing expenses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GlaxoSmithKline Collaboration</w:t>
      </w:r>
    </w:p>
    <w:p>
      <w:pPr>
        <w:spacing w:after="0" w:line="117"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w:t>
      </w:r>
    </w:p>
    <w:p>
      <w:pPr>
        <w:spacing w:after="0" w:line="16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we determined that the upfront license fees and research funding under the GSK Agreement, as amended, should be accounted for as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through December 31, 2016. As a result, the period over which the unrecognized license fees and discovery milestones were recognized was extended through December 31, 2016 and have since been recognized in full.</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65" w:lineRule="exact"/>
        <w:rPr>
          <w:sz w:val="20"/>
          <w:szCs w:val="20"/>
          <w:color w:val="auto"/>
        </w:rPr>
      </w:pPr>
    </w:p>
    <w:p>
      <w:pPr>
        <w:ind w:right="180" w:firstLine="486"/>
        <w:spacing w:after="0" w:line="299"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 were granted increased royalties upon sales of JEMPERLI (dostarlimab), an anti-PD-1 antagonist antibody under development by GSK for multiple oncological disorders. The Amendment also provided for a one-time, non-refundable cash payment of $60.0 million that we received and recognized as revenue in the fourth quarter of 2020. GSK also agreed, starting January 1, 2021, to pay us a 1% royalty less third-party royalty deductions on all GSK net</w:t>
      </w:r>
    </w:p>
    <w:p>
      <w:pPr>
        <w:spacing w:after="0" w:line="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sales of Zejula. The $1.1 billion in cash milestone payments due under the GSK Agreement 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184" w:lineRule="exact"/>
        <w:rPr>
          <w:sz w:val="20"/>
          <w:szCs w:val="20"/>
          <w:color w:val="auto"/>
        </w:rPr>
      </w:pPr>
    </w:p>
    <w:p>
      <w:pPr>
        <w:jc w:val="both"/>
        <w:ind w:right="420" w:firstLine="486"/>
        <w:spacing w:after="0" w:line="311" w:lineRule="auto"/>
        <w:rPr>
          <w:sz w:val="20"/>
          <w:szCs w:val="20"/>
          <w:color w:val="auto"/>
        </w:rPr>
      </w:pPr>
      <w:r>
        <w:rPr>
          <w:rFonts w:ascii="Arial" w:cs="Arial" w:eastAsia="Arial" w:hAnsi="Arial"/>
          <w:sz w:val="16"/>
          <w:szCs w:val="16"/>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14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As of September 30, 2021, the transaction price for the GSK Agreement and Amendment includes the upfront payment, research reimbursement revenue, one-time payment associated with the Amendment, and milestones earned to date, which are allocated in their entirety to the single performance obligation.</w:t>
      </w:r>
    </w:p>
    <w:p>
      <w:pPr>
        <w:spacing w:after="0" w:line="184" w:lineRule="exact"/>
        <w:rPr>
          <w:sz w:val="20"/>
          <w:szCs w:val="20"/>
          <w:color w:val="auto"/>
        </w:rPr>
      </w:pPr>
    </w:p>
    <w:p>
      <w:pPr>
        <w:jc w:val="both"/>
        <w:ind w:right="180" w:firstLine="486"/>
        <w:spacing w:after="0" w:line="286" w:lineRule="auto"/>
        <w:rPr>
          <w:sz w:val="20"/>
          <w:szCs w:val="20"/>
          <w:color w:val="auto"/>
        </w:rPr>
      </w:pPr>
      <w:r>
        <w:rPr>
          <w:rFonts w:ascii="Arial" w:cs="Arial" w:eastAsia="Arial" w:hAnsi="Arial"/>
          <w:sz w:val="17"/>
          <w:szCs w:val="17"/>
          <w:color w:val="auto"/>
        </w:rPr>
        <w:t>We earned and recognized $0.9 million and $2.2 million in royalty revenue during the three and nine months ended September 30, 2021 related to GSK’s net sales of Zejula and JEMPERLI during the period based on estimates of GSK’s sales historical experience. GSK reports sales information to us on a one quarter lag and differences between actual and estimated royalty revenues will be adjusted in the following quarter.</w:t>
      </w:r>
    </w:p>
    <w:p>
      <w:pPr>
        <w:spacing w:after="0" w:line="16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earned and recognized four clinical milestones totaling $60.0 million during the nine months ended September 30, 2021.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recognized through September 30, 2021 under the GSK Agreement are as follows: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Anti-PD-1</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Anti-TIM-3</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460" w:type="dxa"/>
            <w:vAlign w:val="bottom"/>
            <w:gridSpan w:val="3"/>
          </w:tcPr>
          <w:p>
            <w:pPr>
              <w:ind w:left="360"/>
              <w:spacing w:after="0"/>
              <w:rPr>
                <w:sz w:val="20"/>
                <w:szCs w:val="20"/>
                <w:color w:val="auto"/>
              </w:rPr>
            </w:pPr>
            <w:r>
              <w:rPr>
                <w:rFonts w:ascii="Arial" w:cs="Arial" w:eastAsia="Arial" w:hAnsi="Arial"/>
                <w:sz w:val="14"/>
                <w:szCs w:val="14"/>
                <w:b w:val="1"/>
                <w:bCs w:val="1"/>
                <w:color w:val="auto"/>
              </w:rPr>
              <w:t>(JEMPERLI/Dostarlimab)</w:t>
            </w:r>
          </w:p>
        </w:tc>
        <w:tc>
          <w:tcPr>
            <w:tcW w:w="2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(GSK4069889A/Cobolimab)</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(GSK40974386)</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Milestone Event</w:t>
            </w:r>
          </w:p>
        </w:tc>
        <w:tc>
          <w:tcPr>
            <w:tcW w:w="86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Pr>
          <w:p>
            <w:pPr>
              <w:jc w:val="center"/>
              <w:ind w:left="248"/>
              <w:spacing w:after="0" w:line="129"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left="8"/>
              <w:spacing w:after="0" w:line="129"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3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Recognized</w:t>
            </w:r>
          </w:p>
        </w:tc>
        <w:tc>
          <w:tcPr>
            <w:tcW w:w="112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5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6"/>
              </w:rPr>
              <w:t xml:space="preserve">Initiated </w:t>
            </w:r>
            <w:r>
              <w:rPr>
                <w:rFonts w:ascii="Arial" w:cs="Arial" w:eastAsia="Arial" w:hAnsi="Arial"/>
                <w:sz w:val="14"/>
                <w:szCs w:val="14"/>
                <w:i w:val="1"/>
                <w:iCs w:val="1"/>
                <w:color w:val="auto"/>
                <w:w w:val="96"/>
              </w:rPr>
              <w:t>in vivo</w:t>
            </w:r>
            <w:r>
              <w:rPr>
                <w:rFonts w:ascii="Arial" w:cs="Arial" w:eastAsia="Arial" w:hAnsi="Arial"/>
                <w:sz w:val="14"/>
                <w:szCs w:val="14"/>
                <w:color w:val="auto"/>
                <w:w w:val="96"/>
              </w:rPr>
              <w:t xml:space="preserve"> toxicology studies using good laboratory practices</w:t>
            </w:r>
          </w:p>
        </w:tc>
        <w:tc>
          <w:tcPr>
            <w:tcW w:w="860" w:type="dxa"/>
            <w:vAlign w:val="bottom"/>
            <w:vMerge w:val="restart"/>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60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91"/>
              </w:rPr>
              <w:t>Q2'15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340" w:type="dxa"/>
            <w:vAlign w:val="bottom"/>
            <w:gridSpan w:val="2"/>
            <w:vMerge w:val="restart"/>
            <w:shd w:val="clear" w:color="auto" w:fill="CFF0FC"/>
          </w:tcPr>
          <w:p>
            <w:pPr>
              <w:jc w:val="center"/>
              <w:ind w:right="60"/>
              <w:spacing w:after="0"/>
              <w:rPr>
                <w:sz w:val="20"/>
                <w:szCs w:val="20"/>
                <w:color w:val="auto"/>
              </w:rPr>
            </w:pPr>
            <w:r>
              <w:rPr>
                <w:rFonts w:ascii="Arial" w:cs="Arial" w:eastAsia="Arial" w:hAnsi="Arial"/>
                <w:sz w:val="14"/>
                <w:szCs w:val="14"/>
                <w:color w:val="auto"/>
                <w:w w:val="97"/>
              </w:rPr>
              <w:t>Q4'15</w:t>
            </w: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(GLPs)</w:t>
            </w:r>
          </w:p>
        </w:tc>
        <w:tc>
          <w:tcPr>
            <w:tcW w:w="860" w:type="dxa"/>
            <w:vAlign w:val="bottom"/>
            <w:vMerge w:val="continue"/>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Q2'16</w:t>
            </w:r>
          </w:p>
        </w:tc>
        <w:tc>
          <w:tcPr>
            <w:tcW w:w="112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2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34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7"/>
              </w:rPr>
              <w:t>Q4'17</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Q3'18</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86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w w:val="91"/>
              </w:rPr>
              <w:t>Q2'19</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line="189" w:lineRule="exact"/>
              <w:rPr>
                <w:sz w:val="20"/>
                <w:szCs w:val="20"/>
                <w:color w:val="auto"/>
              </w:rPr>
            </w:pPr>
            <w:r>
              <w:rPr>
                <w:rFonts w:ascii="Arial" w:cs="Arial" w:eastAsia="Arial" w:hAnsi="Arial"/>
                <w:sz w:val="14"/>
                <w:szCs w:val="14"/>
                <w:color w:val="auto"/>
              </w:rPr>
              <w:t>Filing of the first BLA</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Filing of the first MAA</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7"/>
              </w:rPr>
              <w:t>$5.0M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Q1'20</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Filing of the first BLA - second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Q1'21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BLA approval - first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8"/>
              </w:rPr>
              <w:t>$20.0M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First MAA approval - first indication</w:t>
            </w:r>
          </w:p>
        </w:tc>
        <w:tc>
          <w:tcPr>
            <w:tcW w:w="860" w:type="dxa"/>
            <w:vAlign w:val="bottom"/>
          </w:tcPr>
          <w:p>
            <w:pPr>
              <w:jc w:val="center"/>
              <w:ind w:left="248"/>
              <w:spacing w:after="0"/>
              <w:rPr>
                <w:sz w:val="20"/>
                <w:szCs w:val="20"/>
                <w:color w:val="auto"/>
              </w:rPr>
            </w:pPr>
            <w:r>
              <w:rPr>
                <w:rFonts w:ascii="Arial" w:cs="Arial" w:eastAsia="Arial" w:hAnsi="Arial"/>
                <w:sz w:val="14"/>
                <w:szCs w:val="14"/>
                <w:color w:val="auto"/>
                <w:w w:val="98"/>
              </w:rPr>
              <w:t>$10.0M</w:t>
            </w:r>
          </w:p>
        </w:tc>
        <w:tc>
          <w:tcPr>
            <w:tcW w:w="160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Q2'21</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BLA approval - second indication</w:t>
            </w:r>
          </w:p>
        </w:tc>
        <w:tc>
          <w:tcPr>
            <w:tcW w:w="86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w w:val="98"/>
              </w:rPr>
              <w:t>$20.0M</w:t>
            </w:r>
          </w:p>
        </w:tc>
        <w:tc>
          <w:tcPr>
            <w:tcW w:w="160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1"/>
              </w:rPr>
              <w:t>Q3'21</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Biologics License Application (“BLA”)</w:t>
      </w:r>
    </w:p>
    <w:p>
      <w:pPr>
        <w:spacing w:after="0" w:line="4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Marketing Authorization Application (“MAA”)</w:t>
      </w:r>
    </w:p>
    <w:p>
      <w:pPr>
        <w:spacing w:after="0" w:line="20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recognized $20.9 million and $62.2 million in revenue under the GSK Agreement during the three and nine months ended September 30, 2021, respectively, and $0 and $15.0 million during the three and nine months ended September 30, 2020,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8" w:lineRule="exact"/>
        <w:rPr>
          <w:sz w:val="20"/>
          <w:szCs w:val="20"/>
          <w:color w:val="auto"/>
        </w:rPr>
      </w:pPr>
    </w:p>
    <w:p>
      <w:pPr>
        <w:jc w:val="both"/>
        <w:ind w:right="620" w:firstLine="486"/>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30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assessments, we identified all services to be interrelated, and therefore concluded that the promises should be combined into a single performance obligation at the inception the arrangement.</w:t>
      </w:r>
    </w:p>
    <w:p>
      <w:pPr>
        <w:spacing w:after="0" w:line="170"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As of September 30, 2021,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 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September 30, 2021 under the BMS Agreement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490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rPr>
              <w:t>Anti-PD-1</w:t>
            </w:r>
          </w:p>
        </w:tc>
        <w:tc>
          <w:tcPr>
            <w:tcW w:w="0" w:type="dxa"/>
            <w:vAlign w:val="bottom"/>
          </w:tcPr>
          <w:p>
            <w:pPr>
              <w:spacing w:after="0"/>
              <w:rPr>
                <w:sz w:val="1"/>
                <w:szCs w:val="1"/>
                <w:color w:val="auto"/>
              </w:rPr>
            </w:pPr>
          </w:p>
        </w:tc>
      </w:tr>
      <w:tr>
        <w:trPr>
          <w:trHeight w:val="188"/>
        </w:trPr>
        <w:tc>
          <w:tcPr>
            <w:tcW w:w="634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2"/>
          </w:tcPr>
          <w:p>
            <w:pPr>
              <w:jc w:val="center"/>
              <w:ind w:left="256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30"/>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760" w:type="dxa"/>
            <w:vAlign w:val="bottom"/>
            <w:vMerge w:val="restart"/>
          </w:tcPr>
          <w:p>
            <w:pPr>
              <w:jc w:val="center"/>
              <w:ind w:left="2668"/>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tcPr>
          <w:p>
            <w:pPr>
              <w:jc w:val="center"/>
              <w:ind w:left="8"/>
              <w:spacing w:after="0" w:line="130"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0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760" w:type="dxa"/>
            <w:vAlign w:val="bottom"/>
            <w:shd w:val="clear" w:color="auto" w:fill="CFF0FC"/>
          </w:tcPr>
          <w:p>
            <w:pPr>
              <w:jc w:val="center"/>
              <w:ind w:left="2668"/>
              <w:spacing w:after="0"/>
              <w:rPr>
                <w:sz w:val="20"/>
                <w:szCs w:val="20"/>
                <w:color w:val="auto"/>
              </w:rPr>
            </w:pPr>
            <w:r>
              <w:rPr>
                <w:rFonts w:ascii="Arial" w:cs="Arial" w:eastAsia="Arial" w:hAnsi="Arial"/>
                <w:sz w:val="14"/>
                <w:szCs w:val="14"/>
                <w:color w:val="auto"/>
                <w:w w:val="97"/>
              </w:rPr>
              <w:t>$0.5M</w:t>
            </w:r>
          </w:p>
        </w:tc>
        <w:tc>
          <w:tcPr>
            <w:tcW w:w="1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760" w:type="dxa"/>
            <w:vAlign w:val="bottom"/>
          </w:tcPr>
          <w:p>
            <w:pPr>
              <w:jc w:val="center"/>
              <w:ind w:left="2668"/>
              <w:spacing w:after="0"/>
              <w:rPr>
                <w:sz w:val="20"/>
                <w:szCs w:val="20"/>
                <w:color w:val="auto"/>
              </w:rPr>
            </w:pPr>
            <w:r>
              <w:rPr>
                <w:rFonts w:ascii="Arial" w:cs="Arial" w:eastAsia="Arial" w:hAnsi="Arial"/>
                <w:sz w:val="14"/>
                <w:szCs w:val="14"/>
                <w:color w:val="auto"/>
                <w:w w:val="97"/>
              </w:rPr>
              <w:t>$1.0M</w:t>
            </w:r>
          </w:p>
        </w:tc>
        <w:tc>
          <w:tcPr>
            <w:tcW w:w="1140" w:type="dxa"/>
            <w:vAlign w:val="bottom"/>
          </w:tcPr>
          <w:p>
            <w:pPr>
              <w:jc w:val="center"/>
              <w:ind w:left="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and nine months ended September 30, 2021 and 2020.</w:t>
      </w:r>
    </w:p>
    <w:p>
      <w:pPr>
        <w:spacing w:after="0" w:line="329" w:lineRule="exact"/>
        <w:rPr>
          <w:sz w:val="20"/>
          <w:szCs w:val="20"/>
          <w:color w:val="auto"/>
        </w:rPr>
      </w:pPr>
    </w:p>
    <w:p>
      <w:pPr>
        <w:ind w:left="260" w:right="6360" w:hanging="252"/>
        <w:spacing w:after="0" w:line="378"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ind w:right="32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1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Borders>
              <w:top w:val="single" w:sz="8" w:color="CFF0FC"/>
            </w:tcBorders>
            <w:shd w:val="clear" w:color="auto" w:fill="CFF0FC"/>
          </w:tcPr>
          <w:p>
            <w:pPr>
              <w:spacing w:after="0"/>
              <w:rPr>
                <w:sz w:val="17"/>
                <w:szCs w:val="17"/>
                <w:color w:val="auto"/>
              </w:rPr>
            </w:pPr>
          </w:p>
        </w:tc>
        <w:tc>
          <w:tcPr>
            <w:tcW w:w="4840" w:type="dxa"/>
            <w:vAlign w:val="bottom"/>
            <w:tcBorders>
              <w:top w:val="single" w:sz="8" w:color="CFF0FC"/>
            </w:tcBorders>
            <w:gridSpan w:val="3"/>
            <w:shd w:val="clear" w:color="auto" w:fill="CFF0FC"/>
          </w:tcPr>
          <w:p>
            <w:pPr>
              <w:spacing w:after="0" w:line="175" w:lineRule="exact"/>
              <w:rPr>
                <w:sz w:val="20"/>
                <w:szCs w:val="20"/>
                <w:color w:val="auto"/>
              </w:rPr>
            </w:pPr>
            <w:r>
              <w:rPr>
                <w:rFonts w:ascii="Arial" w:cs="Arial" w:eastAsia="Arial" w:hAnsi="Arial"/>
                <w:sz w:val="18"/>
                <w:szCs w:val="18"/>
                <w:b w:val="1"/>
                <w:bCs w:val="1"/>
                <w:color w:val="auto"/>
              </w:rPr>
              <w:t>At September 30, 2021</w:t>
            </w:r>
          </w:p>
        </w:tc>
        <w:tc>
          <w:tcPr>
            <w:tcW w:w="3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FF0FC"/>
            </w:tcBorders>
          </w:tcPr>
          <w:p>
            <w:pPr>
              <w:spacing w:after="0"/>
              <w:rPr>
                <w:sz w:val="21"/>
                <w:szCs w:val="21"/>
                <w:color w:val="auto"/>
              </w:rPr>
            </w:pPr>
          </w:p>
        </w:tc>
        <w:tc>
          <w:tcPr>
            <w:tcW w:w="1740" w:type="dxa"/>
            <w:vAlign w:val="bottom"/>
            <w:tcBorders>
              <w:top w:val="single" w:sz="8" w:color="auto"/>
            </w:tcBorders>
            <w:gridSpan w:val="2"/>
          </w:tcPr>
          <w:p>
            <w:pPr>
              <w:spacing w:after="0" w:line="243" w:lineRule="exact"/>
              <w:rPr>
                <w:sz w:val="20"/>
                <w:szCs w:val="20"/>
                <w:color w:val="auto"/>
              </w:rPr>
            </w:pPr>
            <w:r>
              <w:rPr>
                <w:rFonts w:ascii="Arial" w:cs="Arial" w:eastAsia="Arial" w:hAnsi="Arial"/>
                <w:sz w:val="18"/>
                <w:szCs w:val="18"/>
                <w:color w:val="auto"/>
                <w:w w:val="94"/>
              </w:rPr>
              <w:t>Money market funds</w:t>
            </w:r>
            <w:r>
              <w:rPr>
                <w:rFonts w:ascii="Arial" w:cs="Arial" w:eastAsia="Arial" w:hAnsi="Arial"/>
                <w:sz w:val="23"/>
                <w:szCs w:val="23"/>
                <w:color w:val="auto"/>
                <w:w w:val="94"/>
                <w:vertAlign w:val="superscript"/>
              </w:rPr>
              <w:t>(1)</w:t>
            </w:r>
          </w:p>
        </w:tc>
        <w:tc>
          <w:tcPr>
            <w:tcW w:w="3100" w:type="dxa"/>
            <w:vAlign w:val="bottom"/>
            <w:tcBorders>
              <w:top w:val="single" w:sz="8" w:color="CFF0FC"/>
            </w:tcBorders>
          </w:tcPr>
          <w:p>
            <w:pPr>
              <w:spacing w:after="0"/>
              <w:rPr>
                <w:sz w:val="21"/>
                <w:szCs w:val="21"/>
                <w:color w:val="auto"/>
              </w:rPr>
            </w:pPr>
          </w:p>
        </w:tc>
        <w:tc>
          <w:tcPr>
            <w:tcW w:w="360" w:type="dxa"/>
            <w:vAlign w:val="bottom"/>
            <w:tcBorders>
              <w:top w:val="single" w:sz="8" w:color="CFF0FC"/>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312,299</w:t>
            </w:r>
          </w:p>
        </w:tc>
        <w:tc>
          <w:tcPr>
            <w:tcW w:w="12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312,299</w:t>
            </w: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At December 31, 2020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40" w:type="dxa"/>
            <w:vAlign w:val="bottom"/>
            <w:gridSpan w:val="3"/>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840" w:type="dxa"/>
            <w:vAlign w:val="bottom"/>
            <w:gridSpan w:val="3"/>
            <w:shd w:val="clear" w:color="auto" w:fill="CFF0FC"/>
          </w:tcPr>
          <w:p>
            <w:pPr>
              <w:ind w:left="40"/>
              <w:spacing w:after="0" w:line="230"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80" w:hanging="232"/>
        <w:spacing w:after="0"/>
        <w:tabs>
          <w:tab w:leader="none" w:pos="2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28"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jc w:val="both"/>
        <w:ind w:right="200" w:firstLine="486"/>
        <w:spacing w:after="0" w:line="28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right="64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accrued expenses, and receivables approximate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September 30, 2021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2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35,141</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9450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94505"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-779145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80" w:hanging="232"/>
        <w:spacing w:after="0"/>
        <w:tabs>
          <w:tab w:leader="none" w:pos="28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All of our outstanding agency securities have maturity dates of less than one year as of September 30, 2021.</w:t>
      </w:r>
    </w:p>
    <w:p>
      <w:pPr>
        <w:spacing w:after="0" w:line="42" w:lineRule="exact"/>
        <w:rPr>
          <w:rFonts w:ascii="Arial" w:cs="Arial" w:eastAsia="Arial" w:hAnsi="Arial"/>
          <w:sz w:val="23"/>
          <w:szCs w:val="23"/>
          <w:color w:val="auto"/>
          <w:vertAlign w:val="superscript"/>
        </w:rPr>
      </w:pPr>
    </w:p>
    <w:p>
      <w:pPr>
        <w:ind w:left="460" w:right="160" w:hanging="412"/>
        <w:spacing w:after="0" w:line="219" w:lineRule="auto"/>
        <w:tabs>
          <w:tab w:leader="none" w:pos="3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$1.3 million have maturity dates of less than one year and $1.5 million have a maturity date of between one to two years as of September 30, 2021.</w:t>
      </w:r>
    </w:p>
    <w:p>
      <w:pPr>
        <w:spacing w:after="0" w:line="12" w:lineRule="exact"/>
        <w:rPr>
          <w:rFonts w:ascii="Arial" w:cs="Arial" w:eastAsia="Arial" w:hAnsi="Arial"/>
          <w:sz w:val="23"/>
          <w:szCs w:val="23"/>
          <w:color w:val="auto"/>
          <w:vertAlign w:val="superscript"/>
        </w:rPr>
      </w:pPr>
    </w:p>
    <w:p>
      <w:pPr>
        <w:ind w:left="460" w:right="40" w:hanging="412"/>
        <w:spacing w:after="0" w:line="227" w:lineRule="auto"/>
        <w:tabs>
          <w:tab w:leader="none" w:pos="353"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$10.3 million have maturity dates of less than one year and $3.8 million have a maturity date of between one to two years as of September 30, 2021.</w:t>
      </w:r>
    </w:p>
    <w:p>
      <w:pPr>
        <w:spacing w:after="0" w:line="26" w:lineRule="exact"/>
        <w:rPr>
          <w:rFonts w:ascii="Arial" w:cs="Arial" w:eastAsia="Arial" w:hAnsi="Arial"/>
          <w:sz w:val="23"/>
          <w:szCs w:val="23"/>
          <w:color w:val="auto"/>
          <w:vertAlign w:val="superscript"/>
        </w:rPr>
      </w:pPr>
    </w:p>
    <w:p>
      <w:pPr>
        <w:ind w:left="460" w:right="260" w:hanging="412"/>
        <w:spacing w:after="0" w:line="227" w:lineRule="auto"/>
        <w:tabs>
          <w:tab w:leader="none" w:pos="29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$25.2 million have maturity dates of less than one year and $9.9 million have a maturity date of between one to two years as of September 30, 2021.</w:t>
      </w:r>
    </w:p>
    <w:p>
      <w:pPr>
        <w:spacing w:after="0" w:line="20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short-term and long-term investments as of December 31, 2020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160,743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5196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5196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-779780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-779780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-779780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ind w:left="460" w:right="40" w:hanging="412"/>
        <w:spacing w:after="0" w:line="227" w:lineRule="auto"/>
        <w:tabs>
          <w:tab w:leader="none" w:pos="37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$10.0 million have maturity dates of less than one year and $11.2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460" w:right="80" w:hanging="412"/>
        <w:spacing w:after="0" w:line="227" w:lineRule="auto"/>
        <w:tabs>
          <w:tab w:leader="none" w:pos="33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a maturity date of less than one year and $1.3 million have a maturity date of between one to two years as of December 31, 2020.</w:t>
      </w:r>
    </w:p>
    <w:p>
      <w:pPr>
        <w:spacing w:after="0" w:line="26" w:lineRule="exact"/>
        <w:rPr>
          <w:rFonts w:ascii="Arial" w:cs="Arial" w:eastAsia="Arial" w:hAnsi="Arial"/>
          <w:sz w:val="23"/>
          <w:szCs w:val="23"/>
          <w:color w:val="auto"/>
          <w:vertAlign w:val="superscript"/>
        </w:rPr>
      </w:pPr>
    </w:p>
    <w:p>
      <w:pPr>
        <w:ind w:left="460" w:right="280" w:hanging="412"/>
        <w:spacing w:after="0" w:line="227" w:lineRule="auto"/>
        <w:tabs>
          <w:tab w:leader="none" w:pos="41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$29.4 million have maturity dates of less than one year and $0.0 million have a maturity date of between one to two years as of December 31, 2020.</w:t>
      </w:r>
    </w:p>
    <w:p>
      <w:pPr>
        <w:spacing w:after="0" w:line="13" w:lineRule="exact"/>
        <w:rPr>
          <w:rFonts w:ascii="Arial" w:cs="Arial" w:eastAsia="Arial" w:hAnsi="Arial"/>
          <w:sz w:val="23"/>
          <w:szCs w:val="23"/>
          <w:color w:val="auto"/>
          <w:vertAlign w:val="superscript"/>
        </w:rPr>
      </w:pPr>
    </w:p>
    <w:p>
      <w:pPr>
        <w:ind w:left="460" w:right="640" w:hanging="412"/>
        <w:spacing w:after="0" w:line="227" w:lineRule="auto"/>
        <w:tabs>
          <w:tab w:leader="none" w:pos="41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$102.7 million have maturity dates of less than one year and $5.0 million have a maturity date of between one to two years as of December 31, 2020.</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w:t>
      </w:r>
    </w:p>
    <w:p>
      <w:pPr>
        <w:spacing w:after="0" w:line="2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of September 30, 2021 and December 31, 2020,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43"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43"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tcPr>
          <w:p>
            <w:pPr>
              <w:jc w:val="center"/>
              <w:ind w:right="194"/>
              <w:spacing w:after="0" w:line="14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3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57" w:lineRule="exact"/>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Pr>
          <w:p>
            <w:pPr>
              <w:jc w:val="right"/>
              <w:ind w:right="19"/>
              <w:spacing w:after="0" w:line="157"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1000" w:type="dxa"/>
            <w:vAlign w:val="bottom"/>
          </w:tcPr>
          <w:p>
            <w:pPr>
              <w:jc w:val="center"/>
              <w:ind w:right="194"/>
              <w:spacing w:after="0" w:line="15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Unrealized Losses</w:t>
            </w: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w w:val="97"/>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46,713</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As of September 30, 2021 and December 31, 2020, unrealized losses on available-for-sale investments were not material, and accordingly, no allowance for credit losses were recorded.</w:t>
      </w:r>
    </w:p>
    <w:p>
      <w:pPr>
        <w:spacing w:after="0" w:line="274" w:lineRule="exact"/>
        <w:rPr>
          <w:sz w:val="20"/>
          <w:szCs w:val="20"/>
          <w:color w:val="auto"/>
        </w:rPr>
      </w:pPr>
    </w:p>
    <w:p>
      <w:pPr>
        <w:ind w:left="260" w:right="9400" w:hanging="252"/>
        <w:spacing w:after="0" w:line="425" w:lineRule="auto"/>
        <w:tabs>
          <w:tab w:leader="none" w:pos="19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right="200" w:firstLine="486"/>
        <w:spacing w:after="0" w:line="342" w:lineRule="auto"/>
        <w:rPr>
          <w:sz w:val="20"/>
          <w:szCs w:val="20"/>
          <w:color w:val="auto"/>
        </w:rPr>
      </w:pPr>
      <w:r>
        <w:rPr>
          <w:rFonts w:ascii="Arial" w:cs="Arial" w:eastAsia="Arial" w:hAnsi="Arial"/>
          <w:sz w:val="16"/>
          <w:szCs w:val="16"/>
          <w:color w:val="auto"/>
        </w:rPr>
        <w:t>Of the 500,000,000 shares of common stock authorized, 27,453,783 shares were issued and outstanding as of September 30, 2021. Common stock reserved for future issuance upon the exercise, issuance or conversion of the respective equity instruments at September 30, 2021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Issued and Outstanding:</w:t>
            </w:r>
          </w:p>
        </w:tc>
        <w:tc>
          <w:tcPr>
            <w:tcW w:w="1580" w:type="dxa"/>
            <w:vAlign w:val="bottom"/>
            <w:shd w:val="clear" w:color="auto" w:fill="CCEEFF"/>
          </w:tcPr>
          <w:p>
            <w:pPr>
              <w:spacing w:after="0"/>
              <w:rPr>
                <w:sz w:val="19"/>
                <w:szCs w:val="19"/>
                <w:color w:val="auto"/>
              </w:rPr>
            </w:pPr>
          </w:p>
        </w:tc>
      </w:tr>
      <w:tr>
        <w:trPr>
          <w:trHeight w:val="230"/>
        </w:trPr>
        <w:tc>
          <w:tcPr>
            <w:tcW w:w="9640" w:type="dxa"/>
            <w:vAlign w:val="bottom"/>
            <w:gridSpan w:val="2"/>
          </w:tcPr>
          <w:p>
            <w:pPr>
              <w:ind w:left="26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3,663,143</w:t>
            </w:r>
          </w:p>
        </w:tc>
      </w:tr>
      <w:tr>
        <w:trPr>
          <w:trHeight w:val="230"/>
        </w:trPr>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w:t>
            </w:r>
          </w:p>
        </w:tc>
        <w:tc>
          <w:tcPr>
            <w:tcW w:w="1580" w:type="dxa"/>
            <w:vAlign w:val="bottom"/>
            <w:shd w:val="clear" w:color="auto" w:fill="CCEEFF"/>
          </w:tcPr>
          <w:p>
            <w:pPr>
              <w:spacing w:after="0"/>
              <w:rPr>
                <w:sz w:val="19"/>
                <w:szCs w:val="19"/>
                <w:color w:val="auto"/>
              </w:rPr>
            </w:pPr>
          </w:p>
        </w:tc>
      </w:tr>
      <w:tr>
        <w:trPr>
          <w:trHeight w:val="243"/>
        </w:trPr>
        <w:tc>
          <w:tcPr>
            <w:tcW w:w="660" w:type="dxa"/>
            <w:vAlign w:val="bottom"/>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3,239,673</w:t>
            </w:r>
          </w:p>
        </w:tc>
      </w:tr>
      <w:tr>
        <w:trPr>
          <w:trHeight w:val="230"/>
        </w:trPr>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1,271,237</w:t>
            </w:r>
          </w:p>
        </w:tc>
      </w:tr>
      <w:tr>
        <w:trPr>
          <w:trHeight w:val="223"/>
        </w:trPr>
        <w:tc>
          <w:tcPr>
            <w:tcW w:w="660" w:type="dxa"/>
            <w:vAlign w:val="bottom"/>
          </w:tcPr>
          <w:p>
            <w:pPr>
              <w:ind w:left="20"/>
              <w:spacing w:after="0"/>
              <w:rPr>
                <w:sz w:val="20"/>
                <w:szCs w:val="20"/>
                <w:color w:val="auto"/>
              </w:rPr>
            </w:pPr>
            <w:r>
              <w:rPr>
                <w:rFonts w:ascii="Arial" w:cs="Arial" w:eastAsia="Arial" w:hAnsi="Arial"/>
                <w:sz w:val="18"/>
                <w:szCs w:val="18"/>
                <w:color w:val="auto"/>
              </w:rPr>
              <w:t>Total</w:t>
            </w:r>
          </w:p>
        </w:tc>
        <w:tc>
          <w:tcPr>
            <w:tcW w:w="8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8,174,053</w:t>
            </w:r>
          </w:p>
        </w:tc>
      </w:tr>
      <w:tr>
        <w:trPr>
          <w:trHeight w:val="20"/>
        </w:trPr>
        <w:tc>
          <w:tcPr>
            <w:tcW w:w="6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260" w:right="8940" w:hanging="252"/>
        <w:spacing w:after="0" w:line="425" w:lineRule="auto"/>
        <w:tabs>
          <w:tab w:leader="none" w:pos="197"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b w:val="1"/>
          <w:bCs w:val="1"/>
          <w:i w:val="1"/>
          <w:iCs w:val="1"/>
          <w:color w:val="auto"/>
        </w:rPr>
        <w:t>2017 Equity Incentive Plan</w:t>
      </w:r>
    </w:p>
    <w:p>
      <w:pPr>
        <w:ind w:right="60" w:firstLine="486"/>
        <w:spacing w:after="0" w:line="296" w:lineRule="auto"/>
        <w:rPr>
          <w:sz w:val="20"/>
          <w:szCs w:val="20"/>
          <w:color w:val="auto"/>
        </w:rPr>
      </w:pPr>
      <w:r>
        <w:rPr>
          <w:rFonts w:ascii="Arial" w:cs="Arial" w:eastAsia="Arial" w:hAnsi="Arial"/>
          <w:sz w:val="16"/>
          <w:szCs w:val="16"/>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outstanding shares of our common stock as of the immediately preceding December 31 or such lesser number as determined by our board of directors. The 2017 Plan automatically increased by 1,094,223 shares as of January 1, 2021.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273,555 shares as of January 1, 2021. The initial offering period for the ESPP began in May 2021.</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nine months ended September 30, 2021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Price per</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8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9"/>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2,920,700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17,434</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1,056,974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(216,323)</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3,663,143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3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26,987</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September 30, 2021</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5.82</w:t>
            </w:r>
          </w:p>
        </w:tc>
        <w:tc>
          <w:tcPr>
            <w:tcW w:w="380" w:type="dxa"/>
            <w:vAlign w:val="bottom"/>
            <w:tcBorders>
              <w:top w:val="single" w:sz="8" w:color="CFF0FC"/>
              <w:bottom w:val="single" w:sz="8" w:color="CFF0FC"/>
            </w:tcBorders>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19,554</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1,900,242</w:t>
            </w:r>
          </w:p>
        </w:tc>
        <w:tc>
          <w:tcPr>
            <w:tcW w:w="26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80"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Nine Months Ended</w:t>
      </w:r>
    </w:p>
    <w:p>
      <w:pPr>
        <w:jc w:val="center"/>
        <w:ind w:left="69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Borders>
              <w:bottom w:val="single" w:sz="8" w:color="CFF0FC"/>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6"/>
                <w:szCs w:val="16"/>
                <w:color w:val="auto"/>
              </w:rPr>
            </w:pPr>
          </w:p>
        </w:tc>
      </w:tr>
      <w:tr>
        <w:trPr>
          <w:trHeight w:val="224"/>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90.5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FF0FC"/>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r>
      <w:tr>
        <w:trPr>
          <w:trHeight w:val="23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 date fair value per share</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22.32</w:t>
            </w:r>
          </w:p>
        </w:tc>
        <w:tc>
          <w:tcPr>
            <w:tcW w:w="9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FF0FC"/>
          </w:tcPr>
          <w:p>
            <w:pPr>
              <w:spacing w:after="0"/>
              <w:rPr>
                <w:sz w:val="19"/>
                <w:szCs w:val="19"/>
                <w:color w:val="auto"/>
              </w:rPr>
            </w:pPr>
          </w:p>
        </w:tc>
      </w:tr>
    </w:tbl>
    <w:p>
      <w:pPr>
        <w:spacing w:after="0" w:line="296"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We determine the appropriate risk-free interest rate, expected term for employee stock-based awards, contractual term for non-employee stock-based awards, and volatility assumptions. The weighted-average expected option term for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and non-employee stock-based awards reflects the application of the simplified method, which defines the life as the average of the contractual term of the options and the weighted-average vesting period for all option tranches. Estimated volatility for 2021 incorporates the historical volatility of our stock price, and volatility for 2020 incorporates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76"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1,773</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r>
      <w:tr>
        <w:trPr>
          <w:trHeight w:val="229"/>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2,591</w:t>
            </w: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1,879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5,491</w:t>
            </w:r>
          </w:p>
        </w:tc>
      </w:tr>
      <w:tr>
        <w:trPr>
          <w:trHeight w:val="248"/>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4,364</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2,805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11,369</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8,521</w:t>
            </w: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At September 30, 2021, there was $31.6 million of unrecognized compensation cost related to unvested stock option awards, which is expected to be recognized over a remaining weighted-average vesting period of 2.42 years. At September 30, 2021, there was $0.1 million of unrecognized compensation cost related to the ESPP, which is expected to be recognized over a remaining weighted-average vesting period of 0.13 years.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On November 11, 2020, we entered into an agreement to terminate our sublease (the “Sublease Termination”) with Trex Enterprises Corporation, with respect to facilities in the building at 10455 Pacific Center Court in San Diego, California (the “10455 Building”). The terms of the original sublease with Trex provided for a November 12, 2021 lease expiration. Under the Sublease Termination, we agreed to terminate the sublease agreement on December 15, 2020 with no associated penalty. We recorded a non-cash gain of approximately $0.1 million as other income, in connection with the write-off of the lease liability and corresponding ROU asset. As of September 30, 2021, there was no lease liability and corresponding ROU asset related to the 10455 Building Lease. The non-cancellable office lease for our facilities at 10421 Pacific Center Court in San Diego, California, expired on August 31, 2021, and as of September 30, 2021, there was no related lease liability and corresponding ROU asset.</w:t>
      </w:r>
    </w:p>
    <w:p>
      <w:pPr>
        <w:spacing w:after="0" w:line="16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our ROU assets and lease liabilities.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September 30, 2021, we have recorded $0.3 million as a security deposit in accordance with the terms of the Lease Agreement.</w:t>
      </w:r>
    </w:p>
    <w:p>
      <w:pPr>
        <w:spacing w:after="0" w:line="18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effective date of adoption in determining the present value of future payments. The weighted-average discount rate used was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non-cancellable office lease costs are included in our consolidated statements of cash flow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76"/>
        </w:trPr>
        <w:tc>
          <w:tcPr>
            <w:tcW w:w="4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September 30, 2021, the future minimum annual obligations for the Company’s operating lease liabilities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2,457</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15,846</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20,935</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12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Securities Exchange Act of 1934, as amended (the “Exchange Act”),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On September 20, 2021, the Court granted defendants’ motion to dismiss the amended complaint with leave to amend. We believe that the plaintiff’s allegations are without merit and intend to vigorously defend against the claims. On May 3, 2021, a shareholder derivative complaint was filed in the same Court based on allegations substantially similar to those in the class action, and purporting to assert claims on the Company’s behalf against current or former officers and directors for alleged violation of Sections 14(a) and 20(a) of the Exchange Act, breach of fiduciary duties, unjust enrichment, waste of corporate assets and insider selling. By agreement of the parties and order of the Court, that action is currently stayed pending further developments in the class action described above. Because the Company is in the early stages of these litigation matters, we are unable to estimate a reasonably possible loss or range of loss, if any, that may result from these matters.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Royalty Revenue Monetization</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On October 25, 2021, we entered into a Royalty Purchase Agreement with Sagard Healthcare Royalty Partners, LP (“Sagard”) to monetize a portion of our future JEMPERLI royalties and milestones under our GSK Agreement. Upon closing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0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transaction with Sagard, which is anticipated by the end of 2021, Sagard will pay us $250.0 million upfront in exchange for royalties payable to us under the GSK Agreement on annual global net sales of JEMPERLI below $1.0 billion starting in October 2021. The royalty rate applicable below the $1.0 billion annual net sales threshold is 8%. Sagard may also receive up to a total of $105.0 million in potential cash milestones, of which $15.0 million are subject to certain future JEMPERLI regulatory filing and approval milestones and up to $90.0 million are subject to certain commercial sales milestones due prior to JEMPERLI achieving the $1.0 billion in annual global net sales threshold.</w:t>
      </w:r>
    </w:p>
    <w:p>
      <w:pPr>
        <w:spacing w:after="0" w:line="176"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The aggregate JEMPERLI royalties and milestones to be received by Sagard under this Agreement is capped at certain fixed multiples of the upfront payment based upon time. Once Sagard receives an aggregate of either $312.5 million (125% of the upfront) by the end of 2026, or $337.5 million (135% of the upfront) during 2027 or $412.5 million (165% of the upfront) at any time after 2027, the Royalty Purchase Agreement will expire resulting in us regaining all subsequent JEMPERLI royalties and milestones. The closing of the transaction is subject to the satisfaction of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skin toxicities associated with treatments with acne and hidradenitis suppurativa;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0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4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and elsewhere in this Quarterly Report. Moreover, we operate in a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3" w:name="page24"/>
    <w:bookmarkEnd w:id="23"/>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consolidated financial statements and related notes for the nine months ended September 30, 2021, included in Part I, Item 1 of this report and with our audited consolidated financial statements and related notes thereto for the year ended December 31, 2020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previously referred to as ANB030, and ANB032, are designed to modulate therapeutic targets that are genetically associated with human inflammatory disorders.</w:t>
      </w:r>
    </w:p>
    <w:p>
      <w:pPr>
        <w:spacing w:after="0" w:line="153" w:lineRule="exact"/>
        <w:rPr>
          <w:sz w:val="20"/>
          <w:szCs w:val="20"/>
          <w:color w:val="auto"/>
        </w:rPr>
      </w:pPr>
    </w:p>
    <w:p>
      <w:pPr>
        <w:ind w:firstLine="486"/>
        <w:spacing w:after="0" w:line="248"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 – 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indicated homozygous wild-type IL-36RN, CARD14 and AP1S3 alleles for all 7 tested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While initial GPP epidemiology studies suggested at least 3,000 GPP patients in the United States,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billing code pertaining to GPP (L40.1).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3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met with the FDA during the second quarter of 2021 for an end-of-Phase 2 meeting to review an orphan disease registration plan for imsidolimab for the treatment of GPP. We have initiated our first Phase 3 trial for imsidolimab for GPP, called GEMINI-1, during the third quarter of 2021. GEMINI-1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Generalized Pustular Psoriasis Physician’s Global Assessment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6 months of monthly dosing.</w:t>
      </w:r>
    </w:p>
    <w:p>
      <w:pPr>
        <w:spacing w:after="0" w:line="19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We are conducting a global registry of GPP patients, also referred to as the RADIANCE study, which we anticipate will improve understanding of the patient journey and assist in enrollment of future GPP clinical trials.</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We are conducting clinical development of imsidolimab in moderate-to-severe acne. Acne is the most common skin disorder in the United States, with approximately 3 million patients diagnosed with moderate-to-severe disease. Moderate-to-severe acne typically presents with painful papules, pustules, nodules, cysts and scarring. A key contributing factor to the pathogenesis of acne is the immune response to </w:t>
      </w:r>
      <w:r>
        <w:rPr>
          <w:rFonts w:ascii="Arial" w:cs="Arial" w:eastAsia="Arial" w:hAnsi="Arial"/>
          <w:sz w:val="18"/>
          <w:szCs w:val="18"/>
          <w:i w:val="1"/>
          <w:iCs w:val="1"/>
          <w:color w:val="auto"/>
        </w:rPr>
        <w:t>Propionibacterium acnes</w:t>
      </w:r>
      <w:r>
        <w:rPr>
          <w:rFonts w:ascii="Arial" w:cs="Arial" w:eastAsia="Arial" w:hAnsi="Arial"/>
          <w:sz w:val="18"/>
          <w:szCs w:val="18"/>
          <w:color w:val="auto"/>
        </w:rPr>
        <w:t xml:space="preserve">, or </w:t>
      </w:r>
      <w:r>
        <w:rPr>
          <w:rFonts w:ascii="Arial" w:cs="Arial" w:eastAsia="Arial" w:hAnsi="Arial"/>
          <w:sz w:val="18"/>
          <w:szCs w:val="18"/>
          <w:i w:val="1"/>
          <w:iCs w:val="1"/>
          <w:color w:val="auto"/>
        </w:rPr>
        <w:t>P. acnes</w:t>
      </w:r>
      <w:r>
        <w:rPr>
          <w:rFonts w:ascii="Arial" w:cs="Arial" w:eastAsia="Arial" w:hAnsi="Arial"/>
          <w:sz w:val="18"/>
          <w:szCs w:val="18"/>
          <w:color w:val="auto"/>
        </w:rPr>
        <w:t>,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are conducting a Phase 2 clinical trial of imsidolimab, called ACORN, where 120 patients will be randomized equally between two dose levels of imsidolimab and placebo, for the treatment of moderate-to-severe acne, and we anticipate top-line data during the first half of 2022.</w:t>
      </w:r>
    </w:p>
    <w:p>
      <w:pPr>
        <w:spacing w:after="0" w:line="192"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We are conducting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are conducting a Phase 2 clinical trial of imsidolimab in moderate-to-severe hidradenitis suppurativa, called HARP, where 120 patients will be randomized equally between two dose levels of imsidolimab and placebo, and we anticipate top-line data during the second half of 2022.</w:t>
      </w:r>
    </w:p>
    <w:p>
      <w:pPr>
        <w:spacing w:after="0" w:line="16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We are discontinuing imsidolimab clinical development for EGFR-mediated skin toxicities and ichthyosis due to evolving clinical landscapes for these indications and slower than anticipated enrollment in our planned clinical trials.</w:t>
      </w:r>
    </w:p>
    <w:p>
      <w:pPr>
        <w:spacing w:after="0" w:line="170"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 xml:space="preserve">Our second wholly-owned program, rosnilimab, previously referred to as ANB030, is an anti-PD-1 agonist antibody program designed to augment PD-1 signaling through rosnilimab treatment to suppress T-cell driven human inflammatory diseases. Genetic mutations in the PD-1 pathway are known to be associated with increased susceptibility to human inflammatory diseases, and hence we believe that rosnilimab is applicable to diseases where PD-1 checkpoint receptor function may be under-represented. We presented preclinical data for rosnilimab at the Festival of Biologics Annual Meeting in March 2020, including translational data demonstrating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of rosnilimab in alopecia areata patient samples. We initiated a Phase 1 healthy volunteer clinical trial in the first half of 2020, which is designed to assess the safety, pharmacokinetics and pharmacodynamics of rosnilimab in single and multiple ascending dose cohorts. We anticipate top-line safety, pharmacokinetic and pharmacodynamic data from this Phase 1 clinical trial during the fourth quarter of 2021. We plan to initiate a Phase 2 clinical trial of rosnilimab in alopecia areata in the fourth quarter of 2021. We continue to assess clinical development opportunities for rosnilimab in additional indications, including vitiligo and rheumatoid arthritis, and will make decisions pending additional data.</w:t>
      </w:r>
    </w:p>
    <w:p>
      <w:pPr>
        <w:spacing w:after="0" w:line="166"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0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signaling by modulating BTLA binding to HVEM. We are conducting a healthy volunteer Phase 1 trial of ANB032, under an Australian Clinical Trial Notification (“CTN”) and anticipate top-line data from this trial during the first half of 2022. We presented preclinical data regarding ANB032 at the 2020 Federation of Clinical Immunology Societies (FOCIS) Virtual Annual Meeting in October 2020.</w:t>
      </w:r>
    </w:p>
    <w:p>
      <w:pPr>
        <w:spacing w:after="0" w:line="18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$226.0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JEMPERLI (dostarlimab), was approved by the FDA in April 2021 for the treatment of advanced or recurrent deficient mismatch repair endometrial cancer (“dMMREC”). This is the first AnaptysBio-generated antibody, of eight currently under clinical development, to obtain FDA approval. We earned a $20.0 million milestone payment as a result of this FDA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which approval makes JEMPERLI the first anti-PD-1 therapy available for endometrial cancer in Europe. We earned a $10.0 million milestone payment as a result of this approval. A second BLA submitted by GSK was accepted by the FDA during the first quarter of 2021 for JEMPERLI in pan-deficient mismatch repair tumors (“PdMMRT”). We received a $10.0 million cash milestone payment upon the FDA acceptance of GSK’s second FDA BLA for JEMPERLI and received $20.0 million cash milestone payment in September 2021, upon FDA approval of this second FDA BLA of JEMPERLI in August. JEMPERLI is currently in clinical development for various solid tumor indications, including dMMREC, PdMMRT, colorectal cancer, ovarian cancer, non-small cell lung cancer, cervical cancer, rectal cancer, clear cell sarcoma and head-and-neck squamous cell carcinoma. In June 2021, GSK estimated potential peak annual global JEMPERLI sales on a non-risk adjusted basis of £1-£2 billion, which is currently equal to approximately $1.4 to $2.8 billion at current exchange rates, for currently approved indications and first-line use in endometrial and ovarian cancer only. 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In October 2021, we announced the signing of a royalty monetization agreement with Sagard Healthcare Royalty Partners where we would receive a $250.0 million payment upon closing, which is anticipated by the end of 2021, in exchange of JEMPERLI royalties due to us on annual commercial sales below $1.0 billion and certain future milestones starting in October 2021. The aggregate JEMPERLI royalties and milestones to be received by Sagard under this Agreement is capped at certain fixed multiples of the upfront payment based upon time. The closing of the transaction is subject to the satisfaction of customary closing conditions.</w:t>
      </w:r>
    </w:p>
    <w:p>
      <w:pPr>
        <w:spacing w:after="0" w:line="18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Following the anticipated closing of the Sagard royalty monetization transaction by the end of 2021, we anticipate ending 2021 with approximately $600.0 million in cash and will continue to operate in a capital-efficient manner.</w:t>
      </w:r>
    </w:p>
    <w:p>
      <w:pPr>
        <w:spacing w:after="0" w:line="17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For more information about these collaborations, see Note 4 — Collaborative Research and Development Agreements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4037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359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are continuing to proactively monitor and assess the COVID-19 global pandemic. The full impact of the COVID-19 pandemic is inherently uncertain. Our ongoing clinical trials have been, and may continue to be, affected by the closure of offices, or country borders, among other measures being put in place around the world.</w:t>
      </w:r>
    </w:p>
    <w:p>
      <w:pPr>
        <w:spacing w:after="0" w:line="184"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While we have begun to re-open our offices, we continue to allow remote work, we continue to monitor developments of the COVID-19 pandemic and we may take further actions as may be required by government authorities or that we determine are in the best interests of our employees, patients, and business partners. We have implemented appropriate safety measures, following guidance from the Center for Disease Control and the Occupational Safety and Health Administration.</w:t>
      </w:r>
    </w:p>
    <w:p>
      <w:pPr>
        <w:spacing w:after="0" w:line="161"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including its variants, the availability and effectiveness of vaccines, the impact on our clinical trials, patients, and collaboration partners, and the effect on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September 30, 2021, we have received $226.0 million in cash in non-dilutive funding from our collaborators.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900" w:right="20" w:hanging="406"/>
        <w:spacing w:after="0" w:line="308" w:lineRule="auto"/>
        <w:tabs>
          <w:tab w:leader="none" w:pos="8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900" w:right="600" w:hanging="406"/>
        <w:spacing w:after="0" w:line="277"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46"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have completed Phase 1 clinical trials and have ongoing Phase 2 and 3 clinical trials for imsidolimab and ongoing Phase 1 clinical trials for rosnilimab and ANB032. We expect our research and development expenses to be higher for the foreseeable future as we continue to advance our product candidates into larger clinical trials.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February 25,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Nine Months Ended September 30, 2021 and 2020</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Collaboration revenue consists of both milestone payments under the collaborations, and royalty payments. We recognized $20.0 million and $0 million in milestone revenue for the three months ended September 30, 2021 and 2020, respectively, related to milestone payments associated with JEMPERLI, the anti-PD-1 antagonist antibody partnered with GSK. For the third quarter of 2021, milestone revenue reflects $20.0 million for first BLA approval in a second indication.</w:t>
      </w:r>
    </w:p>
    <w:p>
      <w:pPr>
        <w:spacing w:after="0" w:line="18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recognized $60.0 million and $15.0 million in milestone revenue for the nine months ended September 30, 2021 and 2020, respectively, related to milestone payments associated with JEMPERLI, the anti-PD-1 antagonist antibody partnered with GSK. For the nine months ended September 30, 2021, milestone revenue reflects $10.0 million for successful filing of the first BLA in a second indication for JEMPERLI, $20.0 million for first BLA approval in a first indication, $10.0 million for first MAA approval in a first indication, and $20.0 million for first BLA approval in a second indication. For the nine months ended September 30, 2020, milestone revenue reflects $10.0 million for successful filing of the first BLA in a first indication and $5.0 million for successful filing of the first MAA in a first indication.</w:t>
      </w:r>
    </w:p>
    <w:p>
      <w:pPr>
        <w:spacing w:after="0" w:line="84"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170"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Royalty revenue is a function of our partners' product sales and the applicable royalty rate. During the three and nine months ended September 30, 2021, we recognized $0.9 million and $2.2 million, respectively, related to the net sales of GSK’s Zejula and JEMPERLI, which we estimated based on GSK’s historical sales.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Research and development expenses were $22.2 million during the three months ended September 30, 2021 compared to $19.5 million during the three months ended September 30, 2020 for an increase of $2.7 million, primarily due to a $2.3 million increase in clinical expenses, $1.6 million increase in salaries and related expenses, including stock compensation expense, and a $0.9 million increase in other research and development expenses, offset by a $2.1 million decrease in outside services for manufacturing expenses.</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Research and development expenses were $71.7 million during the nine months ended September 30, 2021 compared to $58.5 million during the nine months ended September 30, 2020 for an increase of $13.2 million, primarily due to a $9.2 million increase in clinical expenses, $4.7 million increase in salaries and related expenses, including stock compensation expense, and a $2.4 million increase in other research and development expenses, offset by a $3.1 million decrease in outside services for manufacturing expenses.</w:t>
      </w:r>
    </w:p>
    <w:p>
      <w:pPr>
        <w:spacing w:after="0" w:line="18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6"/>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312"/>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Increase/(Decrease)</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Imsidolimab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15,218</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18,585</w:t>
            </w: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Rosnilimab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ANB032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Etokimab</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w:t>
            </w:r>
          </w:p>
        </w:tc>
      </w:tr>
      <w:tr>
        <w:trPr>
          <w:trHeight w:val="229"/>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Preclinical and other unallocated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Costs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General and administrative expenses were $5.4 million during the three months ended September 30, 2021 compared to $4.8 million during the three months ended September 30, 2020 for an increase of $0.6 million, primarily due to a $0.8 million increase in personnel costs including stock compensation expense, $0.1 million increase in insurance expense, offset by a $0.3 million decrease in legal expense.</w:t>
      </w:r>
    </w:p>
    <w:p>
      <w:pPr>
        <w:spacing w:after="0" w:line="184"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General and administrative expenses were $16.1 million during the nine months ended September 30, 2021 compared to $13.8 million during the nine months ended September 30, 2020 for an increase of $2.3 million, primarily due to a $2.3 million increase in personnel costs including stock compensation expense, $0.4 million increase in insurance expense, $0.2 million increase in other general and administrative expenses, offset by a $0.6 million decrease in legal expense.</w:t>
      </w:r>
    </w:p>
    <w:p>
      <w:pPr>
        <w:spacing w:after="0" w:line="18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Interest income was $0.1 million and $0.4 million during the three and nine months ended September 30, 2021, respectively, and was $0.6 million and $3.6 million during the three and nine months ended September 30, 2020 which primarily related to our short-term and long-term investments, the balance of which decreased during the periods as a result of funding our clinical trial programs. The decrease in interest income is also attributable to lower interest rates during the three and nine months ended September 30, 2021 and a decrease in investment balances as of September 30, 2021.</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Other income (expense), net was less than $0.1 million for both the three and nine months ended September 30, 2021, and was a loss of less than $0.1 million for the three months and a gain of less than $0.1 million for the nine months ended September 30, 2020, respectively, which primarily related to foreign exchange transactions through our Australian subsidiary and with our foreign CROs and CMOs.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From our inception through September 30, 2021, we have received an aggregate of $866.4 million to fund our operations, which included $621.3 million from the sale of equity securities, $226.0 million from our collaboration agreements and $19.1 million from venture debt. As of September 30, 2021, we had $389.3 million in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18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Specific to our collaboration agreement with GSK, JEMPERLI is currently in clinical development for various solid tumor indications. Earlier in 2021, we received additional milestones from GSK, as outlined above, following the acceptance and approval of BLA and EMA filings of JEMPERLI for the PdMMRT indication. Our amended GSK Agreement also includes a 1% royalty less third-party royalty deductions on GSK’s global net sales of Zejula that began in 2021.</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October 2021, we announced the signing of a royalty monetization agreement with Sagard Healthcare Royalty Partners where we would receive a $250.0 million payment upon closing, which is anticipated by the end of 2021, in exchange of JEMPERLI royalties due to us on annual commercial sales below $1.0 billion and certain future milestones starting in October 2021. The aggregate JEMPERLI royalties and milestones to be received by Sagard under this Agreement is capped at certain fixed multiples of the upfront payment based upon time. The closing of the transaction is subject to the satisfaction of customary closing conditions.</w:t>
      </w:r>
    </w:p>
    <w:p>
      <w:pPr>
        <w:spacing w:after="0" w:line="18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Following the anticipated closing of the Sagard royalty monetization transaction by the end of 2021, we anticipate ending 2021 with approximately $600.0 million in cash and will continue to operate in a capital-efficient manner.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Cash, cash equivalents and investments totaled $389.3 million as of September 30, 2021, compared to $411.2 million as of December 31, 2020. We believe that our existing cash, cash equivalents and investments, together with the proceeds from our royalty monetization agreement, will fund our current operating plan for at least the next 12 months.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84"/>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1"/>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(20,619)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(51,735)</w:t>
            </w:r>
          </w:p>
        </w:tc>
      </w:tr>
      <w:tr>
        <w:trPr>
          <w:trHeight w:val="23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105,529</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90,877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85,872</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operating activities during the nine months ended September 30, 2021 of $20.6 million was primarily due to our net loss of $25.3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adjusted for addbacks for non-cash expenses of $13.5 million, which includes stock-based compensation and amortization of operating right-of-use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net decreases in working capital of $8.8 million. Net cash used in operating activities during the nine months ended September 30, 2020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$51.7 million was primarily due to our net loss of $53.6 million, adjusted for non-cash expenses of $9.8 million, which includes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of operating right-of-use assets, and net decreases in working capital of $7.9 million.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760" w:firstLine="486"/>
        <w:spacing w:after="0" w:line="308" w:lineRule="auto"/>
        <w:rPr>
          <w:sz w:val="20"/>
          <w:szCs w:val="20"/>
          <w:color w:val="auto"/>
        </w:rPr>
      </w:pPr>
      <w:r>
        <w:rPr>
          <w:rFonts w:ascii="Arial" w:cs="Arial" w:eastAsia="Arial" w:hAnsi="Arial"/>
          <w:sz w:val="17"/>
          <w:szCs w:val="17"/>
          <w:color w:val="auto"/>
        </w:rPr>
        <w:t>Net cash provided by investing activities during the nine months ended September 30, 2021 and 2020 of $105.5 million and $90.9 million, respectively, primarily relates to the timing of our investment maturities, which were used to fund our operating expenses.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net cash provided by financing activities during the nine months ended September 30, 2021 of $1.0 million related to the issuance of common stock upon the exercise of stock options. The net cash used in financing activities during the nine months ended September 30, 2020 of $1.0 million primarily related to principal and final payments of $1.4 million made on our Term Loans, offset by $0.4 million in proceeds from the issuance of common stock upon the exercise of stock options.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further information related to our operating leases and future minimum annual obligations,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As of September 30, 2021,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25,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2021,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40" w:firstLine="486"/>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4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For further information related to our legal proceedings, see Note 8 — Commitments and Contingencies in the accompanying notes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38" w:lineRule="exact"/>
        <w:rPr>
          <w:sz w:val="20"/>
          <w:szCs w:val="20"/>
          <w:color w:val="auto"/>
        </w:rPr>
      </w:pPr>
    </w:p>
    <w:p>
      <w:pPr>
        <w:ind w:left="900" w:hanging="406"/>
        <w:spacing w:after="0" w:line="259"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6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5" w:lineRule="exact"/>
        <w:rPr>
          <w:rFonts w:ascii="Arial" w:cs="Arial" w:eastAsia="Arial" w:hAnsi="Arial"/>
          <w:sz w:val="16"/>
          <w:szCs w:val="16"/>
          <w:color w:val="auto"/>
        </w:rPr>
      </w:pPr>
    </w:p>
    <w:p>
      <w:pPr>
        <w:ind w:left="900" w:right="280" w:hanging="406"/>
        <w:spacing w:after="0" w:line="286"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900" w:right="12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62" w:lineRule="exact"/>
        <w:rPr>
          <w:rFonts w:ascii="Arial" w:cs="Arial" w:eastAsia="Arial" w:hAnsi="Arial"/>
          <w:sz w:val="18"/>
          <w:szCs w:val="18"/>
          <w:color w:val="auto"/>
        </w:rPr>
      </w:pPr>
    </w:p>
    <w:p>
      <w:pPr>
        <w:jc w:val="both"/>
        <w:ind w:left="900" w:right="6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15" w:lineRule="exact"/>
        <w:rPr>
          <w:rFonts w:ascii="Arial" w:cs="Arial" w:eastAsia="Arial" w:hAnsi="Arial"/>
          <w:sz w:val="16"/>
          <w:szCs w:val="16"/>
          <w:color w:val="auto"/>
        </w:rPr>
      </w:pPr>
    </w:p>
    <w:p>
      <w:pPr>
        <w:ind w:left="900" w:right="16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spacing w:after="0" w:line="198" w:lineRule="exact"/>
        <w:rPr>
          <w:sz w:val="20"/>
          <w:szCs w:val="20"/>
          <w:color w:val="auto"/>
        </w:rPr>
      </w:pPr>
    </w:p>
    <w:p>
      <w:pPr>
        <w:ind w:left="900" w:right="20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900" w:right="120" w:hanging="406"/>
        <w:spacing w:after="0" w:line="286"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8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right="20" w:hanging="406"/>
        <w:spacing w:after="0" w:line="308"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jc w:val="both"/>
        <w:ind w:left="900" w:right="200" w:hanging="406"/>
        <w:spacing w:after="0" w:line="279"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manufacture of biotechnology products is complex, and manufacturers often encounter difficulties in production, including as a result of disruptions to supply chains.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63" w:lineRule="exact"/>
        <w:rPr>
          <w:rFonts w:ascii="Arial" w:cs="Arial" w:eastAsia="Arial" w:hAnsi="Arial"/>
          <w:sz w:val="17"/>
          <w:szCs w:val="17"/>
          <w:color w:val="auto"/>
        </w:rPr>
      </w:pPr>
    </w:p>
    <w:p>
      <w:pPr>
        <w:ind w:left="900" w:right="4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900" w:right="32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5" w:lineRule="exact"/>
        <w:rPr>
          <w:rFonts w:ascii="Arial" w:cs="Arial" w:eastAsia="Arial" w:hAnsi="Arial"/>
          <w:sz w:val="18"/>
          <w:szCs w:val="18"/>
          <w:color w:val="auto"/>
        </w:rPr>
      </w:pPr>
    </w:p>
    <w:p>
      <w:pPr>
        <w:ind w:left="900" w:right="3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 and most of partnered product candidates are in the early stages of development, and, for a wide variety of reasons discussed below, may fail in development or suffer delays that adversely affect their commercial viability.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0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19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 For example, top-line data from our POPLAR clinical trial of imsidolimab in PPP failed to meet the primary endpoint of the clinical trial of least-squares mean difference PPPASI improvement at week 16 (Day 113) and we do not currently plan to conduct further development of imsidolimab in PPP.</w:t>
      </w:r>
    </w:p>
    <w:p>
      <w:pPr>
        <w:spacing w:after="0" w:line="195" w:lineRule="exact"/>
        <w:rPr>
          <w:sz w:val="20"/>
          <w:szCs w:val="20"/>
          <w:color w:val="auto"/>
        </w:rPr>
      </w:pPr>
    </w:p>
    <w:p>
      <w:pPr>
        <w:ind w:right="740" w:firstLine="486"/>
        <w:spacing w:after="0" w:line="308" w:lineRule="auto"/>
        <w:rPr>
          <w:sz w:val="20"/>
          <w:szCs w:val="20"/>
          <w:color w:val="auto"/>
        </w:rPr>
      </w:pPr>
      <w:r>
        <w:rPr>
          <w:rFonts w:ascii="Arial" w:cs="Arial" w:eastAsia="Arial" w:hAnsi="Arial"/>
          <w:sz w:val="17"/>
          <w:szCs w:val="17"/>
          <w:color w:val="auto"/>
        </w:rPr>
        <w:t>If our other ongoing or future clinical trials of imsidolimab are unsuccessful, whether for one of the reasons mentioned above or otherwise, imsidolimab may be delayed in development or fail entirely, which would have a material adverse impact on our business.</w:t>
      </w:r>
    </w:p>
    <w:p>
      <w:pPr>
        <w:spacing w:after="0" w:line="14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0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 We recently discontinued imsidolimab clinical development for certain indications due, in part, to slower than anticipated enrollment in planned clinical trials.</w:t>
      </w:r>
    </w:p>
    <w:p>
      <w:pPr>
        <w:spacing w:after="0" w:line="292" w:lineRule="exact"/>
        <w:rPr>
          <w:sz w:val="20"/>
          <w:szCs w:val="20"/>
          <w:color w:val="auto"/>
        </w:rPr>
      </w:pPr>
    </w:p>
    <w:p>
      <w:pPr>
        <w:ind w:right="440"/>
        <w:spacing w:after="0" w:line="378" w:lineRule="auto"/>
        <w:rPr>
          <w:sz w:val="20"/>
          <w:szCs w:val="20"/>
          <w:color w:val="auto"/>
        </w:rPr>
      </w:pPr>
      <w:r>
        <w:rPr>
          <w:rFonts w:ascii="Arial" w:cs="Arial" w:eastAsia="Arial" w:hAnsi="Arial"/>
          <w:sz w:val="15"/>
          <w:szCs w:val="15"/>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7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As we begin to re-open our offices and continue to monitor developments of the COVID-19 pandemic, we will continue to allow some remote work, and we may take further actions as may be required by government authorities or that we determine are in the best interests of our employees and patients. In response to the COVID-19 pandemic, we initially limited our office to only those employees completing laboratory-based tasks essential to our development efforts, or “essential” employees, and are starting to allow other employees to work in our office with certain precautions in place that we believe will ensure our employees’ safety and wellbeing. Certain jurisdictions have begun re-opening only to return to restrictions due to increases in new COVID-19 cases and the emergence of new variant strains of COVID-19. Even in areas where “stay-at-home” restrictions have been lifted and the number of cases of COVID-19 has declined, many individuals remain cautious about resuming activities such as preventive-care medical visits. Additionally, the emergence of new variant strains of COVID-19 in regions that have reopened has necessitated, and may in the future necessitate, renewed government restrictions.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and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16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8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COVID-19 pandemic, our supply chain may be disrupted, limiting our ability to manufacture our product candidates for our preclinical or clinical studies.</w:t>
      </w:r>
    </w:p>
    <w:p>
      <w:pPr>
        <w:spacing w:after="0" w:line="24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Both the health and economic aspects of the COVID-19 virus are highly fluid, and depend in part on the emergence and spread of variant strains of the COVID-19 virus which cannot be predicted,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0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5"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and we have cleared an IND to conduct a clinical trial for rosnilimab in the United States,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9"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to conduct additional clinical trials in order to obtain approval of a BLA.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0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60" w:hanging="406"/>
        <w:spacing w:after="0" w:line="277"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00" w:hanging="406"/>
        <w:spacing w:after="0" w:line="308" w:lineRule="auto"/>
        <w:tabs>
          <w:tab w:leader="none" w:pos="8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200" w:lineRule="exact"/>
        <w:rPr>
          <w:sz w:val="20"/>
          <w:szCs w:val="20"/>
          <w:color w:val="auto"/>
        </w:rPr>
      </w:pPr>
    </w:p>
    <w:p>
      <w:pPr>
        <w:spacing w:after="0" w:line="21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We have recently commenced clinical development of imsidolimab, rosnilimab and ANB032 and have a limited history of conducting clinical trials and no history of commercializing biotechnology products, which may make it difficult to evaluate the prospects for our future viability.</w:t>
      </w:r>
    </w:p>
    <w:p>
      <w:pPr>
        <w:spacing w:after="0" w:line="12"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8"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6" w:lineRule="exact"/>
        <w:rPr>
          <w:sz w:val="20"/>
          <w:szCs w:val="20"/>
          <w:color w:val="auto"/>
        </w:rPr>
      </w:pPr>
    </w:p>
    <w:p>
      <w:pPr>
        <w:ind w:left="900" w:right="60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6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8" w:lineRule="exact"/>
        <w:rPr>
          <w:sz w:val="20"/>
          <w:szCs w:val="20"/>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7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For GPP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spesolimab or BI-655130 (Boehringer Ingelheim).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30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18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70" w:lineRule="exact"/>
        <w:rPr>
          <w:sz w:val="20"/>
          <w:szCs w:val="20"/>
          <w:color w:val="auto"/>
        </w:rPr>
      </w:pPr>
    </w:p>
    <w:p>
      <w:pPr>
        <w:ind w:right="260" w:firstLine="486"/>
        <w:spacing w:after="0" w:line="273" w:lineRule="auto"/>
        <w:rPr>
          <w:sz w:val="20"/>
          <w:szCs w:val="20"/>
          <w:color w:val="auto"/>
        </w:rPr>
      </w:pPr>
      <w:r>
        <w:rPr>
          <w:rFonts w:ascii="Arial" w:cs="Arial" w:eastAsia="Arial" w:hAnsi="Arial"/>
          <w:sz w:val="17"/>
          <w:szCs w:val="17"/>
          <w:color w:val="auto"/>
        </w:rPr>
        <w:t>For our anti-inflammatory checkpoint modulator antibody programs, our competitors include CC-90006 (BMS), which is an anti-PD-1 agonist antibody developed under our partnership with BMS, a BTLA modulator antibody called LY3361237 being developed by Eli Lilly, a PD-1 agonist antibody called LY3462817 also being developed by Eli Lilly and two PD-1 agonist antibodies called PT627 and PT001 being developed by Pandion Therapeutics who is being acquired by Merck. Our competitors in moderate-to-severe alopecia areata include topical and oral corticosteroids, topical immunotherapy (diphencyprone, dinitrochlorobenzene, squaric acid dibutyl ester), calcineurin inhibitors (tacrolimus, pimecrolimus), prostaglandins and janus kinase inhibitors (tofacitinib, rixolitinib) currently in development.</w:t>
      </w:r>
    </w:p>
    <w:p>
      <w:pPr>
        <w:spacing w:after="0" w:line="178"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4"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200" w:lineRule="exact"/>
        <w:rPr>
          <w:sz w:val="20"/>
          <w:szCs w:val="20"/>
          <w:color w:val="auto"/>
        </w:rPr>
      </w:pPr>
    </w:p>
    <w:p>
      <w:pPr>
        <w:spacing w:after="0" w:line="21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6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8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20" w:hanging="406"/>
        <w:spacing w:after="0" w:line="277"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98" w:lineRule="exact"/>
        <w:rPr>
          <w:sz w:val="20"/>
          <w:szCs w:val="20"/>
          <w:color w:val="auto"/>
        </w:rPr>
      </w:pPr>
    </w:p>
    <w:p>
      <w:pPr>
        <w:ind w:left="900" w:hanging="40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320" w:hanging="406"/>
        <w:spacing w:after="0" w:line="308"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manufacture of biologics is complex, and our third-party manufacturers may encounter difficulties in production. If any of our third-party manufacturers encounter such difficulties, including as a result of disruptions to supply chains, our ability to provide supply of our product candidates for clinical trials, our ability to obtain marketing approval, or our ability to provide supply of our products for patients, if approved, could be delayed or stopped.</w:t>
      </w:r>
    </w:p>
    <w:p>
      <w:pPr>
        <w:spacing w:after="0" w:line="76"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jc w:val="both"/>
        <w:ind w:right="460" w:firstLine="486"/>
        <w:spacing w:after="0" w:line="311"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We had $62.2 million in collaboration revenue and our net loss was $25.3 million for the nine months ended September 30, 2021 and a net loss of $53.6 million for the nine months ended September 30, 2020, with $15.0 million in collaboration revenue. As of September 30, 2021, we had an accumulated deficit of $289.2 million.</w:t>
      </w:r>
    </w:p>
    <w:p>
      <w:pPr>
        <w:spacing w:after="0" w:line="149"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have financed our operations primarily through our initial public offering of common stock in January 2017, our follow-on public offerings of common stock in October 2017 and September 2018, private placements of our preferred stock,the issuance of debt and our royalty monetization agreement.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5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7" w:name="page48"/>
    <w:bookmarkEnd w:id="47"/>
    <w:p>
      <w:pPr>
        <w:spacing w:after="0" w:line="30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product candidates, is approved for commercial sale, we anticipate incurring significant costs associated with the commercial launch of any product candidate.</w:t>
      </w:r>
    </w:p>
    <w:p>
      <w:pPr>
        <w:spacing w:after="0" w:line="17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firstLine="243"/>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as of September 30, 2021, together with the proceeds from our royalty monetization agreement,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182"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98" w:lineRule="exact"/>
        <w:rPr>
          <w:sz w:val="20"/>
          <w:szCs w:val="20"/>
          <w:color w:val="auto"/>
        </w:rPr>
      </w:pPr>
    </w:p>
    <w:p>
      <w:pPr>
        <w:ind w:left="660" w:right="1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JEMPERLI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2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Failure to complete our royalty monetization agreement with Sagard Healthcare Royalty Partners, which is subject to closing conditions, may materially and adversely impact our expected financial performance.</w:t>
      </w:r>
    </w:p>
    <w:p>
      <w:pPr>
        <w:spacing w:after="0" w:line="5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October 2021, we announced the signing of a royalty monetization agreement with Sagard Healthcare Royalty Partners where we would receive a $250 million payment upon closing. The closing of the royalty monetization transaction is subject to certain conditions, some of which are out of our control. There can be no assurance when or whether these conditions will be satisfied or, to the extent waivable, waived or the occurrence of any effect, event, development or change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transpire. While we anticipate closing the transaction by the end of 2021, there can be no assurance that the transaction will be completed on this timeline, or at all. If it is not completed for any reason, we would not receive our expected payments under the agreement, which could have a material adverse impact on our future expected financial performance.</w:t>
      </w:r>
    </w:p>
    <w:p>
      <w:pPr>
        <w:spacing w:after="0" w:line="288" w:lineRule="exact"/>
        <w:rPr>
          <w:sz w:val="20"/>
          <w:szCs w:val="20"/>
          <w:color w:val="auto"/>
        </w:rPr>
      </w:pPr>
    </w:p>
    <w:p>
      <w:pPr>
        <w:ind w:right="508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ind w:firstLine="486"/>
        <w:spacing w:after="0" w:line="287"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72"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0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8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candidates may be delayed. Furthermore, we may incur additional costs to remedy the damages caused by these disruptions or security breaches.</w:t>
      </w:r>
    </w:p>
    <w:p>
      <w:pPr>
        <w:spacing w:after="0" w:line="233"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92"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right="20" w:firstLine="486"/>
        <w:spacing w:after="0" w:line="283"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5"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17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addition to our current licensing arrangements with GSK and BMS, a part of our strategy is to enter into additional strategic product development and commercialization collaborations in the future, including collaborations to broaden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61"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either before or after product approval, if any, subject our company to administrative or judicially imposed sanctions, including:</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7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24"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1" w:lineRule="exact"/>
        <w:rPr>
          <w:sz w:val="20"/>
          <w:szCs w:val="20"/>
          <w:color w:val="auto"/>
        </w:rPr>
      </w:pPr>
    </w:p>
    <w:p>
      <w:pPr>
        <w:ind w:right="460"/>
        <w:spacing w:after="0" w:line="296" w:lineRule="auto"/>
        <w:rPr>
          <w:sz w:val="20"/>
          <w:szCs w:val="20"/>
          <w:color w:val="auto"/>
        </w:rPr>
      </w:pPr>
      <w:r>
        <w:rPr>
          <w:rFonts w:ascii="Arial" w:cs="Arial" w:eastAsia="Arial" w:hAnsi="Arial"/>
          <w:sz w:val="17"/>
          <w:szCs w:val="17"/>
          <w:b w:val="1"/>
          <w:bCs w:val="1"/>
          <w:color w:val="auto"/>
        </w:rPr>
        <w:t>We plan to seek Orphan Drug Designation for imsidolimab and certain of our other product candidates, and we may not be able to obtain or maintain Orphan Drug Designation or obtain the benefits associated with Orphan Drug status, including market exclusivity.</w:t>
      </w:r>
    </w:p>
    <w:p>
      <w:pPr>
        <w:spacing w:after="0" w:line="3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received Orphan Drug Designation from the FDA for imsidolimab for our GPP indication in 2020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7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have not been granted Orphan Drug Designation for imsidolimab for any indication other than GPP, and there can be no assurance that any of our other product candidates will be designated as an orphan drug. For example, we may seek FDA Orphan Drug Designation for imsidolimab for the treatment of other indications, which will likely require that we demonstrate to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18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0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(collectively, the “ACA”) was enacted, which was intended to broaden access to health insurance, reduce or constrain the growth of healthcare spending, enhanced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 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 by the Bipartisan Budget Act of 2018 (“BBA”),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There have been judicial and Congressional efforts to repeal, replace or change certain aspects of the ACA, including measures taken during the former presidential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Fifth Circuit U.S. Court of Appeals decision that held that the individual mandate is unconstitutional. In June 2021, the Supreme Court held that the petitioners in the case did not have standing to challenge the individual mandate and remanded the case for dismissal. However, it is uncertain whether there will be additional efforts to challenge, repeal or replace the ACA or how healthcare measures of the Biden administration will impact the ACA and our business. Additionally, the 2020 federal spending package permanently eliminated, effective January 1, 2020, the ACA-mandated “Cadillac” tax on certain high cost employer-sponsored insurance plans and the medical device excise tax, and effective January 1, 2021, also eliminates the health insurer tax. The BBA, among other things, also amended the ACA, effective January 1, 2019, by increasing from 50% to 70% the point-of-sale discount that is owed by pharmaceutical manufacturers who participate in Medicare Part D and closing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w:t>
      </w:r>
    </w:p>
    <w:p>
      <w:pPr>
        <w:spacing w:after="0" w:line="18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in 2013 and will remain in effect through 2030, with the exception of a temporary suspension implemented under various COVID-19 relief legislation from May 1, 2020 through December 31, 2021,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customers for our drugs, if approved, and accordingly, our financial operations.</w:t>
      </w:r>
    </w:p>
    <w:p>
      <w:pPr>
        <w:spacing w:after="0" w:line="18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There have been several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At the federal level, the former presidential administration’s budget proposal for fiscal year 2021 included a $135 billion allowance to support legislative proposals seeking to reduce drug prices, increase competition, lower out-of-pocket drug costs for patients, and increased patient access to lower cost generic and biosimilar drugs. In particular, on July 24, 2020 and September 13, 2020, the former presidential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The former presidential administration and the Biden Administration both issued executive orders intended to favor government procurement from domestic manufacturers. In addition, the former presidential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6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former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It is unclear to what extent these new regulations will be implemented and to what extent these or any future legislation or regulation by the Biden administration will have on our business, including our ability to generate revenue and achieve profitability. We expect additional state and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3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0"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The implementation of cost containment measures or other health care reforms may prevent us from being able to generate revenue, attain profitability, or commercialize our product candidates.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7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8" w:lineRule="exact"/>
        <w:rPr>
          <w:sz w:val="20"/>
          <w:szCs w:val="20"/>
          <w:color w:val="auto"/>
        </w:rPr>
      </w:pPr>
    </w:p>
    <w:p>
      <w:pPr>
        <w:jc w:val="both"/>
        <w:ind w:left="660" w:right="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187" w:lineRule="exact"/>
        <w:rPr>
          <w:sz w:val="20"/>
          <w:szCs w:val="20"/>
          <w:color w:val="auto"/>
        </w:rPr>
      </w:pPr>
    </w:p>
    <w:p>
      <w:pPr>
        <w:ind w:right="260" w:firstLine="486"/>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1"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 (“GDPR”), which became fully applicable in May 2018 and has been incorporated into the UK’s data protection laws following 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published draft updates to its standard contractual clauses that impose substantial additional obligations on the companies that wish to use the clauses as the basis for their data transfers.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information sharing and receive detailed information about how their personal information is used, and provides for civil penalties for violations, as well as a private right of action for data breaches that is expected to increase data breach litigation.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87" w:lineRule="exact"/>
        <w:rPr>
          <w:sz w:val="20"/>
          <w:szCs w:val="20"/>
          <w:color w:val="auto"/>
        </w:rPr>
      </w:pPr>
    </w:p>
    <w:p>
      <w:pPr>
        <w:ind w:right="240" w:firstLine="486"/>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6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16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30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7"/>
          <w:szCs w:val="17"/>
          <w:i w:val="1"/>
          <w:iCs w:val="1"/>
          <w:color w:val="auto"/>
        </w:rPr>
        <w:t>Association</w:t>
      </w:r>
      <w:r>
        <w:rPr>
          <w:rFonts w:ascii="Arial" w:cs="Arial" w:eastAsia="Arial" w:hAnsi="Arial"/>
          <w:sz w:val="17"/>
          <w:szCs w:val="17"/>
          <w:color w:val="auto"/>
        </w:rPr>
        <w:t xml:space="preserve"> </w:t>
      </w:r>
      <w:r>
        <w:rPr>
          <w:rFonts w:ascii="Arial" w:cs="Arial" w:eastAsia="Arial" w:hAnsi="Arial"/>
          <w:sz w:val="17"/>
          <w:szCs w:val="17"/>
          <w:i w:val="1"/>
          <w:iCs w:val="1"/>
          <w:color w:val="auto"/>
        </w:rPr>
        <w:t>for Molecular Pathology v. Myriad Genetics, Inc.</w:t>
      </w:r>
      <w:r>
        <w:rPr>
          <w:rFonts w:ascii="Arial" w:cs="Arial" w:eastAsia="Arial" w:hAnsi="Arial"/>
          <w:sz w:val="17"/>
          <w:szCs w:val="17"/>
          <w:color w:val="auto"/>
        </w:rPr>
        <w:t>,</w:t>
      </w:r>
      <w:r>
        <w:rPr>
          <w:rFonts w:ascii="Arial" w:cs="Arial" w:eastAsia="Arial" w:hAnsi="Arial"/>
          <w:sz w:val="17"/>
          <w:szCs w:val="17"/>
          <w:i w:val="1"/>
          <w:iCs w:val="1"/>
          <w:color w:val="auto"/>
        </w:rPr>
        <w:t xml:space="preserve"> BRCA1- &amp; BRCA2-Based Hereditary Cancer Test Patent Litig</w:t>
      </w:r>
      <w:r>
        <w:rPr>
          <w:rFonts w:ascii="Arial" w:cs="Arial" w:eastAsia="Arial" w:hAnsi="Arial"/>
          <w:sz w:val="17"/>
          <w:szCs w:val="17"/>
          <w:color w:val="auto"/>
        </w:rPr>
        <w:t>., Mayo Collaborative Services v.</w:t>
      </w:r>
      <w:r>
        <w:rPr>
          <w:rFonts w:ascii="Arial" w:cs="Arial" w:eastAsia="Arial" w:hAnsi="Arial"/>
          <w:sz w:val="17"/>
          <w:szCs w:val="17"/>
          <w:i w:val="1"/>
          <w:iCs w:val="1"/>
          <w:color w:val="auto"/>
        </w:rPr>
        <w:t xml:space="preserve"> </w:t>
      </w:r>
      <w:r>
        <w:rPr>
          <w:rFonts w:ascii="Arial" w:cs="Arial" w:eastAsia="Arial" w:hAnsi="Arial"/>
          <w:sz w:val="17"/>
          <w:szCs w:val="17"/>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7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30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and development collaborations or similar agreements. Despite our efforts to protect our trade secrets, our competitors may 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17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185" w:lineRule="exact"/>
        <w:rPr>
          <w:sz w:val="20"/>
          <w:szCs w:val="20"/>
          <w:color w:val="auto"/>
        </w:rPr>
      </w:pPr>
    </w:p>
    <w:p>
      <w:pPr>
        <w:jc w:val="both"/>
        <w:ind w:right="200" w:firstLine="486"/>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5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200" w:lineRule="exact"/>
        <w:rPr>
          <w:sz w:val="20"/>
          <w:szCs w:val="20"/>
          <w:color w:val="auto"/>
        </w:rPr>
      </w:pPr>
    </w:p>
    <w:p>
      <w:pPr>
        <w:spacing w:after="0" w:line="210"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that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178"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8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9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7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60" w:firstLine="486"/>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1, “Legal Proceedings.” This or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1, “Legal Proceedings.” Regardless of the outcome, these matters or future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0"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0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2020, we have federal NOLs of approximately $248.4 million, which expire beginning December 31, 2028 through December 31, 2037, if not used to reduce income taxes payable in the future.</w:t>
      </w:r>
    </w:p>
    <w:p>
      <w:pPr>
        <w:spacing w:after="0" w:line="181" w:lineRule="exact"/>
        <w:rPr>
          <w:sz w:val="20"/>
          <w:szCs w:val="20"/>
          <w:color w:val="auto"/>
        </w:rPr>
      </w:pPr>
    </w:p>
    <w:p>
      <w:pPr>
        <w:ind w:right="160" w:firstLine="567"/>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8"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73" w:name="page74"/>
    <w:bookmarkEnd w:id="73"/>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40" w:type="dxa"/>
            <w:vAlign w:val="bottom"/>
            <w:gridSpan w:val="5"/>
          </w:tcPr>
          <w:p>
            <w:pPr>
              <w:ind w:left="3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9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10040" w:type="dxa"/>
            <w:vAlign w:val="bottom"/>
            <w:gridSpan w:val="5"/>
          </w:tcPr>
          <w:p>
            <w:pPr>
              <w:ind w:left="43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76"/>
        </w:trPr>
        <w:tc>
          <w:tcPr>
            <w:tcW w:w="11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000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76">
              <w:r>
                <w:rPr>
                  <w:rFonts w:ascii="Arial" w:cs="Arial" w:eastAsia="Arial" w:hAnsi="Arial"/>
                  <w:sz w:val="16"/>
                  <w:szCs w:val="16"/>
                  <w:color w:val="0000FF"/>
                  <w:w w:val="92"/>
                </w:rPr>
                <w:t>Certification of Principal Executive Officer, pursuant to Rule 13a-14(a)/15d-14(a), as adopted pursuant to Section 302 of the Sarbanes-Oxley Act of 2002.</w:t>
              </w:r>
            </w:hyperlink>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960" w:type="dxa"/>
            <w:vAlign w:val="bottom"/>
            <w:gridSpan w:val="3"/>
            <w:vMerge w:val="restart"/>
          </w:tcPr>
          <w:p>
            <w:pPr>
              <w:spacing w:after="0"/>
              <w:rPr>
                <w:rFonts w:ascii="Arial" w:cs="Arial" w:eastAsia="Arial" w:hAnsi="Arial"/>
                <w:sz w:val="16"/>
                <w:szCs w:val="16"/>
                <w:color w:val="0000FF"/>
                <w:w w:val="92"/>
              </w:rPr>
            </w:pPr>
            <w:hyperlink w:anchor="page77">
              <w:r>
                <w:rPr>
                  <w:rFonts w:ascii="Arial" w:cs="Arial" w:eastAsia="Arial" w:hAnsi="Arial"/>
                  <w:sz w:val="16"/>
                  <w:szCs w:val="16"/>
                  <w:color w:val="0000FF"/>
                  <w:w w:val="92"/>
                </w:rPr>
                <w:t>Certification of Principal Financial Officer, pursuant to Rule 13a-14(a)/15d-14(a), as adopted pursuant to Section 302 of the Sarbanes-Oxley Act of 2002.</w:t>
              </w:r>
            </w:hyperlink>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9960" w:type="dxa"/>
            <w:vAlign w:val="bottom"/>
            <w:tcBorders>
              <w:bottom w:val="single" w:sz="8" w:color="0000FF"/>
            </w:tcBorders>
            <w:gridSpan w:val="3"/>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78">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040" w:type="dxa"/>
            <w:vAlign w:val="bottom"/>
            <w:gridSpan w:val="5"/>
          </w:tcPr>
          <w:p>
            <w:pPr>
              <w:spacing w:after="0"/>
              <w:rPr>
                <w:rFonts w:ascii="Arial" w:cs="Arial" w:eastAsia="Arial" w:hAnsi="Arial"/>
                <w:sz w:val="16"/>
                <w:szCs w:val="16"/>
                <w:color w:val="0000FF"/>
                <w:w w:val="96"/>
              </w:rPr>
            </w:pPr>
            <w:hyperlink w:anchor="page79">
              <w:r>
                <w:rPr>
                  <w:rFonts w:ascii="Arial" w:cs="Arial" w:eastAsia="Arial" w:hAnsi="Arial"/>
                  <w:sz w:val="16"/>
                  <w:szCs w:val="16"/>
                  <w:color w:val="0000FF"/>
                  <w:w w:val="96"/>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160" w:type="dxa"/>
            <w:vAlign w:val="bottom"/>
          </w:tcPr>
          <w:p>
            <w:pPr>
              <w:spacing w:after="0"/>
              <w:rPr>
                <w:sz w:val="20"/>
                <w:szCs w:val="20"/>
                <w:color w:val="auto"/>
              </w:rPr>
            </w:pPr>
            <w:r>
              <w:rPr>
                <w:rFonts w:ascii="Arial" w:cs="Arial" w:eastAsia="Arial" w:hAnsi="Arial"/>
                <w:sz w:val="16"/>
                <w:szCs w:val="16"/>
                <w:color w:val="auto"/>
              </w:rPr>
              <w:t>101.INS</w:t>
            </w:r>
          </w:p>
        </w:tc>
        <w:tc>
          <w:tcPr>
            <w:tcW w:w="10040" w:type="dxa"/>
            <w:vAlign w:val="bottom"/>
            <w:gridSpan w:val="5"/>
          </w:tcPr>
          <w:p>
            <w:pPr>
              <w:spacing w:after="0"/>
              <w:rPr>
                <w:sz w:val="20"/>
                <w:szCs w:val="20"/>
                <w:color w:val="auto"/>
              </w:rPr>
            </w:pPr>
            <w:r>
              <w:rPr>
                <w:rFonts w:ascii="Arial" w:cs="Arial" w:eastAsia="Arial" w:hAnsi="Arial"/>
                <w:sz w:val="16"/>
                <w:szCs w:val="16"/>
                <w:color w:val="auto"/>
                <w:w w:val="91"/>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10040" w:type="dxa"/>
            <w:vAlign w:val="bottom"/>
            <w:gridSpan w:val="5"/>
          </w:tcPr>
          <w:p>
            <w:pPr>
              <w:spacing w:after="0"/>
              <w:rPr>
                <w:sz w:val="20"/>
                <w:szCs w:val="20"/>
                <w:color w:val="auto"/>
              </w:rPr>
            </w:pPr>
            <w:r>
              <w:rPr>
                <w:rFonts w:ascii="Arial" w:cs="Arial" w:eastAsia="Arial" w:hAnsi="Arial"/>
                <w:sz w:val="16"/>
                <w:szCs w:val="16"/>
                <w:color w:val="auto"/>
              </w:rPr>
              <w:t>the Inline XBRL document</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101.SCH</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Arial" w:cs="Arial" w:eastAsia="Arial" w:hAnsi="Arial"/>
                <w:sz w:val="16"/>
                <w:szCs w:val="16"/>
                <w:color w:val="auto"/>
              </w:rPr>
              <w:t>101.CAL</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101.LAB</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101.PRE</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101.DEF</w:t>
            </w:r>
          </w:p>
        </w:tc>
        <w:tc>
          <w:tcPr>
            <w:tcW w:w="1004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6"/>
                <w:szCs w:val="16"/>
                <w:color w:val="auto"/>
              </w:rPr>
              <w:t>104</w:t>
            </w:r>
          </w:p>
        </w:tc>
        <w:tc>
          <w:tcPr>
            <w:tcW w:w="10040" w:type="dxa"/>
            <w:vAlign w:val="bottom"/>
            <w:gridSpan w:val="5"/>
          </w:tcPr>
          <w:p>
            <w:pPr>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Arial" w:cs="Arial" w:eastAsia="Arial" w:hAnsi="Arial"/>
          <w:sz w:val="18"/>
          <w:szCs w:val="18"/>
          <w:color w:val="auto"/>
        </w:rPr>
        <w:t>Date:</w:t>
        <w:tab/>
        <w:t>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23495</wp:posOffset>
            </wp:positionV>
            <wp:extent cx="37890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340"/>
          </w:cols>
          <w:pgMar w:left="320" w:top="1440" w:right="1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6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14605</wp:posOffset>
            </wp:positionV>
            <wp:extent cx="43376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160" w:hanging="406"/>
        <w:spacing w:after="0" w:line="342" w:lineRule="auto"/>
        <w:tabs>
          <w:tab w:leader="none" w:pos="8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160" w:hanging="406"/>
        <w:spacing w:after="0" w:line="342" w:lineRule="auto"/>
        <w:tabs>
          <w:tab w:leader="none" w:pos="8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2021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2021-11-04T15:45:59Z</dcterms:created>
  <dcterms:modified xsi:type="dcterms:W3CDTF">2021-11-04T15:45:59Z</dcterms:modified>
</cp:coreProperties>
</file>