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40"/>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SCHEDULE 13G</w:t>
      </w:r>
    </w:p>
    <w:p>
      <w:pPr>
        <w:spacing w:after="0" w:line="20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(Amendment No. 2)</w:t>
      </w:r>
      <w:r>
        <w:rPr>
          <w:rFonts w:ascii="Arial" w:cs="Arial" w:eastAsia="Arial" w:hAnsi="Arial"/>
          <w:sz w:val="18"/>
          <w:szCs w:val="18"/>
          <w:color w:val="auto"/>
        </w:rPr>
        <w:t>*</w:t>
      </w:r>
    </w:p>
    <w:p>
      <w:pPr>
        <w:spacing w:after="0" w:line="222"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086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6"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(Name of Issuer)</w:t>
      </w:r>
    </w:p>
    <w:p>
      <w:pPr>
        <w:spacing w:after="0" w:line="2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(Title of Class of Securities)</w:t>
      </w:r>
    </w:p>
    <w:p>
      <w:pPr>
        <w:spacing w:after="0" w:line="21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2282825</wp:posOffset>
            </wp:positionH>
            <wp:positionV relativeFrom="paragraph">
              <wp:posOffset>16510</wp:posOffset>
            </wp:positionV>
            <wp:extent cx="2197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6"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(CUSIP Number)</w:t>
      </w:r>
    </w:p>
    <w:p>
      <w:pPr>
        <w:spacing w:after="0" w:line="20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086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2"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49" w:lineRule="exact"/>
        <w:rPr>
          <w:sz w:val="24"/>
          <w:szCs w:val="24"/>
          <w:color w:val="auto"/>
        </w:rPr>
      </w:pPr>
    </w:p>
    <w:p>
      <w:pPr>
        <w:jc w:val="both"/>
        <w:ind w:right="9400"/>
        <w:spacing w:after="0" w:line="654" w:lineRule="auto"/>
        <w:tabs>
          <w:tab w:leader="none" w:pos="48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0" w:lineRule="exact"/>
        <w:rPr>
          <w:sz w:val="24"/>
          <w:szCs w:val="24"/>
          <w:color w:val="auto"/>
        </w:rPr>
      </w:pPr>
    </w:p>
    <w:p>
      <w:pPr>
        <w:ind w:right="380" w:firstLine="644"/>
        <w:spacing w:after="0" w:line="318" w:lineRule="auto"/>
        <w:tabs>
          <w:tab w:leader="none" w:pos="82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p>
    <w:p>
      <w:pPr>
        <w:ind w:firstLine="805"/>
        <w:spacing w:after="0" w:line="22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7086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880"/>
          </w:cols>
          <w:pgMar w:left="520" w:top="223" w:right="840" w:bottom="1440" w:gutter="0" w:footer="0" w:header="0"/>
        </w:sectPr>
      </w:pPr>
    </w:p>
    <w:bookmarkStart w:id="1" w:name="page2"/>
    <w:bookmarkEnd w:id="1"/>
    <w:p>
      <w:pPr>
        <w:ind w:left="760" w:hanging="76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8255"/>
                    </a:xfrm>
                    <a:prstGeom prst="rect">
                      <a:avLst/>
                    </a:prstGeom>
                    <a:noFill/>
                  </pic:spPr>
                </pic:pic>
              </a:graphicData>
            </a:graphic>
          </wp:anchor>
        </w:drawing>
        <w:t>Names of Reporting Persons.</w:t>
      </w:r>
    </w:p>
    <w:p>
      <w:pPr>
        <w:spacing w:after="0" w:line="61" w:lineRule="exact"/>
        <w:rPr>
          <w:rFonts w:ascii="Arial" w:cs="Arial" w:eastAsia="Arial" w:hAnsi="Arial"/>
          <w:sz w:val="18"/>
          <w:szCs w:val="18"/>
          <w:color w:val="auto"/>
        </w:rPr>
      </w:pPr>
    </w:p>
    <w:p>
      <w:pPr>
        <w:ind w:left="760" w:right="6300"/>
        <w:spacing w:after="0" w:line="568"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086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ind w:left="760" w:hanging="760"/>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4" w:lineRule="exact"/>
        <w:rPr>
          <w:rFonts w:ascii="Arial" w:cs="Arial" w:eastAsia="Arial" w:hAnsi="Arial"/>
          <w:sz w:val="16"/>
          <w:szCs w:val="16"/>
          <w:color w:val="auto"/>
        </w:rPr>
      </w:pPr>
    </w:p>
    <w:p>
      <w:pPr>
        <w:ind w:left="1240" w:hanging="475"/>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1240" w:hanging="475"/>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086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82" w:lineRule="exact"/>
        <w:rPr>
          <w:sz w:val="20"/>
          <w:szCs w:val="20"/>
          <w:color w:val="auto"/>
        </w:rPr>
      </w:pPr>
    </w:p>
    <w:p>
      <w:pPr>
        <w:ind w:left="760" w:hanging="76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55" w:lineRule="exact"/>
        <w:rPr>
          <w:sz w:val="20"/>
          <w:szCs w:val="20"/>
          <w:color w:val="auto"/>
        </w:rPr>
      </w:pPr>
    </w:p>
    <w:p>
      <w:pPr>
        <w:ind w:left="760" w:right="7740" w:hanging="760"/>
        <w:spacing w:after="0" w:line="52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 Sole Voting Power</w:t>
      </w:r>
    </w:p>
    <w:p>
      <w:pPr>
        <w:spacing w:after="0" w:line="24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5834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ectPr>
          <w:pgSz w:w="12240" w:h="15840" w:orient="portrait"/>
          <w:cols w:equalWidth="0" w:num="1">
            <w:col w:w="11160"/>
          </w:cols>
          <w:pgMar w:left="520" w:top="52" w:right="56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1,025,273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834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1,025,273 shares</w:t>
      </w:r>
    </w:p>
    <w:p>
      <w:pPr>
        <w:spacing w:after="0" w:line="200" w:lineRule="exact"/>
        <w:rPr>
          <w:sz w:val="20"/>
          <w:szCs w:val="20"/>
          <w:color w:val="auto"/>
        </w:rPr>
      </w:pPr>
    </w:p>
    <w:p>
      <w:pPr>
        <w:sectPr>
          <w:pgSz w:w="12240" w:h="15840" w:orient="portrait"/>
          <w:cols w:equalWidth="0" w:num="2">
            <w:col w:w="1420" w:space="560"/>
            <w:col w:w="9180"/>
          </w:cols>
          <w:pgMar w:left="520" w:top="52" w:right="560"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Borders>
              <w:bottom w:val="single" w:sz="8" w:color="auto"/>
            </w:tcBorders>
          </w:tcPr>
          <w:p>
            <w:pPr>
              <w:spacing w:after="0"/>
              <w:rPr>
                <w:sz w:val="19"/>
                <w:szCs w:val="19"/>
                <w:color w:val="auto"/>
              </w:rPr>
            </w:pPr>
          </w:p>
        </w:tc>
        <w:tc>
          <w:tcPr>
            <w:tcW w:w="106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Refer to Item 4 below.</w:t>
            </w:r>
          </w:p>
        </w:tc>
      </w:tr>
      <w:tr>
        <w:trPr>
          <w:trHeight w:val="262"/>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680" w:type="dxa"/>
            <w:vAlign w:val="bottom"/>
          </w:tcPr>
          <w:p>
            <w:pPr>
              <w:ind w:left="28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29"/>
        </w:trPr>
        <w:tc>
          <w:tcPr>
            <w:tcW w:w="480" w:type="dxa"/>
            <w:vAlign w:val="bottom"/>
          </w:tcPr>
          <w:p>
            <w:pPr>
              <w:spacing w:after="0"/>
              <w:rPr>
                <w:sz w:val="24"/>
                <w:szCs w:val="24"/>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1,025,273 shares</w:t>
            </w:r>
          </w:p>
        </w:tc>
      </w:tr>
      <w:tr>
        <w:trPr>
          <w:trHeight w:val="483"/>
        </w:trPr>
        <w:tc>
          <w:tcPr>
            <w:tcW w:w="48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Refer to Item 4 below.</w:t>
            </w:r>
          </w:p>
        </w:tc>
      </w:tr>
      <w:tr>
        <w:trPr>
          <w:trHeight w:val="262"/>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0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Check if the Aggregate Amount in Row (9) Excludes Certain Shares (See Instructions)   [ ] N/A</w:t>
            </w:r>
          </w:p>
        </w:tc>
      </w:tr>
    </w:tbl>
    <w:p>
      <w:pPr>
        <w:spacing w:after="0" w:line="39" w:lineRule="exact"/>
        <w:rPr>
          <w:sz w:val="20"/>
          <w:szCs w:val="20"/>
          <w:color w:val="auto"/>
        </w:rPr>
      </w:pPr>
    </w:p>
    <w:p>
      <w:pPr>
        <w:ind w:left="760" w:right="6540" w:hanging="760"/>
        <w:spacing w:after="0" w:line="52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3.83%</w:t>
      </w:r>
    </w:p>
    <w:p>
      <w:pPr>
        <w:spacing w:after="0" w:line="1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4" w:lineRule="exact"/>
        <w:rPr>
          <w:rFonts w:ascii="Arial" w:cs="Arial" w:eastAsia="Arial" w:hAnsi="Arial"/>
          <w:sz w:val="18"/>
          <w:szCs w:val="18"/>
          <w:color w:val="auto"/>
        </w:rPr>
      </w:pPr>
    </w:p>
    <w:p>
      <w:pPr>
        <w:ind w:left="760" w:right="7240" w:hanging="760"/>
        <w:spacing w:after="0" w:line="64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086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-742315</wp:posOffset>
            </wp:positionV>
            <wp:extent cx="7086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70866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52" w:right="560" w:bottom="1440" w:gutter="0" w:footer="0" w:header="0"/>
          <w:type w:val="continuous"/>
        </w:sectPr>
      </w:pPr>
    </w:p>
    <w:bookmarkStart w:id="2" w:name="page3"/>
    <w:bookmarkEnd w:id="2"/>
    <w:p>
      <w:pPr>
        <w:ind w:left="760" w:hanging="76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136525</wp:posOffset>
            </wp:positionV>
            <wp:extent cx="70866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8255"/>
                    </a:xfrm>
                    <a:prstGeom prst="rect">
                      <a:avLst/>
                    </a:prstGeom>
                    <a:noFill/>
                  </pic:spPr>
                </pic:pic>
              </a:graphicData>
            </a:graphic>
          </wp:anchor>
        </w:drawing>
        <w:t>Names of Reporting Persons.</w:t>
      </w:r>
    </w:p>
    <w:p>
      <w:pPr>
        <w:spacing w:after="0" w:line="61" w:lineRule="exact"/>
        <w:rPr>
          <w:rFonts w:ascii="Arial" w:cs="Arial" w:eastAsia="Arial" w:hAnsi="Arial"/>
          <w:sz w:val="18"/>
          <w:szCs w:val="18"/>
          <w:color w:val="auto"/>
        </w:rPr>
      </w:pPr>
    </w:p>
    <w:p>
      <w:pPr>
        <w:ind w:left="760" w:right="5420"/>
        <w:spacing w:after="0" w:line="52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 w:lineRule="exact"/>
        <w:rPr>
          <w:sz w:val="20"/>
          <w:szCs w:val="20"/>
          <w:color w:val="auto"/>
        </w:rPr>
      </w:pPr>
    </w:p>
    <w:p>
      <w:pPr>
        <w:ind w:left="760" w:hanging="760"/>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4" w:lineRule="exact"/>
        <w:rPr>
          <w:rFonts w:ascii="Arial" w:cs="Arial" w:eastAsia="Arial" w:hAnsi="Arial"/>
          <w:sz w:val="16"/>
          <w:szCs w:val="16"/>
          <w:color w:val="auto"/>
        </w:rPr>
      </w:pPr>
    </w:p>
    <w:p>
      <w:pPr>
        <w:ind w:left="1240" w:hanging="475"/>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1240" w:hanging="475"/>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0866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82" w:lineRule="exact"/>
        <w:rPr>
          <w:sz w:val="20"/>
          <w:szCs w:val="20"/>
          <w:color w:val="auto"/>
        </w:rPr>
      </w:pPr>
    </w:p>
    <w:p>
      <w:pPr>
        <w:ind w:left="760" w:hanging="76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55" w:lineRule="exact"/>
        <w:rPr>
          <w:sz w:val="20"/>
          <w:szCs w:val="20"/>
          <w:color w:val="auto"/>
        </w:rPr>
      </w:pPr>
    </w:p>
    <w:p>
      <w:pPr>
        <w:ind w:left="760" w:right="6860" w:hanging="760"/>
        <w:spacing w:after="0" w:line="52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0280"/>
          </w:cols>
          <w:pgMar w:left="520" w:top="2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 Sole Voting Power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1,025,273 shares</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834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1,025,273 shares</w:t>
      </w:r>
    </w:p>
    <w:p>
      <w:pPr>
        <w:spacing w:after="0" w:line="200" w:lineRule="exact"/>
        <w:rPr>
          <w:sz w:val="20"/>
          <w:szCs w:val="20"/>
          <w:color w:val="auto"/>
        </w:rPr>
      </w:pPr>
    </w:p>
    <w:p>
      <w:pPr>
        <w:sectPr>
          <w:pgSz w:w="12240" w:h="15840" w:orient="portrait"/>
          <w:cols w:equalWidth="0" w:num="2">
            <w:col w:w="1420" w:space="560"/>
            <w:col w:w="8300"/>
          </w:cols>
          <w:pgMar w:left="520" w:top="267" w:right="1440" w:bottom="1440" w:gutter="0" w:footer="0" w:header="0"/>
          <w:type w:val="continuous"/>
        </w:sectPr>
      </w:pPr>
    </w:p>
    <w:p>
      <w:pPr>
        <w:spacing w:after="0" w:line="29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55" w:lineRule="exact"/>
        <w:rPr>
          <w:sz w:val="20"/>
          <w:szCs w:val="20"/>
          <w:color w:val="auto"/>
        </w:rPr>
      </w:pPr>
    </w:p>
    <w:p>
      <w:pPr>
        <w:ind w:left="760" w:right="4740" w:hanging="760"/>
        <w:spacing w:after="0" w:line="52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1,025,273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Refer to Item 4 below.</w:t>
            </w:r>
          </w:p>
        </w:tc>
      </w:tr>
      <w:tr>
        <w:trPr>
          <w:trHeight w:val="282"/>
        </w:trPr>
        <w:tc>
          <w:tcPr>
            <w:tcW w:w="480" w:type="dxa"/>
            <w:vAlign w:val="bottom"/>
          </w:tcPr>
          <w:p>
            <w:pPr>
              <w:jc w:val="right"/>
              <w:ind w:right="211"/>
              <w:spacing w:after="0"/>
              <w:rPr>
                <w:sz w:val="20"/>
                <w:szCs w:val="20"/>
                <w:color w:val="auto"/>
              </w:rPr>
            </w:pPr>
            <w:r>
              <w:rPr>
                <w:rFonts w:ascii="Arial" w:cs="Arial" w:eastAsia="Arial" w:hAnsi="Arial"/>
                <w:sz w:val="18"/>
                <w:szCs w:val="18"/>
                <w:color w:val="auto"/>
                <w:w w:val="79"/>
              </w:rPr>
              <w:t>10</w:t>
            </w:r>
          </w:p>
        </w:tc>
        <w:tc>
          <w:tcPr>
            <w:tcW w:w="7240" w:type="dxa"/>
            <w:vAlign w:val="bottom"/>
          </w:tcPr>
          <w:p>
            <w:pPr>
              <w:ind w:left="280"/>
              <w:spacing w:after="0"/>
              <w:rPr>
                <w:sz w:val="20"/>
                <w:szCs w:val="20"/>
                <w:color w:val="auto"/>
              </w:rPr>
            </w:pPr>
            <w:r>
              <w:rPr>
                <w:rFonts w:ascii="Arial" w:cs="Arial" w:eastAsia="Arial" w:hAnsi="Arial"/>
                <w:sz w:val="18"/>
                <w:szCs w:val="18"/>
                <w:color w:val="auto"/>
                <w:w w:val="92"/>
              </w:rPr>
              <w:t>Check if the Aggregate Amount in Row (9) Excludes Certain Shares (See Instructions)   [ ]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086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7086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2" w:lineRule="exact"/>
        <w:rPr>
          <w:sz w:val="20"/>
          <w:szCs w:val="20"/>
          <w:color w:val="auto"/>
        </w:rPr>
      </w:pPr>
    </w:p>
    <w:p>
      <w:pPr>
        <w:ind w:left="760" w:right="5660" w:hanging="760"/>
        <w:spacing w:after="0" w:line="52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3.83%</w:t>
      </w:r>
    </w:p>
    <w:p>
      <w:pPr>
        <w:spacing w:after="0" w:line="1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4" w:lineRule="exact"/>
        <w:rPr>
          <w:rFonts w:ascii="Arial" w:cs="Arial" w:eastAsia="Arial" w:hAnsi="Arial"/>
          <w:sz w:val="18"/>
          <w:szCs w:val="18"/>
          <w:color w:val="auto"/>
        </w:rPr>
      </w:pPr>
    </w:p>
    <w:p>
      <w:pPr>
        <w:ind w:left="760" w:right="6360" w:hanging="760"/>
        <w:spacing w:after="0" w:line="759"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086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-771525</wp:posOffset>
            </wp:positionV>
            <wp:extent cx="7086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394335</wp:posOffset>
            </wp:positionV>
            <wp:extent cx="70866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267" w:right="1440" w:bottom="1440" w:gutter="0" w:footer="0" w:header="0"/>
          <w:type w:val="continuous"/>
        </w:sectPr>
      </w:pPr>
    </w:p>
    <w:bookmarkStart w:id="3" w:name="page4"/>
    <w:bookmarkEnd w:id="3"/>
    <w:p>
      <w:pPr>
        <w:ind w:left="760" w:hanging="76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272415</wp:posOffset>
            </wp:positionV>
            <wp:extent cx="7086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8255"/>
                    </a:xfrm>
                    <a:prstGeom prst="rect">
                      <a:avLst/>
                    </a:prstGeom>
                    <a:noFill/>
                  </pic:spPr>
                </pic:pic>
              </a:graphicData>
            </a:graphic>
          </wp:anchor>
        </w:drawing>
        <w:t>Names of Reporting Persons.</w:t>
      </w:r>
    </w:p>
    <w:p>
      <w:pPr>
        <w:spacing w:after="0" w:line="61" w:lineRule="exact"/>
        <w:rPr>
          <w:rFonts w:ascii="Arial" w:cs="Arial" w:eastAsia="Arial" w:hAnsi="Arial"/>
          <w:sz w:val="18"/>
          <w:szCs w:val="18"/>
          <w:color w:val="auto"/>
        </w:rPr>
      </w:pPr>
    </w:p>
    <w:p>
      <w:pPr>
        <w:ind w:left="760" w:right="6300"/>
        <w:spacing w:after="0" w:line="52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 w:lineRule="exact"/>
        <w:rPr>
          <w:sz w:val="20"/>
          <w:szCs w:val="20"/>
          <w:color w:val="auto"/>
        </w:rPr>
      </w:pPr>
    </w:p>
    <w:p>
      <w:pPr>
        <w:ind w:left="760" w:hanging="760"/>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4" w:lineRule="exact"/>
        <w:rPr>
          <w:rFonts w:ascii="Arial" w:cs="Arial" w:eastAsia="Arial" w:hAnsi="Arial"/>
          <w:sz w:val="16"/>
          <w:szCs w:val="16"/>
          <w:color w:val="auto"/>
        </w:rPr>
      </w:pPr>
    </w:p>
    <w:p>
      <w:pPr>
        <w:ind w:left="1240" w:hanging="475"/>
        <w:spacing w:after="0"/>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1240" w:hanging="475"/>
        <w:spacing w:after="0"/>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086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82" w:lineRule="exact"/>
        <w:rPr>
          <w:sz w:val="20"/>
          <w:szCs w:val="20"/>
          <w:color w:val="auto"/>
        </w:rPr>
      </w:pPr>
    </w:p>
    <w:p>
      <w:pPr>
        <w:ind w:left="760" w:hanging="76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55" w:lineRule="exact"/>
        <w:rPr>
          <w:sz w:val="20"/>
          <w:szCs w:val="20"/>
          <w:color w:val="auto"/>
        </w:rPr>
      </w:pPr>
    </w:p>
    <w:p>
      <w:pPr>
        <w:ind w:left="760" w:right="7740" w:hanging="760"/>
        <w:spacing w:after="0" w:line="52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 Sole Voting Power</w:t>
      </w:r>
    </w:p>
    <w:p>
      <w:pPr>
        <w:spacing w:after="0" w:line="24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58343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ectPr>
          <w:pgSz w:w="12240" w:h="15840" w:orient="portrait"/>
          <w:cols w:equalWidth="0" w:num="1">
            <w:col w:w="11160"/>
          </w:cols>
          <w:pgMar w:left="520" w:top="481" w:right="56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1,105,557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8343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1,105,557 shares</w:t>
      </w:r>
    </w:p>
    <w:p>
      <w:pPr>
        <w:spacing w:after="0" w:line="200" w:lineRule="exact"/>
        <w:rPr>
          <w:sz w:val="20"/>
          <w:szCs w:val="20"/>
          <w:color w:val="auto"/>
        </w:rPr>
      </w:pPr>
    </w:p>
    <w:p>
      <w:pPr>
        <w:sectPr>
          <w:pgSz w:w="12240" w:h="15840" w:orient="portrait"/>
          <w:cols w:equalWidth="0" w:num="2">
            <w:col w:w="1420" w:space="560"/>
            <w:col w:w="9180"/>
          </w:cols>
          <w:pgMar w:left="520" w:top="481" w:right="560"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Borders>
              <w:bottom w:val="single" w:sz="8" w:color="auto"/>
            </w:tcBorders>
          </w:tcPr>
          <w:p>
            <w:pPr>
              <w:spacing w:after="0"/>
              <w:rPr>
                <w:sz w:val="19"/>
                <w:szCs w:val="19"/>
                <w:color w:val="auto"/>
              </w:rPr>
            </w:pPr>
          </w:p>
        </w:tc>
        <w:tc>
          <w:tcPr>
            <w:tcW w:w="106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Refer to Item 4 below.</w:t>
            </w:r>
          </w:p>
        </w:tc>
      </w:tr>
      <w:tr>
        <w:trPr>
          <w:trHeight w:val="262"/>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680" w:type="dxa"/>
            <w:vAlign w:val="bottom"/>
          </w:tcPr>
          <w:p>
            <w:pPr>
              <w:ind w:left="28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29"/>
        </w:trPr>
        <w:tc>
          <w:tcPr>
            <w:tcW w:w="480" w:type="dxa"/>
            <w:vAlign w:val="bottom"/>
          </w:tcPr>
          <w:p>
            <w:pPr>
              <w:spacing w:after="0"/>
              <w:rPr>
                <w:sz w:val="24"/>
                <w:szCs w:val="24"/>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1,105,557 shares</w:t>
            </w:r>
          </w:p>
        </w:tc>
      </w:tr>
      <w:tr>
        <w:trPr>
          <w:trHeight w:val="483"/>
        </w:trPr>
        <w:tc>
          <w:tcPr>
            <w:tcW w:w="48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Refer to Item 4 below.</w:t>
            </w:r>
          </w:p>
        </w:tc>
      </w:tr>
      <w:tr>
        <w:trPr>
          <w:trHeight w:val="262"/>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0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Check if the Aggregate Amount in Row (9) Excludes Certain Shares (See Instructions)   [ ] N/A</w:t>
            </w:r>
          </w:p>
        </w:tc>
      </w:tr>
    </w:tbl>
    <w:p>
      <w:pPr>
        <w:spacing w:after="0" w:line="39" w:lineRule="exact"/>
        <w:rPr>
          <w:sz w:val="20"/>
          <w:szCs w:val="20"/>
          <w:color w:val="auto"/>
        </w:rPr>
      </w:pPr>
    </w:p>
    <w:p>
      <w:pPr>
        <w:ind w:left="760" w:right="6540" w:hanging="760"/>
        <w:spacing w:after="0" w:line="559"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 4.13%</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4" w:lineRule="exact"/>
        <w:rPr>
          <w:rFonts w:ascii="Arial" w:cs="Arial" w:eastAsia="Arial" w:hAnsi="Arial"/>
          <w:sz w:val="18"/>
          <w:szCs w:val="18"/>
          <w:color w:val="auto"/>
        </w:rPr>
      </w:pPr>
    </w:p>
    <w:p>
      <w:pPr>
        <w:ind w:left="760" w:right="7240" w:hanging="760"/>
        <w:spacing w:after="0" w:line="759"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0866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-771525</wp:posOffset>
            </wp:positionV>
            <wp:extent cx="7086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394335</wp:posOffset>
            </wp:positionV>
            <wp:extent cx="70866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481" w:right="560" w:bottom="1440" w:gutter="0" w:footer="0" w:header="0"/>
          <w:type w:val="continuous"/>
        </w:sectPr>
      </w:pPr>
    </w:p>
    <w:bookmarkStart w:id="4" w:name="page5"/>
    <w:bookmarkEnd w:id="4"/>
    <w:p>
      <w:pPr>
        <w:ind w:left="760" w:hanging="76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272415</wp:posOffset>
            </wp:positionV>
            <wp:extent cx="7086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8255"/>
                    </a:xfrm>
                    <a:prstGeom prst="rect">
                      <a:avLst/>
                    </a:prstGeom>
                    <a:noFill/>
                  </pic:spPr>
                </pic:pic>
              </a:graphicData>
            </a:graphic>
          </wp:anchor>
        </w:drawing>
        <w:t>Names of Reporting Persons.</w:t>
      </w:r>
    </w:p>
    <w:p>
      <w:pPr>
        <w:spacing w:after="0" w:line="61" w:lineRule="exact"/>
        <w:rPr>
          <w:rFonts w:ascii="Arial" w:cs="Arial" w:eastAsia="Arial" w:hAnsi="Arial"/>
          <w:sz w:val="18"/>
          <w:szCs w:val="18"/>
          <w:color w:val="auto"/>
        </w:rPr>
      </w:pPr>
    </w:p>
    <w:p>
      <w:pPr>
        <w:ind w:left="760" w:right="6300"/>
        <w:spacing w:after="0" w:line="52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 w:lineRule="exact"/>
        <w:rPr>
          <w:sz w:val="20"/>
          <w:szCs w:val="20"/>
          <w:color w:val="auto"/>
        </w:rPr>
      </w:pPr>
    </w:p>
    <w:p>
      <w:pPr>
        <w:ind w:left="760" w:hanging="76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84" w:lineRule="exact"/>
        <w:rPr>
          <w:rFonts w:ascii="Arial" w:cs="Arial" w:eastAsia="Arial" w:hAnsi="Arial"/>
          <w:sz w:val="16"/>
          <w:szCs w:val="16"/>
          <w:color w:val="auto"/>
        </w:rPr>
      </w:pPr>
    </w:p>
    <w:p>
      <w:pPr>
        <w:ind w:left="1240" w:hanging="475"/>
        <w:spacing w:after="0"/>
        <w:tabs>
          <w:tab w:leader="none" w:pos="1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1240" w:hanging="475"/>
        <w:spacing w:after="0"/>
        <w:tabs>
          <w:tab w:leader="none" w:pos="1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0866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82" w:lineRule="exact"/>
        <w:rPr>
          <w:sz w:val="20"/>
          <w:szCs w:val="20"/>
          <w:color w:val="auto"/>
        </w:rPr>
      </w:pPr>
    </w:p>
    <w:p>
      <w:pPr>
        <w:ind w:left="760" w:hanging="76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55" w:lineRule="exact"/>
        <w:rPr>
          <w:sz w:val="20"/>
          <w:szCs w:val="20"/>
          <w:color w:val="auto"/>
        </w:rPr>
      </w:pPr>
    </w:p>
    <w:p>
      <w:pPr>
        <w:ind w:left="760" w:right="7740" w:hanging="760"/>
        <w:spacing w:after="0" w:line="52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086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 Sole Voting Power</w:t>
      </w:r>
    </w:p>
    <w:p>
      <w:pPr>
        <w:spacing w:after="0" w:line="24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58343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ectPr>
          <w:pgSz w:w="12240" w:h="15840" w:orient="portrait"/>
          <w:cols w:equalWidth="0" w:num="1">
            <w:col w:w="11160"/>
          </w:cols>
          <w:pgMar w:left="520" w:top="481" w:right="56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Number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of Shares</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Beneficially</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Owned by</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Each</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Reporting</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6 Shared Voting Power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1,105,557 shares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8343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7 Sole Dispositive Power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58343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3438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8 Shared Dispositive Power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1,105,557 shares</w:t>
      </w:r>
    </w:p>
    <w:p>
      <w:pPr>
        <w:spacing w:after="0" w:line="200" w:lineRule="exact"/>
        <w:rPr>
          <w:sz w:val="20"/>
          <w:szCs w:val="20"/>
          <w:color w:val="auto"/>
        </w:rPr>
      </w:pPr>
    </w:p>
    <w:p>
      <w:pPr>
        <w:sectPr>
          <w:pgSz w:w="12240" w:h="15840" w:orient="portrait"/>
          <w:cols w:equalWidth="0" w:num="2">
            <w:col w:w="1420" w:space="560"/>
            <w:col w:w="9180"/>
          </w:cols>
          <w:pgMar w:left="520" w:top="481" w:right="560"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Borders>
              <w:bottom w:val="single" w:sz="8" w:color="auto"/>
            </w:tcBorders>
          </w:tcPr>
          <w:p>
            <w:pPr>
              <w:spacing w:after="0"/>
              <w:rPr>
                <w:sz w:val="19"/>
                <w:szCs w:val="19"/>
                <w:color w:val="auto"/>
              </w:rPr>
            </w:pPr>
          </w:p>
        </w:tc>
        <w:tc>
          <w:tcPr>
            <w:tcW w:w="106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Refer to Item 4 below.</w:t>
            </w:r>
          </w:p>
        </w:tc>
      </w:tr>
      <w:tr>
        <w:trPr>
          <w:trHeight w:val="262"/>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680" w:type="dxa"/>
            <w:vAlign w:val="bottom"/>
          </w:tcPr>
          <w:p>
            <w:pPr>
              <w:ind w:left="28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29"/>
        </w:trPr>
        <w:tc>
          <w:tcPr>
            <w:tcW w:w="480" w:type="dxa"/>
            <w:vAlign w:val="bottom"/>
          </w:tcPr>
          <w:p>
            <w:pPr>
              <w:spacing w:after="0"/>
              <w:rPr>
                <w:sz w:val="24"/>
                <w:szCs w:val="24"/>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1,105,557 shares</w:t>
            </w:r>
          </w:p>
        </w:tc>
      </w:tr>
      <w:tr>
        <w:trPr>
          <w:trHeight w:val="483"/>
        </w:trPr>
        <w:tc>
          <w:tcPr>
            <w:tcW w:w="48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Refer to Item 4 below.</w:t>
            </w:r>
          </w:p>
        </w:tc>
      </w:tr>
      <w:tr>
        <w:trPr>
          <w:trHeight w:val="262"/>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0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Check if the Aggregate Amount in Row (9) Excludes Certain Shares (See Instructions)   [ ] N/A</w:t>
            </w:r>
          </w:p>
        </w:tc>
      </w:tr>
    </w:tbl>
    <w:p>
      <w:pPr>
        <w:spacing w:after="0" w:line="39" w:lineRule="exact"/>
        <w:rPr>
          <w:sz w:val="20"/>
          <w:szCs w:val="20"/>
          <w:color w:val="auto"/>
        </w:rPr>
      </w:pPr>
    </w:p>
    <w:p>
      <w:pPr>
        <w:ind w:left="760" w:right="6540" w:hanging="760"/>
        <w:spacing w:after="0" w:line="523"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 4.13%</w:t>
      </w:r>
    </w:p>
    <w:p>
      <w:pPr>
        <w:spacing w:after="0" w:line="10"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Refer to Item 4 below.</w:t>
      </w:r>
    </w:p>
    <w:p>
      <w:pPr>
        <w:spacing w:after="0" w:line="74" w:lineRule="exact"/>
        <w:rPr>
          <w:rFonts w:ascii="Arial" w:cs="Arial" w:eastAsia="Arial" w:hAnsi="Arial"/>
          <w:sz w:val="18"/>
          <w:szCs w:val="18"/>
          <w:color w:val="auto"/>
        </w:rPr>
      </w:pPr>
    </w:p>
    <w:p>
      <w:pPr>
        <w:ind w:left="760" w:right="7240" w:hanging="760"/>
        <w:spacing w:after="0" w:line="648"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086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-742315</wp:posOffset>
            </wp:positionV>
            <wp:extent cx="7086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708660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481" w:right="56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00" w:right="8280" w:hanging="800"/>
        <w:spacing w:after="0" w:line="479"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Name of Issuer AnaptysBio, Inc.</w:t>
      </w:r>
    </w:p>
    <w:p>
      <w:pPr>
        <w:spacing w:after="0" w:line="16" w:lineRule="exact"/>
        <w:rPr>
          <w:rFonts w:ascii="Arial" w:cs="Arial" w:eastAsia="Arial" w:hAnsi="Arial"/>
          <w:sz w:val="16"/>
          <w:szCs w:val="16"/>
          <w:color w:val="auto"/>
        </w:rPr>
      </w:pPr>
    </w:p>
    <w:p>
      <w:pPr>
        <w:ind w:left="800" w:hanging="8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10421 Pacific Center Court, Suite 200</w:t>
      </w:r>
    </w:p>
    <w:p>
      <w:pPr>
        <w:spacing w:after="0" w:line="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San Diego, CA 92121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0" w:hanging="8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2" w:lineRule="exact"/>
        <w:rPr>
          <w:rFonts w:ascii="Arial" w:cs="Arial" w:eastAsia="Arial" w:hAnsi="Arial"/>
          <w:sz w:val="18"/>
          <w:szCs w:val="18"/>
          <w:color w:val="auto"/>
        </w:rPr>
      </w:pPr>
    </w:p>
    <w:p>
      <w:pPr>
        <w:ind w:left="800" w:right="6120"/>
        <w:spacing w:after="0" w:line="269"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Cormorant Global Healthcare GP, LLC Cormorant Asset Management, LP</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w:t>
      </w:r>
    </w:p>
    <w:p>
      <w:pPr>
        <w:spacing w:after="0" w:line="207" w:lineRule="exact"/>
        <w:rPr>
          <w:rFonts w:ascii="Arial" w:cs="Arial" w:eastAsia="Arial" w:hAnsi="Arial"/>
          <w:sz w:val="18"/>
          <w:szCs w:val="18"/>
          <w:color w:val="auto"/>
        </w:rPr>
      </w:pPr>
    </w:p>
    <w:p>
      <w:pPr>
        <w:ind w:left="800" w:hanging="800"/>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Address of Principal Business Office or, if none, Residence</w:t>
      </w:r>
    </w:p>
    <w:p>
      <w:pPr>
        <w:spacing w:after="0" w:line="233" w:lineRule="exact"/>
        <w:rPr>
          <w:rFonts w:ascii="Arial" w:cs="Arial" w:eastAsia="Arial" w:hAnsi="Arial"/>
          <w:sz w:val="17"/>
          <w:szCs w:val="17"/>
          <w:color w:val="auto"/>
        </w:rPr>
      </w:pPr>
    </w:p>
    <w:p>
      <w:pPr>
        <w:ind w:left="800" w:right="7080"/>
        <w:spacing w:after="0" w:line="274" w:lineRule="auto"/>
        <w:rPr>
          <w:rFonts w:ascii="Arial" w:cs="Arial" w:eastAsia="Arial" w:hAnsi="Arial"/>
          <w:sz w:val="17"/>
          <w:szCs w:val="17"/>
          <w:color w:val="auto"/>
        </w:rPr>
      </w:pPr>
      <w:r>
        <w:rPr>
          <w:rFonts w:ascii="Arial" w:cs="Arial" w:eastAsia="Arial" w:hAnsi="Arial"/>
          <w:sz w:val="18"/>
          <w:szCs w:val="18"/>
          <w:color w:val="auto"/>
        </w:rPr>
        <w:t>200 Clarendon Street, 52nd Floor Boston, MA 02116</w:t>
      </w:r>
    </w:p>
    <w:p>
      <w:pPr>
        <w:spacing w:after="0" w:line="171" w:lineRule="exact"/>
        <w:rPr>
          <w:rFonts w:ascii="Arial" w:cs="Arial" w:eastAsia="Arial" w:hAnsi="Arial"/>
          <w:sz w:val="17"/>
          <w:szCs w:val="17"/>
          <w:color w:val="auto"/>
        </w:rPr>
      </w:pPr>
    </w:p>
    <w:p>
      <w:pPr>
        <w:ind w:left="800" w:hanging="8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2" w:lineRule="exact"/>
        <w:rPr>
          <w:rFonts w:ascii="Arial" w:cs="Arial" w:eastAsia="Arial" w:hAnsi="Arial"/>
          <w:sz w:val="18"/>
          <w:szCs w:val="18"/>
          <w:color w:val="auto"/>
        </w:rPr>
      </w:pPr>
    </w:p>
    <w:p>
      <w:pPr>
        <w:ind w:left="800" w:right="4820"/>
        <w:spacing w:after="0" w:line="254" w:lineRule="auto"/>
        <w:rPr>
          <w:rFonts w:ascii="Arial" w:cs="Arial" w:eastAsia="Arial" w:hAnsi="Arial"/>
          <w:sz w:val="18"/>
          <w:szCs w:val="18"/>
          <w:color w:val="auto"/>
        </w:rPr>
      </w:pPr>
      <w:r>
        <w:rPr>
          <w:rFonts w:ascii="Arial" w:cs="Arial" w:eastAsia="Arial" w:hAnsi="Arial"/>
          <w:sz w:val="18"/>
          <w:szCs w:val="18"/>
          <w:color w:val="auto"/>
        </w:rPr>
        <w:t>Cormorant Global Healthcare Master Fund, LP - Cayman Islands Cormorant Global Healthcare GP, LLC - Delaware Cormorant Asset Management, LP - Delaware</w:t>
      </w:r>
    </w:p>
    <w:p>
      <w:pPr>
        <w:spacing w:after="0" w:line="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Bihua Chen - United States</w:t>
      </w:r>
    </w:p>
    <w:p>
      <w:pPr>
        <w:spacing w:after="0" w:line="207" w:lineRule="exact"/>
        <w:rPr>
          <w:rFonts w:ascii="Arial" w:cs="Arial" w:eastAsia="Arial" w:hAnsi="Arial"/>
          <w:sz w:val="18"/>
          <w:szCs w:val="18"/>
          <w:color w:val="auto"/>
        </w:rPr>
      </w:pPr>
    </w:p>
    <w:p>
      <w:pPr>
        <w:ind w:left="800" w:right="7580" w:hanging="800"/>
        <w:spacing w:after="0" w:line="479"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6" w:lineRule="exact"/>
        <w:rPr>
          <w:rFonts w:ascii="Arial" w:cs="Arial" w:eastAsia="Arial" w:hAnsi="Arial"/>
          <w:sz w:val="16"/>
          <w:szCs w:val="16"/>
          <w:color w:val="auto"/>
        </w:rPr>
      </w:pPr>
    </w:p>
    <w:p>
      <w:pPr>
        <w:ind w:left="800" w:right="8360" w:hanging="800"/>
        <w:spacing w:after="0" w:line="339"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CUSIP Number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08660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0280"/>
          </w:cols>
          <w:pgMar w:left="520" w:top="0" w:right="1440" w:bottom="1440" w:gutter="0" w:footer="0" w:header="0"/>
        </w:sectPr>
      </w:pPr>
    </w:p>
    <w:bookmarkStart w:id="6" w:name="page7"/>
    <w:bookmarkEnd w:id="6"/>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8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b w:val="1"/>
                <w:bCs w:val="1"/>
                <w:color w:val="auto"/>
                <w:w w:val="89"/>
              </w:rPr>
              <w:t>If this statement is filed pursuant to §§240.13d-1(b) or 240.13d-2(b) or (c), check whether the person filing is a:</w:t>
            </w:r>
          </w:p>
        </w:tc>
      </w:tr>
      <w:tr>
        <w:trPr>
          <w:trHeight w:val="840"/>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8440" w:type="dxa"/>
            <w:vAlign w:val="bottom"/>
          </w:tcPr>
          <w:p>
            <w:pPr>
              <w:ind w:left="5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322"/>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8440" w:type="dxa"/>
            <w:vAlign w:val="bottom"/>
          </w:tcPr>
          <w:p>
            <w:pPr>
              <w:ind w:left="580"/>
              <w:spacing w:after="0"/>
              <w:rPr>
                <w:sz w:val="20"/>
                <w:szCs w:val="20"/>
                <w:color w:val="auto"/>
              </w:rPr>
            </w:pPr>
            <w:r>
              <w:rPr>
                <w:rFonts w:ascii="Arial" w:cs="Arial" w:eastAsia="Arial" w:hAnsi="Arial"/>
                <w:sz w:val="18"/>
                <w:szCs w:val="18"/>
                <w:color w:val="auto"/>
              </w:rPr>
              <w:t>Bank as defined in section 3(a)(6) of the Act (15 U.S.C. 78c).</w:t>
            </w:r>
          </w:p>
        </w:tc>
      </w:tr>
      <w:tr>
        <w:trPr>
          <w:trHeight w:val="322"/>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8440" w:type="dxa"/>
            <w:vAlign w:val="bottom"/>
          </w:tcPr>
          <w:p>
            <w:pPr>
              <w:ind w:left="580"/>
              <w:spacing w:after="0"/>
              <w:rPr>
                <w:sz w:val="20"/>
                <w:szCs w:val="20"/>
                <w:color w:val="auto"/>
              </w:rPr>
            </w:pPr>
            <w:r>
              <w:rPr>
                <w:rFonts w:ascii="Arial" w:cs="Arial" w:eastAsia="Arial" w:hAnsi="Arial"/>
                <w:sz w:val="18"/>
                <w:szCs w:val="18"/>
                <w:color w:val="auto"/>
              </w:rPr>
              <w:t>Insurance Company as defined in Section 3(a)(19) of the Act</w:t>
            </w:r>
          </w:p>
        </w:tc>
      </w:tr>
    </w:tbl>
    <w:p>
      <w:pPr>
        <w:spacing w:after="0" w:line="93" w:lineRule="exact"/>
        <w:rPr>
          <w:sz w:val="20"/>
          <w:szCs w:val="20"/>
          <w:color w:val="auto"/>
        </w:rPr>
      </w:pPr>
    </w:p>
    <w:p>
      <w:pPr>
        <w:ind w:left="760" w:hanging="760"/>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 ]</w:t>
            </w:r>
          </w:p>
        </w:tc>
        <w:tc>
          <w:tcPr>
            <w:tcW w:w="7800" w:type="dxa"/>
            <w:vAlign w:val="bottom"/>
          </w:tcPr>
          <w:p>
            <w:pPr>
              <w:ind w:left="300"/>
              <w:spacing w:after="0"/>
              <w:rPr>
                <w:sz w:val="20"/>
                <w:szCs w:val="20"/>
                <w:color w:val="auto"/>
              </w:rPr>
            </w:pPr>
            <w:r>
              <w:rPr>
                <w:rFonts w:ascii="Arial" w:cs="Arial" w:eastAsia="Arial" w:hAnsi="Arial"/>
                <w:sz w:val="18"/>
                <w:szCs w:val="18"/>
                <w:color w:val="auto"/>
              </w:rPr>
              <w:t>An investment adviser in accordance with §240.13d-1(b)(1)(ii)(E);</w:t>
            </w:r>
          </w:p>
        </w:tc>
      </w:tr>
      <w:tr>
        <w:trPr>
          <w:trHeight w:val="322"/>
        </w:trPr>
        <w:tc>
          <w:tcPr>
            <w:tcW w:w="480" w:type="dxa"/>
            <w:vAlign w:val="bottom"/>
          </w:tcPr>
          <w:p>
            <w:pPr>
              <w:spacing w:after="0"/>
              <w:rPr>
                <w:sz w:val="20"/>
                <w:szCs w:val="20"/>
                <w:color w:val="auto"/>
              </w:rPr>
            </w:pPr>
            <w:r>
              <w:rPr>
                <w:rFonts w:ascii="Arial" w:cs="Arial" w:eastAsia="Arial" w:hAnsi="Arial"/>
                <w:sz w:val="18"/>
                <w:szCs w:val="18"/>
                <w:color w:val="auto"/>
              </w:rPr>
              <w:t>(f)</w:t>
            </w: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 ]</w:t>
            </w:r>
          </w:p>
        </w:tc>
        <w:tc>
          <w:tcPr>
            <w:tcW w:w="7800" w:type="dxa"/>
            <w:vAlign w:val="bottom"/>
          </w:tcPr>
          <w:p>
            <w:pPr>
              <w:ind w:left="30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322"/>
        </w:trPr>
        <w:tc>
          <w:tcPr>
            <w:tcW w:w="480" w:type="dxa"/>
            <w:vAlign w:val="bottom"/>
          </w:tcPr>
          <w:p>
            <w:pPr>
              <w:spacing w:after="0"/>
              <w:rPr>
                <w:sz w:val="20"/>
                <w:szCs w:val="20"/>
                <w:color w:val="auto"/>
              </w:rPr>
            </w:pPr>
            <w:r>
              <w:rPr>
                <w:rFonts w:ascii="Arial" w:cs="Arial" w:eastAsia="Arial" w:hAnsi="Arial"/>
                <w:sz w:val="18"/>
                <w:szCs w:val="18"/>
                <w:color w:val="auto"/>
              </w:rPr>
              <w:t>(g)</w:t>
            </w: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 ]</w:t>
            </w:r>
          </w:p>
        </w:tc>
        <w:tc>
          <w:tcPr>
            <w:tcW w:w="7800" w:type="dxa"/>
            <w:vAlign w:val="bottom"/>
          </w:tcPr>
          <w:p>
            <w:pPr>
              <w:ind w:left="30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322"/>
        </w:trPr>
        <w:tc>
          <w:tcPr>
            <w:tcW w:w="48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jc w:val="right"/>
              <w:ind w:right="211"/>
              <w:spacing w:after="0"/>
              <w:rPr>
                <w:sz w:val="20"/>
                <w:szCs w:val="20"/>
                <w:color w:val="auto"/>
              </w:rPr>
            </w:pPr>
            <w:r>
              <w:rPr>
                <w:rFonts w:ascii="Arial" w:cs="Arial" w:eastAsia="Arial" w:hAnsi="Arial"/>
                <w:sz w:val="18"/>
                <w:szCs w:val="18"/>
                <w:color w:val="auto"/>
              </w:rPr>
              <w:t>[ ]</w:t>
            </w:r>
          </w:p>
        </w:tc>
        <w:tc>
          <w:tcPr>
            <w:tcW w:w="7800" w:type="dxa"/>
            <w:vAlign w:val="bottom"/>
          </w:tcPr>
          <w:p>
            <w:pPr>
              <w:ind w:left="300"/>
              <w:spacing w:after="0"/>
              <w:rPr>
                <w:sz w:val="20"/>
                <w:szCs w:val="20"/>
                <w:color w:val="auto"/>
              </w:rPr>
            </w:pPr>
            <w:r>
              <w:rPr>
                <w:rFonts w:ascii="Arial" w:cs="Arial" w:eastAsia="Arial" w:hAnsi="Arial"/>
                <w:sz w:val="18"/>
                <w:szCs w:val="18"/>
                <w:color w:val="auto"/>
                <w:w w:val="89"/>
              </w:rPr>
              <w:t>A savings associations as defined in Section 3(b) of the Federal Deposit Insurance Act (12 U.S.C. 1813);</w:t>
            </w:r>
          </w:p>
        </w:tc>
      </w:tr>
    </w:tbl>
    <w:p>
      <w:pPr>
        <w:spacing w:after="0" w:line="93" w:lineRule="exact"/>
        <w:rPr>
          <w:sz w:val="20"/>
          <w:szCs w:val="20"/>
          <w:color w:val="auto"/>
        </w:rPr>
      </w:pPr>
    </w:p>
    <w:p>
      <w:pPr>
        <w:ind w:left="1520" w:right="20" w:hanging="1520"/>
        <w:spacing w:after="0" w:line="274" w:lineRule="auto"/>
        <w:tabs>
          <w:tab w:leader="none" w:pos="7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 of 1940 (15 U.S.C. 80a-3);</w:t>
      </w:r>
    </w:p>
    <w:p>
      <w:pPr>
        <w:sectPr>
          <w:pgSz w:w="12240" w:h="15998" w:orient="portrait"/>
          <w:cols w:equalWidth="0" w:num="1">
            <w:col w:w="11160"/>
          </w:cols>
          <w:pgMar w:left="520" w:top="0" w:right="560" w:bottom="0" w:gutter="0" w:footer="0" w:header="0"/>
        </w:sectPr>
      </w:pPr>
    </w:p>
    <w:p>
      <w:pPr>
        <w:spacing w:after="0" w:line="6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non-U.S. institution in accordance with §240.13d–1(b)(1)(ii)(J);</w:t>
      </w:r>
    </w:p>
    <w:p>
      <w:pPr>
        <w:spacing w:after="0" w:line="137" w:lineRule="exact"/>
        <w:rPr>
          <w:sz w:val="20"/>
          <w:szCs w:val="20"/>
          <w:color w:val="auto"/>
        </w:rPr>
      </w:pPr>
    </w:p>
    <w:p>
      <w:pPr>
        <w:sectPr>
          <w:pgSz w:w="12240" w:h="15998" w:orient="portrait"/>
          <w:cols w:equalWidth="0" w:num="2">
            <w:col w:w="920" w:space="600"/>
            <w:col w:w="9640"/>
          </w:cols>
          <w:pgMar w:left="520" w:top="0" w:right="560" w:bottom="0" w:gutter="0" w:footer="0" w:header="0"/>
          <w:type w:val="continuous"/>
        </w:sectPr>
      </w:pPr>
    </w:p>
    <w:p>
      <w:pPr>
        <w:spacing w:after="0"/>
        <w:tabs>
          <w:tab w:leader="none" w:pos="74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Group, in accordance with §240.13d-1(b)(1)(ii)(K).</w:t>
      </w:r>
    </w:p>
    <w:p>
      <w:pPr>
        <w:spacing w:after="0" w:line="222" w:lineRule="exact"/>
        <w:rPr>
          <w:sz w:val="20"/>
          <w:szCs w:val="20"/>
          <w:color w:val="auto"/>
        </w:rPr>
      </w:pPr>
    </w:p>
    <w:p>
      <w:pPr>
        <w:sectPr>
          <w:pgSz w:w="12240" w:h="15998" w:orient="portrait"/>
          <w:cols w:equalWidth="0" w:num="2">
            <w:col w:w="920" w:space="600"/>
            <w:col w:w="9640"/>
          </w:cols>
          <w:pgMar w:left="520" w:top="0" w:right="560" w:bottom="0" w:gutter="0" w:footer="0" w:header="0"/>
          <w:type w:val="continuous"/>
        </w:sectPr>
      </w:pPr>
    </w:p>
    <w:p>
      <w:pPr>
        <w:spacing w:after="0" w:line="1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48" w:lineRule="exact"/>
        <w:rPr>
          <w:sz w:val="20"/>
          <w:szCs w:val="20"/>
          <w:color w:val="auto"/>
        </w:rPr>
      </w:pPr>
    </w:p>
    <w:p>
      <w:pPr>
        <w:ind w:left="780" w:hanging="780"/>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2" w:lineRule="exact"/>
        <w:rPr>
          <w:rFonts w:ascii="Arial" w:cs="Arial" w:eastAsia="Arial" w:hAnsi="Arial"/>
          <w:sz w:val="18"/>
          <w:szCs w:val="18"/>
          <w:color w:val="auto"/>
        </w:rPr>
      </w:pPr>
    </w:p>
    <w:p>
      <w:pPr>
        <w:ind w:left="780" w:right="5620"/>
        <w:spacing w:after="0" w:line="269"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1,025,273 shares Cormorant Global Healthcare GP, LLC - 1,025,273 shares Cormorant Asset Management, LP – 1,105,557 shares</w:t>
      </w:r>
    </w:p>
    <w:p>
      <w:pPr>
        <w:spacing w:after="0" w:line="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Bihua Chen – 1,105,557 shares</w:t>
      </w:r>
    </w:p>
    <w:p>
      <w:pPr>
        <w:spacing w:after="0" w:line="207" w:lineRule="exact"/>
        <w:rPr>
          <w:rFonts w:ascii="Arial" w:cs="Arial" w:eastAsia="Arial" w:hAnsi="Arial"/>
          <w:sz w:val="18"/>
          <w:szCs w:val="18"/>
          <w:color w:val="auto"/>
        </w:rPr>
      </w:pPr>
    </w:p>
    <w:p>
      <w:pPr>
        <w:ind w:left="780" w:hanging="780"/>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 w:lineRule="exact"/>
        <w:rPr>
          <w:rFonts w:ascii="Arial" w:cs="Arial" w:eastAsia="Arial" w:hAnsi="Arial"/>
          <w:sz w:val="18"/>
          <w:szCs w:val="18"/>
          <w:color w:val="auto"/>
        </w:rPr>
      </w:pPr>
    </w:p>
    <w:p>
      <w:pPr>
        <w:ind w:left="780" w:right="6360"/>
        <w:spacing w:after="0" w:line="263"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3.83% Cormorant Global Healthcare GP, LLC – 3.83% Cormorant Asset Management, LP – 4.13%</w:t>
      </w:r>
    </w:p>
    <w:p>
      <w:pPr>
        <w:spacing w:after="0" w:line="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Bihua Chen – 4.13%</w:t>
      </w:r>
    </w:p>
    <w:p>
      <w:pPr>
        <w:spacing w:after="0" w:line="207" w:lineRule="exact"/>
        <w:rPr>
          <w:rFonts w:ascii="Arial" w:cs="Arial" w:eastAsia="Arial" w:hAnsi="Arial"/>
          <w:sz w:val="18"/>
          <w:szCs w:val="18"/>
          <w:color w:val="auto"/>
        </w:rPr>
      </w:pPr>
    </w:p>
    <w:p>
      <w:pPr>
        <w:ind w:left="780" w:hanging="780"/>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2" w:lineRule="exact"/>
        <w:rPr>
          <w:rFonts w:ascii="Arial" w:cs="Arial" w:eastAsia="Arial" w:hAnsi="Arial"/>
          <w:sz w:val="18"/>
          <w:szCs w:val="18"/>
          <w:color w:val="auto"/>
        </w:rPr>
      </w:pPr>
    </w:p>
    <w:p>
      <w:pPr>
        <w:ind w:left="1540" w:hanging="762"/>
        <w:spacing w:after="0"/>
        <w:tabs>
          <w:tab w:leader="none" w:pos="15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2" w:lineRule="exact"/>
        <w:rPr>
          <w:rFonts w:ascii="Arial" w:cs="Arial" w:eastAsia="Arial" w:hAnsi="Arial"/>
          <w:sz w:val="18"/>
          <w:szCs w:val="18"/>
          <w:color w:val="auto"/>
        </w:rPr>
      </w:pPr>
    </w:p>
    <w:p>
      <w:pPr>
        <w:ind w:left="1540" w:right="5520"/>
        <w:spacing w:after="0" w:line="269"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LP - 0 shares</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07" w:lineRule="exact"/>
        <w:rPr>
          <w:rFonts w:ascii="Arial" w:cs="Arial" w:eastAsia="Arial" w:hAnsi="Arial"/>
          <w:sz w:val="18"/>
          <w:szCs w:val="18"/>
          <w:color w:val="auto"/>
        </w:rPr>
      </w:pPr>
    </w:p>
    <w:p>
      <w:pPr>
        <w:ind w:left="1540" w:hanging="762"/>
        <w:spacing w:after="0"/>
        <w:tabs>
          <w:tab w:leader="none" w:pos="15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2" w:lineRule="exact"/>
        <w:rPr>
          <w:rFonts w:ascii="Arial" w:cs="Arial" w:eastAsia="Arial" w:hAnsi="Arial"/>
          <w:sz w:val="18"/>
          <w:szCs w:val="18"/>
          <w:color w:val="auto"/>
        </w:rPr>
      </w:pPr>
    </w:p>
    <w:p>
      <w:pPr>
        <w:ind w:left="1540" w:right="4860"/>
        <w:spacing w:after="0" w:line="269"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1,025,273 shares Cormorant Global Healthcare GP, LLC - 1,025,273 shares Cormorant Asset Management, LP – 1,105,557 shares</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Bihua Chen - 1,105,557 shares</w:t>
      </w:r>
    </w:p>
    <w:p>
      <w:pPr>
        <w:spacing w:after="0" w:line="207" w:lineRule="exact"/>
        <w:rPr>
          <w:rFonts w:ascii="Arial" w:cs="Arial" w:eastAsia="Arial" w:hAnsi="Arial"/>
          <w:sz w:val="18"/>
          <w:szCs w:val="18"/>
          <w:color w:val="auto"/>
        </w:rPr>
      </w:pPr>
    </w:p>
    <w:p>
      <w:pPr>
        <w:ind w:left="1540" w:hanging="762"/>
        <w:spacing w:after="0"/>
        <w:tabs>
          <w:tab w:leader="none" w:pos="15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2" w:lineRule="exact"/>
        <w:rPr>
          <w:rFonts w:ascii="Arial" w:cs="Arial" w:eastAsia="Arial" w:hAnsi="Arial"/>
          <w:sz w:val="18"/>
          <w:szCs w:val="18"/>
          <w:color w:val="auto"/>
        </w:rPr>
      </w:pPr>
    </w:p>
    <w:p>
      <w:pPr>
        <w:ind w:left="1540" w:right="5520"/>
        <w:spacing w:after="0" w:line="269"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- 0 shares Cormorant Global Healthcare GP, LLC - 0 shares Cormorant Asset Management, LP - 0 shares</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Bihua Chen - 0 shares</w:t>
      </w:r>
    </w:p>
    <w:p>
      <w:pPr>
        <w:spacing w:after="0" w:line="207" w:lineRule="exact"/>
        <w:rPr>
          <w:rFonts w:ascii="Arial" w:cs="Arial" w:eastAsia="Arial" w:hAnsi="Arial"/>
          <w:sz w:val="18"/>
          <w:szCs w:val="18"/>
          <w:color w:val="auto"/>
        </w:rPr>
      </w:pPr>
    </w:p>
    <w:p>
      <w:pPr>
        <w:ind w:left="1540" w:hanging="762"/>
        <w:spacing w:after="0"/>
        <w:tabs>
          <w:tab w:leader="none" w:pos="15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2" w:lineRule="exact"/>
        <w:rPr>
          <w:rFonts w:ascii="Arial" w:cs="Arial" w:eastAsia="Arial" w:hAnsi="Arial"/>
          <w:sz w:val="18"/>
          <w:szCs w:val="18"/>
          <w:color w:val="auto"/>
        </w:rPr>
      </w:pPr>
    </w:p>
    <w:p>
      <w:pPr>
        <w:ind w:left="1540" w:right="4860"/>
        <w:spacing w:after="0" w:line="269" w:lineRule="auto"/>
        <w:rPr>
          <w:rFonts w:ascii="Arial" w:cs="Arial" w:eastAsia="Arial" w:hAnsi="Arial"/>
          <w:sz w:val="18"/>
          <w:szCs w:val="18"/>
          <w:color w:val="auto"/>
        </w:rPr>
      </w:pPr>
      <w:r>
        <w:rPr>
          <w:rFonts w:ascii="Arial" w:cs="Arial" w:eastAsia="Arial" w:hAnsi="Arial"/>
          <w:sz w:val="17"/>
          <w:szCs w:val="17"/>
          <w:color w:val="auto"/>
        </w:rPr>
        <w:t>Cormorant Global Healthcare Master Fund, LP – 1,025,273 shares Cormorant Global Healthcare GP, LLC - 1,025,273 shares Cormorant Asset Management, LP - 1,105,557 shares</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Bihua Chen - 1,105,557 shares</w:t>
      </w:r>
    </w:p>
    <w:p>
      <w:pPr>
        <w:spacing w:after="0" w:line="368" w:lineRule="exact"/>
        <w:rPr>
          <w:rFonts w:ascii="Arial" w:cs="Arial" w:eastAsia="Arial" w:hAnsi="Arial"/>
          <w:sz w:val="18"/>
          <w:szCs w:val="18"/>
          <w:color w:val="auto"/>
        </w:rPr>
      </w:pPr>
    </w:p>
    <w:p>
      <w:pPr>
        <w:jc w:val="both"/>
        <w:ind w:left="640" w:firstLine="4"/>
        <w:spacing w:after="0" w:line="339" w:lineRule="auto"/>
        <w:tabs>
          <w:tab w:leader="none" w:pos="958" w:val="left"/>
        </w:tabs>
        <w:numPr>
          <w:ilvl w:val="1"/>
          <w:numId w:val="28"/>
        </w:numPr>
        <w:rPr>
          <w:rFonts w:ascii="Arial" w:cs="Arial" w:eastAsia="Arial" w:hAnsi="Arial"/>
          <w:sz w:val="16"/>
          <w:szCs w:val="16"/>
          <w:color w:val="auto"/>
        </w:rPr>
      </w:pPr>
      <w:r>
        <w:rPr>
          <w:rFonts w:ascii="Arial" w:cs="Arial" w:eastAsia="Arial" w:hAnsi="Arial"/>
          <w:sz w:val="16"/>
          <w:szCs w:val="16"/>
          <w:color w:val="auto"/>
        </w:rPr>
        <w:t>Shares reported herein for Cormorant Asset Management, LP represent shares which are beneficially owned by Cormorant Global Healthcare Master Fund, LP (the “Fund”), as reported herein, and shares which are beneficially owned by a managed account (the “Account”). Cormoran</w:t>
      </w:r>
    </w:p>
    <w:p>
      <w:pPr>
        <w:sectPr>
          <w:pgSz w:w="12240" w:h="15998" w:orient="portrait"/>
          <w:cols w:equalWidth="0" w:num="1">
            <w:col w:w="11160"/>
          </w:cols>
          <w:pgMar w:left="520" w:top="0" w:right="560" w:bottom="0" w:gutter="0" w:footer="0" w:header="0"/>
          <w:type w:val="continuous"/>
        </w:sectPr>
      </w:pPr>
    </w:p>
    <w:bookmarkStart w:id="7" w:name="page8"/>
    <w:bookmarkEnd w:id="7"/>
    <w:p>
      <w:pPr>
        <w:jc w:val="both"/>
        <w:ind w:left="640"/>
        <w:spacing w:after="0" w:line="268" w:lineRule="auto"/>
        <w:rPr>
          <w:sz w:val="20"/>
          <w:szCs w:val="20"/>
          <w:color w:val="auto"/>
        </w:rPr>
      </w:pPr>
      <w:r>
        <w:rPr>
          <w:rFonts w:ascii="Arial" w:cs="Arial" w:eastAsia="Arial" w:hAnsi="Arial"/>
          <w:sz w:val="17"/>
          <w:szCs w:val="17"/>
          <w:color w:val="auto"/>
        </w:rPr>
        <w:t>Global Healthcare GP, LLC serves as the general partner of the Fund, and Cormorant Asset Management, LP serves as the investment manager to both the Fund and the Account. Bihua Chen serves as the managing member of Cormorant Global Healthcare GP, LLC and of the general partner of Cormorant Asset Management, LP. Each of the Reporting Persons disclaims beneficial ownership of the shares reported herein except to the extent of its or his pecuniary interest therein. Percentage calculations herein are based upon the statement in the Issuer's Quarterly Report for the quarter ended September 30, 2018, as filed with the Securities and Exchange Commission on November 6, 2018, that there were 26,751,578 shares of Common Stock outstanding as of November 8, 2018.</w:t>
      </w:r>
    </w:p>
    <w:p>
      <w:pPr>
        <w:spacing w:after="0" w:line="37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6" w:lineRule="exact"/>
        <w:rPr>
          <w:sz w:val="20"/>
          <w:szCs w:val="20"/>
          <w:color w:val="auto"/>
        </w:rPr>
      </w:pPr>
    </w:p>
    <w:p>
      <w:pPr>
        <w:jc w:val="both"/>
        <w:ind w:firstLine="644"/>
        <w:spacing w:after="0" w:line="27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6"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40" w:type="dxa"/>
            <w:vAlign w:val="bottom"/>
          </w:tcPr>
          <w:p>
            <w:pPr>
              <w:ind w:left="640"/>
              <w:spacing w:after="0"/>
              <w:rPr>
                <w:sz w:val="20"/>
                <w:szCs w:val="20"/>
                <w:color w:val="auto"/>
              </w:rPr>
            </w:pPr>
            <w:r>
              <w:rPr>
                <w:rFonts w:ascii="Arial" w:cs="Arial" w:eastAsia="Arial" w:hAnsi="Arial"/>
                <w:sz w:val="18"/>
                <w:szCs w:val="18"/>
                <w:b w:val="1"/>
                <w:bCs w:val="1"/>
                <w:color w:val="auto"/>
                <w:w w:val="97"/>
              </w:rPr>
              <w:t>Exhibits</w:t>
            </w:r>
          </w:p>
        </w:tc>
        <w:tc>
          <w:tcPr>
            <w:tcW w:w="9820" w:type="dxa"/>
            <w:vAlign w:val="bottom"/>
          </w:tcPr>
          <w:p>
            <w:pPr>
              <w:ind w:left="680"/>
              <w:spacing w:after="0"/>
              <w:rPr>
                <w:sz w:val="20"/>
                <w:szCs w:val="20"/>
                <w:color w:val="auto"/>
              </w:rPr>
            </w:pPr>
            <w:r>
              <w:rPr>
                <w:rFonts w:ascii="Arial" w:cs="Arial" w:eastAsia="Arial" w:hAnsi="Arial"/>
                <w:sz w:val="18"/>
                <w:szCs w:val="18"/>
                <w:b w:val="1"/>
                <w:bCs w:val="1"/>
                <w:color w:val="auto"/>
              </w:rPr>
              <w:t>Exhibit</w:t>
            </w:r>
          </w:p>
        </w:tc>
      </w:tr>
      <w:tr>
        <w:trPr>
          <w:trHeight w:val="415"/>
        </w:trPr>
        <w:tc>
          <w:tcPr>
            <w:tcW w:w="1340" w:type="dxa"/>
            <w:vAlign w:val="bottom"/>
          </w:tcPr>
          <w:p>
            <w:pPr>
              <w:ind w:left="640"/>
              <w:spacing w:after="0"/>
              <w:rPr>
                <w:sz w:val="20"/>
                <w:szCs w:val="20"/>
                <w:color w:val="auto"/>
              </w:rPr>
            </w:pPr>
            <w:r>
              <w:rPr>
                <w:rFonts w:ascii="Arial" w:cs="Arial" w:eastAsia="Arial" w:hAnsi="Arial"/>
                <w:sz w:val="18"/>
                <w:szCs w:val="18"/>
                <w:b w:val="1"/>
                <w:bCs w:val="1"/>
                <w:color w:val="auto"/>
              </w:rPr>
              <w:t>99.1</w:t>
            </w:r>
          </w:p>
        </w:tc>
        <w:tc>
          <w:tcPr>
            <w:tcW w:w="9820" w:type="dxa"/>
            <w:vAlign w:val="bottom"/>
          </w:tcPr>
          <w:p>
            <w:pPr>
              <w:ind w:left="680"/>
              <w:spacing w:after="0"/>
              <w:rPr>
                <w:sz w:val="20"/>
                <w:szCs w:val="20"/>
                <w:color w:val="auto"/>
              </w:rPr>
            </w:pPr>
            <w:r>
              <w:rPr>
                <w:rFonts w:ascii="Arial" w:cs="Arial" w:eastAsia="Arial" w:hAnsi="Arial"/>
                <w:sz w:val="18"/>
                <w:szCs w:val="18"/>
                <w:color w:val="auto"/>
                <w:w w:val="91"/>
              </w:rPr>
              <w:t>Joint Filing Agreement by and among the Reporting Persons, incorporated by reference to Exhibit 1 to the Schedule 13G filed</w:t>
            </w:r>
          </w:p>
        </w:tc>
      </w:tr>
      <w:tr>
        <w:trPr>
          <w:trHeight w:val="229"/>
        </w:trPr>
        <w:tc>
          <w:tcPr>
            <w:tcW w:w="1340" w:type="dxa"/>
            <w:vAlign w:val="bottom"/>
          </w:tcPr>
          <w:p>
            <w:pPr>
              <w:spacing w:after="0"/>
              <w:rPr>
                <w:sz w:val="19"/>
                <w:szCs w:val="19"/>
                <w:color w:val="auto"/>
              </w:rPr>
            </w:pPr>
          </w:p>
        </w:tc>
        <w:tc>
          <w:tcPr>
            <w:tcW w:w="9820" w:type="dxa"/>
            <w:vAlign w:val="bottom"/>
          </w:tcPr>
          <w:p>
            <w:pPr>
              <w:ind w:left="40"/>
              <w:spacing w:after="0"/>
              <w:rPr>
                <w:sz w:val="20"/>
                <w:szCs w:val="20"/>
                <w:color w:val="auto"/>
              </w:rPr>
            </w:pPr>
            <w:r>
              <w:rPr>
                <w:rFonts w:ascii="Arial" w:cs="Arial" w:eastAsia="Arial" w:hAnsi="Arial"/>
                <w:sz w:val="18"/>
                <w:szCs w:val="18"/>
                <w:color w:val="auto"/>
              </w:rPr>
              <w:t>by the Reporting Persons with the Securities and Exchange Commission on October 20, 2017.</w:t>
            </w:r>
          </w:p>
        </w:tc>
      </w:tr>
      <w:tr>
        <w:trPr>
          <w:trHeight w:val="650"/>
        </w:trPr>
        <w:tc>
          <w:tcPr>
            <w:tcW w:w="134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2240" w:h="15840" w:orient="portrait"/>
          <w:cols w:equalWidth="0" w:num="1">
            <w:col w:w="11160"/>
          </w:cols>
          <w:pgMar w:left="520" w:top="0" w:right="56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SIGNATURE</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0" w:lineRule="exact"/>
        <w:rPr>
          <w:sz w:val="20"/>
          <w:szCs w:val="20"/>
          <w:color w:val="auto"/>
        </w:rPr>
      </w:pP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CORMORANT GLOBAL HEALTHCARE MASTER FUND, LP</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Cormorant Global Healthcare GP, LLC</w:t>
      </w:r>
    </w:p>
    <w:p>
      <w:pPr>
        <w:spacing w:after="0" w:line="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Bihua Chen, Managing Member</w:t>
      </w:r>
    </w:p>
    <w:p>
      <w:pPr>
        <w:spacing w:after="0" w:line="20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CORMORANT GLOBAL HEALTHCARE GP, LLC</w:t>
      </w:r>
    </w:p>
    <w:p>
      <w:pPr>
        <w:spacing w:after="0" w:line="22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Bihua Chen, Managing Member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CORMORANT ASSET MANAGEMENT,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Cormorant Asset Management GP,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Bihua Chen, Managing Member</w:t>
      </w:r>
    </w:p>
    <w:p>
      <w:pPr>
        <w:spacing w:after="0" w:line="208"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/s/ Bihua Chen</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Bihua Chen</w:t>
      </w:r>
    </w:p>
    <w:sectPr>
      <w:pgSz w:w="12240" w:h="15840" w:orient="portrait"/>
      <w:cols w:equalWidth="0" w:num="1">
        <w:col w:w="11160"/>
      </w:cols>
      <w:pgMar w:left="520" w:top="0"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10"/>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2"/>
      <w:numFmt w:val="bullet"/>
      <w:start w:val="1"/>
    </w:lvl>
    <w:lvl w:ilvl="1">
      <w:lvlJc w:val="left"/>
      <w:lvlText w:val="(%2)"/>
      <w:numFmt w:val="lowerLetter"/>
      <w:start w:val="1"/>
    </w:lvl>
  </w:abstractNum>
  <w:abstractNum w:abstractNumId="4">
    <w:nsid w:val="4E6AFB66"/>
    <w:multiLevelType w:val="hybridMultilevel"/>
    <w:lvl w:ilvl="0">
      <w:lvlJc w:val="left"/>
      <w:lvlText w:val="3"/>
      <w:numFmt w:val="bullet"/>
      <w:start w:val="1"/>
    </w:lvl>
  </w:abstractNum>
  <w:abstractNum w:abstractNumId="5">
    <w:nsid w:val="25E45D32"/>
    <w:multiLevelType w:val="hybridMultilevel"/>
    <w:lvl w:ilvl="0">
      <w:lvlJc w:val="left"/>
      <w:lvlText w:val="4"/>
      <w:numFmt w:val="bullet"/>
      <w:start w:val="1"/>
    </w:lvl>
  </w:abstractNum>
  <w:abstractNum w:abstractNumId="6">
    <w:nsid w:val="519B500D"/>
    <w:multiLevelType w:val="hybridMultilevel"/>
    <w:lvl w:ilvl="0">
      <w:lvlJc w:val="left"/>
      <w:lvlText w:val="%1"/>
      <w:numFmt w:val="decimal"/>
      <w:start w:val="11"/>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2"/>
      <w:numFmt w:val="bullet"/>
      <w:start w:val="1"/>
    </w:lvl>
    <w:lvl w:ilvl="1">
      <w:lvlJc w:val="left"/>
      <w:lvlText w:val="(%2)"/>
      <w:numFmt w:val="lowerLetter"/>
      <w:start w:val="1"/>
    </w:lvl>
  </w:abstractNum>
  <w:abstractNum w:abstractNumId="9">
    <w:nsid w:val="7C83E458"/>
    <w:multiLevelType w:val="hybridMultilevel"/>
    <w:lvl w:ilvl="0">
      <w:lvlJc w:val="left"/>
      <w:lvlText w:val="3"/>
      <w:numFmt w:val="bullet"/>
      <w:start w:val="1"/>
    </w:lvl>
  </w:abstractNum>
  <w:abstractNum w:abstractNumId="10">
    <w:nsid w:val="257130A3"/>
    <w:multiLevelType w:val="hybridMultilevel"/>
    <w:lvl w:ilvl="0">
      <w:lvlJc w:val="left"/>
      <w:lvlText w:val="4"/>
      <w:numFmt w:val="bullet"/>
      <w:start w:val="1"/>
    </w:lvl>
  </w:abstractNum>
  <w:abstractNum w:abstractNumId="11">
    <w:nsid w:val="62BBD95A"/>
    <w:multiLevelType w:val="hybridMultilevel"/>
    <w:lvl w:ilvl="0">
      <w:lvlJc w:val="left"/>
      <w:lvlText w:val="9"/>
      <w:numFmt w:val="bullet"/>
      <w:start w:val="1"/>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2"/>
      <w:numFmt w:val="bullet"/>
      <w:start w:val="1"/>
    </w:lvl>
    <w:lvl w:ilvl="1">
      <w:lvlJc w:val="left"/>
      <w:lvlText w:val="(%2)"/>
      <w:numFmt w:val="lowerLetter"/>
      <w:start w:val="1"/>
    </w:lvl>
  </w:abstractNum>
  <w:abstractNum w:abstractNumId="15">
    <w:nsid w:val="721DA317"/>
    <w:multiLevelType w:val="hybridMultilevel"/>
    <w:lvl w:ilvl="0">
      <w:lvlJc w:val="left"/>
      <w:lvlText w:val="3"/>
      <w:numFmt w:val="bullet"/>
      <w:start w:val="1"/>
    </w:lvl>
  </w:abstractNum>
  <w:abstractNum w:abstractNumId="16">
    <w:nsid w:val="2443A858"/>
    <w:multiLevelType w:val="hybridMultilevel"/>
    <w:lvl w:ilvl="0">
      <w:lvlJc w:val="left"/>
      <w:lvlText w:val="4"/>
      <w:numFmt w:val="bullet"/>
      <w:start w:val="1"/>
    </w:lvl>
  </w:abstractNum>
  <w:abstractNum w:abstractNumId="17">
    <w:nsid w:val="2D1D5AE9"/>
    <w:multiLevelType w:val="hybridMultilevel"/>
    <w:lvl w:ilvl="0">
      <w:lvlJc w:val="left"/>
      <w:lvlText w:val="%1"/>
      <w:numFmt w:val="decimal"/>
      <w:start w:val="11"/>
    </w:lvl>
  </w:abstractNum>
  <w:abstractNum w:abstractNumId="18">
    <w:nsid w:val="6763845E"/>
    <w:multiLevelType w:val="hybridMultilevel"/>
    <w:lvl w:ilvl="0">
      <w:lvlJc w:val="left"/>
      <w:lvlText w:val="1"/>
      <w:numFmt w:val="bullet"/>
      <w:start w:val="1"/>
    </w:lvl>
  </w:abstractNum>
  <w:abstractNum w:abstractNumId="19">
    <w:nsid w:val="75A2A8D4"/>
    <w:multiLevelType w:val="hybridMultilevel"/>
    <w:lvl w:ilvl="0">
      <w:lvlJc w:val="left"/>
      <w:lvlText w:val="2"/>
      <w:numFmt w:val="bullet"/>
      <w:start w:val="1"/>
    </w:lvl>
    <w:lvl w:ilvl="1">
      <w:lvlJc w:val="left"/>
      <w:lvlText w:val="(%2)"/>
      <w:numFmt w:val="lowerLetter"/>
      <w:start w:val="1"/>
    </w:lvl>
  </w:abstractNum>
  <w:abstractNum w:abstractNumId="20">
    <w:nsid w:val="8EDBDAB"/>
    <w:multiLevelType w:val="hybridMultilevel"/>
    <w:lvl w:ilvl="0">
      <w:lvlJc w:val="left"/>
      <w:lvlText w:val="3"/>
      <w:numFmt w:val="bullet"/>
      <w:start w:val="1"/>
    </w:lvl>
  </w:abstractNum>
  <w:abstractNum w:abstractNumId="21">
    <w:nsid w:val="79838CB2"/>
    <w:multiLevelType w:val="hybridMultilevel"/>
    <w:lvl w:ilvl="0">
      <w:lvlJc w:val="left"/>
      <w:lvlText w:val="4"/>
      <w:numFmt w:val="bullet"/>
      <w:start w:val="1"/>
    </w:lvl>
  </w:abstractNum>
  <w:abstractNum w:abstractNumId="22">
    <w:nsid w:val="4353D0CD"/>
    <w:multiLevelType w:val="hybridMultilevel"/>
    <w:lvl w:ilvl="0">
      <w:lvlJc w:val="left"/>
      <w:lvlText w:val="%1"/>
      <w:numFmt w:val="decimal"/>
      <w:start w:val="1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4"/>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Letter"/>
      <w:start w:val="1"/>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2019-12-15T13:44:23Z</dcterms:created>
  <dcterms:modified xsi:type="dcterms:W3CDTF">2019-12-15T13:44:23Z</dcterms:modified>
</cp:coreProperties>
</file>