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-195580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187325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20-3828755</w:t>
      </w:r>
    </w:p>
    <w:p>
      <w:pPr>
        <w:spacing w:after="0" w:line="61" w:lineRule="exact"/>
        <w:rPr>
          <w:sz w:val="24"/>
          <w:szCs w:val="24"/>
          <w:color w:val="auto"/>
        </w:rPr>
      </w:pPr>
    </w:p>
    <w:p>
      <w:pPr>
        <w:sectPr>
          <w:pgSz w:w="11900" w:h="16838" w:orient="portrait"/>
          <w:cols w:equalWidth="0" w:num="2">
            <w:col w:w="7260" w:space="720"/>
            <w:col w:w="3440"/>
          </w:cols>
          <w:pgMar w:left="240" w:top="723" w:right="2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720"/>
          </w:cols>
          <w:pgMar w:left="240" w:top="723" w:right="239" w:bottom="1440" w:gutter="0" w:footer="0" w:header="0"/>
          <w:type w:val="continuous"/>
        </w:sectPr>
      </w:pP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167640</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type w:val="continuous"/>
        </w:sectPr>
      </w:pPr>
    </w:p>
    <w:p>
      <w:pPr>
        <w:spacing w:after="0" w:line="368"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0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63" w:lineRule="exact"/>
        <w:rPr>
          <w:sz w:val="24"/>
          <w:szCs w:val="24"/>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7" w:lineRule="exact"/>
        <w:tabs>
          <w:tab w:leader="none" w:pos="7640" w:val="left"/>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2017, there were 20,269,273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20" w:type="dxa"/>
            <w:vAlign w:val="bottom"/>
            <w:gridSpan w:val="8"/>
          </w:tcPr>
          <w:p>
            <w:pPr>
              <w:jc w:val="center"/>
              <w:ind w:right="2240"/>
              <w:spacing w:after="0"/>
              <w:rPr>
                <w:sz w:val="20"/>
                <w:szCs w:val="20"/>
                <w:color w:val="auto"/>
              </w:rPr>
            </w:pPr>
            <w:r>
              <w:rPr>
                <w:rFonts w:ascii="Times New Roman" w:cs="Times New Roman" w:eastAsia="Times New Roman" w:hAnsi="Times New Roman"/>
                <w:sz w:val="22"/>
                <w:szCs w:val="22"/>
                <w:b w:val="1"/>
                <w:bCs w:val="1"/>
                <w:color w:val="auto"/>
                <w:w w:val="98"/>
              </w:rPr>
              <w:t>ANAPTYSBIO, INC.</w:t>
            </w:r>
          </w:p>
        </w:tc>
      </w:tr>
      <w:tr>
        <w:trPr>
          <w:trHeight w:val="287"/>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8"/>
          </w:tcPr>
          <w:p>
            <w:pPr>
              <w:jc w:val="center"/>
              <w:ind w:right="222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893"/>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8"/>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r>
      <w:tr>
        <w:trPr>
          <w:trHeight w:val="405"/>
        </w:trPr>
        <w:tc>
          <w:tcPr>
            <w:tcW w:w="1820" w:type="dxa"/>
            <w:vAlign w:val="bottom"/>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3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Financial Statements (unaudited)</w:t>
              </w:r>
            </w:hyperlink>
          </w:p>
        </w:tc>
        <w:tc>
          <w:tcPr>
            <w:tcW w:w="4160" w:type="dxa"/>
            <w:vAlign w:val="bottom"/>
            <w:gridSpan w:val="7"/>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5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as of March 31, 2017 and December 31, 2016</w:t>
              </w:r>
            </w:hyperlink>
          </w:p>
        </w:tc>
        <w:tc>
          <w:tcPr>
            <w:tcW w:w="2100" w:type="dxa"/>
            <w:vAlign w:val="bottom"/>
            <w:gridSpan w:val="3"/>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and Comprehensive Loss for the Three Months Ended March 31,</w:t>
              </w:r>
            </w:hyperlink>
          </w:p>
        </w:tc>
      </w:tr>
      <w:tr>
        <w:trPr>
          <w:trHeight w:val="196"/>
        </w:trPr>
        <w:tc>
          <w:tcPr>
            <w:tcW w:w="1820" w:type="dxa"/>
            <w:vAlign w:val="bottom"/>
          </w:tcPr>
          <w:p>
            <w:pPr>
              <w:spacing w:after="0"/>
              <w:rPr>
                <w:sz w:val="17"/>
                <w:szCs w:val="17"/>
                <w:color w:val="auto"/>
              </w:rPr>
            </w:pPr>
          </w:p>
        </w:tc>
        <w:tc>
          <w:tcPr>
            <w:tcW w:w="7540" w:type="dxa"/>
            <w:vAlign w:val="bottom"/>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2017 and 2016</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31"/>
        </w:trPr>
        <w:tc>
          <w:tcPr>
            <w:tcW w:w="1820" w:type="dxa"/>
            <w:vAlign w:val="bottom"/>
          </w:tcPr>
          <w:p>
            <w:pPr>
              <w:spacing w:after="0"/>
              <w:rPr>
                <w:sz w:val="24"/>
                <w:szCs w:val="24"/>
                <w:color w:val="auto"/>
              </w:rPr>
            </w:pPr>
          </w:p>
        </w:tc>
        <w:tc>
          <w:tcPr>
            <w:tcW w:w="68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Cash Flows for the Three Months Ended March 31, 2017 and 2016</w:t>
              </w:r>
            </w:hyperlink>
          </w:p>
        </w:tc>
        <w:tc>
          <w:tcPr>
            <w:tcW w:w="680" w:type="dxa"/>
            <w:vAlign w:val="bottom"/>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3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the Consolidated Financial Statements</w:t>
              </w:r>
            </w:hyperlink>
          </w:p>
        </w:tc>
        <w:tc>
          <w:tcPr>
            <w:tcW w:w="4120" w:type="dxa"/>
            <w:vAlign w:val="bottom"/>
            <w:gridSpan w:val="6"/>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Item 2.</w:t>
              </w:r>
            </w:hyperlink>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080" w:type="dxa"/>
            <w:vAlign w:val="bottom"/>
            <w:gridSpan w:val="2"/>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Item 3.</w:t>
              </w:r>
            </w:hyperlink>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3180" w:type="dxa"/>
            <w:vAlign w:val="bottom"/>
            <w:gridSpan w:val="4"/>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Item 4.</w:t>
              </w:r>
            </w:hyperlink>
          </w:p>
        </w:tc>
        <w:tc>
          <w:tcPr>
            <w:tcW w:w="754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r>
      <w:tr>
        <w:trPr>
          <w:trHeight w:val="696"/>
        </w:trPr>
        <w:tc>
          <w:tcPr>
            <w:tcW w:w="18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8"/>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r>
      <w:tr>
        <w:trPr>
          <w:trHeight w:val="554"/>
        </w:trPr>
        <w:tc>
          <w:tcPr>
            <w:tcW w:w="1820" w:type="dxa"/>
            <w:vAlign w:val="bottom"/>
          </w:tcPr>
          <w:p>
            <w:pPr>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Item 1.</w:t>
              </w:r>
            </w:hyperlink>
          </w:p>
        </w:tc>
        <w:tc>
          <w:tcPr>
            <w:tcW w:w="1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Legal Proceedings</w:t>
              </w:r>
            </w:hyperlink>
          </w:p>
        </w:tc>
        <w:tc>
          <w:tcPr>
            <w:tcW w:w="6200" w:type="dxa"/>
            <w:vAlign w:val="bottom"/>
            <w:gridSpan w:val="10"/>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Item 1A.</w:t>
              </w:r>
            </w:hyperlink>
          </w:p>
        </w:tc>
        <w:tc>
          <w:tcPr>
            <w:tcW w:w="7540" w:type="dxa"/>
            <w:vAlign w:val="bottom"/>
            <w:gridSpan w:val="1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2.</w:t>
              </w:r>
            </w:hyperlink>
          </w:p>
        </w:tc>
        <w:tc>
          <w:tcPr>
            <w:tcW w:w="7540" w:type="dxa"/>
            <w:vAlign w:val="bottom"/>
            <w:gridSpan w:val="1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Unregistered Sales of Equity Securities and Use of Proceeds</w:t>
              </w:r>
            </w:hyperlink>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3.</w:t>
              </w:r>
            </w:hyperlink>
          </w:p>
        </w:tc>
        <w:tc>
          <w:tcPr>
            <w:tcW w:w="43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Defaults Upon Senior Securities</w:t>
              </w:r>
            </w:hyperlink>
          </w:p>
        </w:tc>
        <w:tc>
          <w:tcPr>
            <w:tcW w:w="3200" w:type="dxa"/>
            <w:vAlign w:val="bottom"/>
            <w:gridSpan w:val="5"/>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4.</w:t>
              </w:r>
            </w:hyperlink>
          </w:p>
        </w:tc>
        <w:tc>
          <w:tcPr>
            <w:tcW w:w="23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Mine Safety Disclosures</w:t>
              </w:r>
            </w:hyperlink>
          </w:p>
        </w:tc>
        <w:tc>
          <w:tcPr>
            <w:tcW w:w="5220" w:type="dxa"/>
            <w:vAlign w:val="bottom"/>
            <w:gridSpan w:val="8"/>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5.</w:t>
              </w:r>
            </w:hyperlink>
          </w:p>
        </w:tc>
        <w:tc>
          <w:tcPr>
            <w:tcW w:w="13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5780" w:type="dxa"/>
            <w:vAlign w:val="bottom"/>
            <w:gridSpan w:val="9"/>
          </w:tcPr>
          <w:p>
            <w:pPr>
              <w:spacing w:after="0"/>
              <w:rPr>
                <w:sz w:val="24"/>
                <w:szCs w:val="24"/>
                <w:color w:val="auto"/>
              </w:rPr>
            </w:pPr>
          </w:p>
        </w:tc>
      </w:tr>
      <w:tr>
        <w:trPr>
          <w:trHeight w:val="331"/>
        </w:trPr>
        <w:tc>
          <w:tcPr>
            <w:tcW w:w="182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6.</w:t>
              </w:r>
            </w:hyperlink>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64">
              <w:r>
                <w:rPr>
                  <w:rFonts w:ascii="Times New Roman" w:cs="Times New Roman" w:eastAsia="Times New Roman" w:hAnsi="Times New Roman"/>
                  <w:sz w:val="18"/>
                  <w:szCs w:val="18"/>
                  <w:color w:val="0000EE"/>
                  <w:w w:val="96"/>
                </w:rPr>
                <w:t>Exhibits</w:t>
              </w:r>
            </w:hyperlink>
          </w:p>
        </w:tc>
        <w:tc>
          <w:tcPr>
            <w:tcW w:w="6940" w:type="dxa"/>
            <w:vAlign w:val="bottom"/>
            <w:gridSpan w:val="16"/>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Signatures</w:t>
              </w:r>
            </w:hyperlink>
          </w:p>
        </w:tc>
        <w:tc>
          <w:tcPr>
            <w:tcW w:w="6780" w:type="dxa"/>
            <w:vAlign w:val="bottom"/>
            <w:gridSpan w:val="15"/>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540" w:type="dxa"/>
            <w:vAlign w:val="bottom"/>
            <w:gridSpan w:val="17"/>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Exhibit Index</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-4424680</wp:posOffset>
            </wp:positionV>
            <wp:extent cx="71780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-3978275</wp:posOffset>
            </wp:positionV>
            <wp:extent cx="717804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600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-3395345</wp:posOffset>
            </wp:positionV>
            <wp:extent cx="71780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-2949575</wp:posOffset>
            </wp:positionV>
            <wp:extent cx="717804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-2503805</wp:posOffset>
            </wp:positionV>
            <wp:extent cx="71780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-2125980</wp:posOffset>
            </wp:positionV>
            <wp:extent cx="71780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-1697355</wp:posOffset>
            </wp:positionV>
            <wp:extent cx="717804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-1251585</wp:posOffset>
            </wp:positionV>
            <wp:extent cx="717804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-805180</wp:posOffset>
            </wp:positionV>
            <wp:extent cx="717804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-359410</wp:posOffset>
            </wp:positionV>
            <wp:extent cx="71780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41910</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p>
      <w:pPr>
        <w:spacing w:after="0" w:line="36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17</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24</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25</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25</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62</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63</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66">
        <w:r>
          <w:rPr>
            <w:rFonts w:ascii="Times New Roman" w:cs="Times New Roman" w:eastAsia="Times New Roman" w:hAnsi="Times New Roman"/>
            <w:sz w:val="18"/>
            <w:szCs w:val="18"/>
            <w:color w:val="auto"/>
          </w:rPr>
          <w:t>64</w:t>
        </w:r>
      </w:hyperlink>
    </w:p>
    <w:p>
      <w:pPr>
        <w:sectPr>
          <w:pgSz w:w="11900" w:h="16838" w:orient="portrait"/>
          <w:cols w:equalWidth="0" w:num="2">
            <w:col w:w="9360" w:space="640"/>
            <w:col w:w="980"/>
          </w:cols>
          <w:pgMar w:left="320" w:top="365" w:right="599" w:bottom="1440" w:gutter="0" w:footer="0" w:header="0"/>
        </w:sectPr>
      </w:pPr>
    </w:p>
    <w:bookmarkStart w:id="2" w:name="page3"/>
    <w:bookmarkEnd w:id="2"/>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6"/>
          <w:szCs w:val="16"/>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Receivable from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Australian tax incentive receivable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Restricted cash</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7900" w:val="left"/>
        </w:tabs>
        <w:rPr>
          <w:sz w:val="20"/>
          <w:szCs w:val="20"/>
          <w:color w:val="auto"/>
        </w:rPr>
      </w:pPr>
      <w:r>
        <w:rPr>
          <w:rFonts w:ascii="Times New Roman" w:cs="Times New Roman" w:eastAsia="Times New Roman" w:hAnsi="Times New Roman"/>
          <w:sz w:val="16"/>
          <w:szCs w:val="16"/>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w:t>
      </w:r>
    </w:p>
    <w:p>
      <w:pPr>
        <w:spacing w:after="0" w:line="32"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86"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Accrued expenses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Notes payable, net of current portion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Preferred stock warrant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200"/>
        <w:spacing w:after="0" w:line="298" w:lineRule="auto"/>
        <w:rPr>
          <w:sz w:val="20"/>
          <w:szCs w:val="20"/>
          <w:color w:val="auto"/>
        </w:rPr>
      </w:pPr>
      <w:r>
        <w:rPr>
          <w:rFonts w:ascii="Times New Roman" w:cs="Times New Roman" w:eastAsia="Times New Roman" w:hAnsi="Times New Roman"/>
          <w:sz w:val="16"/>
          <w:szCs w:val="16"/>
          <w:color w:val="auto"/>
        </w:rPr>
        <w:t>Series B convertible preferred stock, $0.001 par value, no shares and 3,963 authorized, issued and outstanding at March 31, 2017 and December 31, 2016, respectively</w:t>
      </w:r>
    </w:p>
    <w:p>
      <w:pPr>
        <w:spacing w:after="0" w:line="16" w:lineRule="exact"/>
        <w:rPr>
          <w:sz w:val="20"/>
          <w:szCs w:val="20"/>
          <w:color w:val="auto"/>
        </w:rPr>
      </w:pPr>
    </w:p>
    <w:p>
      <w:pPr>
        <w:ind w:left="40" w:right="560"/>
        <w:spacing w:after="0" w:line="298" w:lineRule="auto"/>
        <w:rPr>
          <w:sz w:val="20"/>
          <w:szCs w:val="20"/>
          <w:color w:val="auto"/>
        </w:rPr>
      </w:pPr>
      <w:r>
        <w:rPr>
          <w:rFonts w:ascii="Times New Roman" w:cs="Times New Roman" w:eastAsia="Times New Roman" w:hAnsi="Times New Roman"/>
          <w:sz w:val="16"/>
          <w:szCs w:val="16"/>
          <w:color w:val="auto"/>
        </w:rPr>
        <w:t>Series C convertible preferred stock, $0.001 par value, no shares and 1,887 shares authorized, no shares and 1,593 shares issued and outstanding at March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40" w:right="200"/>
        <w:spacing w:after="0" w:line="298" w:lineRule="auto"/>
        <w:rPr>
          <w:sz w:val="20"/>
          <w:szCs w:val="20"/>
          <w:color w:val="auto"/>
        </w:rPr>
      </w:pPr>
      <w:r>
        <w:rPr>
          <w:rFonts w:ascii="Times New Roman" w:cs="Times New Roman" w:eastAsia="Times New Roman" w:hAnsi="Times New Roman"/>
          <w:sz w:val="16"/>
          <w:szCs w:val="16"/>
          <w:color w:val="auto"/>
        </w:rPr>
        <w:t>Series C-1 convertible preferred stock, $0.001 par value, no shares and 474 shares authorized, issued and outstanding at March 31, 2017 and December 31, 2016, respectively</w:t>
      </w:r>
    </w:p>
    <w:p>
      <w:pPr>
        <w:spacing w:after="0" w:line="16" w:lineRule="exact"/>
        <w:rPr>
          <w:sz w:val="20"/>
          <w:szCs w:val="20"/>
          <w:color w:val="auto"/>
        </w:rPr>
      </w:pPr>
    </w:p>
    <w:p>
      <w:pPr>
        <w:ind w:left="40" w:right="200"/>
        <w:spacing w:after="0" w:line="298" w:lineRule="auto"/>
        <w:rPr>
          <w:sz w:val="20"/>
          <w:szCs w:val="20"/>
          <w:color w:val="auto"/>
        </w:rPr>
      </w:pPr>
      <w:r>
        <w:rPr>
          <w:rFonts w:ascii="Times New Roman" w:cs="Times New Roman" w:eastAsia="Times New Roman" w:hAnsi="Times New Roman"/>
          <w:sz w:val="16"/>
          <w:szCs w:val="16"/>
          <w:color w:val="auto"/>
        </w:rPr>
        <w:t>Series D convertible preferred stock, $0.001 par value, no shares and 5,491 shares authorized, issued and outstanding at March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100" w:lineRule="exact"/>
        <w:rPr>
          <w:sz w:val="20"/>
          <w:szCs w:val="20"/>
          <w:color w:val="auto"/>
        </w:rPr>
      </w:pPr>
    </w:p>
    <w:p>
      <w:pPr>
        <w:ind w:left="40" w:right="240"/>
        <w:spacing w:after="0" w:line="298" w:lineRule="auto"/>
        <w:rPr>
          <w:sz w:val="20"/>
          <w:szCs w:val="20"/>
          <w:color w:val="auto"/>
        </w:rPr>
      </w:pPr>
      <w:r>
        <w:rPr>
          <w:rFonts w:ascii="Times New Roman" w:cs="Times New Roman" w:eastAsia="Times New Roman" w:hAnsi="Times New Roman"/>
          <w:sz w:val="16"/>
          <w:szCs w:val="16"/>
          <w:color w:val="auto"/>
        </w:rPr>
        <w:t>Preferred stock, $0.001 par value, 10,000 shares and no shares authorized, issued or outstanding at March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40" w:right="900"/>
        <w:spacing w:after="0" w:line="298" w:lineRule="auto"/>
        <w:rPr>
          <w:sz w:val="20"/>
          <w:szCs w:val="20"/>
          <w:color w:val="auto"/>
        </w:rPr>
      </w:pPr>
      <w:r>
        <w:rPr>
          <w:rFonts w:ascii="Times New Roman" w:cs="Times New Roman" w:eastAsia="Times New Roman" w:hAnsi="Times New Roman"/>
          <w:sz w:val="16"/>
          <w:szCs w:val="16"/>
          <w:color w:val="auto"/>
        </w:rPr>
        <w:t>Common stock, $0.001 par value, 500,000 and 17,214 authorized, 20,249 shares and 2,651 shares issued and outstanding at March 31, 2017 and December 31, 2016, respectively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86" w:lineRule="exact"/>
        <w:rPr>
          <w:sz w:val="20"/>
          <w:szCs w:val="20"/>
          <w:color w:val="auto"/>
        </w:rPr>
      </w:pPr>
    </w:p>
    <w:p>
      <w:pPr>
        <w:ind w:left="520"/>
        <w:spacing w:after="0"/>
        <w:tabs>
          <w:tab w:leader="none" w:pos="7900" w:val="left"/>
        </w:tabs>
        <w:rPr>
          <w:sz w:val="20"/>
          <w:szCs w:val="20"/>
          <w:color w:val="auto"/>
        </w:rPr>
      </w:pPr>
      <w:r>
        <w:rPr>
          <w:rFonts w:ascii="Times New Roman" w:cs="Times New Roman" w:eastAsia="Times New Roman" w:hAnsi="Times New Roman"/>
          <w:sz w:val="16"/>
          <w:szCs w:val="16"/>
          <w:color w:val="auto"/>
        </w:rPr>
        <w:t>Total liabilities, convertible preferred stock and stockholders’ equity (deficit)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44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0"/>
        </w:trPr>
        <w:tc>
          <w:tcPr>
            <w:tcW w:w="144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-173355</wp:posOffset>
            </wp:positionV>
            <wp:extent cx="1097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96,754</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51,232</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1,225</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4,965</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4,118</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6,742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1,694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110,155</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58,208</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20,327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131,111</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4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2,546</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2,278</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4,330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3,429</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8,126</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5,708</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12,709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13,809</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161</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3,241</w:t>
            </w:r>
          </w:p>
        </w:tc>
      </w:tr>
      <w:tr>
        <w:trPr>
          <w:trHeight w:val="74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28,220</w:t>
            </w:r>
          </w:p>
        </w:tc>
      </w:tr>
      <w:tr>
        <w:trPr>
          <w:trHeight w:val="47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6,452</w:t>
            </w:r>
          </w:p>
        </w:tc>
      </w:tr>
      <w:tr>
        <w:trPr>
          <w:trHeight w:val="47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2,156</w:t>
            </w:r>
          </w:p>
        </w:tc>
      </w:tr>
      <w:tr>
        <w:trPr>
          <w:trHeight w:val="47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40,688</w:t>
            </w:r>
          </w:p>
        </w:tc>
      </w:tr>
      <w:tr>
        <w:trPr>
          <w:trHeight w:val="74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3"/>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70"/>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176,507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(66,399)</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110,115</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(38,248)</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131,111</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-25400</wp:posOffset>
            </wp:positionV>
            <wp:extent cx="1097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-8255</wp:posOffset>
            </wp:positionV>
            <wp:extent cx="1097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-196850</wp:posOffset>
            </wp:positionV>
            <wp:extent cx="1097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-3712845</wp:posOffset>
            </wp:positionV>
            <wp:extent cx="1097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-4870450</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-5916930</wp:posOffset>
            </wp:positionV>
            <wp:extent cx="1097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300"/>
            <w:col w:w="3120"/>
          </w:cols>
          <w:pgMar w:left="240" w:top="360" w:right="23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360"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Collaboration revenue</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4,866</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4,786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1,219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9,988</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fair value of liability for preferred stock warrants</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Unrealized loss on available for sale securities</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3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3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15,295</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activities:</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Change in fair value of liability for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Noncash interest expense</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Receivable from collaborative partners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Accounts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Income taxes payable</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Acquisition of investments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06"/>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(11,435)</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756"/>
        </w:trPr>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620" w:space="720"/>
            <w:col w:w="3080"/>
          </w:cols>
          <w:pgMar w:left="240" w:top="360"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initial public offering, net of underwriters fees</w:t>
            </w:r>
          </w:p>
        </w:tc>
        <w:tc>
          <w:tcPr>
            <w:tcW w:w="5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80,213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stock options</w:t>
            </w: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warrants</w:t>
            </w:r>
          </w:p>
        </w:tc>
        <w:tc>
          <w:tcPr>
            <w:tcW w:w="5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for repurchase of common stock</w:t>
            </w: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Payments for offering costs</w:t>
            </w:r>
          </w:p>
        </w:tc>
        <w:tc>
          <w:tcPr>
            <w:tcW w:w="5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80,704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5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45,522</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51,292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96,814</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49,378</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INFORMATION</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accrued for offering costs</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4,607</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in vitro, the natural process of antibody generation. We currently generate revenue from our collaborative research and development arrangements.</w:t>
      </w:r>
    </w:p>
    <w:p>
      <w:pPr>
        <w:spacing w:after="0" w:line="18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and at March 31, 2017, have an accumulated deficit of $66.4 million. Through March 31, 2017,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Related Transactions</w:t>
      </w:r>
    </w:p>
    <w:p>
      <w:pPr>
        <w:spacing w:after="0" w:line="121"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900" w:hanging="48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convertible preferred stock into 11,520,698 shares of common stock; and</w:t>
      </w:r>
    </w:p>
    <w:p>
      <w:pPr>
        <w:spacing w:after="0" w:line="117"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66" w:lineRule="exact"/>
        <w:rPr>
          <w:sz w:val="20"/>
          <w:szCs w:val="20"/>
          <w:color w:val="auto"/>
        </w:rPr>
      </w:pPr>
    </w:p>
    <w:p>
      <w:pPr>
        <w:ind w:left="260" w:right="7840" w:hanging="252"/>
        <w:spacing w:after="0" w:line="378"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44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three months ended March 31, 2017 are not necessarily indicative of the results that may be expected for the year ending December 31, 2017. The financial statements should be read in conjunction with our audited financial statements for the year ended December 31, 2016, included in our Annual Form 10-K.</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0" w:right="25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us and our wholly-owned Australian subsidiary, which was established in March 2015. All intercompany accounts and transactions have been eliminated in consolidation. We operate in one reportable segment in the United States of America and our functional and reporting currency is the U.S. dollar.</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 Term and Long Term Investments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greater than 12 months at the balance sheet date are considered long-term investments. Unrealized gains and losses, deemed temporary in nature, are reported as a component of accumulated other comprehensive income (loss), net of tax. A decline in the fair value of any security below cost that is deemed other than temporary results in a charge to earnings and the corresponding establishment of a new cost basis for the security. Premiums (discounts) are amortized (accreted)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of cash and cash equivalents and certain investments in money market funds, agency securities, commercial paper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8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stockholders’ equity (deficit) except those resulting from distributions to stockholders. Our unrealized losses on investments represent the only component of other comprehensive loss that is excluded from the reported net loss.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121" w:lineRule="exact"/>
        <w:rPr>
          <w:sz w:val="20"/>
          <w:szCs w:val="20"/>
          <w:color w:val="auto"/>
        </w:rPr>
      </w:pPr>
    </w:p>
    <w:p>
      <w:pPr>
        <w:ind w:right="100" w:firstLine="44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For all periods presented, there is no difference in the number of shares used to calculate basic and diluted net loss per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84" w:right="239" w:bottom="1440" w:gutter="0" w:footer="0" w:header="0"/>
        </w:sectPr>
      </w:pPr>
    </w:p>
    <w:bookmarkStart w:id="7" w:name="page8"/>
    <w:bookmarkEnd w:id="7"/>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32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8580" w:type="dxa"/>
            <w:vAlign w:val="bottom"/>
            <w:tcBorders>
              <w:bottom w:val="single" w:sz="8" w:color="CFF0FC"/>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8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3"/>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11,521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3"/>
              </w:rPr>
              <w:t>1,995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Warrants to purchase preferred stock</w:t>
            </w:r>
          </w:p>
        </w:tc>
        <w:tc>
          <w:tcPr>
            <w:tcW w:w="8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3"/>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4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3"/>
              </w:rPr>
              <w:t>2,327</w:t>
            </w: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13,959</w:t>
            </w:r>
          </w:p>
        </w:tc>
        <w:tc>
          <w:tcPr>
            <w:tcW w:w="0" w:type="dxa"/>
            <w:vAlign w:val="bottom"/>
          </w:tcPr>
          <w:p>
            <w:pPr>
              <w:spacing w:after="0"/>
              <w:rPr>
                <w:sz w:val="1"/>
                <w:szCs w:val="1"/>
                <w:color w:val="auto"/>
              </w:rPr>
            </w:pPr>
          </w:p>
        </w:tc>
      </w:tr>
      <w:tr>
        <w:trPr>
          <w:trHeight w:val="20"/>
        </w:trPr>
        <w:tc>
          <w:tcPr>
            <w:tcW w:w="85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27"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Under the new guidance, additional paid-in capital pools will be eliminated and entities will be required to recognize the income tax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awards in the income statement when share-based awards vest or are settled. ASU 2016-09 also changes the classification of excess tax benefits on the statement of cash flows. It also will allow an employer to repurchase more of an employee's shares than it can currently for tax withholding purposes without triggering liability accounting and to make a policy election to either account for forfeitures as they occur or to continue the current practice of estimating forfeitures at the time of grant. ASU 2016-09 became effective for annual reporting periods beginning January 1, 2017, including interim periods thereafter. Upon adoption of this standard in January 2017, we recognized a cumulative increase of $41,000 to our accumulated deficit as a result of a change in accounting policy, due to our transition from calculating an estimated forfeiture rate at grant date to recording actual forfeitures as they occur. We did not record any other adjustments upon adoption of this standard.</w:t>
      </w:r>
    </w:p>
    <w:p>
      <w:pPr>
        <w:spacing w:after="0" w:line="189" w:lineRule="exact"/>
        <w:rPr>
          <w:sz w:val="20"/>
          <w:szCs w:val="20"/>
          <w:color w:val="auto"/>
        </w:rPr>
      </w:pPr>
    </w:p>
    <w:p>
      <w:pPr>
        <w:ind w:right="160" w:firstLine="446"/>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which requires companies to include cash and cash equivalents that have restrictions on withdrawal or use in total cash and cash equivalents on the statement of cash flows. ASU 2016-18 becomes effective for annual reporting periods beginning January 1, 2018, including interim periods thereafter; early adoption is permitted, including adoption in an interim period. Upon early adoption of this standard in January 2017, we adjusted our consolidated statement of cash flows to include $60,000 in restricted cash in the beginning and ending cash balance. We did not record any other adjustments upon adoption of this standard.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Accounting Standards Update (“ASU”)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outlines a single comprehensive model for entities to use in accounting for revenue from contracts with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will transition this standard using the modified retrospective approach for our annual reporting period beginning January 1, 2018. While we are continuing to assess all potential impacts of the standard, we currently believe the most significant impact relates to our accounting for variable consideration including revenues related to</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contingent “milestone” based payments.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given the nature of potential milestones owed to us, and the inherent risk involved in developing drugs, we believe that the majority of potential milestones will not be recognizable as of the standard adoption date.</w:t>
      </w:r>
    </w:p>
    <w:p>
      <w:pPr>
        <w:spacing w:after="0" w:line="182"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which intends to enhance the reporting model for financial instruments by providing users of financial instruments with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83"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reviewing all contracts outstanding and are assessing the impact that this standard will have on our consolidated financial statements.</w:t>
      </w:r>
    </w:p>
    <w:p>
      <w:pPr>
        <w:spacing w:after="0" w:line="286" w:lineRule="exact"/>
        <w:rPr>
          <w:sz w:val="20"/>
          <w:szCs w:val="20"/>
          <w:color w:val="auto"/>
        </w:rPr>
      </w:pPr>
    </w:p>
    <w:p>
      <w:pPr>
        <w:ind w:left="260" w:right="7040" w:hanging="252"/>
        <w:spacing w:after="0" w:line="378" w:lineRule="auto"/>
        <w:tabs>
          <w:tab w:leader="none" w:pos="19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Accounts and Supplemental Disclosures </w:t>
      </w:r>
      <w:r>
        <w:rPr>
          <w:rFonts w:ascii="Times New Roman" w:cs="Times New Roman" w:eastAsia="Times New Roman" w:hAnsi="Times New Roman"/>
          <w:sz w:val="18"/>
          <w:szCs w:val="18"/>
          <w:b w:val="1"/>
          <w:bCs w:val="1"/>
          <w:i w:val="1"/>
          <w:iCs w:val="1"/>
          <w:color w:val="auto"/>
        </w:rPr>
        <w:t>Property and Equipment</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310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37"/>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vMerge w:val="continu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4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8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10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research and contract manufacturing expenses</w:t>
            </w:r>
          </w:p>
        </w:tc>
        <w:tc>
          <w:tcPr>
            <w:tcW w:w="28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3,423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FF0FC"/>
            </w:tcBorders>
          </w:tcPr>
          <w:p>
            <w:pPr>
              <w:spacing w:after="0"/>
              <w:rPr>
                <w:sz w:val="2"/>
                <w:szCs w:val="2"/>
                <w:color w:val="auto"/>
              </w:rPr>
            </w:pPr>
          </w:p>
        </w:tc>
        <w:tc>
          <w:tcPr>
            <w:tcW w:w="28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310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bottom w:val="single" w:sz="8" w:color="CFF0FC"/>
            </w:tcBorders>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TESARO Collaboration</w:t>
      </w:r>
    </w:p>
    <w:p>
      <w:pPr>
        <w:spacing w:after="0" w:line="121"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89"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w:t>
      </w:r>
    </w:p>
    <w:p>
      <w:pPr>
        <w:spacing w:after="0" w:line="184" w:lineRule="exact"/>
        <w:rPr>
          <w:sz w:val="20"/>
          <w:szCs w:val="20"/>
          <w:color w:val="auto"/>
        </w:rPr>
      </w:pPr>
    </w:p>
    <w:p>
      <w:pPr>
        <w:ind w:firstLine="446"/>
        <w:spacing w:after="0" w:line="267" w:lineRule="auto"/>
        <w:rPr>
          <w:sz w:val="20"/>
          <w:szCs w:val="20"/>
          <w:color w:val="auto"/>
        </w:rPr>
      </w:pPr>
      <w:r>
        <w:rPr>
          <w:rFonts w:ascii="Times New Roman" w:cs="Times New Roman" w:eastAsia="Times New Roman" w:hAnsi="Times New Roman"/>
          <w:sz w:val="18"/>
          <w:szCs w:val="18"/>
          <w:color w:val="auto"/>
        </w:rPr>
        <w:t xml:space="preserve">During the year ended December 31, 2015, we achieved two $1.0 million milestones upon initiation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$77,000 during the three months ended March 31, 2016.</w:t>
      </w:r>
    </w:p>
    <w:p>
      <w:pPr>
        <w:spacing w:after="0" w:line="176" w:lineRule="exact"/>
        <w:rPr>
          <w:sz w:val="20"/>
          <w:szCs w:val="20"/>
          <w:color w:val="auto"/>
        </w:rPr>
      </w:pPr>
    </w:p>
    <w:p>
      <w:pPr>
        <w:jc w:val="both"/>
        <w:ind w:right="460" w:firstLine="446"/>
        <w:spacing w:after="0" w:line="266" w:lineRule="auto"/>
        <w:rPr>
          <w:sz w:val="20"/>
          <w:szCs w:val="20"/>
          <w:color w:val="auto"/>
        </w:rPr>
      </w:pPr>
      <w:r>
        <w:rPr>
          <w:rFonts w:ascii="Times New Roman" w:cs="Times New Roman" w:eastAsia="Times New Roman" w:hAnsi="Times New Roman"/>
          <w:sz w:val="18"/>
          <w:szCs w:val="18"/>
          <w:color w:val="auto"/>
        </w:rPr>
        <w:t>In January 2016, TESARO received clearance of their IND from the FDA for an AnaptysBio-generated anti-PD-1 antagonist antibody (TSR-042) resulting in us earning a $4.0 million milestone payment. We recognized $2.9 million of the $4.0 million milestone payment as revenue during the three months ended March 31, 2016. The $4.0 million milestone payment was received in February 2016.</w:t>
      </w:r>
    </w:p>
    <w:p>
      <w:pPr>
        <w:spacing w:after="0" w:line="176" w:lineRule="exact"/>
        <w:rPr>
          <w:sz w:val="20"/>
          <w:szCs w:val="20"/>
          <w:color w:val="auto"/>
        </w:rPr>
      </w:pPr>
    </w:p>
    <w:p>
      <w:pPr>
        <w:ind w:right="360" w:firstLine="446"/>
        <w:spacing w:after="0" w:line="282" w:lineRule="auto"/>
        <w:rPr>
          <w:sz w:val="20"/>
          <w:szCs w:val="20"/>
          <w:color w:val="auto"/>
        </w:rPr>
      </w:pPr>
      <w:r>
        <w:rPr>
          <w:rFonts w:ascii="Times New Roman" w:cs="Times New Roman" w:eastAsia="Times New Roman" w:hAnsi="Times New Roman"/>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62"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We recognized no revenue under this agreement during the three months ended March 31, 2017. Revenue recognized under this agreement aggregated $4.9 million during the three months ended March 31, 2016, which includes $3.0 million related to milestones earned, $1.2 million in funding for research and development services and $0.7 million for the amortization of the upfront fee.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Celgene Corporation</w:t>
      </w:r>
    </w:p>
    <w:p>
      <w:pPr>
        <w:spacing w:after="0" w:line="121" w:lineRule="exact"/>
        <w:rPr>
          <w:sz w:val="20"/>
          <w:szCs w:val="20"/>
          <w:color w:val="auto"/>
        </w:rPr>
      </w:pPr>
    </w:p>
    <w:p>
      <w:pPr>
        <w:jc w:val="both"/>
        <w:ind w:right="120" w:firstLine="446"/>
        <w:spacing w:after="0" w:line="266"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95" w:right="239" w:bottom="1440" w:gutter="0" w:footer="0" w:header="0"/>
        </w:sectPr>
      </w:pPr>
    </w:p>
    <w:bookmarkStart w:id="10" w:name="page11"/>
    <w:bookmarkEnd w:id="10"/>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revenue recognized under this agreement during the three months ended March 31, 2017 and 2016.</w:t>
      </w:r>
    </w:p>
    <w:p>
      <w:pPr>
        <w:spacing w:after="0" w:line="329" w:lineRule="exact"/>
        <w:rPr>
          <w:sz w:val="20"/>
          <w:szCs w:val="20"/>
          <w:color w:val="auto"/>
        </w:rPr>
      </w:pPr>
    </w:p>
    <w:p>
      <w:pPr>
        <w:jc w:val="both"/>
        <w:ind w:left="260" w:right="10120" w:hanging="252"/>
        <w:spacing w:after="0" w:line="400" w:lineRule="auto"/>
        <w:tabs>
          <w:tab w:leader="none" w:pos="197"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Notes Payable </w:t>
      </w:r>
      <w:r>
        <w:rPr>
          <w:rFonts w:ascii="Times New Roman" w:cs="Times New Roman" w:eastAsia="Times New Roman" w:hAnsi="Times New Roman"/>
          <w:sz w:val="17"/>
          <w:szCs w:val="17"/>
          <w:b w:val="1"/>
          <w:bCs w:val="1"/>
          <w:i w:val="1"/>
          <w:iCs w:val="1"/>
          <w:color w:val="auto"/>
        </w:rPr>
        <w:t>Notes Payable</w:t>
      </w:r>
    </w:p>
    <w:p>
      <w:pPr>
        <w:spacing w:after="0" w:line="1"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and each bear a fixed rate of interest of 6.97%. The Term B Loans for an aggregate of $5.0 million were initially available for draw through December 31, 2015, contingent upon our first multi-dose PK/toxicology studies on at least two development programs and the Term C Loans for an aggregate of $5.0 million were initially available for draw through December 31, 2016, contingent upon receiving FDA approval on IND submission on at least two development programs.</w:t>
      </w:r>
    </w:p>
    <w:p>
      <w:pPr>
        <w:spacing w:after="0" w:line="188"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8"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If the Term B Loans and Term C Loans were issued, they would bear interest at the greater of 6.95% or the 3-month LIBOR plus 6.72%, with principal payments beginning February 1, 2017 and with final maturity in January 2019.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2016, we further amended the Loan Agreement to (i) allow for the Term B Loans and Term C Loans to be drawn on December 30, 2016,</w:t>
      </w:r>
    </w:p>
    <w:p>
      <w:pPr>
        <w:spacing w:after="0" w:line="27" w:lineRule="exact"/>
        <w:rPr>
          <w:sz w:val="20"/>
          <w:szCs w:val="20"/>
          <w:color w:val="auto"/>
        </w:rPr>
      </w:pPr>
    </w:p>
    <w:p>
      <w:pPr>
        <w:ind w:right="20" w:firstLine="8"/>
        <w:spacing w:after="0" w:line="254"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principal repayments of all Term Loans until February 1, 2018 and (iii) amend the interest rate for each Term Loan. The Term B Loans and the Term C Loans were drawn on December 30, 2016. As of March 31, 2017, the Term Loans are due in 10 monthly interest-only payments through January 2018, followed by 24 equal monthly principal and interest payments beginning February 1, 2018, with final maturity in January 2020. Each Loan bears interest equal to the greater of 3-month U.S. LIBOR plus 6.37% or 7.3%. The interest rate was 7.43% as of March 31, 2017.</w:t>
      </w:r>
    </w:p>
    <w:p>
      <w:pPr>
        <w:spacing w:after="0" w:line="186" w:lineRule="exact"/>
        <w:rPr>
          <w:sz w:val="20"/>
          <w:szCs w:val="20"/>
          <w:color w:val="auto"/>
        </w:rPr>
      </w:pPr>
    </w:p>
    <w:p>
      <w:pPr>
        <w:jc w:val="both"/>
        <w:ind w:right="280"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Term B &amp; C Loans, we issued detachable, fully vested warrants to purchase an aggregate of 82,416 shares of Series C Preferred Stock at an exercise price of $4.55 per share to the lenders, which are subject to change under anti-dilution provisions. The warrants are exercisable at any time through December 2026. The grant-date fair value of the warrants of $0.9 million was recorded as a liability, with 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ind w:right="220"/>
        <w:spacing w:after="0" w:line="276" w:lineRule="auto"/>
        <w:rPr>
          <w:sz w:val="20"/>
          <w:szCs w:val="20"/>
          <w:color w:val="auto"/>
        </w:rPr>
      </w:pPr>
      <w:r>
        <w:rPr>
          <w:rFonts w:ascii="Times New Roman" w:cs="Times New Roman" w:eastAsia="Times New Roman" w:hAnsi="Times New Roman"/>
          <w:sz w:val="17"/>
          <w:szCs w:val="17"/>
          <w:color w:val="auto"/>
        </w:rPr>
        <w:t>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79.2%, an expected life equal to the contractual term of the warrants of ten years and a risk-free interest rate of 2.45%. As discussed in Note 7 below, all of the outstanding warrants to purchase shares of preferred stock automatically converted into warrants to purchase shares of common stock in connection with the IPO and are accounted for as equity from the conversion date forward.</w:t>
      </w:r>
    </w:p>
    <w:p>
      <w:pPr>
        <w:spacing w:after="0" w:line="186" w:lineRule="exact"/>
        <w:rPr>
          <w:sz w:val="20"/>
          <w:szCs w:val="20"/>
          <w:color w:val="auto"/>
        </w:rPr>
      </w:pPr>
    </w:p>
    <w:p>
      <w:pPr>
        <w:jc w:val="both"/>
        <w:ind w:right="140" w:firstLine="446"/>
        <w:spacing w:after="0" w:line="266" w:lineRule="auto"/>
        <w:rPr>
          <w:sz w:val="20"/>
          <w:szCs w:val="20"/>
          <w:color w:val="auto"/>
        </w:rPr>
      </w:pPr>
      <w:r>
        <w:rPr>
          <w:rFonts w:ascii="Times New Roman" w:cs="Times New Roman" w:eastAsia="Times New Roman" w:hAnsi="Times New Roman"/>
          <w:sz w:val="18"/>
          <w:szCs w:val="18"/>
          <w:color w:val="auto"/>
        </w:rPr>
        <w:t>As of March 31, 2017, the carrying amount of the Term Loans were $14.0 million, which is net of discounts of $1.0 million and of which $1.3 million is classified as current liabilities as of March 31, 2017. The effective interest rate on the Term Loans at March 31, 2017 was 11.82%. As of March 31, 2017, future principal maturities of the Term Loans were $6.9 million, $7.5 million and $0.6 million in 2018, 2019 and 2020, respectively.</w:t>
      </w:r>
    </w:p>
    <w:p>
      <w:pPr>
        <w:spacing w:after="0" w:line="176" w:lineRule="exact"/>
        <w:rPr>
          <w:sz w:val="20"/>
          <w:szCs w:val="20"/>
          <w:color w:val="auto"/>
        </w:rPr>
      </w:pPr>
    </w:p>
    <w:p>
      <w:pPr>
        <w:ind w:right="680" w:firstLine="446"/>
        <w:spacing w:after="0" w:line="282" w:lineRule="auto"/>
        <w:rPr>
          <w:sz w:val="20"/>
          <w:szCs w:val="20"/>
          <w:color w:val="auto"/>
        </w:rPr>
      </w:pPr>
      <w:r>
        <w:rPr>
          <w:rFonts w:ascii="Times New Roman" w:cs="Times New Roman" w:eastAsia="Times New Roman" w:hAnsi="Times New Roman"/>
          <w:sz w:val="18"/>
          <w:szCs w:val="18"/>
          <w:color w:val="auto"/>
        </w:rPr>
        <w:t>The Term Loans are secured by a first priority interest in most of our assets, excluding intellectual property. As of March 31, 2017, we were in compliance with the covenants contained in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short-term and long-term investments, receivables, accounts payable, notes payable and preferred stock warrant liabilities. Certain of our financial assets and liabilities have been recorded at fair value in the consolidated balance sheet in accordance with the accounting standards for fair value measurements.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80" w:right="259" w:bottom="1440" w:gutter="0" w:footer="0" w:header="0"/>
        </w:sectPr>
      </w:pPr>
    </w:p>
    <w:bookmarkStart w:id="12" w:name="page13"/>
    <w:bookmarkEnd w:id="1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4"/>
                <w:szCs w:val="14"/>
                <w:color w:val="auto"/>
              </w:rPr>
            </w:pPr>
          </w:p>
        </w:tc>
        <w:tc>
          <w:tcPr>
            <w:tcW w:w="13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700" w:type="dxa"/>
            <w:vAlign w:val="bottom"/>
            <w:gridSpan w:val="4"/>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3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700" w:type="dxa"/>
            <w:vAlign w:val="bottom"/>
            <w:tcBorders>
              <w:top w:val="single" w:sz="8" w:color="CFF0FC"/>
            </w:tcBorders>
            <w:gridSpan w:val="4"/>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At March 31, 2017</w:t>
            </w:r>
          </w:p>
        </w:tc>
        <w:tc>
          <w:tcPr>
            <w:tcW w:w="10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auto"/>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2980" w:type="dxa"/>
            <w:vAlign w:val="bottom"/>
            <w:tcBorders>
              <w:top w:val="single" w:sz="8" w:color="CFF0FC"/>
            </w:tcBorders>
            <w:shd w:val="clear" w:color="auto" w:fill="CFF0FC"/>
          </w:tcPr>
          <w:p>
            <w:pPr>
              <w:spacing w:after="0"/>
              <w:rPr>
                <w:sz w:val="5"/>
                <w:szCs w:val="5"/>
                <w:color w:val="auto"/>
              </w:rPr>
            </w:pPr>
          </w:p>
        </w:tc>
        <w:tc>
          <w:tcPr>
            <w:tcW w:w="10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3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83,309</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83,309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11,822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(2)</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10,411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5"/>
                <w:szCs w:val="25"/>
                <w:color w:val="auto"/>
                <w:vertAlign w:val="superscript"/>
              </w:rPr>
              <w:t>(3)</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13,286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gridSpan w:val="4"/>
            <w:shd w:val="clear" w:color="auto" w:fill="CFF0FC"/>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At December 31, 2016</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FF0FC"/>
            </w:tcBorders>
            <w:shd w:val="clear" w:color="auto" w:fill="CFF0FC"/>
          </w:tcPr>
          <w:p>
            <w:pPr>
              <w:spacing w:after="0"/>
              <w:rPr>
                <w:sz w:val="4"/>
                <w:szCs w:val="4"/>
                <w:color w:val="auto"/>
              </w:rPr>
            </w:pPr>
          </w:p>
        </w:tc>
        <w:tc>
          <w:tcPr>
            <w:tcW w:w="1420" w:type="dxa"/>
            <w:vAlign w:val="bottom"/>
            <w:tcBorders>
              <w:top w:val="single" w:sz="8" w:color="auto"/>
            </w:tcBorders>
            <w:shd w:val="clear" w:color="auto" w:fill="CFF0FC"/>
          </w:tcPr>
          <w:p>
            <w:pPr>
              <w:spacing w:after="0"/>
              <w:rPr>
                <w:sz w:val="4"/>
                <w:szCs w:val="4"/>
                <w:color w:val="auto"/>
              </w:rPr>
            </w:pPr>
          </w:p>
        </w:tc>
        <w:tc>
          <w:tcPr>
            <w:tcW w:w="260" w:type="dxa"/>
            <w:vAlign w:val="bottom"/>
            <w:tcBorders>
              <w:top w:val="single" w:sz="8" w:color="auto"/>
            </w:tcBorders>
            <w:shd w:val="clear" w:color="auto" w:fill="CFF0FC"/>
          </w:tcPr>
          <w:p>
            <w:pPr>
              <w:spacing w:after="0"/>
              <w:rPr>
                <w:sz w:val="4"/>
                <w:szCs w:val="4"/>
                <w:color w:val="auto"/>
              </w:rPr>
            </w:pPr>
          </w:p>
        </w:tc>
        <w:tc>
          <w:tcPr>
            <w:tcW w:w="29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3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14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3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31,955</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31,955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17,620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17,620</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72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3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cash and cash equivalents, and restricted cash in the accompanying consolidated balance sheets.</w:t>
      </w:r>
    </w:p>
    <w:p>
      <w:pPr>
        <w:spacing w:after="0" w:line="28" w:lineRule="exact"/>
        <w:rPr>
          <w:rFonts w:ascii="Times New Roman" w:cs="Times New Roman" w:eastAsia="Times New Roman" w:hAnsi="Times New Roman"/>
          <w:sz w:val="25"/>
          <w:szCs w:val="25"/>
          <w:color w:val="auto"/>
          <w:vertAlign w:val="superscript"/>
        </w:rPr>
      </w:pPr>
    </w:p>
    <w:p>
      <w:pPr>
        <w:ind w:left="460" w:hanging="452"/>
        <w:spacing w:after="0" w:line="186" w:lineRule="auto"/>
        <w:tabs>
          <w:tab w:leader="none" w:pos="46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Included in short-term or long-term investments in the accompanying consolidated balance sheets depending on the respective maturity date.</w:t>
      </w:r>
    </w:p>
    <w:p>
      <w:pPr>
        <w:spacing w:after="0" w:line="2" w:lineRule="exact"/>
        <w:rPr>
          <w:rFonts w:ascii="Times New Roman" w:cs="Times New Roman" w:eastAsia="Times New Roman" w:hAnsi="Times New Roman"/>
          <w:sz w:val="24"/>
          <w:szCs w:val="24"/>
          <w:color w:val="auto"/>
          <w:vertAlign w:val="superscript"/>
        </w:rPr>
      </w:pPr>
    </w:p>
    <w:p>
      <w:pPr>
        <w:ind w:left="460" w:right="700" w:hanging="452"/>
        <w:spacing w:after="0" w:line="208" w:lineRule="auto"/>
        <w:tabs>
          <w:tab w:leader="none" w:pos="4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cash and cash equivalents, short-term or long-term investments in the accompanying consolidated balance sheets depending on the respective maturity date.</w:t>
      </w:r>
    </w:p>
    <w:p>
      <w:pPr>
        <w:spacing w:after="0" w:line="254"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5"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74" w:lineRule="exact"/>
        <w:rPr>
          <w:sz w:val="20"/>
          <w:szCs w:val="20"/>
          <w:color w:val="auto"/>
        </w:rPr>
      </w:pPr>
    </w:p>
    <w:p>
      <w:pPr>
        <w:jc w:val="both"/>
        <w:ind w:right="2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Our preferred stock warrants were accounted for as derivative liabilities and measured at fair value on a recurring basis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requires Level 3 inputs.</w:t>
      </w:r>
    </w:p>
    <w:p>
      <w:pPr>
        <w:spacing w:after="0" w:line="176"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As discussed in Note 7 below,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subsequent remeasurement using the Black-Scholes option-pricing model at each reporting date.</w:t>
      </w:r>
    </w:p>
    <w:p>
      <w:pPr>
        <w:spacing w:after="0" w:line="180" w:lineRule="exact"/>
        <w:rPr>
          <w:sz w:val="20"/>
          <w:szCs w:val="20"/>
          <w:color w:val="auto"/>
        </w:rPr>
      </w:pPr>
    </w:p>
    <w:p>
      <w:pPr>
        <w:jc w:val="both"/>
        <w:ind w:right="200" w:firstLine="446"/>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4" w:right="23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color w:val="auto"/>
        </w:rPr>
        <w:t>The following weighted-average assumptions were employed in estimating the value of the liabilities for Series C preferred stock warrants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as of January 31, 2017, the conversion date, and December 31,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12.67</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8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Weighted-average measurement date fair value per share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82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in liabilities measured at fair value on a recurring basis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9"/>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 Warrant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gains (losses) included in other expense</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379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0"/>
        </w:trPr>
        <w:tc>
          <w:tcPr>
            <w:tcW w:w="8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financial instruments estimated as of March 31, 2017 and December 31, 2016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63"/>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2"/>
        </w:trPr>
        <w:tc>
          <w:tcPr>
            <w:tcW w:w="516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13,959</w:t>
            </w:r>
          </w:p>
        </w:tc>
        <w:tc>
          <w:tcPr>
            <w:tcW w:w="120" w:type="dxa"/>
            <w:vAlign w:val="bottom"/>
            <w:tcBorders>
              <w:top w:val="single" w:sz="8" w:color="CFF0FC"/>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15,531</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notes payable:</w:t>
      </w:r>
    </w:p>
    <w:p>
      <w:pPr>
        <w:spacing w:after="0" w:line="223"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8"/>
          <w:szCs w:val="18"/>
          <w:color w:val="auto"/>
        </w:rPr>
        <w:t>In February 2017 we began investing our excess cash in agency securities, commercial paper and debt instruments of financial institutions and corporations,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March 31, 2017 are as follows:</w:t>
      </w:r>
    </w:p>
    <w:p>
      <w:pPr>
        <w:spacing w:after="0" w:line="32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9"/>
        </w:trPr>
        <w:tc>
          <w:tcPr>
            <w:tcW w:w="4660" w:type="dxa"/>
            <w:vAlign w:val="bottom"/>
            <w:tcBorders>
              <w:top w:val="single" w:sz="8" w:color="CFF0FC"/>
            </w:tcBorders>
            <w:shd w:val="clear" w:color="auto" w:fill="CFF0FC"/>
          </w:tcPr>
          <w:p>
            <w:pPr>
              <w:ind w:left="40"/>
              <w:spacing w:after="0" w:line="269"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Borders>
              <w:top w:val="single" w:sz="8" w:color="CFF0FC"/>
            </w:tcBorders>
            <w:shd w:val="clear" w:color="auto" w:fill="CFF0FC"/>
          </w:tcPr>
          <w:p>
            <w:pPr>
              <w:spacing w:after="0"/>
              <w:rPr>
                <w:sz w:val="23"/>
                <w:szCs w:val="23"/>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tcBorders>
            <w:shd w:val="clear" w:color="auto" w:fill="CFF0FC"/>
          </w:tcPr>
          <w:p>
            <w:pPr>
              <w:spacing w:after="0"/>
              <w:rPr>
                <w:sz w:val="23"/>
                <w:szCs w:val="23"/>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10,411</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13,286</w:t>
            </w:r>
          </w:p>
        </w:tc>
        <w:tc>
          <w:tcPr>
            <w:tcW w:w="0" w:type="dxa"/>
            <w:vAlign w:val="bottom"/>
          </w:tcPr>
          <w:p>
            <w:pPr>
              <w:spacing w:after="0"/>
              <w:rPr>
                <w:sz w:val="1"/>
                <w:szCs w:val="1"/>
                <w:color w:val="auto"/>
              </w:rPr>
            </w:pPr>
          </w:p>
        </w:tc>
      </w:tr>
      <w:tr>
        <w:trPr>
          <w:trHeight w:val="270"/>
        </w:trPr>
        <w:tc>
          <w:tcPr>
            <w:tcW w:w="4660" w:type="dxa"/>
            <w:vAlign w:val="bottom"/>
            <w:shd w:val="clear" w:color="auto" w:fill="CFF0FC"/>
          </w:tcPr>
          <w:p>
            <w:pPr>
              <w:ind w:left="40"/>
              <w:spacing w:after="0" w:line="27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(3)</w:t>
            </w:r>
          </w:p>
        </w:tc>
        <w:tc>
          <w:tcPr>
            <w:tcW w:w="30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4,982</w:t>
            </w:r>
          </w:p>
        </w:tc>
        <w:tc>
          <w:tcPr>
            <w:tcW w:w="0" w:type="dxa"/>
            <w:vAlign w:val="bottom"/>
          </w:tcPr>
          <w:p>
            <w:pPr>
              <w:spacing w:after="0"/>
              <w:rPr>
                <w:sz w:val="1"/>
                <w:szCs w:val="1"/>
                <w:color w:val="auto"/>
              </w:rPr>
            </w:pPr>
          </w:p>
        </w:tc>
      </w:tr>
      <w:tr>
        <w:trPr>
          <w:trHeight w:val="237"/>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28,692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28,679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-728345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-728345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-728345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163195</wp:posOffset>
            </wp:positionV>
            <wp:extent cx="13633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Agency securities have a maturity date of between one to two years as of March 31, 2017.</w:t>
      </w:r>
    </w:p>
    <w:p>
      <w:pPr>
        <w:spacing w:after="0" w:line="28" w:lineRule="exact"/>
        <w:rPr>
          <w:rFonts w:ascii="Times New Roman" w:cs="Times New Roman" w:eastAsia="Times New Roman" w:hAnsi="Times New Roman"/>
          <w:sz w:val="25"/>
          <w:szCs w:val="25"/>
          <w:color w:val="auto"/>
          <w:vertAlign w:val="superscript"/>
        </w:rPr>
      </w:pPr>
    </w:p>
    <w:p>
      <w:pPr>
        <w:ind w:left="460" w:right="280" w:hanging="452"/>
        <w:spacing w:after="0" w:line="208" w:lineRule="auto"/>
        <w:tabs>
          <w:tab w:leader="none" w:pos="4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Commercial paper, $8.4 million have maturity dates of less than one year and $4.9 million have maturity dates of between one to two years as of March 31, 2017.</w:t>
      </w:r>
    </w:p>
    <w:p>
      <w:pPr>
        <w:spacing w:after="0" w:line="1" w:lineRule="exact"/>
        <w:rPr>
          <w:rFonts w:ascii="Times New Roman" w:cs="Times New Roman" w:eastAsia="Times New Roman" w:hAnsi="Times New Roman"/>
          <w:sz w:val="25"/>
          <w:szCs w:val="25"/>
          <w:color w:val="auto"/>
          <w:vertAlign w:val="superscript"/>
        </w:rPr>
      </w:pPr>
    </w:p>
    <w:p>
      <w:pPr>
        <w:ind w:left="460" w:hanging="452"/>
        <w:spacing w:after="0" w:line="180" w:lineRule="auto"/>
        <w:tabs>
          <w:tab w:leader="none" w:pos="4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Treasury securities have a maturity date of between one to two years as of March 31, 2017.</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121" w:lineRule="exact"/>
        <w:rPr>
          <w:sz w:val="20"/>
          <w:szCs w:val="20"/>
          <w:color w:val="auto"/>
        </w:rPr>
      </w:pPr>
    </w:p>
    <w:p>
      <w:pPr>
        <w:ind w:right="120" w:firstLine="446"/>
        <w:spacing w:after="0" w:line="258" w:lineRule="auto"/>
        <w:rPr>
          <w:sz w:val="20"/>
          <w:szCs w:val="20"/>
          <w:color w:val="auto"/>
        </w:rPr>
      </w:pPr>
      <w:r>
        <w:rPr>
          <w:rFonts w:ascii="Times New Roman" w:cs="Times New Roman" w:eastAsia="Times New Roman" w:hAnsi="Times New Roman"/>
          <w:sz w:val="18"/>
          <w:szCs w:val="18"/>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preferred shares of common stock to 10,000,000 with a par value of $0.001 per share.</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Of the 500,000,000 shares of common stock authorized, 20,249,295 shares were issued and outstanding as of March 31, 2017. Common stock reserved for future issuance upon the exercise, issuance or conversion of the respective equity instruments at March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2,722,883</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Warrants for shares of common stock</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198,009</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reserved for future award grants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1,204,923</w:t>
            </w:r>
          </w:p>
        </w:tc>
      </w:tr>
      <w:tr>
        <w:trPr>
          <w:trHeight w:val="27"/>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4,125,815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right="420" w:firstLine="446"/>
        <w:spacing w:after="0" w:line="282" w:lineRule="auto"/>
        <w:rPr>
          <w:sz w:val="20"/>
          <w:szCs w:val="20"/>
          <w:color w:val="auto"/>
        </w:rPr>
      </w:pPr>
      <w:r>
        <w:rPr>
          <w:rFonts w:ascii="Times New Roman" w:cs="Times New Roman" w:eastAsia="Times New Roman" w:hAnsi="Times New Roman"/>
          <w:sz w:val="18"/>
          <w:szCs w:val="18"/>
          <w:color w:val="auto"/>
        </w:rPr>
        <w:t>Through March 31, 2017, warrants for the purchase of 296,669 shares of common stock were exercised, of which 179,047 were exercised by a net exercise method. As a result, we issued 250,448 shares of common stock, net.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2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w:t>
      </w:r>
    </w:p>
    <w:p>
      <w:pPr>
        <w:spacing w:after="0" w:line="81"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As of March 31, 2017, there were 2,722,883 options outstanding to purchase shares of common stock and 1,204,923 shares of common stock reserved for future stock awards under the 2017 Plan.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Employee Stock Purchase Plan or the ESPP. The ESPP became effective up the execution and delivery of the underwriting agreement for our initial public offering on January 26, 2017. A total of 218,000 shares of common stock are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180" w:firstLine="44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three months ended March 31, 2017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20" w:type="dxa"/>
            <w:vAlign w:val="bottom"/>
          </w:tcPr>
          <w:p>
            <w:pPr>
              <w:spacing w:after="0"/>
              <w:rPr>
                <w:sz w:val="13"/>
                <w:szCs w:val="13"/>
                <w:color w:val="auto"/>
              </w:rPr>
            </w:pPr>
          </w:p>
        </w:tc>
        <w:tc>
          <w:tcPr>
            <w:tcW w:w="1380" w:type="dxa"/>
            <w:vAlign w:val="bottom"/>
            <w:vMerge w:val="restart"/>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3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2"/>
                <w:szCs w:val="12"/>
                <w:color w:val="auto"/>
              </w:rPr>
            </w:pPr>
          </w:p>
        </w:tc>
        <w:tc>
          <w:tcPr>
            <w:tcW w:w="13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7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1,879,428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934,141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Exercises</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(76,863)</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7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2,722,883</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FF0FC"/>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47,184.0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Total cash received from the exercise of stock options was approximately $0.4 million during the three months ended March 31, 2017. As a result of the adoption of ASU 2016-09 and the elimination of a forfeiture rate as discussed in Note 2 above, all options outstanding are considered expected to vest.</w:t>
      </w:r>
    </w:p>
    <w:p>
      <w:pPr>
        <w:spacing w:after="0" w:line="162"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Certain stock option grants under the 2006 Plan provide for exercise of the stock option prior to vesting. Shares of common stock issued upon exercise of unvested options are subject to repurchase by us at the respective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4" w:right="239" w:bottom="1440" w:gutter="0" w:footer="0" w:header="0"/>
        </w:sectPr>
      </w:pPr>
    </w:p>
    <w:bookmarkStart w:id="16" w:name="page17"/>
    <w:bookmarkEnd w:id="16"/>
    <w:p>
      <w:pPr>
        <w:ind w:right="200"/>
        <w:spacing w:after="0" w:line="282" w:lineRule="auto"/>
        <w:rPr>
          <w:sz w:val="20"/>
          <w:szCs w:val="20"/>
          <w:color w:val="auto"/>
        </w:rPr>
      </w:pPr>
      <w:r>
        <w:rPr>
          <w:rFonts w:ascii="Times New Roman" w:cs="Times New Roman" w:eastAsia="Times New Roman" w:hAnsi="Times New Roman"/>
          <w:sz w:val="18"/>
          <w:szCs w:val="18"/>
          <w:color w:val="auto"/>
        </w:rPr>
        <w:t>original exercise price until vested. Consideration received for the exercise of unvested stock options is recorded as a liability and reclassified into equity as the related award vests.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30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49"/>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80" w:type="dxa"/>
            <w:vAlign w:val="bottom"/>
          </w:tcPr>
          <w:p>
            <w:pPr>
              <w:spacing w:after="0"/>
              <w:rPr>
                <w:sz w:val="21"/>
                <w:szCs w:val="21"/>
                <w:color w:val="auto"/>
              </w:rPr>
            </w:pPr>
          </w:p>
        </w:tc>
        <w:tc>
          <w:tcPr>
            <w:tcW w:w="1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15.15</w:t>
            </w:r>
          </w:p>
        </w:tc>
      </w:tr>
      <w:tr>
        <w:trPr>
          <w:trHeight w:val="27"/>
        </w:trPr>
        <w:tc>
          <w:tcPr>
            <w:tcW w:w="79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934,141 and no stock options granted during the three months ended March 31, 2017 and 2016, respectively.</w:t>
      </w:r>
    </w:p>
    <w:p>
      <w:pPr>
        <w:spacing w:after="0" w:line="171"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right="900" w:firstLine="446"/>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8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At March 31, 2017, there was $16.7 million of unrecognized compensation cost related to unvested stock option awards, which is expected to be recognized over a remaining weighted average vesting period of 3.1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Our Australian subsidiary, which conducts core research and development activities on our behalf, is eligible to receive a 43.5% and 45.0% refundable tax incentive for qualified research and development activities during fiscal 2017 and fiscal 2016, respectively. For the three months ended March 31, 2017, $0.6 million was recorded as a reduction to research and development expenses in the consolidated statements of operations and comprehensive loss. As of March 31, 2016, we had not yet determined that we would meet the eligibility criteria for fiscal 2016, and therefore did not record a reduction to research and development expense.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4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April 2017, TESARO initiated a registration program for an AnaptysBio-generated anti-PD-1 antagonist antibody (TSR-042) resulting in a $3.0 million milestone payment being earned. We expect to recognize as revenue and receive this milestone payment during the second quarter of 2017.</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240" w:top="495" w:right="5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three months ended March 31, 2017, included in Part I, Item 1 of this report for the and with our audited consolidated financial statements and related notes thereto for the year ended December 31, 2016, included in the Company’s Form 10-K.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report.</w:t>
      </w:r>
    </w:p>
    <w:p>
      <w:pPr>
        <w:spacing w:after="0" w:line="183" w:lineRule="exact"/>
        <w:rPr>
          <w:sz w:val="20"/>
          <w:szCs w:val="20"/>
          <w:color w:val="auto"/>
        </w:rPr>
      </w:pPr>
    </w:p>
    <w:p>
      <w:pPr>
        <w:ind w:right="4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terms “AnaptysBio,” “the Company,” “we,” “us,” and “our” refer to AnaptysBio, Inc. and, where appropriate, its consolidated subsidiary, unless the context indicates otherwise.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84" w:lineRule="exact"/>
        <w:rPr>
          <w:sz w:val="20"/>
          <w:szCs w:val="20"/>
          <w:color w:val="auto"/>
        </w:rPr>
      </w:pPr>
    </w:p>
    <w:p>
      <w:pPr>
        <w:ind w:right="60" w:firstLine="446"/>
        <w:spacing w:after="0" w:line="267" w:lineRule="auto"/>
        <w:rPr>
          <w:sz w:val="20"/>
          <w:szCs w:val="20"/>
          <w:color w:val="auto"/>
        </w:rPr>
      </w:pPr>
      <w:r>
        <w:rPr>
          <w:rFonts w:ascii="Times New Roman" w:cs="Times New Roman" w:eastAsia="Times New Roman" w:hAnsi="Times New Roman"/>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ANB019 inhibits the interleukin-36 receptor, or IL-36R, for the treatment of rare inflammatory diseases including generalized pustular psoriasis, or GPP, and palmo-plantar pustular psoriasis, or PPP. </w:t>
      </w:r>
      <w:r>
        <w:rPr>
          <w:rFonts w:ascii="Times New Roman" w:cs="Times New Roman" w:eastAsia="Times New Roman" w:hAnsi="Times New Roman"/>
          <w:sz w:val="17"/>
          <w:szCs w:val="17"/>
          <w:color w:val="231F20"/>
        </w:rPr>
        <w:t>We have completed a Phase 1 trial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at certain doses, a single administration was sufficient to suppress IL-33 function for approximately three months post-dosing as measured by an </w:t>
      </w:r>
      <w:r>
        <w:rPr>
          <w:rFonts w:ascii="Times New Roman" w:cs="Times New Roman" w:eastAsia="Times New Roman" w:hAnsi="Times New Roman"/>
          <w:sz w:val="17"/>
          <w:szCs w:val="17"/>
          <w:i w:val="1"/>
          <w:iCs w:val="1"/>
          <w:color w:val="231F20"/>
        </w:rPr>
        <w:t>ex vivo</w:t>
      </w:r>
      <w:r>
        <w:rPr>
          <w:rFonts w:ascii="Times New Roman" w:cs="Times New Roman" w:eastAsia="Times New Roman" w:hAnsi="Times New Roman"/>
          <w:sz w:val="17"/>
          <w:szCs w:val="17"/>
          <w:color w:val="231F20"/>
        </w:rPr>
        <w:t xml:space="preserve"> pharmacodynamic assay. We have cleared an Investigational New Drug application, or IND, with the U.S. Food and Drug Administration, or FDA, and a Clinical Trial Authorisation, or CTA, with the U.K. Medicines and Healthcare Products Regulatory Agency, or MHRA, to initiate Phase 2a trials of ANB020 in patients with severe adult peanut allergy and moderate-to-severe adult atopic dermatitis, respectively, each of which is currently enrolling patients. We anticipate top-line data from these Phase 2a trials to be announced in the second half of 2017. In addition, we have submitted a UK CTA to seek regulatory clearance to initiate a Phase 2a trial in patients with severe adult eosinophilic asthma and plan on enrolling patients in a Phase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 xml:space="preserve">2a study during the second half of 2017. We anticipate top-line data from this Phase 2a trial to be announced during the first half of 2018. </w:t>
      </w:r>
      <w:r>
        <w:rPr>
          <w:rFonts w:ascii="Times New Roman" w:cs="Times New Roman" w:eastAsia="Times New Roman" w:hAnsi="Times New Roman"/>
          <w:sz w:val="18"/>
          <w:szCs w:val="18"/>
          <w:color w:val="000000"/>
        </w:rPr>
        <w:t>We have cleared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CTN and have are enrolling healthy volunteers in a Phase 1 clinical trial for ANB019, where we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90"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In addition to our wholly-owned antibody programs, multiple AnaptysBio-developed antibody programs have been advanced under our collaborations to preclinical and clinical milestones. Our collaborations include 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60" w:right="259" w:bottom="1440" w:gutter="0" w:footer="0" w:header="0"/>
        </w:sectPr>
      </w:pPr>
    </w:p>
    <w:bookmarkStart w:id="19" w:name="page20"/>
    <w:bookmarkEnd w:id="19"/>
    <w:p>
      <w:pPr>
        <w:ind w:right="220"/>
        <w:spacing w:after="0" w:line="266" w:lineRule="auto"/>
        <w:rPr>
          <w:sz w:val="20"/>
          <w:szCs w:val="20"/>
          <w:color w:val="auto"/>
        </w:rPr>
      </w:pPr>
      <w:r>
        <w:rPr>
          <w:rFonts w:ascii="Times New Roman" w:cs="Times New Roman" w:eastAsia="Times New Roman" w:hAnsi="Times New Roman"/>
          <w:sz w:val="18"/>
          <w:szCs w:val="18"/>
          <w:color w:val="auto"/>
        </w:rPr>
        <w:t>immuno-oncology-focused collaboration with TESARO and an inflammation-focused collaboration with Celgene, which are further described above under “TESARO Programs” and “Celgene Programs” respectively in Part 1 - Item 1 of our Form 10-K filed on March 8, 2017 with the Securities and Exchange Commission, or SEC.</w:t>
      </w:r>
    </w:p>
    <w:p>
      <w:pPr>
        <w:spacing w:after="0" w:line="176" w:lineRule="exact"/>
        <w:rPr>
          <w:sz w:val="20"/>
          <w:szCs w:val="20"/>
          <w:color w:val="auto"/>
        </w:rPr>
      </w:pPr>
    </w:p>
    <w:p>
      <w:pPr>
        <w:ind w:right="260" w:firstLine="446"/>
        <w:spacing w:after="0" w:line="261" w:lineRule="auto"/>
        <w:rPr>
          <w:sz w:val="20"/>
          <w:szCs w:val="20"/>
          <w:color w:val="auto"/>
        </w:rPr>
      </w:pPr>
      <w:r>
        <w:rPr>
          <w:rFonts w:ascii="Times New Roman" w:cs="Times New Roman" w:eastAsia="Times New Roman" w:hAnsi="Times New Roman"/>
          <w:sz w:val="18"/>
          <w:szCs w:val="18"/>
          <w:color w:val="auto"/>
        </w:rPr>
        <w:t>In April 2017, TESARO initiated a registration program for an AnaptysBio-generated anti-PD-1 antagonist antibody (TSR-042) resulting in a $3.0 million milestone payment being earned. We expect to recognize as revenue and receive this milestone payment during the second quarter of 2017. In May 2017, TESARO submitted an IND to the FDA for an AnaptysBio-generated anti-LAG-3 antagonist antibody (TSR-033). Upon clearance of the IND, we expect to receive a $4.0 million milestone payment.</w:t>
      </w:r>
    </w:p>
    <w:p>
      <w:pPr>
        <w:spacing w:after="0" w:line="180" w:lineRule="exact"/>
        <w:rPr>
          <w:sz w:val="20"/>
          <w:szCs w:val="20"/>
          <w:color w:val="auto"/>
        </w:rPr>
      </w:pPr>
    </w:p>
    <w:p>
      <w:pPr>
        <w:jc w:val="both"/>
        <w:ind w:right="320" w:firstLine="446"/>
        <w:spacing w:after="0" w:line="266" w:lineRule="auto"/>
        <w:rPr>
          <w:sz w:val="20"/>
          <w:szCs w:val="20"/>
          <w:color w:val="auto"/>
        </w:rPr>
      </w:pPr>
      <w:r>
        <w:rPr>
          <w:rFonts w:ascii="Times New Roman" w:cs="Times New Roman" w:eastAsia="Times New Roman" w:hAnsi="Times New Roman"/>
          <w:sz w:val="18"/>
          <w:szCs w:val="18"/>
          <w:color w:val="auto"/>
        </w:rPr>
        <w:t>We intend to continue generating additional therapeutic antibodies using our SHM platform against emerging biological targets related to immuno-oncology, inflammation and other unmet medical needs. In general, our strategy is to advance our pipeline programs to key inflection points, and leverage partnerships with pharmaceutical and biotechnology companies where appropriate.</w:t>
      </w:r>
    </w:p>
    <w:p>
      <w:pPr>
        <w:spacing w:after="0" w:line="176"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Certain antibodies developed using our SHM platform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7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As of March 31, 2017, we had an accumulated deficit of $66.4 million primarily as a result of losses incurred since our inception in 2005. Although we reported net income of $3.5 million during the year ended December 31, 2014,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March 31, 2017, we have received $66.6 million in non-dilutive funding from our collaborators.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20" w:firstLine="44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54" w:lineRule="exact"/>
        <w:rPr>
          <w:sz w:val="20"/>
          <w:szCs w:val="20"/>
          <w:color w:val="auto"/>
        </w:rPr>
      </w:pPr>
    </w:p>
    <w:p>
      <w:pPr>
        <w:ind w:left="880" w:right="10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third-parties, such as Contract Research Organizations, or CROs, consultants, members of our scientific and therapeutic advisory boards, and clinical manufacturers;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ind w:left="880" w:right="76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62"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84"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Contract Manufacturing Organizations, or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184"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 xml:space="preserve">We have conducted initial clinical trials for ANB020 and are conducting initial clinical trials for ANB019 in Australia to rapidly enter into first-in-human studies and benefit from research and development-related financial incentives related to the development of ANB020 and ANB019. We have also initiated </w:t>
      </w:r>
      <w:r>
        <w:rPr>
          <w:rFonts w:ascii="Times New Roman" w:cs="Times New Roman" w:eastAsia="Times New Roman" w:hAnsi="Times New Roman"/>
          <w:sz w:val="18"/>
          <w:szCs w:val="18"/>
          <w:color w:val="231F20"/>
        </w:rPr>
        <w:t>Phase 2a trials of ANB020 in patients with severe adult peanut allergy and moderate-to-severe adult atopic dermatitis, respectively, each of which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currently enrolling patients. </w:t>
      </w:r>
      <w:r>
        <w:rPr>
          <w:rFonts w:ascii="Times New Roman" w:cs="Times New Roman" w:eastAsia="Times New Roman" w:hAnsi="Times New Roman"/>
          <w:sz w:val="18"/>
          <w:szCs w:val="18"/>
          <w:color w:val="000000"/>
        </w:rPr>
        <w:t>Taking into account any financial incentives, we expect our research and development expenses to be higher for the foreseeable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future as we advance our product candidates into clinical development.</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for Preferred Stock Warrants</w:t>
      </w:r>
    </w:p>
    <w:p>
      <w:pPr>
        <w:spacing w:after="0" w:line="121"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Income and expense from the change in fair value of our liability for preferred stock warrants results from the valuation of our outstanding warrants to purchase shares of our preferred stock, which is valued at each period end. Upon the closing of our initial public offering on January 31, 2017, the warrants to purchase shares of preferred stock have converted into warrants to purchase shares of common stock, the preferred stock warrant liabilities have been reclassified to additional paid-in capital and periodic fair value adjustments will no longer be required.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72"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Form 10-K filed on March 8, 2017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Months Ended March 31, 2017 and 2016</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Collaboration revenue was $4.9 million during the three months ended March 31, 2016. A comparison of revenue by collaborator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TESARO-amortization of upfront payments</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TESARO-funding of research and development</w:t>
            </w:r>
          </w:p>
        </w:tc>
        <w:tc>
          <w:tcPr>
            <w:tcW w:w="40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FF0FC"/>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TESARO-milestones</w:t>
            </w:r>
          </w:p>
        </w:tc>
        <w:tc>
          <w:tcPr>
            <w:tcW w:w="40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During the first and fourth quarter of 2014 we received $17.0 million and $2.0 million, respectively, in upfront payments under our collaboration and exclusive license agreement with TESARO. For the three months ended March 31, 2016, we recognized the amortized portion of these upfront fees in the amounts of $0.7 million. We also recognized revenue of $1.2 million during the three months ended March 31, 2016, for research and development services performed under the agreement. We recognized $2.9 million in milestone revenue during the three months ended March 31, 2016 related to two $1.0 million milestones achieved in 2015 and a $4.0 million milestone achieved in January 2016, which we recognized ratably over the life of the contract which ended December 31, 2016.</w:t>
      </w:r>
    </w:p>
    <w:p>
      <w:pPr>
        <w:spacing w:after="0" w:line="188" w:lineRule="exact"/>
        <w:rPr>
          <w:sz w:val="20"/>
          <w:szCs w:val="20"/>
          <w:color w:val="auto"/>
        </w:rPr>
      </w:pPr>
    </w:p>
    <w:p>
      <w:pPr>
        <w:ind w:right="820" w:firstLine="446"/>
        <w:spacing w:after="0" w:line="282" w:lineRule="auto"/>
        <w:rPr>
          <w:sz w:val="20"/>
          <w:szCs w:val="20"/>
          <w:color w:val="auto"/>
        </w:rPr>
      </w:pPr>
      <w:r>
        <w:rPr>
          <w:rFonts w:ascii="Times New Roman" w:cs="Times New Roman" w:eastAsia="Times New Roman" w:hAnsi="Times New Roman"/>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120" w:firstLine="44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were $7.9 million and $4.8 million during the three months ended March 31, 2017 and 2016, respectively, for an increase of approximately $3.1 million. The increase was primarily due to a $1.5 million increase in outside services for preclinical expenses, a $0.8 million increase in clinical expenses, as well as a $0.5 million increase in salaries and related expenses, primarily stock compensation expense. </w:t>
      </w:r>
      <w:r>
        <w:rPr>
          <w:rFonts w:ascii="Times New Roman" w:cs="Times New Roman" w:eastAsia="Times New Roman" w:hAnsi="Times New Roman"/>
          <w:sz w:val="18"/>
          <w:szCs w:val="18"/>
          <w:color w:val="231F20"/>
        </w:rPr>
        <w:t>These increases were</w:t>
      </w:r>
      <w:r>
        <w:rPr>
          <w:rFonts w:ascii="Times New Roman" w:cs="Times New Roman" w:eastAsia="Times New Roman" w:hAnsi="Times New Roman"/>
          <w:sz w:val="18"/>
          <w:szCs w:val="18"/>
          <w:color w:val="auto"/>
        </w:rPr>
        <w:t xml:space="preserve"> offset by the recognition of the Australia tax incentive, which reduced our expenses by $0.6 million during the three months ended March 31, 2017 upon our determination that the tax incentive was collectible. No tax incentive was recorded during the three months ended March 31, 2016.</w:t>
      </w:r>
    </w:p>
    <w:p>
      <w:pPr>
        <w:spacing w:after="0" w:line="184"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further advance our development programs and, in particular, as we enter into additional clinical trials.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4" w:right="2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$2.1 million and $1.2 million during the three months ended March 31, 2017 and 2016, respectively, for an increase of approximately $0.8 million. The increase was due primarily to a $0.6 million increase in salaries and related expenses, including stock compensation expense.</w:t>
      </w:r>
    </w:p>
    <w:p>
      <w:pPr>
        <w:spacing w:after="0" w:line="17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Interest expense was $0.4 million during the three months ended March 31, 2017 and represents effective interest of 11.82% through March 31, 2017, with an outstanding principal balance of $15.0 million as of March 31, 2017. Interest expense was $0.1 million during the three months ended March 31, 2016 and primarily represents effective interest of 9.25% on our outstanding Term A Loans, which had an outstanding principal balance of $5.0 million as of March 31, 2016.</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Liabilities for Preferred Stock Warrants</w:t>
      </w:r>
    </w:p>
    <w:p>
      <w:pPr>
        <w:spacing w:after="0" w:line="12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The change in fair value of the liabilities for stock warrants resulted in expense of $1.4 million and income of $0.4 million during the three months ended March 31, 2017 and 2016, respectively, due to changes in the valuation of our Series C convertible preferred stock which impacts the estimated fair value of the warrants. As discussed in Item 1 — Note 7 above, all of the outstanding warrants to purchase shares of preferred stock automatically converted into warrants to purchase shares of common stock in connection with the IPO and are accounted for as equity from the conversion date forward.</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Other income (expense) was $0.3 million during the three months ended March 31, 2017 and primarily consisted of interest income of approximately $0.1 million from our money market fund and foreign exchange gains of approximately $0.3 million related to our Australian subsidiary. Other income (expense) was $(13,000) during the three months ended March 31, 2016 and primarily consisted of a foreign exchange loss related to our Australian subsidiary.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From our inception through March 31, 2017, we have received an aggregate of $257.8 million to fund our operations which included $172.1 million from the sale of equity securities, $66.6 million from our collaboration agreements and $19.1 million from venture debt. As of March 31, 2017, we had $123.8 million in cash and cash equivalents and investments.</w:t>
      </w:r>
    </w:p>
    <w:p>
      <w:pPr>
        <w:spacing w:after="0" w:line="176" w:lineRule="exact"/>
        <w:rPr>
          <w:sz w:val="20"/>
          <w:szCs w:val="20"/>
          <w:color w:val="auto"/>
        </w:rPr>
      </w:pPr>
    </w:p>
    <w:p>
      <w:pPr>
        <w:ind w:right="220" w:firstLine="44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and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4"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684" w:right="279" w:bottom="1440" w:gutter="0" w:footer="0" w:header="0"/>
        </w:sectPr>
      </w:pPr>
    </w:p>
    <w:bookmarkStart w:id="23" w:name="page24"/>
    <w:bookmarkEnd w:id="23"/>
    <w:p>
      <w:pPr>
        <w:jc w:val="both"/>
        <w:ind w:right="220" w:firstLine="446"/>
        <w:spacing w:after="0" w:line="266" w:lineRule="auto"/>
        <w:rPr>
          <w:sz w:val="20"/>
          <w:szCs w:val="20"/>
          <w:color w:val="auto"/>
        </w:rPr>
      </w:pPr>
      <w:r>
        <w:rPr>
          <w:rFonts w:ascii="Times New Roman" w:cs="Times New Roman" w:eastAsia="Times New Roman" w:hAnsi="Times New Roman"/>
          <w:sz w:val="18"/>
          <w:szCs w:val="18"/>
          <w:color w:val="auto"/>
        </w:rPr>
        <w:t>Under the Loan Agreement, we may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2016, we further amended the Loan Agreement to (i) allow for the Term B Loans and Term C Loans to be drawn on December 30, 2016,</w:t>
      </w:r>
    </w:p>
    <w:p>
      <w:pPr>
        <w:spacing w:after="0" w:line="27" w:lineRule="exact"/>
        <w:rPr>
          <w:sz w:val="20"/>
          <w:szCs w:val="20"/>
          <w:color w:val="auto"/>
        </w:rPr>
      </w:pPr>
    </w:p>
    <w:p>
      <w:pPr>
        <w:ind w:right="20" w:firstLine="8"/>
        <w:spacing w:after="0" w:line="254"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principal repayments of all Term Loans until February 1, 2018 and (iii) amend the interest rate for each Term Loan. The Term B Loans and the Term C Loans were drawn on December 30, 2016. As of March 31, 2017, the Term Loans are due in 10 monthly interest-only payments through January 2018, followed by 24 equal monthly principal and interest payments beginning February 1, 2018, with final maturity in January 2020. Each Loan bears interest equal to the greater of 3-month U.S. LIBOR plus 6.37% or 7.3%. The rate was 7.43% as of March 31, 2017.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6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were inapplicable to us as a private company. We expect these rules and regulations will increase our legal and financial compliance costs and will make some activities more time-consuming and costly.</w:t>
      </w:r>
    </w:p>
    <w:p>
      <w:pPr>
        <w:spacing w:after="0" w:line="180"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Cash and cash equivalents and investments totaled $123.8 million as of March 31, 2017, compared to $51.2 million as of December 31, 2016, and includes net proceeds of $80.2 million from our IPO which was completed on January 31, 2017. We expect that our existing cash and cash equivalents, as well as our investments and projected revenue under our existing collaborations will fund our operating plan through 2018.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102870</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4"/>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86"/>
        </w:trPr>
        <w:tc>
          <w:tcPr>
            <w:tcW w:w="6520" w:type="dxa"/>
            <w:vAlign w:val="bottom"/>
            <w:tcBorders>
              <w:bottom w:val="single" w:sz="8" w:color="CFF0FC"/>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80,979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45,522</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47,888</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540" w:firstLine="44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2017 of $(8.1) million was primarily due to our net loss of $(11.4) million, adjusted for changes in working capital of $0.9 million and addbacks for non-cash expenses of $2.4 million which includes stock-based compensation and warrant liability fair value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4" w:name="page25"/>
    <w:bookmarkEnd w:id="24"/>
    <w:p>
      <w:pPr>
        <w:ind w:right="120"/>
        <w:spacing w:after="0" w:line="282" w:lineRule="auto"/>
        <w:rPr>
          <w:sz w:val="20"/>
          <w:szCs w:val="20"/>
          <w:color w:val="auto"/>
        </w:rPr>
      </w:pPr>
      <w:r>
        <w:rPr>
          <w:rFonts w:ascii="Times New Roman" w:cs="Times New Roman" w:eastAsia="Times New Roman" w:hAnsi="Times New Roman"/>
          <w:sz w:val="18"/>
          <w:szCs w:val="18"/>
          <w:color w:val="auto"/>
        </w:rPr>
        <w:t>adjustments. Net cash used in operating activities during the three months ended March 31, 2016 of $(2.1) million was primarily due to our net loss of $(0.9) million adjusted for changes in working capital of $(1.2) million.</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2017 was primarily due to the acquisition of investments upon receipt of the proceeds from our IPO. Cash used in investing activities during the three months ended March 31, 2016 was primarily due to our purchases of property and equipment.</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cash provided by financing activities during the three months ended March 31, 2017 of $80.7 million was primarily related to net proceeds of $80.2 million from our IPO as well as proceeds of $0.9 million from the issuance of common stock as a result of option and warrant exercises, offset by $(0.4) million in payments related to offering costs. Cash used in financing activities during the three months ended March 31, 2016 of $(0.3) million was primarily related to payments for deferred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7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Some of the securities that we invest in have market risk in that a change in prevailing interest rates or significant change in economic circumstances may cause the principal amount of the marketable securities to fluctuate. Financial instruments that potentially subject us to significant concentrations of credit risk consist primarily of cash, cash equivalents, short-term and long-term investments. We invest our excess cash primarily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Because of the short-term maturities of our cash equivalents and marketable securities, we do not believe that an increase in market rates would have any significant impact on the realized value of our marketable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2017,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89" w:lineRule="exact"/>
        <w:rPr>
          <w:sz w:val="20"/>
          <w:szCs w:val="20"/>
          <w:color w:val="auto"/>
        </w:rPr>
      </w:pPr>
    </w:p>
    <w:p>
      <w:pPr>
        <w:ind w:right="500" w:firstLine="446"/>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360" w:right="29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right="200" w:firstLine="446"/>
        <w:spacing w:after="0" w:line="289" w:lineRule="auto"/>
        <w:rPr>
          <w:sz w:val="20"/>
          <w:szCs w:val="20"/>
          <w:color w:val="auto"/>
        </w:rPr>
      </w:pPr>
      <w:r>
        <w:rPr>
          <w:rFonts w:ascii="Times New Roman" w:cs="Times New Roman" w:eastAsia="Times New Roman" w:hAnsi="Times New Roman"/>
          <w:sz w:val="17"/>
          <w:szCs w:val="17"/>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58" w:lineRule="exact"/>
        <w:rPr>
          <w:sz w:val="20"/>
          <w:szCs w:val="20"/>
          <w:color w:val="auto"/>
        </w:rPr>
      </w:pPr>
    </w:p>
    <w:p>
      <w:pPr>
        <w:jc w:val="both"/>
        <w:ind w:right="60" w:firstLine="446"/>
        <w:spacing w:after="0" w:line="266"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76"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60" w:right="259" w:bottom="1440" w:gutter="0" w:footer="0" w:header="0"/>
        </w:sectPr>
      </w:pPr>
    </w:p>
    <w:bookmarkStart w:id="27" w:name="page28"/>
    <w:bookmarkEnd w:id="27"/>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380" w:firstLine="446"/>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5" w:lineRule="exact"/>
        <w:rPr>
          <w:sz w:val="20"/>
          <w:szCs w:val="20"/>
          <w:color w:val="auto"/>
        </w:rPr>
      </w:pPr>
    </w:p>
    <w:p>
      <w:pPr>
        <w:ind w:right="100" w:firstLine="446"/>
        <w:spacing w:after="0" w:line="242"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5" w:lineRule="exact"/>
        <w:rPr>
          <w:sz w:val="20"/>
          <w:szCs w:val="20"/>
          <w:color w:val="auto"/>
        </w:rPr>
      </w:pPr>
    </w:p>
    <w:p>
      <w:pPr>
        <w:ind w:firstLine="446"/>
        <w:spacing w:after="0" w:line="237" w:lineRule="auto"/>
        <w:rPr>
          <w:sz w:val="20"/>
          <w:szCs w:val="20"/>
          <w:color w:val="auto"/>
        </w:rPr>
      </w:pPr>
      <w:r>
        <w:rPr>
          <w:rFonts w:ascii="Times New Roman" w:cs="Times New Roman" w:eastAsia="Times New Roman" w:hAnsi="Times New Roman"/>
          <w:sz w:val="18"/>
          <w:szCs w:val="18"/>
          <w:color w:val="auto"/>
        </w:rPr>
        <w:t>We have recently completed our Phase 1 clinical trial for ANB020 in healthy humans, and have only recently initiated patient trials with ANB020, and have only recently initiated a Phase 1 clinical trial with ANB019.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the single-ascending dose segment of our Phase 1 clinical trial of ANB020, the most common adverse events were upper respiratory tract infection and headache, and we observed one case of severe neutropenia in one individual, which was acute and not persistent, and was considered not to be drug-related. All safety information generated under the single-ascending dose segment of our Phase 1 clinical trial was included in the US IND and UK CTA submissions which have been subsequent cleared.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72" w:right="259" w:bottom="1440" w:gutter="0" w:footer="0" w:header="0"/>
        </w:sectPr>
      </w:pPr>
    </w:p>
    <w:bookmarkStart w:id="28" w:name="page29"/>
    <w:bookmarkEnd w:id="28"/>
    <w:p>
      <w:pPr>
        <w:ind w:right="100"/>
        <w:spacing w:after="0" w:line="266" w:lineRule="auto"/>
        <w:rPr>
          <w:sz w:val="20"/>
          <w:szCs w:val="20"/>
          <w:color w:val="auto"/>
        </w:rPr>
      </w:pPr>
      <w:r>
        <w:rPr>
          <w:rFonts w:ascii="Times New Roman" w:cs="Times New Roman" w:eastAsia="Times New Roman" w:hAnsi="Times New Roman"/>
          <w:sz w:val="18"/>
          <w:szCs w:val="18"/>
          <w:color w:val="auto"/>
        </w:rPr>
        <w:t>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62" w:lineRule="exact"/>
        <w:rPr>
          <w:sz w:val="20"/>
          <w:szCs w:val="20"/>
          <w:color w:val="auto"/>
        </w:rPr>
      </w:pPr>
    </w:p>
    <w:p>
      <w:pPr>
        <w:ind w:right="60" w:firstLine="446"/>
        <w:spacing w:after="0" w:line="239"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8" w:lineRule="exact"/>
        <w:rPr>
          <w:sz w:val="20"/>
          <w:szCs w:val="20"/>
          <w:color w:val="auto"/>
        </w:rPr>
      </w:pPr>
    </w:p>
    <w:p>
      <w:pPr>
        <w:ind w:right="200" w:firstLine="446"/>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93"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obtaining clearance for our CTN for ANB019 in Australia, we have not yet discussed with the FDA or foreign regulatory authorities the development plans for any of our product candidates 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ind w:right="80"/>
        <w:spacing w:after="0" w:line="255" w:lineRule="auto"/>
        <w:rPr>
          <w:sz w:val="20"/>
          <w:szCs w:val="20"/>
          <w:color w:val="auto"/>
        </w:rPr>
      </w:pPr>
      <w:r>
        <w:rPr>
          <w:rFonts w:ascii="Times New Roman" w:cs="Times New Roman" w:eastAsia="Times New Roman" w:hAnsi="Times New Roman"/>
          <w:sz w:val="18"/>
          <w:szCs w:val="18"/>
          <w:color w:val="auto"/>
        </w:rPr>
        <w:t>the designs of any of our later-stage clinical studies. We thus may not have the full benefit of the FDA’s or foreign regulatory authorities’ current thinking on trial designs or product development for our target indications. For example, although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Preclinical studies and clinical trials are expensive, difficult to design and implement, can take many years to complete and are uncertain as to outcome.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average, take 10 to 15 years to be developed from the time they are discovered to the time they are approved and available for treating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or end of a clinical trial is often delayed or halted for many reasons, including:</w:t>
      </w:r>
    </w:p>
    <w:p>
      <w:pPr>
        <w:spacing w:after="0" w:line="99" w:lineRule="exact"/>
        <w:rPr>
          <w:sz w:val="20"/>
          <w:szCs w:val="20"/>
          <w:color w:val="auto"/>
        </w:rPr>
      </w:pPr>
    </w:p>
    <w:p>
      <w:pPr>
        <w:ind w:left="880" w:right="24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our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our clinical trial protocols;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right="120" w:firstLine="446"/>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580" w:right="279" w:bottom="1440" w:gutter="0" w:footer="0" w:header="0"/>
        </w:sectPr>
      </w:pPr>
    </w:p>
    <w:bookmarkStart w:id="30" w:name="page31"/>
    <w:bookmarkEnd w:id="30"/>
    <w:p>
      <w:pPr>
        <w:ind w:left="880" w:right="34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29"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use our technology platform to expand our pipeline of product candidates and develop marketable products.</w:t>
      </w:r>
    </w:p>
    <w:p>
      <w:pPr>
        <w:spacing w:after="0" w:line="50" w:lineRule="exact"/>
        <w:rPr>
          <w:sz w:val="20"/>
          <w:szCs w:val="20"/>
          <w:color w:val="auto"/>
        </w:rPr>
      </w:pPr>
    </w:p>
    <w:p>
      <w:pPr>
        <w:ind w:right="80" w:firstLine="446"/>
        <w:spacing w:after="0" w:line="23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9" w:lineRule="exact"/>
        <w:rPr>
          <w:sz w:val="20"/>
          <w:szCs w:val="20"/>
          <w:color w:val="auto"/>
        </w:rPr>
      </w:pPr>
    </w:p>
    <w:p>
      <w:pPr>
        <w:ind w:firstLine="446"/>
        <w:spacing w:after="0" w:line="239"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2" w:lineRule="exact"/>
        <w:rPr>
          <w:sz w:val="20"/>
          <w:szCs w:val="20"/>
          <w:color w:val="auto"/>
        </w:rPr>
      </w:pPr>
    </w:p>
    <w:p>
      <w:pPr>
        <w:ind w:right="1100"/>
        <w:spacing w:after="0" w:line="271" w:lineRule="auto"/>
        <w:rPr>
          <w:sz w:val="20"/>
          <w:szCs w:val="20"/>
          <w:color w:val="auto"/>
        </w:rPr>
      </w:pPr>
      <w:r>
        <w:rPr>
          <w:rFonts w:ascii="Times New Roman" w:cs="Times New Roman" w:eastAsia="Times New Roman" w:hAnsi="Times New Roman"/>
          <w:sz w:val="18"/>
          <w:szCs w:val="18"/>
          <w:b w:val="1"/>
          <w:bCs w:val="1"/>
          <w:color w:val="auto"/>
        </w:rPr>
        <w:t>We have recently commenced clinical development of ANB020 and ANB019, and have no other history of conducting clinical trials or commercializing biotechnology products, which may make it difficult to evaluate the prospects for our future viability.</w:t>
      </w:r>
    </w:p>
    <w:p>
      <w:pPr>
        <w:spacing w:after="0" w:line="50" w:lineRule="exact"/>
        <w:rPr>
          <w:sz w:val="20"/>
          <w:szCs w:val="20"/>
          <w:color w:val="auto"/>
        </w:rPr>
      </w:pPr>
    </w:p>
    <w:p>
      <w:pPr>
        <w:ind w:right="40" w:firstLine="446"/>
        <w:spacing w:after="0" w:line="239"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an IND or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472" w:right="339" w:bottom="1440" w:gutter="0" w:footer="0" w:header="0"/>
        </w:sectPr>
      </w:pPr>
    </w:p>
    <w:bookmarkStart w:id="31" w:name="page32"/>
    <w:bookmarkEnd w:id="31"/>
    <w:p>
      <w:pPr>
        <w:jc w:val="both"/>
        <w:ind w:right="580" w:firstLine="446"/>
        <w:spacing w:after="0" w:line="250"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880" w:right="6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880" w:right="56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20"/>
          </w:cols>
          <w:pgMar w:left="240" w:top="580" w:right="339" w:bottom="1440" w:gutter="0" w:footer="0" w:header="0"/>
        </w:sectPr>
      </w:pPr>
    </w:p>
    <w:bookmarkStart w:id="32" w:name="page33"/>
    <w:bookmarkEnd w:id="32"/>
    <w:p>
      <w:pPr>
        <w:ind w:right="260"/>
        <w:spacing w:after="0" w:line="256" w:lineRule="auto"/>
        <w:rPr>
          <w:sz w:val="20"/>
          <w:szCs w:val="20"/>
          <w:color w:val="auto"/>
        </w:rPr>
      </w:pPr>
      <w:r>
        <w:rPr>
          <w:rFonts w:ascii="Times New Roman" w:cs="Times New Roman" w:eastAsia="Times New Roman" w:hAnsi="Times New Roman"/>
          <w:sz w:val="18"/>
          <w:szCs w:val="18"/>
          <w:color w:val="auto"/>
        </w:rPr>
        <w:t>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8" w:lineRule="exact"/>
        <w:rPr>
          <w:sz w:val="20"/>
          <w:szCs w:val="20"/>
          <w:color w:val="auto"/>
        </w:rPr>
      </w:pPr>
    </w:p>
    <w:p>
      <w:pPr>
        <w:ind w:right="20" w:firstLine="446"/>
        <w:spacing w:after="0" w:line="252"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w:t>
      </w:r>
      <w:r>
        <w:rPr>
          <w:rFonts w:ascii="Times New Roman" w:cs="Times New Roman" w:eastAsia="Times New Roman" w:hAnsi="Times New Roman"/>
          <w:sz w:val="18"/>
          <w:szCs w:val="18"/>
          <w:color w:val="231F20"/>
        </w:rPr>
        <w:t>, Sanofi</w:t>
      </w:r>
      <w:r>
        <w:rPr>
          <w:rFonts w:ascii="Times New Roman" w:cs="Times New Roman" w:eastAsia="Times New Roman" w:hAnsi="Times New Roman"/>
          <w:sz w:val="18"/>
          <w:szCs w:val="18"/>
          <w:color w:val="auto"/>
        </w:rPr>
        <w:t>) and AMG 317 (Amgen) each in clinical testing, an ST2-binding antibody which Roche has in-licensed from Amgen (previously known as AMG 282) and plans to advance into Phase 2 clinical trials, and CNTO 7160, which is another ST2-binding antibody that GSK in-licensed from Janssen. Regeneron has recently announced an IL-33 related program (REGN 3500) in a Phase 1 clinical trial and is indicated for asthma and chronic obstructive pulmonary disease.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(Dupixent, Regeneron, Sanofi), which has been approved by the FDA, crisaborole (EUCRISA, Pfizer), which has recently been approved by the FDA, and VTP-38543 (Vitae, acquired by Allergan),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195"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To date, only a handful of biosimilar products have been approved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5"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72" w:right="259" w:bottom="1440" w:gutter="0" w:footer="0" w:header="0"/>
        </w:sectPr>
      </w:pPr>
    </w:p>
    <w:bookmarkStart w:id="33" w:name="page34"/>
    <w:bookmarkEnd w:id="33"/>
    <w:p>
      <w:pPr>
        <w:ind w:firstLine="44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8"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86"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54" w:lineRule="exact"/>
        <w:rPr>
          <w:sz w:val="20"/>
          <w:szCs w:val="20"/>
          <w:color w:val="auto"/>
        </w:rPr>
      </w:pPr>
    </w:p>
    <w:p>
      <w:pPr>
        <w:ind w:left="880" w:right="52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17" w:lineRule="exact"/>
        <w:rPr>
          <w:rFonts w:ascii="Times New Roman" w:cs="Times New Roman" w:eastAsia="Times New Roman" w:hAnsi="Times New Roman"/>
          <w:sz w:val="18"/>
          <w:szCs w:val="18"/>
          <w:color w:val="auto"/>
        </w:rPr>
      </w:pPr>
    </w:p>
    <w:p>
      <w:pPr>
        <w:ind w:left="880" w:right="50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320" w:firstLine="446"/>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684" w:right="259" w:bottom="1440" w:gutter="0" w:footer="0" w:header="0"/>
        </w:sectPr>
      </w:pPr>
    </w:p>
    <w:bookmarkStart w:id="35" w:name="page36"/>
    <w:bookmarkEnd w:id="35"/>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9"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Our net loss was $(11.4) million for the three months ended March 31, 2017 and our collaboration revenue was $4.9 million and our net loss was $(0.9) million for the three months ended March 31, 2016. As of March 31, 2017, we had an accumulated deficit of $(66.4) million.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our initial public offering of common stock in January 2017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81" w:lineRule="exact"/>
        <w:rPr>
          <w:sz w:val="20"/>
          <w:szCs w:val="20"/>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225"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4"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and cash equivalents and investments along with funding we expect to receive under existing collaboration agreements will fund our projected operating plan through 2018.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72" w:right="239" w:bottom="1440" w:gutter="0" w:footer="0" w:header="0"/>
        </w:sectPr>
      </w:pPr>
    </w:p>
    <w:bookmarkStart w:id="37" w:name="page38"/>
    <w:bookmarkEnd w:id="37"/>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68"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any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25"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80" w:lineRule="exact"/>
        <w:rPr>
          <w:sz w:val="20"/>
          <w:szCs w:val="20"/>
          <w:color w:val="auto"/>
        </w:rPr>
      </w:pPr>
    </w:p>
    <w:p>
      <w:pPr>
        <w:ind w:left="880" w:right="14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880" w:right="54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880" w:right="640" w:hanging="440"/>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37"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9" w:lineRule="exact"/>
        <w:rPr>
          <w:sz w:val="20"/>
          <w:szCs w:val="20"/>
          <w:color w:val="auto"/>
        </w:rPr>
      </w:pPr>
    </w:p>
    <w:p>
      <w:pPr>
        <w:ind w:right="5260"/>
        <w:spacing w:after="0" w:line="40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446"/>
        <w:spacing w:after="0" w:line="255"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85"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84" w:right="239" w:bottom="1440" w:gutter="0" w:footer="0" w:header="0"/>
        </w:sectPr>
      </w:pPr>
    </w:p>
    <w:bookmarkStart w:id="39" w:name="page40"/>
    <w:bookmarkEnd w:id="39"/>
    <w:p>
      <w:pPr>
        <w:ind w:right="40"/>
        <w:spacing w:after="0" w:line="266" w:lineRule="auto"/>
        <w:rPr>
          <w:sz w:val="20"/>
          <w:szCs w:val="20"/>
          <w:color w:val="auto"/>
        </w:rPr>
      </w:pPr>
      <w:r>
        <w:rPr>
          <w:rFonts w:ascii="Times New Roman" w:cs="Times New Roman" w:eastAsia="Times New Roman" w:hAnsi="Times New Roman"/>
          <w:sz w:val="18"/>
          <w:szCs w:val="18"/>
          <w:color w:val="auto"/>
        </w:rPr>
        <w:t>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65" w:lineRule="exact"/>
        <w:rPr>
          <w:sz w:val="20"/>
          <w:szCs w:val="20"/>
          <w:color w:val="auto"/>
        </w:rPr>
      </w:pPr>
    </w:p>
    <w:p>
      <w:pPr>
        <w:ind w:right="40" w:firstLine="446"/>
        <w:spacing w:after="0" w:line="242"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85" w:lineRule="exact"/>
        <w:rPr>
          <w:sz w:val="20"/>
          <w:szCs w:val="20"/>
          <w:color w:val="auto"/>
        </w:rPr>
      </w:pPr>
    </w:p>
    <w:p>
      <w:pPr>
        <w:ind w:right="20" w:firstLine="446"/>
        <w:spacing w:after="0" w:line="250"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8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70" w:lineRule="exact"/>
        <w:rPr>
          <w:sz w:val="20"/>
          <w:szCs w:val="20"/>
          <w:color w:val="auto"/>
        </w:rPr>
      </w:pPr>
    </w:p>
    <w:p>
      <w:pPr>
        <w:ind w:right="200" w:firstLine="446"/>
        <w:spacing w:after="0" w:line="239"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8" w:lineRule="exact"/>
        <w:rPr>
          <w:sz w:val="20"/>
          <w:szCs w:val="20"/>
          <w:color w:val="auto"/>
        </w:rPr>
      </w:pPr>
    </w:p>
    <w:p>
      <w:pPr>
        <w:ind w:right="620" w:firstLine="446"/>
        <w:spacing w:after="0" w:line="266"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72" w:right="279" w:bottom="1440" w:gutter="0" w:footer="0" w:header="0"/>
        </w:sectPr>
      </w:pPr>
    </w:p>
    <w:bookmarkStart w:id="40" w:name="page41"/>
    <w:bookmarkEnd w:id="40"/>
    <w:p>
      <w:pPr>
        <w:ind w:right="300"/>
        <w:spacing w:after="0" w:line="266" w:lineRule="auto"/>
        <w:rPr>
          <w:sz w:val="20"/>
          <w:szCs w:val="20"/>
          <w:color w:val="auto"/>
        </w:rPr>
      </w:pPr>
      <w:r>
        <w:rPr>
          <w:rFonts w:ascii="Times New Roman" w:cs="Times New Roman" w:eastAsia="Times New Roman" w:hAnsi="Times New Roman"/>
          <w:sz w:val="18"/>
          <w:szCs w:val="18"/>
          <w:color w:val="auto"/>
        </w:rPr>
        <w:t>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62" w:lineRule="exact"/>
        <w:rPr>
          <w:sz w:val="20"/>
          <w:szCs w:val="20"/>
          <w:color w:val="auto"/>
        </w:rPr>
      </w:pPr>
    </w:p>
    <w:p>
      <w:pPr>
        <w:ind w:right="60" w:firstLine="446"/>
        <w:spacing w:after="0" w:line="237"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0" w:lineRule="exact"/>
        <w:rPr>
          <w:sz w:val="20"/>
          <w:szCs w:val="20"/>
          <w:color w:val="auto"/>
        </w:rPr>
      </w:pPr>
    </w:p>
    <w:p>
      <w:pPr>
        <w:ind w:right="60" w:firstLine="446"/>
        <w:spacing w:after="0"/>
        <w:rPr>
          <w:sz w:val="20"/>
          <w:szCs w:val="20"/>
          <w:color w:val="auto"/>
        </w:rPr>
      </w:pPr>
      <w:r>
        <w:rPr>
          <w:rFonts w:ascii="Times New Roman" w:cs="Times New Roman" w:eastAsia="Times New Roman" w:hAnsi="Times New Roman"/>
          <w:sz w:val="18"/>
          <w:szCs w:val="18"/>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4" w:lineRule="exact"/>
        <w:rPr>
          <w:sz w:val="20"/>
          <w:szCs w:val="20"/>
          <w:color w:val="auto"/>
        </w:rPr>
      </w:pPr>
    </w:p>
    <w:p>
      <w:pPr>
        <w:ind w:right="540"/>
        <w:spacing w:after="0" w:line="253" w:lineRule="auto"/>
        <w:rPr>
          <w:sz w:val="20"/>
          <w:szCs w:val="20"/>
          <w:color w:val="auto"/>
        </w:rPr>
      </w:pPr>
      <w:r>
        <w:rPr>
          <w:rFonts w:ascii="Times New Roman" w:cs="Times New Roman" w:eastAsia="Times New Roman" w:hAnsi="Times New Roman"/>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65" w:lineRule="exact"/>
        <w:rPr>
          <w:sz w:val="20"/>
          <w:szCs w:val="20"/>
          <w:color w:val="auto"/>
        </w:rPr>
      </w:pPr>
    </w:p>
    <w:p>
      <w:pPr>
        <w:ind w:right="160" w:firstLine="446"/>
        <w:spacing w:after="0" w:line="239" w:lineRule="auto"/>
        <w:rPr>
          <w:sz w:val="20"/>
          <w:szCs w:val="20"/>
          <w:color w:val="auto"/>
        </w:rPr>
      </w:pPr>
      <w:r>
        <w:rPr>
          <w:rFonts w:ascii="Times New Roman" w:cs="Times New Roman" w:eastAsia="Times New Roman" w:hAnsi="Times New Roman"/>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88" w:lineRule="exact"/>
        <w:rPr>
          <w:sz w:val="20"/>
          <w:szCs w:val="20"/>
          <w:color w:val="auto"/>
        </w:rPr>
      </w:pPr>
    </w:p>
    <w:p>
      <w:pPr>
        <w:ind w:right="20" w:firstLine="446"/>
        <w:spacing w:after="0" w:line="238"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684" w:right="259" w:bottom="1440" w:gutter="0" w:footer="0" w:header="0"/>
        </w:sectPr>
      </w:pPr>
    </w:p>
    <w:bookmarkStart w:id="42" w:name="page43"/>
    <w:bookmarkEnd w:id="42"/>
    <w:p>
      <w:pPr>
        <w:ind w:left="880" w:right="24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85"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72"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91" w:lineRule="exact"/>
        <w:rPr>
          <w:sz w:val="20"/>
          <w:szCs w:val="20"/>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20" w:firstLine="446"/>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84" w:right="239" w:bottom="1440" w:gutter="0" w:footer="0" w:header="0"/>
        </w:sectPr>
      </w:pPr>
    </w:p>
    <w:bookmarkStart w:id="44" w:name="page45"/>
    <w:bookmarkEnd w:id="44"/>
    <w:p>
      <w:pPr>
        <w:ind w:firstLine="44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160" w:firstLine="446"/>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8"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67"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have conducted our initial clinical trial for ANB020 in Australia and have initiated a Phase 1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ind w:firstLine="446"/>
        <w:spacing w:after="0" w:line="256" w:lineRule="auto"/>
        <w:rPr>
          <w:sz w:val="20"/>
          <w:szCs w:val="20"/>
          <w:color w:val="auto"/>
        </w:rPr>
      </w:pPr>
      <w:r>
        <w:rPr>
          <w:rFonts w:ascii="Times New Roman" w:cs="Times New Roman" w:eastAsia="Times New Roman" w:hAnsi="Times New Roman"/>
          <w:sz w:val="18"/>
          <w:szCs w:val="18"/>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1" w:lineRule="exact"/>
        <w:rPr>
          <w:sz w:val="20"/>
          <w:szCs w:val="20"/>
          <w:color w:val="auto"/>
        </w:rPr>
      </w:pPr>
    </w:p>
    <w:p>
      <w:pPr>
        <w:ind w:right="320" w:firstLine="446"/>
        <w:spacing w:after="0" w:line="261" w:lineRule="auto"/>
        <w:rPr>
          <w:sz w:val="20"/>
          <w:szCs w:val="20"/>
          <w:color w:val="auto"/>
        </w:rPr>
      </w:pPr>
      <w:r>
        <w:rPr>
          <w:rFonts w:ascii="Times New Roman" w:cs="Times New Roman" w:eastAsia="Times New Roman" w:hAnsi="Times New Roman"/>
          <w:sz w:val="18"/>
          <w:szCs w:val="18"/>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6" w:name="page47"/>
    <w:bookmarkEnd w:id="46"/>
    <w:p>
      <w:pPr>
        <w:ind w:firstLine="446"/>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20" w:firstLine="446"/>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9"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5"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580" w:right="259" w:bottom="1440" w:gutter="0" w:footer="0" w:header="0"/>
        </w:sectPr>
      </w:pPr>
    </w:p>
    <w:bookmarkStart w:id="47" w:name="page48"/>
    <w:bookmarkEnd w:id="47"/>
    <w:p>
      <w:pPr>
        <w:ind w:right="80"/>
        <w:spacing w:after="0" w:line="258" w:lineRule="auto"/>
        <w:rPr>
          <w:sz w:val="20"/>
          <w:szCs w:val="20"/>
          <w:color w:val="auto"/>
        </w:rPr>
      </w:pPr>
      <w:r>
        <w:rPr>
          <w:rFonts w:ascii="Times New Roman" w:cs="Times New Roman" w:eastAsia="Times New Roman" w:hAnsi="Times New Roman"/>
          <w:sz w:val="18"/>
          <w:szCs w:val="18"/>
          <w:color w:val="auto"/>
        </w:rPr>
        <w:t>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4" w:lineRule="exact"/>
        <w:rPr>
          <w:sz w:val="20"/>
          <w:szCs w:val="20"/>
          <w:color w:val="auto"/>
        </w:rPr>
      </w:pPr>
    </w:p>
    <w:p>
      <w:pPr>
        <w:ind w:firstLine="446"/>
        <w:spacing w:after="0" w:line="24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4"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1" w:lineRule="exact"/>
        <w:rPr>
          <w:sz w:val="20"/>
          <w:szCs w:val="20"/>
          <w:color w:val="auto"/>
        </w:rPr>
      </w:pPr>
    </w:p>
    <w:p>
      <w:pPr>
        <w:ind w:firstLine="446"/>
        <w:spacing w:after="0" w:line="245" w:lineRule="auto"/>
        <w:rPr>
          <w:sz w:val="20"/>
          <w:szCs w:val="20"/>
          <w:color w:val="auto"/>
        </w:rPr>
      </w:pPr>
      <w:r>
        <w:rPr>
          <w:rFonts w:ascii="Times New Roman" w:cs="Times New Roman" w:eastAsia="Times New Roman" w:hAnsi="Times New Roman"/>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1" w:lineRule="exact"/>
        <w:rPr>
          <w:sz w:val="20"/>
          <w:szCs w:val="20"/>
          <w:color w:val="auto"/>
        </w:rPr>
      </w:pPr>
    </w:p>
    <w:p>
      <w:pPr>
        <w:ind w:right="20" w:firstLine="446"/>
        <w:spacing w:after="0" w:line="24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0" w:lineRule="exact"/>
        <w:rPr>
          <w:sz w:val="20"/>
          <w:szCs w:val="20"/>
          <w:color w:val="auto"/>
        </w:rPr>
      </w:pPr>
    </w:p>
    <w:p>
      <w:pPr>
        <w:ind w:right="40" w:firstLine="446"/>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77" w:lineRule="exact"/>
        <w:rPr>
          <w:sz w:val="20"/>
          <w:szCs w:val="20"/>
          <w:color w:val="auto"/>
        </w:rPr>
      </w:pPr>
    </w:p>
    <w:p>
      <w:pPr>
        <w:ind w:right="100" w:firstLine="446"/>
        <w:spacing w:after="0" w:line="245" w:lineRule="auto"/>
        <w:rPr>
          <w:sz w:val="20"/>
          <w:szCs w:val="20"/>
          <w:color w:val="auto"/>
        </w:rPr>
      </w:pPr>
      <w:r>
        <w:rPr>
          <w:rFonts w:ascii="Times New Roman" w:cs="Times New Roman" w:eastAsia="Times New Roman" w:hAnsi="Times New Roman"/>
          <w:sz w:val="18"/>
          <w:szCs w:val="18"/>
          <w:color w:val="auto"/>
        </w:rPr>
        <w:t>For example, in March 2010, former President Barack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04" w:lineRule="exact"/>
        <w:rPr>
          <w:sz w:val="20"/>
          <w:szCs w:val="20"/>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03" w:lineRule="exact"/>
        <w:rPr>
          <w:rFonts w:ascii="Times New Roman" w:cs="Times New Roman" w:eastAsia="Times New Roman" w:hAnsi="Times New Roman"/>
          <w:sz w:val="18"/>
          <w:szCs w:val="18"/>
          <w:color w:val="auto"/>
        </w:rPr>
      </w:pPr>
    </w:p>
    <w:p>
      <w:pPr>
        <w:ind w:left="880" w:right="44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68" w:lineRule="exact"/>
        <w:rPr>
          <w:rFonts w:ascii="Times New Roman" w:cs="Times New Roman" w:eastAsia="Times New Roman" w:hAnsi="Times New Roman"/>
          <w:sz w:val="18"/>
          <w:szCs w:val="18"/>
          <w:color w:val="auto"/>
        </w:rPr>
      </w:pPr>
    </w:p>
    <w:p>
      <w:pPr>
        <w:ind w:left="880" w:right="44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physicians and teaching hospitals;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More recently, President Trump has signed an executive order and made statements that suggest he plans to seek repeal of all or portions of the ACA, and has stated that he will ask Congress to replace the current legislation with new legislation. There is uncertainty with respect to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580" w:right="259" w:bottom="1440" w:gutter="0" w:footer="0" w:header="0"/>
        </w:sectPr>
      </w:pPr>
    </w:p>
    <w:bookmarkStart w:id="49" w:name="page50"/>
    <w:bookmarkEnd w:id="49"/>
    <w:p>
      <w:pPr>
        <w:ind w:firstLine="446"/>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1" w:lineRule="exact"/>
        <w:rPr>
          <w:sz w:val="20"/>
          <w:szCs w:val="20"/>
          <w:color w:val="auto"/>
        </w:rPr>
      </w:pPr>
    </w:p>
    <w:p>
      <w:pPr>
        <w:ind w:right="200" w:firstLine="44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72" w:lineRule="exact"/>
        <w:rPr>
          <w:sz w:val="20"/>
          <w:szCs w:val="20"/>
          <w:color w:val="auto"/>
        </w:rPr>
      </w:pPr>
    </w:p>
    <w:p>
      <w:pPr>
        <w:ind w:left="880" w:right="80" w:hanging="440"/>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880" w:right="200" w:hanging="440"/>
        <w:spacing w:after="0" w:line="258"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62" w:lineRule="exact"/>
        <w:rPr>
          <w:sz w:val="20"/>
          <w:szCs w:val="20"/>
          <w:color w:val="auto"/>
        </w:rPr>
      </w:pPr>
    </w:p>
    <w:p>
      <w:pPr>
        <w:ind w:right="480" w:firstLine="446"/>
        <w:spacing w:after="0" w:line="258"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684" w:right="239" w:bottom="1440" w:gutter="0" w:footer="0" w:header="0"/>
        </w:sectPr>
      </w:pPr>
    </w:p>
    <w:bookmarkStart w:id="51" w:name="page52"/>
    <w:bookmarkEnd w:id="51"/>
    <w:p>
      <w:pPr>
        <w:spacing w:after="0" w:line="274" w:lineRule="auto"/>
        <w:rPr>
          <w:sz w:val="20"/>
          <w:szCs w:val="20"/>
          <w:color w:val="auto"/>
        </w:rPr>
      </w:pPr>
      <w:r>
        <w:rPr>
          <w:rFonts w:ascii="Times New Roman" w:cs="Times New Roman" w:eastAsia="Times New Roman" w:hAnsi="Times New Roman"/>
          <w:sz w:val="17"/>
          <w:szCs w:val="17"/>
          <w:color w:val="auto"/>
        </w:rPr>
        <w:t>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7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580" w:right="259" w:bottom="1440" w:gutter="0" w:footer="0" w:header="0"/>
        </w:sectPr>
      </w:pPr>
    </w:p>
    <w:bookmarkStart w:id="52" w:name="page53"/>
    <w:bookmarkEnd w:id="52"/>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3"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6" w:lineRule="exact"/>
        <w:rPr>
          <w:sz w:val="20"/>
          <w:szCs w:val="20"/>
          <w:color w:val="auto"/>
        </w:rPr>
      </w:pPr>
    </w:p>
    <w:p>
      <w:pPr>
        <w:ind w:right="140" w:firstLine="446"/>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jc w:val="both"/>
        <w:ind w:right="260" w:firstLine="446"/>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4"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684" w:right="259" w:bottom="1440" w:gutter="0" w:footer="0" w:header="0"/>
        </w:sectPr>
      </w:pPr>
    </w:p>
    <w:bookmarkStart w:id="54" w:name="page55"/>
    <w:bookmarkEnd w:id="54"/>
    <w:p>
      <w:pPr>
        <w:ind w:right="300"/>
        <w:spacing w:after="0" w:line="256" w:lineRule="auto"/>
        <w:rPr>
          <w:sz w:val="20"/>
          <w:szCs w:val="20"/>
          <w:color w:val="auto"/>
        </w:rPr>
      </w:pPr>
      <w:r>
        <w:rPr>
          <w:rFonts w:ascii="Times New Roman" w:cs="Times New Roman" w:eastAsia="Times New Roman" w:hAnsi="Times New Roman"/>
          <w:sz w:val="18"/>
          <w:szCs w:val="18"/>
          <w:color w:val="auto"/>
        </w:rPr>
        <w:t>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8"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9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62"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right="200" w:firstLine="446"/>
        <w:spacing w:after="0" w:line="254"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72" w:right="239" w:bottom="1440" w:gutter="0" w:footer="0" w:header="0"/>
        </w:sectPr>
      </w:pPr>
    </w:p>
    <w:bookmarkStart w:id="56" w:name="page57"/>
    <w:bookmarkEnd w:id="56"/>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right="20" w:firstLine="446"/>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0"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880" w:right="52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580" w:right="31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5" w:lineRule="exact"/>
        <w:rPr>
          <w:sz w:val="20"/>
          <w:szCs w:val="20"/>
          <w:color w:val="auto"/>
        </w:rPr>
      </w:pPr>
    </w:p>
    <w:p>
      <w:pPr>
        <w:ind w:right="120" w:firstLine="446"/>
        <w:spacing w:after="0" w:line="241"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84"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4" w:right="239" w:bottom="144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t>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880" w:right="104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72" w:right="239" w:bottom="1440" w:gutter="0" w:footer="0" w:header="0"/>
        </w:sectPr>
      </w:pPr>
    </w:p>
    <w:bookmarkStart w:id="59" w:name="page60"/>
    <w:bookmarkEnd w:id="59"/>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initial public offering and may not use them effectively.</w:t>
      </w:r>
    </w:p>
    <w:p>
      <w:pPr>
        <w:spacing w:after="0" w:line="121"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initial public offering, and you will be relying on the judgment of our management regarding the application of these proceeds. Our management might not apply the net proceeds from our initial public offering in ways that ultimately increase the value of your investment. If we do not invest or apply the net proceeds from our initial public offering in ways that enhance stockholder value, we may fail to achieve expected financial results, which could cause our stock price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72" w:right="259" w:bottom="1440" w:gutter="0" w:footer="0" w:header="0"/>
        </w:sectPr>
      </w:pPr>
    </w:p>
    <w:bookmarkStart w:id="60" w:name="page61"/>
    <w:bookmarkEnd w:id="60"/>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could cause our stock price to fall.</w:t>
      </w:r>
    </w:p>
    <w:p>
      <w:pPr>
        <w:spacing w:after="0" w:line="229"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Of the 20,249,295 shares of our common stock outstanding as of March 31, 2017, 14,499,295 shares are currently subject to restrictions on transfer under 180-day lock-up arrangements with either the underwriters for our initial public offering or under agreements entered into between us and the holders of those shares. These restrictions are due to expire July 25, 2017, resulting in these shares becoming eligible for public sale if they are registered under the Securities Act of 1933, as amended, which we refer to as the Securities Act, or if they qualify for an exemption from registration under the Securities Act, including under Rules 144 or 701.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580" w:right="259" w:bottom="1440" w:gutter="0" w:footer="0" w:header="0"/>
        </w:sectPr>
      </w:pPr>
    </w:p>
    <w:bookmarkStart w:id="61" w:name="page62"/>
    <w:bookmarkEnd w:id="6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0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240" w:top="684" w:right="319" w:bottom="1440" w:gutter="0" w:footer="0" w:header="0"/>
        </w:sectPr>
      </w:pPr>
    </w:p>
    <w:bookmarkStart w:id="62" w:name="page63"/>
    <w:bookmarkEnd w:id="62"/>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67" w:lineRule="exact"/>
        <w:rPr>
          <w:sz w:val="20"/>
          <w:szCs w:val="20"/>
          <w:color w:val="auto"/>
        </w:rPr>
      </w:pPr>
    </w:p>
    <w:p>
      <w:pPr>
        <w:ind w:right="60" w:firstLine="446"/>
        <w:spacing w:after="0" w:line="253"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72" w:right="259" w:bottom="1440" w:gutter="0" w:footer="0" w:header="0"/>
        </w:sectPr>
      </w:pPr>
    </w:p>
    <w:bookmarkStart w:id="63" w:name="page64"/>
    <w:bookmarkEnd w:id="63"/>
    <w:p>
      <w:pPr>
        <w:ind w:right="4300"/>
        <w:spacing w:after="0" w:line="43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Unregistered Sales of Equity Securities</w:t>
      </w:r>
    </w:p>
    <w:p>
      <w:pPr>
        <w:spacing w:after="0" w:line="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January 9, 2017, we granted an option to one of our executive officers to purchase 170,241 shares of common stock under our Amended and Restated 2006 Equity Inventive Plan, with a per share exercise price of $11.34. The offer, sale and issuance of these options were deemed to be exempt from registration under the Securities Act under Rule 701 promulgated under the Securities Act as offers and sale of securities pursuant to certain compensatory benefit plans and contracts relating to compensation in compliance with Rule 701.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4" w:lineRule="exact"/>
        <w:rPr>
          <w:sz w:val="20"/>
          <w:szCs w:val="20"/>
          <w:color w:val="auto"/>
        </w:rPr>
      </w:pPr>
    </w:p>
    <w:p>
      <w:pPr>
        <w:ind w:right="360" w:firstLine="446"/>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360" w:right="259" w:bottom="1440" w:gutter="0" w:footer="0" w:header="0"/>
        </w:sectPr>
      </w:pPr>
    </w:p>
    <w:bookmarkStart w:id="64" w:name="page65"/>
    <w:bookmarkEnd w:id="6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6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ANAPTYSBIO, INC.</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11, 2017</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Hamza Suria</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Hamza Suria</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11, 2017</w:t>
            </w:r>
          </w:p>
        </w:tc>
        <w:tc>
          <w:tcPr>
            <w:tcW w:w="24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Dominic G. Piscitelli</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 G. Piscitelli</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w:t>
            </w:r>
          </w:p>
        </w:tc>
        <w:tc>
          <w:tcPr>
            <w:tcW w:w="5140" w:type="dxa"/>
            <w:vAlign w:val="bottom"/>
          </w:tcPr>
          <w:p>
            <w:pPr>
              <w:spacing w:after="0"/>
              <w:rPr>
                <w:sz w:val="24"/>
                <w:szCs w:val="24"/>
                <w:color w:val="auto"/>
              </w:rPr>
            </w:pPr>
          </w:p>
        </w:tc>
      </w:tr>
    </w:tbl>
    <w:p>
      <w:pPr>
        <w:sectPr>
          <w:pgSz w:w="11900" w:h="16838" w:orient="portrait"/>
          <w:cols w:equalWidth="0" w:num="1">
            <w:col w:w="11320"/>
          </w:cols>
          <w:pgMar w:left="240" w:top="360"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5"/>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940" w:type="dxa"/>
            <w:vAlign w:val="bottom"/>
          </w:tcPr>
          <w:p>
            <w:pPr>
              <w:spacing w:after="0"/>
              <w:rPr>
                <w:sz w:val="24"/>
                <w:szCs w:val="24"/>
                <w:color w:val="auto"/>
              </w:rPr>
            </w:pPr>
          </w:p>
        </w:tc>
      </w:tr>
      <w:tr>
        <w:trPr>
          <w:trHeight w:val="212"/>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940" w:type="dxa"/>
            <w:vAlign w:val="bottom"/>
          </w:tcPr>
          <w:p>
            <w:pPr>
              <w:ind w:left="4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114"/>
        </w:trPr>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940" w:type="dxa"/>
            <w:vAlign w:val="bottom"/>
            <w:tcBorders>
              <w:bottom w:val="single" w:sz="8" w:color="auto"/>
            </w:tcBorders>
          </w:tcPr>
          <w:p>
            <w:pPr>
              <w:spacing w:after="0"/>
              <w:rPr>
                <w:sz w:val="9"/>
                <w:szCs w:val="9"/>
                <w:color w:val="auto"/>
              </w:rPr>
            </w:pPr>
          </w:p>
        </w:tc>
      </w:tr>
      <w:tr>
        <w:trPr>
          <w:trHeight w:val="217"/>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8"/>
                <w:szCs w:val="18"/>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Amended and Restated Certificate of Incorporation, as currently in effect.</w:t>
            </w:r>
          </w:p>
        </w:tc>
      </w:tr>
      <w:tr>
        <w:trPr>
          <w:trHeight w:val="33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Rule 13a-14(a)/15d-14(a), as adopted pursuant to Section 302 of the Sarbanes-Oxley Act of</w:t>
            </w:r>
          </w:p>
        </w:tc>
      </w:tr>
      <w:tr>
        <w:trPr>
          <w:trHeight w:val="210"/>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20" w:type="dxa"/>
            <w:vAlign w:val="bottom"/>
          </w:tcPr>
          <w:p>
            <w:pPr>
              <w:spacing w:after="0"/>
              <w:rPr>
                <w:sz w:val="18"/>
                <w:szCs w:val="18"/>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2002.</w:t>
            </w:r>
          </w:p>
        </w:tc>
      </w:tr>
      <w:tr>
        <w:trPr>
          <w:trHeight w:val="33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Rule 13a-14(a)/15d-14(a), as adopted pursuant to Section 302 of the Sarbanes-Oxley Act of</w:t>
            </w:r>
          </w:p>
        </w:tc>
      </w:tr>
      <w:tr>
        <w:trPr>
          <w:trHeight w:val="210"/>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tcPr>
          <w:p>
            <w:pPr>
              <w:spacing w:after="0"/>
              <w:rPr>
                <w:sz w:val="18"/>
                <w:szCs w:val="18"/>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2002</w:t>
            </w:r>
          </w:p>
        </w:tc>
      </w:tr>
      <w:tr>
        <w:trPr>
          <w:trHeight w:val="338"/>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r>
      <w:tr>
        <w:trPr>
          <w:trHeight w:val="338"/>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24"/>
                <w:szCs w:val="24"/>
                <w:color w:val="auto"/>
              </w:rPr>
            </w:pP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r>
      <w:tr>
        <w:trPr>
          <w:trHeight w:val="338"/>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101.INS</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Report Instance Document</w:t>
            </w:r>
          </w:p>
        </w:tc>
      </w:tr>
      <w:tr>
        <w:trPr>
          <w:trHeight w:val="338"/>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101.SCH</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38"/>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101.CAL</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338"/>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101.LAB</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338"/>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101.PRE</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Presentation Linkbase Document</w:t>
            </w:r>
          </w:p>
        </w:tc>
      </w:tr>
      <w:tr>
        <w:trPr>
          <w:trHeight w:val="338"/>
        </w:trPr>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101.DEF</w:t>
            </w:r>
          </w:p>
        </w:tc>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bl>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240" w:top="360"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AnaptysBio, Inc., a Delaware corporation, hereby certifies as follows.</w:t>
      </w:r>
    </w:p>
    <w:p>
      <w:pPr>
        <w:spacing w:after="0" w:line="225" w:lineRule="exact"/>
        <w:rPr>
          <w:sz w:val="20"/>
          <w:szCs w:val="20"/>
          <w:color w:val="auto"/>
        </w:rPr>
      </w:pPr>
    </w:p>
    <w:p>
      <w:pPr>
        <w:ind w:firstLine="656"/>
        <w:spacing w:after="0" w:line="282" w:lineRule="auto"/>
        <w:tabs>
          <w:tab w:leader="none" w:pos="10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AnaptysBio, Inc. The date of filing the original Certificate of Incorporation of this company with the Secretary of State of the State of Delaware was November 16, 2005 under the name of Anaptys Biosciences, Inc.</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Certificate of Incorporation of the corporation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previously amended or supplemented, has been duly adopted by the Board of Directors and by the stockholders in accordance with Sections 242 and 245 of the Delaware General Corporation Law, with the approval of the corporation's stockholders having been given by written consent without a meeting in accordance with Section 228 of the Delaware General Corporation Law.</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January 31, 2017</w:t>
      </w:r>
    </w:p>
    <w:p>
      <w:pPr>
        <w:spacing w:after="0" w:line="1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ANAPTYSBIO, INC.</w:t>
      </w:r>
    </w:p>
    <w:p>
      <w:pPr>
        <w:spacing w:after="0" w:line="30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-7620</wp:posOffset>
            </wp:positionV>
            <wp:extent cx="844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28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Hamza Suria</w:t>
      </w:r>
    </w:p>
    <w:p>
      <w:pPr>
        <w:spacing w:after="0" w:line="30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576"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52" w:lineRule="exact"/>
        <w:rPr>
          <w:sz w:val="20"/>
          <w:szCs w:val="20"/>
          <w:color w:val="auto"/>
        </w:rPr>
      </w:pPr>
    </w:p>
    <w:p>
      <w:pPr>
        <w:ind w:left="442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010000"/>
        </w:rPr>
        <w:t>Article I:</w:t>
      </w:r>
      <w:r>
        <w:rPr>
          <w:sz w:val="20"/>
          <w:szCs w:val="20"/>
          <w:color w:val="auto"/>
        </w:rPr>
        <w:tab/>
      </w:r>
      <w:r>
        <w:rPr>
          <w:rFonts w:ascii="Times New Roman" w:cs="Times New Roman" w:eastAsia="Times New Roman" w:hAnsi="Times New Roman"/>
          <w:sz w:val="18"/>
          <w:szCs w:val="18"/>
          <w:b w:val="1"/>
          <w:bCs w:val="1"/>
          <w:color w:val="auto"/>
        </w:rPr>
        <w:t>NAME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AnaptysBio,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010000"/>
        </w:rPr>
        <w:t>ARTICLE II:</w:t>
      </w:r>
      <w:r>
        <w:rPr>
          <w:sz w:val="20"/>
          <w:szCs w:val="20"/>
          <w:color w:val="auto"/>
        </w:rPr>
        <w:tab/>
      </w:r>
      <w:r>
        <w:rPr>
          <w:rFonts w:ascii="Times New Roman" w:cs="Times New Roman" w:eastAsia="Times New Roman" w:hAnsi="Times New Roman"/>
          <w:sz w:val="17"/>
          <w:szCs w:val="17"/>
          <w:b w:val="1"/>
          <w:bCs w:val="1"/>
          <w:color w:val="auto"/>
        </w:rPr>
        <w:t>AGENT FOR SERVICE OF PROCESS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this Corporation in the State of Delaware is 1209 Orange Street, City of Wilmington, County of New Castle, Zip Code 19801, and the name of the registered agent of the Corporation in the State of Delaware at such address is The Corporation Trust Company.</w:t>
      </w:r>
    </w:p>
    <w:p>
      <w:pPr>
        <w:spacing w:after="0" w:line="158" w:lineRule="exact"/>
        <w:rPr>
          <w:sz w:val="20"/>
          <w:szCs w:val="20"/>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b w:val="1"/>
          <w:bCs w:val="1"/>
          <w:color w:val="010000"/>
        </w:rPr>
        <w:t>ARTICLE III:</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10000"/>
        </w:rPr>
        <w:t>ARTICLE IV:</w:t>
      </w:r>
      <w:r>
        <w:rPr>
          <w:sz w:val="20"/>
          <w:szCs w:val="20"/>
          <w:color w:val="auto"/>
        </w:rPr>
        <w:tab/>
      </w:r>
      <w:r>
        <w:rPr>
          <w:rFonts w:ascii="Times New Roman" w:cs="Times New Roman" w:eastAsia="Times New Roman" w:hAnsi="Times New Roman"/>
          <w:sz w:val="17"/>
          <w:szCs w:val="17"/>
          <w:b w:val="1"/>
          <w:bCs w:val="1"/>
          <w:color w:val="auto"/>
        </w:rPr>
        <w:t>AUTHORIZED STOCK</w:t>
      </w:r>
    </w:p>
    <w:p>
      <w:pPr>
        <w:spacing w:after="0" w:line="225" w:lineRule="exact"/>
        <w:rPr>
          <w:sz w:val="20"/>
          <w:szCs w:val="20"/>
          <w:color w:val="auto"/>
        </w:rPr>
      </w:pPr>
    </w:p>
    <w:p>
      <w:pPr>
        <w:jc w:val="both"/>
        <w:ind w:firstLine="656"/>
        <w:spacing w:after="0" w:line="268" w:lineRule="auto"/>
        <w:tabs>
          <w:tab w:leader="none" w:pos="963"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color w:val="auto"/>
        </w:rPr>
        <w:t>. The total number of shares of all classes of stock that the Corporation has authority to issue is Five Hundred and Ten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(510,000,000) shares, consisting of two classes: Five Hundred Million (500,000,000) shares of Common Stock, $0.001 par value per share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Ten Million (10,000,000)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010000"/>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Designation of Additional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010000"/>
        </w:rPr>
        <w:t xml:space="preserve">2.1. </w:t>
      </w:r>
      <w:r>
        <w:rPr>
          <w:rFonts w:ascii="Times New Roman" w:cs="Times New Roman" w:eastAsia="Times New Roman" w:hAnsi="Times New Roman"/>
          <w:sz w:val="18"/>
          <w:szCs w:val="18"/>
          <w:color w:val="000000"/>
        </w:rPr>
        <w:t>The Board of Directors of the Corporation (the “</w:t>
      </w:r>
      <w:r>
        <w:rPr>
          <w:rFonts w:ascii="Times New Roman" w:cs="Times New Roman" w:eastAsia="Times New Roman" w:hAnsi="Times New Roman"/>
          <w:sz w:val="18"/>
          <w:szCs w:val="18"/>
          <w:b w:val="1"/>
          <w:bCs w:val="1"/>
          <w:i w:val="1"/>
          <w:iCs w:val="1"/>
          <w:color w:val="000000"/>
        </w:rPr>
        <w:t>Board</w:t>
      </w:r>
      <w:r>
        <w:rPr>
          <w:rFonts w:ascii="Times New Roman" w:cs="Times New Roman" w:eastAsia="Times New Roman" w:hAnsi="Times New Roman"/>
          <w:sz w:val="18"/>
          <w:szCs w:val="18"/>
          <w:color w:val="000000"/>
        </w:rPr>
        <w:t>”) is authorized, subject to any limitations prescribed by the law of the State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Delaware, to provide for the issuance of the shares of Preferred Stock in one or more series, and, by filing a Certificate of Designation pursuant to the applicable law of the State of Delaware, to establish from time to time the number of shares to be included in each such series, to fix the designation, vesting, powers, preferences and relative, participating, optional or other rights, if any, of the shares of each such series and any qualifications, limitations or restrictions thereof,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 then-outstanding shares of capital stock of the Corporation entitled to vote thereon, without a vote of the holders of the Preferred Stock, unless a vote of any such holders is required pursuant to the terms of any certificate or certificates establishing a series of Preferred Stock.</w:t>
      </w:r>
    </w:p>
    <w:p>
      <w:pPr>
        <w:spacing w:after="0" w:line="18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color w:val="000000"/>
        </w:rPr>
        <w:t>Except as otherwise expressly provided in any Certificate of Designation designating any series of Preferred Stock pursuant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84"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010000"/>
        </w:rPr>
        <w:t xml:space="preserve">2.3. </w:t>
      </w:r>
      <w:r>
        <w:rPr>
          <w:rFonts w:ascii="Times New Roman" w:cs="Times New Roman" w:eastAsia="Times New Roman" w:hAnsi="Times New Roman"/>
          <w:sz w:val="18"/>
          <w:szCs w:val="18"/>
          <w:color w:val="000000"/>
        </w:rPr>
        <w:t>Each outstanding share of Common Stock shall entitle the holder thereof to one vote on each matter properly submitted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stockholders of the Corporation for their vote;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 except as otherwise required by law, holders of Common Stock shall not be entitled to vote on any amendment to this Restated</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576" w:right="2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 relating to any series of Preferred Stock).</w:t>
      </w:r>
    </w:p>
    <w:p>
      <w:pPr>
        <w:spacing w:after="0" w:line="176"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10000"/>
        </w:rPr>
        <w:t>ARTICLE V:</w:t>
      </w:r>
      <w:r>
        <w:rPr>
          <w:sz w:val="20"/>
          <w:szCs w:val="20"/>
          <w:color w:val="auto"/>
        </w:rPr>
        <w:tab/>
      </w:r>
      <w:r>
        <w:rPr>
          <w:rFonts w:ascii="Times New Roman" w:cs="Times New Roman" w:eastAsia="Times New Roman" w:hAnsi="Times New Roman"/>
          <w:sz w:val="17"/>
          <w:szCs w:val="17"/>
          <w:b w:val="1"/>
          <w:bCs w:val="1"/>
          <w:color w:val="auto"/>
        </w:rPr>
        <w:t>AMENDMENT OF BYLAWS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shall have the power to adopt, amend or repeal the Bylaws of the Corporation. Any adoption, amendment or repeal of the Bylaws of the Corporation by the Board shall require the approval of a majority of the Whole Board. For purposes of this Restated Certificate of Incorporation,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xml:space="preserve">” shall mean the total number of authorized directors whether or not there exist any vacancies in previously authorized directorships. The stockholders shall also have power to adopt, amend or repeal the Bylaws of the Corporation;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this Restated Certificate of Incorporation (including any Preferred Stock issued pursuant to a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of the Corporation; provided, further, that if two-thirds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thereon, voting together as a single class, shall be required to adopt, amend or repeal any provision of the Bylaws of the Corporation.</w:t>
      </w:r>
    </w:p>
    <w:p>
      <w:pPr>
        <w:spacing w:after="0" w:line="189"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010000"/>
        </w:rPr>
        <w:t>ARTICLE VI:</w:t>
      </w:r>
      <w:r>
        <w:rPr>
          <w:sz w:val="20"/>
          <w:szCs w:val="20"/>
          <w:color w:val="auto"/>
        </w:rPr>
        <w:tab/>
      </w:r>
      <w:r>
        <w:rPr>
          <w:rFonts w:ascii="Times New Roman" w:cs="Times New Roman" w:eastAsia="Times New Roman" w:hAnsi="Times New Roman"/>
          <w:sz w:val="17"/>
          <w:szCs w:val="17"/>
          <w:b w:val="1"/>
          <w:bCs w:val="1"/>
          <w:color w:val="auto"/>
        </w:rPr>
        <w:t>MATTERS RELATING TO THE BOARD OF DIRECTORS</w:t>
      </w:r>
    </w:p>
    <w:p>
      <w:pPr>
        <w:spacing w:after="0" w:line="225" w:lineRule="exact"/>
        <w:rPr>
          <w:sz w:val="20"/>
          <w:szCs w:val="20"/>
          <w:color w:val="auto"/>
        </w:rPr>
      </w:pPr>
    </w:p>
    <w:p>
      <w:pPr>
        <w:jc w:val="both"/>
        <w:ind w:firstLine="656"/>
        <w:spacing w:after="0" w:line="268" w:lineRule="auto"/>
        <w:tabs>
          <w:tab w:leader="none" w:pos="963"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Director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authority expressly conferred upon them by statute or by this Restated Certificate of Incorporation or the Bylaws of the Corporation, the directors are hereby empowered to exercise all such powers and do all such acts and things as may be exercised or done by the Corporation.</w:t>
      </w:r>
    </w:p>
    <w:p>
      <w:pPr>
        <w:spacing w:after="0" w:line="170"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085"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Number of Directors</w:t>
      </w:r>
      <w:r>
        <w:rPr>
          <w:rFonts w:ascii="Times New Roman" w:cs="Times New Roman" w:eastAsia="Times New Roman" w:hAnsi="Times New Roman"/>
          <w:sz w:val="18"/>
          <w:szCs w:val="18"/>
          <w:color w:val="auto"/>
        </w:rPr>
        <w:t>. 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number of directors shall be fixed from time to time exclusively by resolution adopted by a majority of the Whole Board.</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53" w:lineRule="auto"/>
        <w:tabs>
          <w:tab w:leader="none" w:pos="963"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Classified Board</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Times New Roman" w:cs="Times New Roman" w:eastAsia="Times New Roman" w:hAnsi="Times New Roman"/>
          <w:sz w:val="18"/>
          <w:szCs w:val="18"/>
          <w:b w:val="1"/>
          <w:bCs w:val="1"/>
          <w:i w:val="1"/>
          <w:iCs w:val="1"/>
          <w:color w:val="auto"/>
        </w:rPr>
        <w:t>Initial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the initial term of office of the Class II directors shall expire at the Corporation's second annual meeting of stockholders following the closing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spacing w:after="0" w:line="190"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977"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Term and Removal</w:t>
      </w:r>
      <w:r>
        <w:rPr>
          <w:rFonts w:ascii="Times New Roman" w:cs="Times New Roman" w:eastAsia="Times New Roman" w:hAnsi="Times New Roman"/>
          <w:sz w:val="18"/>
          <w:szCs w:val="18"/>
          <w:color w:val="auto"/>
        </w:rPr>
        <w:t>. Each director shall hold office until such director's successor is elected and qualified, or until such director's earlier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or removal. Any director may resign at any time upon notice to the Corporation given in writing or by any electronic transmission permitted in the Corporation's Bylaws. Subject to the rights of the holders of any series of Preferred Stock, no director may be removed except for cause and only by</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4" w:right="239" w:bottom="1440" w:gutter="0" w:footer="0" w:header="0"/>
        </w:sectPr>
      </w:pPr>
    </w:p>
    <w:bookmarkStart w:id="69" w:name="page70"/>
    <w:bookmarkEnd w:id="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two-thirds of the voting power of the then-outstanding shares of capital stock of the Corporation then entitled to vote at an election of directors voting together as a single class. No decrease in the authorized number of directors constituting the Board shall shorten the term of any incumbent director.</w:t>
      </w:r>
    </w:p>
    <w:p>
      <w:pPr>
        <w:spacing w:after="0" w:line="172" w:lineRule="exact"/>
        <w:rPr>
          <w:sz w:val="20"/>
          <w:szCs w:val="20"/>
          <w:color w:val="auto"/>
        </w:rPr>
      </w:pPr>
    </w:p>
    <w:p>
      <w:pPr>
        <w:jc w:val="both"/>
        <w:ind w:firstLine="656"/>
        <w:spacing w:after="0" w:line="257" w:lineRule="auto"/>
        <w:tabs>
          <w:tab w:leader="none" w:pos="990" w:val="left"/>
        </w:tabs>
        <w:numPr>
          <w:ilvl w:val="0"/>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Board Vacancies</w:t>
      </w:r>
      <w:r>
        <w:rPr>
          <w:rFonts w:ascii="Times New Roman" w:cs="Times New Roman" w:eastAsia="Times New Roman" w:hAnsi="Times New Roman"/>
          <w:sz w:val="18"/>
          <w:szCs w:val="18"/>
          <w:color w:val="auto"/>
        </w:rPr>
        <w:t>. Subject to the rights of the holders of any series of Preferred Stock, any vacancy occurring in the Board for any cause,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although less than a quorum, or by a sole remaining director, and not by the stockholders. Any director elected in</w:t>
      </w:r>
    </w:p>
    <w:p>
      <w:pPr>
        <w:jc w:val="both"/>
        <w:spacing w:after="0" w:line="255" w:lineRule="auto"/>
        <w:rPr>
          <w:sz w:val="20"/>
          <w:szCs w:val="20"/>
          <w:color w:val="auto"/>
        </w:rPr>
      </w:pPr>
      <w:r>
        <w:rPr>
          <w:rFonts w:ascii="Times New Roman" w:cs="Times New Roman" w:eastAsia="Times New Roman" w:hAnsi="Times New Roman"/>
          <w:sz w:val="18"/>
          <w:szCs w:val="18"/>
          <w:color w:val="auto"/>
        </w:rPr>
        <w:t>accordance with the preceding sentence shall hold office for a term expiring at the annual meeting of stockholders at which the term of office of the class to which the director has been assigned expires or until such director's successor shall have been duly elected and qualified, or until such director's earlier death, resignation or removal.</w:t>
      </w:r>
    </w:p>
    <w:p>
      <w:pPr>
        <w:spacing w:after="0" w:line="18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Vote by Ballot</w:t>
      </w:r>
      <w:r>
        <w:rPr>
          <w:rFonts w:ascii="Times New Roman" w:cs="Times New Roman" w:eastAsia="Times New Roman" w:hAnsi="Times New Roman"/>
          <w:sz w:val="18"/>
          <w:szCs w:val="18"/>
          <w:color w:val="auto"/>
        </w:rPr>
        <w:t>. Election of directors need not be by written ballot unless the Bylaws of the Corporation shall so provide.</w:t>
      </w:r>
    </w:p>
    <w:p>
      <w:pPr>
        <w:spacing w:after="0" w:line="225" w:lineRule="exact"/>
        <w:rPr>
          <w:rFonts w:ascii="Times New Roman" w:cs="Times New Roman" w:eastAsia="Times New Roman" w:hAnsi="Times New Roman"/>
          <w:sz w:val="18"/>
          <w:szCs w:val="18"/>
          <w:b w:val="1"/>
          <w:bCs w:val="1"/>
          <w:color w:val="010000"/>
        </w:rPr>
      </w:pPr>
    </w:p>
    <w:p>
      <w:pPr>
        <w:ind w:left="402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010000"/>
        </w:rPr>
        <w:t xml:space="preserve">ARTICLE VII:   </w:t>
      </w:r>
      <w:r>
        <w:rPr>
          <w:rFonts w:ascii="Times New Roman" w:cs="Times New Roman" w:eastAsia="Times New Roman" w:hAnsi="Times New Roman"/>
          <w:sz w:val="18"/>
          <w:szCs w:val="18"/>
          <w:b w:val="1"/>
          <w:bCs w:val="1"/>
          <w:color w:val="000000"/>
        </w:rPr>
        <w:t>DIRECTOR LIABILITY</w:t>
      </w:r>
    </w:p>
    <w:p>
      <w:pPr>
        <w:spacing w:after="0" w:line="225" w:lineRule="exact"/>
        <w:rPr>
          <w:sz w:val="20"/>
          <w:szCs w:val="20"/>
          <w:color w:val="auto"/>
        </w:rPr>
      </w:pPr>
    </w:p>
    <w:p>
      <w:pPr>
        <w:jc w:val="both"/>
        <w:ind w:firstLine="656"/>
        <w:spacing w:after="0" w:line="262" w:lineRule="auto"/>
        <w:tabs>
          <w:tab w:leader="none" w:pos="990" w:val="left"/>
        </w:tabs>
        <w:numPr>
          <w:ilvl w:val="0"/>
          <w:numId w:val="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To the fullest extent permitted by law, no director of the Corporation shall be personally liable for monetary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76"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044" w:val="left"/>
        </w:tabs>
        <w:numPr>
          <w:ilvl w:val="0"/>
          <w:numId w:val="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Change in Rights</w:t>
      </w:r>
      <w:r>
        <w:rPr>
          <w:rFonts w:ascii="Times New Roman" w:cs="Times New Roman" w:eastAsia="Times New Roman" w:hAnsi="Times New Roman"/>
          <w:sz w:val="18"/>
          <w:szCs w:val="18"/>
          <w:color w:val="auto"/>
        </w:rPr>
        <w:t>. Neither any amendment nor repeal of this Article VII, nor the adoption of any provision of this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71" w:lineRule="exact"/>
        <w:rPr>
          <w:sz w:val="20"/>
          <w:szCs w:val="20"/>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b w:val="1"/>
          <w:bCs w:val="1"/>
          <w:color w:val="010000"/>
        </w:rPr>
        <w:t>ARTICLE VIII:</w:t>
      </w:r>
      <w:r>
        <w:rPr>
          <w:sz w:val="20"/>
          <w:szCs w:val="20"/>
          <w:color w:val="auto"/>
        </w:rPr>
        <w:tab/>
      </w:r>
      <w:r>
        <w:rPr>
          <w:rFonts w:ascii="Times New Roman" w:cs="Times New Roman" w:eastAsia="Times New Roman" w:hAnsi="Times New Roman"/>
          <w:sz w:val="17"/>
          <w:szCs w:val="17"/>
          <w:b w:val="1"/>
          <w:bCs w:val="1"/>
          <w:color w:val="auto"/>
        </w:rPr>
        <w:t>MATTERS RELATING TO STOCKHOLDERS</w:t>
      </w:r>
    </w:p>
    <w:p>
      <w:pPr>
        <w:spacing w:after="0" w:line="225" w:lineRule="exact"/>
        <w:rPr>
          <w:sz w:val="20"/>
          <w:szCs w:val="20"/>
          <w:color w:val="auto"/>
        </w:rPr>
      </w:pPr>
    </w:p>
    <w:p>
      <w:pPr>
        <w:jc w:val="both"/>
        <w:ind w:firstLine="656"/>
        <w:spacing w:after="0" w:line="268" w:lineRule="auto"/>
        <w:tabs>
          <w:tab w:leader="none" w:pos="1071" w:val="left"/>
        </w:tabs>
        <w:numPr>
          <w:ilvl w:val="0"/>
          <w:numId w:val="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No Action by Written Consent of Stockholders</w:t>
      </w:r>
      <w:r>
        <w:rPr>
          <w:rFonts w:ascii="Times New Roman" w:cs="Times New Roman" w:eastAsia="Times New Roman" w:hAnsi="Times New Roman"/>
          <w:sz w:val="18"/>
          <w:szCs w:val="18"/>
          <w:color w:val="auto"/>
        </w:rPr>
        <w:t>. Subject to the rights of any series of Preferred Stock, no action shall be taken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Corporation except at a duly called annual or special meeting of stockholders and no action shall be taken by the stockholders by written consent.</w:t>
      </w:r>
    </w:p>
    <w:p>
      <w:pPr>
        <w:spacing w:after="0" w:line="170" w:lineRule="exact"/>
        <w:rPr>
          <w:rFonts w:ascii="Times New Roman" w:cs="Times New Roman" w:eastAsia="Times New Roman" w:hAnsi="Times New Roman"/>
          <w:sz w:val="18"/>
          <w:szCs w:val="18"/>
          <w:b w:val="1"/>
          <w:bCs w:val="1"/>
          <w:color w:val="010000"/>
        </w:rPr>
      </w:pPr>
    </w:p>
    <w:p>
      <w:pPr>
        <w:ind w:right="20" w:firstLine="656"/>
        <w:spacing w:after="0" w:line="286" w:lineRule="auto"/>
        <w:tabs>
          <w:tab w:leader="none" w:pos="963" w:val="left"/>
        </w:tabs>
        <w:numPr>
          <w:ilvl w:val="0"/>
          <w:numId w:val="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color w:val="auto"/>
        </w:rPr>
        <w:t>. Special meetings of the stockholders of the Corporation may be called only by the 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the President or the Board acting pursuant to a resolution adopted by a majority of the Whole Board.</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977" w:val="left"/>
        </w:tabs>
        <w:numPr>
          <w:ilvl w:val="0"/>
          <w:numId w:val="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Advance Notice of Stockholder Nominations and Business Transacted at Special Meetings</w:t>
      </w:r>
      <w:r>
        <w:rPr>
          <w:rFonts w:ascii="Times New Roman" w:cs="Times New Roman" w:eastAsia="Times New Roman" w:hAnsi="Times New Roman"/>
          <w:sz w:val="18"/>
          <w:szCs w:val="18"/>
          <w:color w:val="auto"/>
        </w:rPr>
        <w:t>. Advance notice of stockholder nominations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election of directors of the Corporation and of business to be brought by stockholders before any meeting of stockholders of the Corporation shall be given in the manner provided in the Bylaws of the Corporation. Business transacted at special meetings of stockholders shall be confined to the purpose or purposes stated in the notice of meeting.</w:t>
      </w:r>
    </w:p>
    <w:p>
      <w:pPr>
        <w:spacing w:after="0" w:line="177"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b w:val="1"/>
          <w:bCs w:val="1"/>
          <w:color w:val="010000"/>
        </w:rPr>
        <w:t>ARTICLE IX:</w:t>
      </w:r>
      <w:r>
        <w:rPr>
          <w:sz w:val="20"/>
          <w:szCs w:val="20"/>
          <w:color w:val="auto"/>
        </w:rPr>
        <w:tab/>
      </w:r>
      <w:r>
        <w:rPr>
          <w:rFonts w:ascii="Times New Roman" w:cs="Times New Roman" w:eastAsia="Times New Roman" w:hAnsi="Times New Roman"/>
          <w:sz w:val="17"/>
          <w:szCs w:val="17"/>
          <w:b w:val="1"/>
          <w:bCs w:val="1"/>
          <w:color w:val="auto"/>
        </w:rPr>
        <w:t>CHOICE OF FORUM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or other wrongdoing by, any director, officer or other employee of the Corporation to the Corporation or the Corporation's stockholders; (c) any action asserting a claim against the Corporation (or its directors, officers or other employees) arising pursuant to any provision of the DGCL, this Restated Certificate of Incorporation or the Bylaws; (d) any action to interpret, apply,</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4" w:right="2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enforce or determine the validity of this Restated Certificate of Incorporation or the Bylaws; or (e) any action asserting a claim against the Corporation governed by the internal affairs doctrine. Any person or entity purchasing or otherwise acquiring any interest in shares of capital stock of the Corporation shall be deemed to have notice of and to have consented to the provisions of this Article IX, Furthermore, and without limiting the generality of the foregoing, the Court of Chancery in the State of Delaware shall be the sole and exclusive forum for any stockholder (including a beneficial owner) to bring any internal corporate claims, as such term is defined and used in Section 115 of the DGCL, as may be amended.</w:t>
      </w:r>
    </w:p>
    <w:p>
      <w:pPr>
        <w:spacing w:after="0" w:line="180"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010000"/>
        </w:rPr>
        <w:t>ARTICLE X:</w:t>
      </w:r>
      <w:r>
        <w:rPr>
          <w:sz w:val="20"/>
          <w:szCs w:val="20"/>
          <w:color w:val="auto"/>
        </w:rPr>
        <w:tab/>
      </w:r>
      <w:r>
        <w:rPr>
          <w:rFonts w:ascii="Times New Roman" w:cs="Times New Roman" w:eastAsia="Times New Roman" w:hAnsi="Times New Roman"/>
          <w:sz w:val="17"/>
          <w:szCs w:val="17"/>
          <w:b w:val="1"/>
          <w:bCs w:val="1"/>
          <w:color w:val="auto"/>
        </w:rPr>
        <w:t>AMENDMENT OF CERTIFICATE OF INCORPORATION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this Restated Certificate of Incorporation becomes or is declared on any ground by a court of competent jurisdiction to be illegal, unenforceable or void, portions of such provision, or such provision in its entirety, to the extent necessary, shall be severed from this Restated Certificate of Incorporation, and the court will replace such illegal, void or unenforceable provision of this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Restated Certificate of Incorporation shall be enforceable in accordance with its terms.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 other provision of this Restated Certificate of Incorporation or any provision of law that might otherwise permit a lesser vote or no vote, but in addition to any vote of the holders of any class or series of the stock of this Corporation required by law or by this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Restated Certificate of incorporation; provided, further, that if two-thirds of the Whole Board has approved such amendment or repeal of any provisions of this Certificate of Incorporation, then only the affirmative vote of the holders of at least a majority of the voting power of all of the then-outstanding shares of the capital stock of the Corporation entitled to vote thereon, voting together as a single class, shall be required to amend or repeal any provision of this Certificate of Incorporation.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82" w:lineRule="auto"/>
        <w:tabs>
          <w:tab w:leader="none" w:pos="1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5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82" w:lineRule="auto"/>
        <w:tabs>
          <w:tab w:leader="none" w:pos="1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17"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Chief Executive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880" w:right="640" w:hanging="440"/>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2017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54" w:lineRule="exact"/>
        <w:rPr>
          <w:sz w:val="20"/>
          <w:szCs w:val="20"/>
          <w:color w:val="auto"/>
        </w:rPr>
      </w:pPr>
    </w:p>
    <w:p>
      <w:pPr>
        <w:ind w:left="880" w:right="640" w:hanging="440"/>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2017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6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5"/>
    </w:lvl>
  </w:abstractNum>
  <w:abstractNum w:abstractNumId="6">
    <w:nsid w:val="189A769B"/>
    <w:multiLevelType w:val="hybridMultilevel"/>
    <w:lvl w:ilvl="0">
      <w:lvlJc w:val="left"/>
      <w:lvlText w:val="(%1)"/>
      <w:numFmt w:val="lowerRoman"/>
      <w:start w:val="2"/>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decimal"/>
      <w:start w:val="6"/>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2019-12-29T05:36:27Z</dcterms:created>
  <dcterms:modified xsi:type="dcterms:W3CDTF">2019-12-29T05:36:27Z</dcterms:modified>
</cp:coreProperties>
</file>