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EcoR1 Capital, LLC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01/04/2021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ANAPTYSBIO,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ANAB</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00" w:type="dxa"/>
            <w:vAlign w:val="bottom"/>
          </w:tcPr>
          <w:p>
            <w:pPr>
              <w:ind w:left="280"/>
              <w:spacing w:after="0"/>
              <w:rPr>
                <w:sz w:val="20"/>
                <w:szCs w:val="20"/>
                <w:color w:val="auto"/>
              </w:rPr>
            </w:pPr>
            <w:r>
              <w:rPr>
                <w:rFonts w:ascii="Arial" w:cs="Arial" w:eastAsia="Arial" w:hAnsi="Arial"/>
                <w:sz w:val="15"/>
                <w:szCs w:val="15"/>
                <w:color w:val="auto"/>
              </w:rPr>
              <w:t>(First)</w:t>
            </w:r>
          </w:p>
        </w:tc>
        <w:tc>
          <w:tcPr>
            <w:tcW w:w="1320" w:type="dxa"/>
            <w:vAlign w:val="bottom"/>
          </w:tcPr>
          <w:p>
            <w:pPr>
              <w:jc w:val="center"/>
              <w:ind w:right="54"/>
              <w:spacing w:after="0"/>
              <w:rPr>
                <w:sz w:val="20"/>
                <w:szCs w:val="20"/>
                <w:color w:val="auto"/>
              </w:rPr>
            </w:pPr>
            <w:r>
              <w:rPr>
                <w:rFonts w:ascii="Arial" w:cs="Arial" w:eastAsia="Arial" w:hAnsi="Arial"/>
                <w:sz w:val="15"/>
                <w:szCs w:val="15"/>
                <w:color w:val="auto"/>
                <w:w w:val="99"/>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357 TEHAMA STREET #3</w:t>
            </w:r>
          </w:p>
        </w:tc>
      </w:tr>
      <w:tr>
        <w:trPr>
          <w:trHeight w:val="237"/>
        </w:trPr>
        <w:tc>
          <w:tcPr>
            <w:tcW w:w="78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1"/>
        </w:trPr>
        <w:tc>
          <w:tcPr>
            <w:tcW w:w="780" w:type="dxa"/>
            <w:vAlign w:val="bottom"/>
          </w:tcPr>
          <w:p>
            <w:pPr>
              <w:ind w:left="40"/>
              <w:spacing w:after="0" w:line="211" w:lineRule="exact"/>
              <w:rPr>
                <w:sz w:val="20"/>
                <w:szCs w:val="20"/>
                <w:color w:val="auto"/>
              </w:rPr>
            </w:pPr>
            <w:r>
              <w:rPr>
                <w:rFonts w:ascii="Arial" w:cs="Arial" w:eastAsia="Arial" w:hAnsi="Arial"/>
                <w:sz w:val="20"/>
                <w:szCs w:val="20"/>
                <w:color w:val="0000FF"/>
              </w:rPr>
              <w:t>SAN</w:t>
            </w: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509"/>
        </w:trPr>
        <w:tc>
          <w:tcPr>
            <w:tcW w:w="1780" w:type="dxa"/>
            <w:vAlign w:val="bottom"/>
            <w:gridSpan w:val="2"/>
          </w:tcPr>
          <w:p>
            <w:pPr>
              <w:ind w:left="40"/>
              <w:spacing w:after="0"/>
              <w:rPr>
                <w:sz w:val="20"/>
                <w:szCs w:val="20"/>
                <w:color w:val="auto"/>
              </w:rPr>
            </w:pPr>
            <w:r>
              <w:rPr>
                <w:rFonts w:ascii="Arial" w:cs="Arial" w:eastAsia="Arial" w:hAnsi="Arial"/>
                <w:sz w:val="20"/>
                <w:szCs w:val="20"/>
                <w:color w:val="0000FF"/>
              </w:rPr>
              <w:t xml:space="preserve">FRANCISCO </w:t>
            </w:r>
            <w:r>
              <w:rPr>
                <w:rFonts w:ascii="Arial" w:cs="Arial" w:eastAsia="Arial" w:hAnsi="Arial"/>
                <w:sz w:val="39"/>
                <w:szCs w:val="39"/>
                <w:color w:val="0000FF"/>
                <w:vertAlign w:val="superscript"/>
              </w:rPr>
              <w:t>CA</w:t>
            </w:r>
          </w:p>
        </w:tc>
        <w:tc>
          <w:tcPr>
            <w:tcW w:w="1320" w:type="dxa"/>
            <w:vAlign w:val="bottom"/>
          </w:tcPr>
          <w:p>
            <w:pPr>
              <w:jc w:val="right"/>
              <w:ind w:right="394"/>
              <w:spacing w:after="0"/>
              <w:rPr>
                <w:sz w:val="20"/>
                <w:szCs w:val="20"/>
                <w:color w:val="auto"/>
              </w:rPr>
            </w:pPr>
            <w:r>
              <w:rPr>
                <w:rFonts w:ascii="Arial" w:cs="Arial" w:eastAsia="Arial" w:hAnsi="Arial"/>
                <w:sz w:val="20"/>
                <w:szCs w:val="20"/>
                <w:color w:val="0000FF"/>
              </w:rPr>
              <w:t>94103</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71"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Arial" w:cs="Arial" w:eastAsia="Arial" w:hAnsi="Arial"/>
                <w:sz w:val="20"/>
                <w:szCs w:val="20"/>
                <w:color w:val="0000FF"/>
              </w:rPr>
              <w:t>3,813,324</w:t>
            </w: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3380" w:type="dxa"/>
            <w:vAlign w:val="bottom"/>
            <w:tcBorders>
              <w:bottom w:val="single" w:sz="8" w:color="2C2C2C"/>
            </w:tcBorders>
            <w:gridSpan w:val="4"/>
          </w:tcPr>
          <w:p>
            <w:pPr>
              <w:ind w:left="600"/>
              <w:spacing w:after="0"/>
              <w:rPr>
                <w:sz w:val="20"/>
                <w:szCs w:val="20"/>
                <w:color w:val="auto"/>
              </w:rPr>
            </w:pPr>
            <w:r>
              <w:rPr>
                <w:rFonts w:ascii="Arial" w:cs="Arial" w:eastAsia="Arial" w:hAnsi="Arial"/>
                <w:sz w:val="20"/>
                <w:szCs w:val="20"/>
                <w:color w:val="0000FF"/>
              </w:rPr>
              <w:t>See Notes 1 and 2</w:t>
            </w:r>
            <w:r>
              <w:rPr>
                <w:rFonts w:ascii="Arial" w:cs="Arial" w:eastAsia="Arial" w:hAnsi="Arial"/>
                <w:sz w:val="25"/>
                <w:szCs w:val="25"/>
                <w:color w:val="008000"/>
                <w:vertAlign w:val="superscript"/>
              </w:rPr>
              <w:t>(1)(2)</w:t>
            </w: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900" w:type="dxa"/>
            <w:vAlign w:val="bottom"/>
            <w:vMerge w:val="restart"/>
          </w:tcPr>
          <w:p>
            <w:pPr>
              <w:ind w:left="32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0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Filers are EcoR1 Capital, LLC ("EcoR1"), Oleg Nodelman, and EcoR1 Capital Fund Qualified, L.P. ("Qualified Fund"). EcoR1 is the investment adviser and general partner of private funds, including Qualified Fund (collectively, the "Funds"). Mr. Nodelman is the manager and controlling owner of EcoR1. EcoR1 is filing this report for itself, Mr. Nodelman and Qualified Fund. The Filers are filing this Form 3 jointly, but not as a group, and each expressly disclaims membership in a group within the meaning of Rule 13d-5(b) under the Securities Exchange Act of 1934, as amended.</w:t>
      </w:r>
    </w:p>
    <w:p>
      <w:pPr>
        <w:spacing w:after="0" w:line="36" w:lineRule="exact"/>
        <w:rPr>
          <w:rFonts w:ascii="Arial" w:cs="Arial" w:eastAsia="Arial" w:hAnsi="Arial"/>
          <w:sz w:val="15"/>
          <w:szCs w:val="15"/>
          <w:color w:val="008000"/>
        </w:rPr>
      </w:pPr>
    </w:p>
    <w:p>
      <w:pPr>
        <w:ind w:left="40" w:right="260" w:firstLine="5"/>
        <w:spacing w:after="0" w:line="267"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Funds hold the securities reported herein directly for the benefit of their investors. Qualified Fund holds 3,212,344 shares of such securities. EcoR1 indirectly beneficially owns the securities reported herein as the investment adviser and general partner of the Funds. Mr. Nodelman indirectly beneficially owns the securities reported herein as the control person of EcoR1. The Filers disclaim beneficial ownership of such securities except to the extent of their pecuniary interest therein.</w:t>
      </w:r>
    </w:p>
    <w:p>
      <w:pPr>
        <w:spacing w:after="0" w:line="4"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Oleg Nodelman, Manager</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01/14/2021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20" w:type="dxa"/>
            <w:vAlign w:val="bottom"/>
            <w:vMerge w:val="restart"/>
          </w:tcPr>
          <w:p>
            <w:pPr>
              <w:spacing w:after="0" w:line="220" w:lineRule="exact"/>
              <w:rPr>
                <w:sz w:val="20"/>
                <w:szCs w:val="20"/>
                <w:color w:val="auto"/>
              </w:rPr>
            </w:pPr>
            <w:r>
              <w:rPr>
                <w:rFonts w:ascii="Arial" w:cs="Arial" w:eastAsia="Arial" w:hAnsi="Arial"/>
                <w:sz w:val="20"/>
                <w:szCs w:val="20"/>
                <w:color w:val="0000FF"/>
                <w:w w:val="90"/>
              </w:rPr>
              <w:t>of EcoR1 Capital, LLC</w:t>
            </w:r>
          </w:p>
        </w:tc>
        <w:tc>
          <w:tcPr>
            <w:tcW w:w="36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20" w:type="dxa"/>
            <w:vAlign w:val="bottom"/>
            <w:tcBorders>
              <w:bottom w:val="single" w:sz="8" w:color="auto"/>
            </w:tcBorders>
            <w:vMerge w:val="continue"/>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587114" TargetMode="External"/><Relationship Id="rId11"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2021-01-14T15:40:40Z</dcterms:created>
  <dcterms:modified xsi:type="dcterms:W3CDTF">2021-01-14T15:40:40Z</dcterms:modified>
</cp:coreProperties>
</file>