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5, 2018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ANAPTYSBIO, INC.</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1920" w:type="dxa"/>
        <w:tblCellMar>
          <w:top w:w="0" w:type="dxa"/>
          <w:left w:w="0" w:type="dxa"/>
          <w:bottom w:w="0" w:type="dxa"/>
          <w:right w:w="0" w:type="dxa"/>
        </w:tblCellMar>
      </w:tblPr>
      <w:tr>
        <w:trPr>
          <w:trHeight w:val="234"/>
        </w:trPr>
        <w:tc>
          <w:tcPr>
            <w:tcW w:w="3960" w:type="dxa"/>
            <w:vAlign w:val="bottom"/>
          </w:tcPr>
          <w:p>
            <w:pPr>
              <w:jc w:val="center"/>
              <w:ind w:right="2002"/>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20-3828755</w:t>
            </w:r>
          </w:p>
        </w:tc>
      </w:tr>
      <w:tr>
        <w:trPr>
          <w:trHeight w:val="180"/>
        </w:trPr>
        <w:tc>
          <w:tcPr>
            <w:tcW w:w="3960" w:type="dxa"/>
            <w:vAlign w:val="bottom"/>
          </w:tcPr>
          <w:p>
            <w:pPr>
              <w:jc w:val="center"/>
              <w:ind w:right="2002"/>
              <w:spacing w:after="0"/>
              <w:rPr>
                <w:sz w:val="20"/>
                <w:szCs w:val="20"/>
                <w:color w:val="auto"/>
              </w:rPr>
            </w:pPr>
            <w:r>
              <w:rPr>
                <w:rFonts w:ascii="Arial" w:cs="Arial" w:eastAsia="Arial" w:hAnsi="Arial"/>
                <w:sz w:val="14"/>
                <w:szCs w:val="14"/>
                <w:b w:val="1"/>
                <w:bCs w:val="1"/>
                <w:color w:val="auto"/>
                <w:w w:val="93"/>
              </w:rPr>
              <w:t>(State or other jurisdiction of</w:t>
            </w:r>
          </w:p>
        </w:tc>
        <w:tc>
          <w:tcPr>
            <w:tcW w:w="3520" w:type="dxa"/>
            <w:vAlign w:val="bottom"/>
          </w:tcPr>
          <w:p>
            <w:pPr>
              <w:jc w:val="center"/>
              <w:ind w:left="200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2002"/>
              <w:spacing w:after="0"/>
              <w:rPr>
                <w:sz w:val="20"/>
                <w:szCs w:val="20"/>
                <w:color w:val="auto"/>
              </w:rPr>
            </w:pPr>
            <w:r>
              <w:rPr>
                <w:rFonts w:ascii="Arial" w:cs="Arial" w:eastAsia="Arial" w:hAnsi="Arial"/>
                <w:sz w:val="14"/>
                <w:szCs w:val="14"/>
                <w:b w:val="1"/>
                <w:bCs w:val="1"/>
                <w:color w:val="auto"/>
                <w:w w:val="94"/>
              </w:rPr>
              <w:t>incorporation or organization)</w:t>
            </w:r>
          </w:p>
        </w:tc>
        <w:tc>
          <w:tcPr>
            <w:tcW w:w="3520" w:type="dxa"/>
            <w:vAlign w:val="bottom"/>
          </w:tcPr>
          <w:p>
            <w:pPr>
              <w:jc w:val="center"/>
              <w:ind w:left="20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Hamza Suria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send copies of all communications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Freedman,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Fenwick &amp; West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California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875-2300</w:t>
      </w:r>
    </w:p>
    <w:p>
      <w:pPr>
        <w:spacing w:after="0" w:line="9"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______________________</w:t>
      </w:r>
    </w:p>
    <w:p>
      <w:pPr>
        <w:spacing w:after="0" w:line="59"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9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00" w:type="dxa"/>
            <w:vAlign w:val="bottom"/>
          </w:tcPr>
          <w:p>
            <w:pPr>
              <w:ind w:left="130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rPr>
                <w:sz w:val="20"/>
                <w:szCs w:val="20"/>
                <w:color w:val="auto"/>
              </w:rPr>
            </w:pPr>
            <w:r>
              <w:rPr>
                <w:rFonts w:ascii="Arial" w:cs="Arial" w:eastAsia="Arial" w:hAnsi="Arial"/>
                <w:sz w:val="14"/>
                <w:szCs w:val="14"/>
                <w:color w:val="auto"/>
              </w:rPr>
              <w:t>x</w:t>
            </w:r>
          </w:p>
        </w:tc>
      </w:tr>
      <w:tr>
        <w:trPr>
          <w:trHeight w:val="419"/>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4920" w:type="dxa"/>
            <w:vAlign w:val="bottom"/>
          </w:tcPr>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500" w:type="dxa"/>
            <w:vAlign w:val="bottom"/>
          </w:tcPr>
          <w:p>
            <w:pPr>
              <w:ind w:left="130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89"/>
        </w:trPr>
        <w:tc>
          <w:tcPr>
            <w:tcW w:w="2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500" w:type="dxa"/>
            <w:vAlign w:val="bottom"/>
          </w:tcPr>
          <w:p>
            <w:pPr>
              <w:ind w:left="130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rPr>
                <w:sz w:val="20"/>
                <w:szCs w:val="20"/>
                <w:color w:val="auto"/>
              </w:rPr>
            </w:pPr>
            <w:r>
              <w:rPr>
                <w:rFonts w:ascii="Arial" w:cs="Arial" w:eastAsia="Arial" w:hAnsi="Arial"/>
                <w:sz w:val="14"/>
                <w:szCs w:val="14"/>
                <w:color w:val="auto"/>
              </w:rPr>
              <w:t>x</w:t>
            </w:r>
          </w:p>
        </w:tc>
      </w:tr>
    </w:tbl>
    <w:p>
      <w:pPr>
        <w:spacing w:after="0" w:line="164" w:lineRule="exact"/>
        <w:rPr>
          <w:sz w:val="24"/>
          <w:szCs w:val="24"/>
          <w:color w:val="auto"/>
        </w:rPr>
      </w:pPr>
    </w:p>
    <w:p>
      <w:pPr>
        <w:sectPr>
          <w:pgSz w:w="11900" w:h="16838" w:orient="portrait"/>
          <w:cols w:equalWidth="0" w:num="1">
            <w:col w:w="11420"/>
          </w:cols>
          <w:pgMar w:left="240" w:top="472" w:right="239" w:bottom="1440" w:gutter="0" w:footer="0" w:header="0"/>
        </w:sectPr>
      </w:pPr>
    </w:p>
    <w:p>
      <w:pPr>
        <w:ind w:left="40" w:right="1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7(a)(2)(B) of the Securities Act. [X]</w:t>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CALCULATION OF REGISTRATION FEE</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320" w:type="dxa"/>
            <w:vAlign w:val="bottom"/>
            <w:tcBorders>
              <w:top w:val="single" w:sz="8" w:color="auto"/>
              <w:left w:val="single" w:sz="8" w:color="auto"/>
            </w:tcBorders>
            <w:vMerge w:val="restart"/>
          </w:tcPr>
          <w:p>
            <w:pPr>
              <w:ind w:left="2200"/>
              <w:spacing w:after="0"/>
              <w:rPr>
                <w:sz w:val="20"/>
                <w:szCs w:val="20"/>
                <w:color w:val="auto"/>
              </w:rPr>
            </w:pPr>
            <w:r>
              <w:rPr>
                <w:rFonts w:ascii="Arial" w:cs="Arial" w:eastAsia="Arial" w:hAnsi="Arial"/>
                <w:sz w:val="14"/>
                <w:szCs w:val="14"/>
                <w:b w:val="1"/>
                <w:bCs w:val="1"/>
                <w:color w:val="auto"/>
              </w:rPr>
              <w:t>Title of Securities</w:t>
            </w:r>
          </w:p>
        </w:tc>
        <w:tc>
          <w:tcPr>
            <w:tcW w:w="148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Amount To Be</w:t>
            </w: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Proposed Maximum</w:t>
            </w: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Amount of</w:t>
            </w:r>
          </w:p>
        </w:tc>
        <w:tc>
          <w:tcPr>
            <w:tcW w:w="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20" w:type="dxa"/>
            <w:vAlign w:val="bottom"/>
            <w:tcBorders>
              <w:left w:val="single" w:sz="8" w:color="auto"/>
            </w:tcBorders>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20" w:type="dxa"/>
            <w:vAlign w:val="bottom"/>
            <w:tcBorders>
              <w:left w:val="single" w:sz="8" w:color="auto"/>
            </w:tcBorders>
          </w:tcPr>
          <w:p>
            <w:pPr>
              <w:ind w:left="2200"/>
              <w:spacing w:after="0"/>
              <w:rPr>
                <w:sz w:val="20"/>
                <w:szCs w:val="20"/>
                <w:color w:val="auto"/>
              </w:rPr>
            </w:pPr>
            <w:r>
              <w:rPr>
                <w:rFonts w:ascii="Arial" w:cs="Arial" w:eastAsia="Arial" w:hAnsi="Arial"/>
                <w:sz w:val="14"/>
                <w:szCs w:val="14"/>
                <w:b w:val="1"/>
                <w:bCs w:val="1"/>
                <w:color w:val="auto"/>
              </w:rPr>
              <w:t>To Be Registered</w:t>
            </w:r>
          </w:p>
        </w:tc>
        <w:tc>
          <w:tcPr>
            <w:tcW w:w="1480" w:type="dxa"/>
            <w:vAlign w:val="bottom"/>
          </w:tcPr>
          <w:p>
            <w:pPr>
              <w:jc w:val="right"/>
              <w:ind w:right="268"/>
              <w:spacing w:after="0"/>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8"/>
                <w:szCs w:val="8"/>
                <w:b w:val="1"/>
                <w:bCs w:val="1"/>
                <w:color w:val="auto"/>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Registration Fee</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w w:val="94"/>
              </w:rPr>
              <w:t>Common Stock, $0.001 par value per share, reserved for issuance pursuant to the 2017</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Equity Incentive Plan</w:t>
            </w: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951,656</w:t>
            </w:r>
            <w:r>
              <w:rPr>
                <w:rFonts w:ascii="Arial" w:cs="Arial" w:eastAsia="Arial" w:hAnsi="Arial"/>
                <w:sz w:val="8"/>
                <w:szCs w:val="8"/>
                <w:color w:val="auto"/>
              </w:rPr>
              <w:t>(2)</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$124.91</w:t>
            </w:r>
            <w:r>
              <w:rPr>
                <w:rFonts w:ascii="Arial" w:cs="Arial" w:eastAsia="Arial" w:hAnsi="Arial"/>
                <w:sz w:val="8"/>
                <w:szCs w:val="8"/>
                <w:color w:val="auto"/>
                <w:w w:val="92"/>
              </w:rPr>
              <w:t>(3)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118,871,351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14,799</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w w:val="94"/>
              </w:rPr>
              <w:t>Common Stock, $0.001 par value per share, reserved for issuance pursuant to the 2017</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Employee Stock Purchase Plan</w:t>
            </w:r>
          </w:p>
        </w:tc>
        <w:tc>
          <w:tcPr>
            <w:tcW w:w="1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237,913</w:t>
            </w:r>
            <w:r>
              <w:rPr>
                <w:rFonts w:ascii="Arial" w:cs="Arial" w:eastAsia="Arial" w:hAnsi="Arial"/>
                <w:sz w:val="8"/>
                <w:szCs w:val="8"/>
                <w:color w:val="auto"/>
              </w:rPr>
              <w:t>(4)</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$106.17</w:t>
            </w:r>
            <w:r>
              <w:rPr>
                <w:rFonts w:ascii="Arial" w:cs="Arial" w:eastAsia="Arial" w:hAnsi="Arial"/>
                <w:sz w:val="8"/>
                <w:szCs w:val="8"/>
                <w:color w:val="auto"/>
                <w:w w:val="92"/>
              </w:rPr>
              <w:t>(5)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25,260,056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3,145</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Common Stock, $0.001 par value per share</w:t>
            </w:r>
          </w:p>
        </w:tc>
        <w:tc>
          <w:tcPr>
            <w:tcW w:w="1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1,189,569</w:t>
            </w:r>
          </w:p>
        </w:tc>
        <w:tc>
          <w:tcPr>
            <w:tcW w:w="16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144,131,407</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17,944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Borders>
              <w:lef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320" w:type="dxa"/>
            <w:vAlign w:val="bottom"/>
            <w:tcBorders>
              <w:left w:val="single" w:sz="8" w:color="auto"/>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340" w:right="2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shall also cover any additional shares of the Registrant’s Common Stock that becomes issuable under the Registrant’s 2017 Equity Incentive Plan by reason of any stock dividend, stock split, recapitalization or other similar transaction effected without the receipt of consideration that increases the number of the Registrant’s outstanding shares of Common Stock.</w:t>
      </w:r>
    </w:p>
    <w:p>
      <w:pPr>
        <w:spacing w:after="0" w:line="23"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Equity Incentive Plan as of the date of this Registration Statement.</w:t>
      </w:r>
    </w:p>
    <w:p>
      <w:pPr>
        <w:spacing w:after="0" w:line="55"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28, 2018.</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Employee Stock Purchase Plan as of the date of this Registration Statement.</w:t>
      </w:r>
    </w:p>
    <w:p>
      <w:pPr>
        <w:spacing w:after="0" w:line="55" w:lineRule="exact"/>
        <w:rPr>
          <w:rFonts w:ascii="Arial" w:cs="Arial" w:eastAsia="Arial" w:hAnsi="Arial"/>
          <w:sz w:val="14"/>
          <w:szCs w:val="14"/>
          <w:color w:val="auto"/>
        </w:rPr>
      </w:pPr>
    </w:p>
    <w:p>
      <w:pPr>
        <w:jc w:val="both"/>
        <w:ind w:left="340" w:right="2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28, 2018. In the case of the 2017 Employee Stock Purchase Plan, this price per share is multiplied by 85%, which is the percentage of the price per share applicable to purchases under the 2017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2" w:name="page3"/>
    <w:bookmarkEnd w:id="2"/>
    <w:p>
      <w:pPr>
        <w:ind w:left="3860"/>
        <w:spacing w:after="0"/>
        <w:rPr>
          <w:sz w:val="20"/>
          <w:szCs w:val="20"/>
          <w:color w:val="auto"/>
        </w:rPr>
      </w:pPr>
      <w:r>
        <w:rPr>
          <w:rFonts w:ascii="Arial" w:cs="Arial" w:eastAsia="Arial" w:hAnsi="Arial"/>
          <w:sz w:val="18"/>
          <w:szCs w:val="18"/>
          <w:b w:val="1"/>
          <w:bCs w:val="1"/>
          <w:color w:val="auto"/>
        </w:rPr>
        <w:t>REGISTRATION OF ADDITIONAL SHARES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PURSUANT TO GENERAL INSTRUCTION 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Pursuant to General Instruction E of Form S-8, AnaptysBio, Inc. (the “Registrant”) is filing this Registration Statement with the Securities and Exchange Commission (the “Commission”) to register 951,656 additional shares of Common Stock under the Registrant’s 2017 Equity Incentive Plan (“EIP”), pursuant to the provisions of the EIP providing for an automatic increase in the number of shares reserved for issuance under the EIP, and 237,913 additional shares of Common Stock under the Registrant’s 2017 Employee Stock Purchase Plan (“ESPP”), pursuant to the provisions of the ESPP providing for an automatic increase in the number of shares reserved for issuance under the ESPP. This Registration Statement hereby incorporates by reference the contents of the Registrant’s registration statement on Form S-8 filed with the Commission on January 26, 2017 (Registration No. 333-215741).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364" w:right="299" w:bottom="1440" w:gutter="0" w:footer="0" w:header="0"/>
        </w:sectPr>
      </w:pPr>
    </w:p>
    <w:bookmarkStart w:id="3" w:name="page4"/>
    <w:bookmarkEnd w:id="3"/>
    <w:p>
      <w:pPr>
        <w:jc w:val="center"/>
        <w:ind w:left="11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w w:val="96"/>
              </w:rPr>
              <w:t>Incorporated by Reference</w:t>
            </w: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0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3740" w:type="dxa"/>
            <w:vAlign w:val="bottom"/>
            <w:gridSpan w:val="15"/>
          </w:tcPr>
          <w:p>
            <w:pPr>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7"/>
                <w:szCs w:val="17"/>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File No.</w:t>
            </w:r>
          </w:p>
        </w:tc>
        <w:tc>
          <w:tcPr>
            <w:tcW w:w="220" w:type="dxa"/>
            <w:vAlign w:val="bottom"/>
          </w:tcPr>
          <w:p>
            <w:pPr>
              <w:spacing w:after="0"/>
              <w:rPr>
                <w:sz w:val="17"/>
                <w:szCs w:val="17"/>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3740" w:type="dxa"/>
            <w:vAlign w:val="bottom"/>
            <w:gridSpan w:val="15"/>
          </w:tcPr>
          <w:p>
            <w:pPr>
              <w:spacing w:after="0"/>
              <w:rPr>
                <w:rFonts w:ascii="Arial" w:cs="Arial" w:eastAsia="Arial" w:hAnsi="Arial"/>
                <w:sz w:val="18"/>
                <w:szCs w:val="18"/>
                <w:color w:val="0000FF"/>
              </w:rPr>
            </w:pPr>
            <w:hyperlink r:id="rId15">
              <w:r>
                <w:rPr>
                  <w:rFonts w:ascii="Arial" w:cs="Arial" w:eastAsia="Arial" w:hAnsi="Arial"/>
                  <w:sz w:val="18"/>
                  <w:szCs w:val="18"/>
                  <w:color w:val="0000FF"/>
                </w:rPr>
                <w:t>Amended and Restated Certificate of</w:t>
              </w:r>
            </w:hyperlink>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12, 2017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Incorporation of the Registrant</w:t>
              </w:r>
            </w:hyperlink>
          </w:p>
        </w:tc>
        <w:tc>
          <w:tcPr>
            <w:tcW w:w="440" w:type="dxa"/>
            <w:vAlign w:val="bottom"/>
            <w:tcBorders>
              <w:top w:val="single" w:sz="8" w:color="0000FF"/>
            </w:tcBorders>
            <w:gridSpan w:val="2"/>
          </w:tcPr>
          <w:p>
            <w:pPr>
              <w:spacing w:after="0"/>
              <w:rPr>
                <w:sz w:val="17"/>
                <w:szCs w:val="17"/>
                <w:color w:val="auto"/>
              </w:rPr>
            </w:pPr>
          </w:p>
        </w:tc>
        <w:tc>
          <w:tcPr>
            <w:tcW w:w="10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3080" w:type="dxa"/>
            <w:vAlign w:val="bottom"/>
            <w:tcBorders>
              <w:bottom w:val="single" w:sz="8" w:color="0000FF"/>
            </w:tcBorders>
            <w:gridSpan w:val="10"/>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Form of Restated Bylaws of the Registrant</w:t>
              </w:r>
            </w:hyperlink>
          </w:p>
        </w:tc>
        <w:tc>
          <w:tcPr>
            <w:tcW w:w="660" w:type="dxa"/>
            <w:vAlign w:val="bottom"/>
            <w:gridSpan w:val="5"/>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Sep. 9, 2015</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3440" w:type="dxa"/>
            <w:vAlign w:val="bottom"/>
            <w:tcBorders>
              <w:bottom w:val="single" w:sz="8" w:color="0000FF"/>
            </w:tcBorders>
            <w:gridSpan w:val="14"/>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Form of Registrant’s Common Stock certificate</w:t>
              </w:r>
            </w:hyperlink>
          </w:p>
        </w:tc>
        <w:tc>
          <w:tcPr>
            <w:tcW w:w="30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Dec. 23, 2015</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4.4</w:t>
            </w:r>
          </w:p>
        </w:tc>
        <w:tc>
          <w:tcPr>
            <w:tcW w:w="3740" w:type="dxa"/>
            <w:vAlign w:val="bottom"/>
            <w:gridSpan w:val="15"/>
          </w:tcPr>
          <w:p>
            <w:pPr>
              <w:spacing w:after="0"/>
              <w:rPr>
                <w:rFonts w:ascii="Arial" w:cs="Arial" w:eastAsia="Arial" w:hAnsi="Arial"/>
                <w:sz w:val="18"/>
                <w:szCs w:val="18"/>
                <w:color w:val="0000FF"/>
                <w:w w:val="99"/>
              </w:rPr>
            </w:pPr>
            <w:hyperlink r:id="rId18">
              <w:r>
                <w:rPr>
                  <w:rFonts w:ascii="Arial" w:cs="Arial" w:eastAsia="Arial" w:hAnsi="Arial"/>
                  <w:sz w:val="18"/>
                  <w:szCs w:val="18"/>
                  <w:color w:val="0000FF"/>
                  <w:w w:val="99"/>
                </w:rPr>
                <w:t>2017 Equity Incentive Plan and forms of award</w:t>
              </w:r>
            </w:hyperlink>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 17, 2017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8">
              <w:r>
                <w:rPr>
                  <w:rFonts w:ascii="Arial" w:cs="Arial" w:eastAsia="Arial" w:hAnsi="Arial"/>
                  <w:sz w:val="18"/>
                  <w:szCs w:val="18"/>
                  <w:color w:val="0000FF"/>
                  <w:w w:val="84"/>
                </w:rPr>
                <w:t>agreements</w:t>
              </w:r>
            </w:hyperlink>
          </w:p>
        </w:tc>
        <w:tc>
          <w:tcPr>
            <w:tcW w:w="2580" w:type="dxa"/>
            <w:vAlign w:val="bottom"/>
            <w:tcBorders>
              <w:top w:val="single" w:sz="8" w:color="0000FF"/>
            </w:tcBorders>
            <w:gridSpan w:val="11"/>
          </w:tcPr>
          <w:p>
            <w:pPr>
              <w:spacing w:after="0"/>
              <w:rPr>
                <w:sz w:val="17"/>
                <w:szCs w:val="17"/>
                <w:color w:val="auto"/>
              </w:rPr>
            </w:pPr>
          </w:p>
        </w:tc>
        <w:tc>
          <w:tcPr>
            <w:tcW w:w="3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3420" w:type="dxa"/>
            <w:vAlign w:val="bottom"/>
            <w:tcBorders>
              <w:bottom w:val="single" w:sz="8" w:color="0000FF"/>
            </w:tcBorders>
            <w:gridSpan w:val="13"/>
          </w:tcPr>
          <w:p>
            <w:pPr>
              <w:spacing w:after="0"/>
              <w:rPr>
                <w:rFonts w:ascii="Arial" w:cs="Arial" w:eastAsia="Arial" w:hAnsi="Arial"/>
                <w:sz w:val="18"/>
                <w:szCs w:val="18"/>
                <w:color w:val="0000FF"/>
                <w:w w:val="88"/>
              </w:rPr>
            </w:pPr>
            <w:hyperlink r:id="rId19">
              <w:r>
                <w:rPr>
                  <w:rFonts w:ascii="Arial" w:cs="Arial" w:eastAsia="Arial" w:hAnsi="Arial"/>
                  <w:sz w:val="18"/>
                  <w:szCs w:val="18"/>
                  <w:color w:val="0000FF"/>
                  <w:w w:val="88"/>
                </w:rPr>
                <w:t>2017 Employee Stock Purchase Plan and forms</w:t>
              </w:r>
            </w:hyperlink>
          </w:p>
        </w:tc>
        <w:tc>
          <w:tcPr>
            <w:tcW w:w="3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50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19">
              <w:r>
                <w:rPr>
                  <w:rFonts w:ascii="Arial" w:cs="Arial" w:eastAsia="Arial" w:hAnsi="Arial"/>
                  <w:sz w:val="18"/>
                  <w:szCs w:val="18"/>
                  <w:color w:val="0000FF"/>
                  <w:w w:val="87"/>
                </w:rPr>
                <w:t>of award agreements</w:t>
              </w:r>
            </w:hyperlink>
          </w:p>
        </w:tc>
        <w:tc>
          <w:tcPr>
            <w:tcW w:w="2240" w:type="dxa"/>
            <w:vAlign w:val="bottom"/>
            <w:gridSpan w:val="11"/>
          </w:tcPr>
          <w:p>
            <w:pPr>
              <w:spacing w:after="0"/>
              <w:rPr>
                <w:sz w:val="17"/>
                <w:szCs w:val="17"/>
                <w:color w:val="auto"/>
              </w:rPr>
            </w:pPr>
          </w:p>
        </w:tc>
        <w:tc>
          <w:tcPr>
            <w:tcW w:w="920" w:type="dxa"/>
            <w:vAlign w:val="bottom"/>
            <w:gridSpan w:val="2"/>
          </w:tcPr>
          <w:p>
            <w:pPr>
              <w:jc w:val="center"/>
              <w:ind w:right="240"/>
              <w:spacing w:after="0" w:line="196" w:lineRule="exact"/>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18"/>
                <w:szCs w:val="18"/>
                <w:color w:val="auto"/>
                <w:w w:val="87"/>
              </w:rPr>
              <w:t>Jan. 17, 2017</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5.1</w:t>
            </w:r>
          </w:p>
        </w:tc>
        <w:tc>
          <w:tcPr>
            <w:tcW w:w="24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4"/>
              </w:rPr>
              <w:t>Opinion of Fenwick &amp; West LLP</w:t>
            </w:r>
          </w:p>
        </w:tc>
        <w:tc>
          <w:tcPr>
            <w:tcW w:w="134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3740" w:type="dxa"/>
            <w:vAlign w:val="bottom"/>
            <w:gridSpan w:val="15"/>
          </w:tcPr>
          <w:p>
            <w:pPr>
              <w:spacing w:after="0"/>
              <w:rPr>
                <w:sz w:val="20"/>
                <w:szCs w:val="20"/>
                <w:color w:val="auto"/>
              </w:rPr>
            </w:pPr>
            <w:r>
              <w:rPr>
                <w:rFonts w:ascii="Arial" w:cs="Arial" w:eastAsia="Arial" w:hAnsi="Arial"/>
                <w:sz w:val="18"/>
                <w:szCs w:val="18"/>
                <w:color w:val="0000FF"/>
              </w:rPr>
              <w:t>Consent of Fenwick &amp; West LLP (contained in</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6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3"/>
              </w:rPr>
              <w:t>Exhibit 5.1)</w:t>
            </w:r>
          </w:p>
        </w:tc>
        <w:tc>
          <w:tcPr>
            <w:tcW w:w="2520" w:type="dxa"/>
            <w:vAlign w:val="bottom"/>
            <w:tcBorders>
              <w:top w:val="single" w:sz="8" w:color="0000FF"/>
            </w:tcBorders>
            <w:gridSpan w:val="9"/>
          </w:tcPr>
          <w:p>
            <w:pPr>
              <w:spacing w:after="0"/>
              <w:rPr>
                <w:sz w:val="17"/>
                <w:szCs w:val="17"/>
                <w:color w:val="auto"/>
              </w:rPr>
            </w:pPr>
          </w:p>
        </w:tc>
        <w:tc>
          <w:tcPr>
            <w:tcW w:w="3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3740" w:type="dxa"/>
            <w:vAlign w:val="bottom"/>
            <w:gridSpan w:val="15"/>
          </w:tcPr>
          <w:p>
            <w:pPr>
              <w:spacing w:after="0"/>
              <w:rPr>
                <w:sz w:val="20"/>
                <w:szCs w:val="20"/>
                <w:color w:val="auto"/>
              </w:rPr>
            </w:pPr>
            <w:r>
              <w:rPr>
                <w:rFonts w:ascii="Arial" w:cs="Arial" w:eastAsia="Arial" w:hAnsi="Arial"/>
                <w:sz w:val="18"/>
                <w:szCs w:val="18"/>
                <w:color w:val="0000FF"/>
              </w:rPr>
              <w:t>Consent of KPMG, independent registered</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3"/>
              </w:rPr>
              <w:t>public accounting firm</w:t>
            </w:r>
          </w:p>
        </w:tc>
        <w:tc>
          <w:tcPr>
            <w:tcW w:w="1420" w:type="dxa"/>
            <w:vAlign w:val="bottom"/>
            <w:tcBorders>
              <w:top w:val="single" w:sz="8" w:color="0000FF"/>
            </w:tcBorders>
            <w:gridSpan w:val="4"/>
          </w:tcPr>
          <w:p>
            <w:pPr>
              <w:spacing w:after="0"/>
              <w:rPr>
                <w:sz w:val="17"/>
                <w:szCs w:val="17"/>
                <w:color w:val="auto"/>
              </w:rPr>
            </w:pPr>
          </w:p>
        </w:tc>
        <w:tc>
          <w:tcPr>
            <w:tcW w:w="6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Power of Attorney</w:t>
              </w:r>
            </w:hyperlink>
          </w:p>
        </w:tc>
        <w:tc>
          <w:tcPr>
            <w:tcW w:w="240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300" w:space="380"/>
            <w:col w:w="580"/>
          </w:cols>
          <w:pgMar w:left="240" w:top="364"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this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March, 2018.</w:t>
      </w:r>
    </w:p>
    <w:p>
      <w:pPr>
        <w:spacing w:after="0" w:line="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AnaptysBio, Inc.</w:t>
      </w:r>
    </w:p>
    <w:p>
      <w:pPr>
        <w:spacing w:after="0" w:line="33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844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4455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Hamza Suria</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officers and directors of AnaptysBio, Inc., a Delaware corporation, do</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constitute and appoint Hamza Suria and Dominic G. Piscitelli, and each of them, the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w:t>
      </w:r>
    </w:p>
    <w:p>
      <w:pPr>
        <w:spacing w:after="0" w:line="16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6"/>
                <w:szCs w:val="16"/>
                <w:color w:val="auto"/>
              </w:rPr>
            </w:pPr>
          </w:p>
        </w:tc>
        <w:tc>
          <w:tcPr>
            <w:tcW w:w="17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w:t>
            </w:r>
          </w:p>
        </w:tc>
      </w:tr>
      <w:tr>
        <w:trPr>
          <w:trHeight w:val="418"/>
        </w:trPr>
        <w:tc>
          <w:tcPr>
            <w:tcW w:w="4120" w:type="dxa"/>
            <w:vAlign w:val="bottom"/>
          </w:tcPr>
          <w:p>
            <w:pPr>
              <w:jc w:val="center"/>
              <w:spacing w:after="0"/>
              <w:rPr>
                <w:sz w:val="20"/>
                <w:szCs w:val="20"/>
                <w:color w:val="auto"/>
              </w:rPr>
            </w:pPr>
            <w:r>
              <w:rPr>
                <w:rFonts w:ascii="Arial" w:cs="Arial" w:eastAsia="Arial" w:hAnsi="Arial"/>
                <w:sz w:val="18"/>
                <w:szCs w:val="18"/>
                <w:color w:val="auto"/>
                <w:w w:val="88"/>
              </w:rPr>
              <w:t>/s/ Hamza Suria</w:t>
            </w:r>
          </w:p>
        </w:tc>
        <w:tc>
          <w:tcPr>
            <w:tcW w:w="360" w:type="dxa"/>
            <w:vAlign w:val="bottom"/>
          </w:tcPr>
          <w:p>
            <w:pPr>
              <w:spacing w:after="0"/>
              <w:rPr>
                <w:sz w:val="24"/>
                <w:szCs w:val="24"/>
                <w:color w:val="auto"/>
              </w:rPr>
            </w:pPr>
          </w:p>
        </w:tc>
        <w:tc>
          <w:tcPr>
            <w:tcW w:w="5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President, Chief Executive Officer and Director</w:t>
            </w:r>
          </w:p>
        </w:tc>
        <w:tc>
          <w:tcPr>
            <w:tcW w:w="1700" w:type="dxa"/>
            <w:vAlign w:val="bottom"/>
          </w:tcPr>
          <w:p>
            <w:pPr>
              <w:spacing w:after="0"/>
              <w:rPr>
                <w:sz w:val="24"/>
                <w:szCs w:val="24"/>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120" w:type="dxa"/>
            <w:vAlign w:val="bottom"/>
          </w:tcPr>
          <w:p>
            <w:pPr>
              <w:jc w:val="center"/>
              <w:spacing w:after="0"/>
              <w:rPr>
                <w:sz w:val="20"/>
                <w:szCs w:val="20"/>
                <w:color w:val="auto"/>
              </w:rPr>
            </w:pPr>
            <w:r>
              <w:rPr>
                <w:rFonts w:ascii="Arial" w:cs="Arial" w:eastAsia="Arial" w:hAnsi="Arial"/>
                <w:sz w:val="18"/>
                <w:szCs w:val="18"/>
                <w:color w:val="auto"/>
                <w:w w:val="90"/>
              </w:rPr>
              <w:t>Hamza Suria</w:t>
            </w:r>
          </w:p>
        </w:tc>
        <w:tc>
          <w:tcPr>
            <w:tcW w:w="360" w:type="dxa"/>
            <w:vAlign w:val="bottom"/>
          </w:tcPr>
          <w:p>
            <w:pPr>
              <w:spacing w:after="0"/>
              <w:rPr>
                <w:sz w:val="20"/>
                <w:szCs w:val="20"/>
                <w:color w:val="auto"/>
              </w:rPr>
            </w:pPr>
          </w:p>
        </w:tc>
        <w:tc>
          <w:tcPr>
            <w:tcW w:w="52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(Principal Executive Officer)</w:t>
            </w:r>
          </w:p>
        </w:tc>
        <w:tc>
          <w:tcPr>
            <w:tcW w:w="1700" w:type="dxa"/>
            <w:vAlign w:val="bottom"/>
          </w:tcPr>
          <w:p>
            <w:pPr>
              <w:ind w:left="620"/>
              <w:spacing w:after="0"/>
              <w:rPr>
                <w:sz w:val="20"/>
                <w:szCs w:val="20"/>
                <w:color w:val="auto"/>
              </w:rPr>
            </w:pPr>
            <w:r>
              <w:rPr>
                <w:rFonts w:ascii="Arial" w:cs="Arial" w:eastAsia="Arial" w:hAnsi="Arial"/>
                <w:sz w:val="18"/>
                <w:szCs w:val="18"/>
                <w:color w:val="auto"/>
                <w:w w:val="92"/>
              </w:rPr>
              <w:t>March 5, 2018</w:t>
            </w:r>
          </w:p>
        </w:tc>
      </w:tr>
      <w:tr>
        <w:trPr>
          <w:trHeight w:val="473"/>
        </w:trPr>
        <w:tc>
          <w:tcPr>
            <w:tcW w:w="4120" w:type="dxa"/>
            <w:vAlign w:val="bottom"/>
          </w:tcPr>
          <w:p>
            <w:pPr>
              <w:jc w:val="center"/>
              <w:spacing w:after="0"/>
              <w:rPr>
                <w:sz w:val="20"/>
                <w:szCs w:val="20"/>
                <w:color w:val="auto"/>
              </w:rPr>
            </w:pPr>
            <w:r>
              <w:rPr>
                <w:rFonts w:ascii="Arial" w:cs="Arial" w:eastAsia="Arial" w:hAnsi="Arial"/>
                <w:sz w:val="18"/>
                <w:szCs w:val="18"/>
                <w:color w:val="auto"/>
                <w:w w:val="95"/>
              </w:rPr>
              <w:t>/s/ Dominic G. Piscitelli</w:t>
            </w:r>
          </w:p>
        </w:tc>
        <w:tc>
          <w:tcPr>
            <w:tcW w:w="360" w:type="dxa"/>
            <w:vAlign w:val="bottom"/>
          </w:tcPr>
          <w:p>
            <w:pPr>
              <w:spacing w:after="0"/>
              <w:rPr>
                <w:sz w:val="24"/>
                <w:szCs w:val="24"/>
                <w:color w:val="auto"/>
              </w:rPr>
            </w:pPr>
          </w:p>
        </w:tc>
        <w:tc>
          <w:tcPr>
            <w:tcW w:w="52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Chief Financial Officer</w:t>
            </w:r>
          </w:p>
        </w:tc>
        <w:tc>
          <w:tcPr>
            <w:tcW w:w="1700" w:type="dxa"/>
            <w:vAlign w:val="bottom"/>
          </w:tcPr>
          <w:p>
            <w:pPr>
              <w:spacing w:after="0"/>
              <w:rPr>
                <w:sz w:val="24"/>
                <w:szCs w:val="24"/>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120" w:type="dxa"/>
            <w:vAlign w:val="bottom"/>
          </w:tcPr>
          <w:p>
            <w:pPr>
              <w:jc w:val="center"/>
              <w:spacing w:after="0"/>
              <w:rPr>
                <w:sz w:val="20"/>
                <w:szCs w:val="20"/>
                <w:color w:val="auto"/>
              </w:rPr>
            </w:pPr>
            <w:r>
              <w:rPr>
                <w:rFonts w:ascii="Arial" w:cs="Arial" w:eastAsia="Arial" w:hAnsi="Arial"/>
                <w:sz w:val="18"/>
                <w:szCs w:val="18"/>
                <w:color w:val="auto"/>
                <w:w w:val="96"/>
              </w:rPr>
              <w:t>Dominic G. Piscitelli</w:t>
            </w:r>
          </w:p>
        </w:tc>
        <w:tc>
          <w:tcPr>
            <w:tcW w:w="360" w:type="dxa"/>
            <w:vAlign w:val="bottom"/>
          </w:tcPr>
          <w:p>
            <w:pPr>
              <w:spacing w:after="0"/>
              <w:rPr>
                <w:sz w:val="20"/>
                <w:szCs w:val="20"/>
                <w:color w:val="auto"/>
              </w:rPr>
            </w:pPr>
          </w:p>
        </w:tc>
        <w:tc>
          <w:tcPr>
            <w:tcW w:w="52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(Principal Accounting and Financial Officer)</w:t>
            </w:r>
          </w:p>
        </w:tc>
        <w:tc>
          <w:tcPr>
            <w:tcW w:w="1700" w:type="dxa"/>
            <w:vAlign w:val="bottom"/>
          </w:tcPr>
          <w:p>
            <w:pPr>
              <w:ind w:left="620"/>
              <w:spacing w:after="0"/>
              <w:rPr>
                <w:sz w:val="20"/>
                <w:szCs w:val="20"/>
                <w:color w:val="auto"/>
              </w:rPr>
            </w:pPr>
            <w:r>
              <w:rPr>
                <w:rFonts w:ascii="Arial" w:cs="Arial" w:eastAsia="Arial" w:hAnsi="Arial"/>
                <w:sz w:val="18"/>
                <w:szCs w:val="18"/>
                <w:color w:val="auto"/>
                <w:w w:val="92"/>
              </w:rPr>
              <w:t>March 5, 2018</w:t>
            </w:r>
          </w:p>
        </w:tc>
      </w:tr>
      <w:tr>
        <w:trPr>
          <w:trHeight w:val="473"/>
        </w:trPr>
        <w:tc>
          <w:tcPr>
            <w:tcW w:w="4120" w:type="dxa"/>
            <w:vAlign w:val="bottom"/>
          </w:tcPr>
          <w:p>
            <w:pPr>
              <w:jc w:val="center"/>
              <w:spacing w:after="0"/>
              <w:rPr>
                <w:sz w:val="20"/>
                <w:szCs w:val="20"/>
                <w:color w:val="auto"/>
              </w:rPr>
            </w:pPr>
            <w:r>
              <w:rPr>
                <w:rFonts w:ascii="Arial" w:cs="Arial" w:eastAsia="Arial" w:hAnsi="Arial"/>
                <w:sz w:val="18"/>
                <w:szCs w:val="18"/>
                <w:color w:val="auto"/>
                <w:w w:val="90"/>
              </w:rPr>
              <w:t>/s/ Carol G. Gallagher</w:t>
            </w:r>
          </w:p>
        </w:tc>
        <w:tc>
          <w:tcPr>
            <w:tcW w:w="360" w:type="dxa"/>
            <w:vAlign w:val="bottom"/>
          </w:tcPr>
          <w:p>
            <w:pPr>
              <w:spacing w:after="0"/>
              <w:rPr>
                <w:sz w:val="24"/>
                <w:szCs w:val="24"/>
                <w:color w:val="auto"/>
              </w:rPr>
            </w:pPr>
          </w:p>
        </w:tc>
        <w:tc>
          <w:tcPr>
            <w:tcW w:w="52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620"/>
              <w:spacing w:after="0"/>
              <w:rPr>
                <w:sz w:val="20"/>
                <w:szCs w:val="20"/>
                <w:color w:val="auto"/>
              </w:rPr>
            </w:pPr>
            <w:r>
              <w:rPr>
                <w:rFonts w:ascii="Arial" w:cs="Arial" w:eastAsia="Arial" w:hAnsi="Arial"/>
                <w:sz w:val="18"/>
                <w:szCs w:val="18"/>
                <w:color w:val="auto"/>
                <w:w w:val="92"/>
              </w:rPr>
              <w:t>March 5, 2018</w:t>
            </w:r>
          </w:p>
        </w:tc>
      </w:tr>
      <w:tr>
        <w:trPr>
          <w:trHeight w:val="27"/>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120" w:type="dxa"/>
            <w:vAlign w:val="bottom"/>
          </w:tcPr>
          <w:p>
            <w:pPr>
              <w:jc w:val="center"/>
              <w:spacing w:after="0"/>
              <w:rPr>
                <w:sz w:val="20"/>
                <w:szCs w:val="20"/>
                <w:color w:val="auto"/>
              </w:rPr>
            </w:pPr>
            <w:r>
              <w:rPr>
                <w:rFonts w:ascii="Arial" w:cs="Arial" w:eastAsia="Arial" w:hAnsi="Arial"/>
                <w:sz w:val="18"/>
                <w:szCs w:val="18"/>
                <w:color w:val="auto"/>
                <w:w w:val="90"/>
              </w:rPr>
              <w:t>Carol G. Gallagher, Pharm.D.</w:t>
            </w: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0"/>
        </w:trPr>
        <w:tc>
          <w:tcPr>
            <w:tcW w:w="4120" w:type="dxa"/>
            <w:vAlign w:val="bottom"/>
          </w:tcPr>
          <w:p>
            <w:pPr>
              <w:jc w:val="center"/>
              <w:spacing w:after="0"/>
              <w:rPr>
                <w:sz w:val="20"/>
                <w:szCs w:val="20"/>
                <w:color w:val="auto"/>
              </w:rPr>
            </w:pPr>
            <w:r>
              <w:rPr>
                <w:rFonts w:ascii="Arial" w:cs="Arial" w:eastAsia="Arial" w:hAnsi="Arial"/>
                <w:sz w:val="18"/>
                <w:szCs w:val="18"/>
                <w:color w:val="auto"/>
                <w:w w:val="93"/>
              </w:rPr>
              <w:t>/s/ Nicholas B. Lydon</w:t>
            </w:r>
          </w:p>
        </w:tc>
        <w:tc>
          <w:tcPr>
            <w:tcW w:w="360" w:type="dxa"/>
            <w:vAlign w:val="bottom"/>
          </w:tcPr>
          <w:p>
            <w:pPr>
              <w:spacing w:after="0"/>
              <w:rPr>
                <w:sz w:val="23"/>
                <w:szCs w:val="23"/>
                <w:color w:val="auto"/>
              </w:rPr>
            </w:pPr>
          </w:p>
        </w:tc>
        <w:tc>
          <w:tcPr>
            <w:tcW w:w="52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620"/>
              <w:spacing w:after="0"/>
              <w:rPr>
                <w:sz w:val="20"/>
                <w:szCs w:val="20"/>
                <w:color w:val="auto"/>
              </w:rPr>
            </w:pPr>
            <w:r>
              <w:rPr>
                <w:rFonts w:ascii="Arial" w:cs="Arial" w:eastAsia="Arial" w:hAnsi="Arial"/>
                <w:sz w:val="18"/>
                <w:szCs w:val="18"/>
                <w:color w:val="auto"/>
                <w:w w:val="92"/>
              </w:rPr>
              <w:t>March 5, 2018</w:t>
            </w:r>
          </w:p>
        </w:tc>
      </w:tr>
      <w:tr>
        <w:trPr>
          <w:trHeight w:val="27"/>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120" w:type="dxa"/>
            <w:vAlign w:val="bottom"/>
          </w:tcPr>
          <w:p>
            <w:pPr>
              <w:jc w:val="center"/>
              <w:spacing w:after="0"/>
              <w:rPr>
                <w:sz w:val="20"/>
                <w:szCs w:val="20"/>
                <w:color w:val="auto"/>
              </w:rPr>
            </w:pPr>
            <w:r>
              <w:rPr>
                <w:rFonts w:ascii="Arial" w:cs="Arial" w:eastAsia="Arial" w:hAnsi="Arial"/>
                <w:sz w:val="18"/>
                <w:szCs w:val="18"/>
                <w:color w:val="auto"/>
                <w:w w:val="91"/>
              </w:rPr>
              <w:t>Nicholas B. Lydon, Ph.D., FRS</w:t>
            </w: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0"/>
        </w:trPr>
        <w:tc>
          <w:tcPr>
            <w:tcW w:w="4120" w:type="dxa"/>
            <w:vAlign w:val="bottom"/>
          </w:tcPr>
          <w:p>
            <w:pPr>
              <w:jc w:val="center"/>
              <w:spacing w:after="0"/>
              <w:rPr>
                <w:sz w:val="20"/>
                <w:szCs w:val="20"/>
                <w:color w:val="auto"/>
              </w:rPr>
            </w:pPr>
            <w:r>
              <w:rPr>
                <w:rFonts w:ascii="Arial" w:cs="Arial" w:eastAsia="Arial" w:hAnsi="Arial"/>
                <w:sz w:val="18"/>
                <w:szCs w:val="18"/>
                <w:color w:val="auto"/>
                <w:w w:val="92"/>
              </w:rPr>
              <w:t>/s/ Hollings Renton</w:t>
            </w:r>
          </w:p>
        </w:tc>
        <w:tc>
          <w:tcPr>
            <w:tcW w:w="360" w:type="dxa"/>
            <w:vAlign w:val="bottom"/>
          </w:tcPr>
          <w:p>
            <w:pPr>
              <w:spacing w:after="0"/>
              <w:rPr>
                <w:sz w:val="23"/>
                <w:szCs w:val="23"/>
                <w:color w:val="auto"/>
              </w:rPr>
            </w:pPr>
          </w:p>
        </w:tc>
        <w:tc>
          <w:tcPr>
            <w:tcW w:w="52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620"/>
              <w:spacing w:after="0"/>
              <w:rPr>
                <w:sz w:val="20"/>
                <w:szCs w:val="20"/>
                <w:color w:val="auto"/>
              </w:rPr>
            </w:pPr>
            <w:r>
              <w:rPr>
                <w:rFonts w:ascii="Arial" w:cs="Arial" w:eastAsia="Arial" w:hAnsi="Arial"/>
                <w:sz w:val="18"/>
                <w:szCs w:val="18"/>
                <w:color w:val="auto"/>
                <w:w w:val="92"/>
              </w:rPr>
              <w:t>March 5, 2018</w:t>
            </w:r>
          </w:p>
        </w:tc>
      </w:tr>
      <w:tr>
        <w:trPr>
          <w:trHeight w:val="27"/>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120" w:type="dxa"/>
            <w:vAlign w:val="bottom"/>
          </w:tcPr>
          <w:p>
            <w:pPr>
              <w:jc w:val="center"/>
              <w:spacing w:after="0"/>
              <w:rPr>
                <w:sz w:val="20"/>
                <w:szCs w:val="20"/>
                <w:color w:val="auto"/>
              </w:rPr>
            </w:pPr>
            <w:r>
              <w:rPr>
                <w:rFonts w:ascii="Arial" w:cs="Arial" w:eastAsia="Arial" w:hAnsi="Arial"/>
                <w:sz w:val="18"/>
                <w:szCs w:val="18"/>
                <w:color w:val="auto"/>
                <w:w w:val="92"/>
              </w:rPr>
              <w:t>Hollings Renton</w:t>
            </w: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0"/>
        </w:trPr>
        <w:tc>
          <w:tcPr>
            <w:tcW w:w="4120" w:type="dxa"/>
            <w:vAlign w:val="bottom"/>
          </w:tcPr>
          <w:p>
            <w:pPr>
              <w:jc w:val="center"/>
              <w:spacing w:after="0"/>
              <w:rPr>
                <w:sz w:val="20"/>
                <w:szCs w:val="20"/>
                <w:color w:val="auto"/>
              </w:rPr>
            </w:pPr>
            <w:r>
              <w:rPr>
                <w:rFonts w:ascii="Arial" w:cs="Arial" w:eastAsia="Arial" w:hAnsi="Arial"/>
                <w:sz w:val="18"/>
                <w:szCs w:val="18"/>
                <w:color w:val="auto"/>
                <w:w w:val="88"/>
              </w:rPr>
              <w:t>/s/ John Schmid</w:t>
            </w:r>
          </w:p>
        </w:tc>
        <w:tc>
          <w:tcPr>
            <w:tcW w:w="360" w:type="dxa"/>
            <w:vAlign w:val="bottom"/>
          </w:tcPr>
          <w:p>
            <w:pPr>
              <w:spacing w:after="0"/>
              <w:rPr>
                <w:sz w:val="23"/>
                <w:szCs w:val="23"/>
                <w:color w:val="auto"/>
              </w:rPr>
            </w:pPr>
          </w:p>
        </w:tc>
        <w:tc>
          <w:tcPr>
            <w:tcW w:w="52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620"/>
              <w:spacing w:after="0"/>
              <w:rPr>
                <w:sz w:val="20"/>
                <w:szCs w:val="20"/>
                <w:color w:val="auto"/>
              </w:rPr>
            </w:pPr>
            <w:r>
              <w:rPr>
                <w:rFonts w:ascii="Arial" w:cs="Arial" w:eastAsia="Arial" w:hAnsi="Arial"/>
                <w:sz w:val="18"/>
                <w:szCs w:val="18"/>
                <w:color w:val="auto"/>
                <w:w w:val="92"/>
              </w:rPr>
              <w:t>March 5, 2018</w:t>
            </w:r>
          </w:p>
        </w:tc>
      </w:tr>
      <w:tr>
        <w:trPr>
          <w:trHeight w:val="27"/>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120" w:type="dxa"/>
            <w:vAlign w:val="bottom"/>
          </w:tcPr>
          <w:p>
            <w:pPr>
              <w:jc w:val="center"/>
              <w:spacing w:after="0"/>
              <w:rPr>
                <w:sz w:val="20"/>
                <w:szCs w:val="20"/>
                <w:color w:val="auto"/>
              </w:rPr>
            </w:pPr>
            <w:r>
              <w:rPr>
                <w:rFonts w:ascii="Arial" w:cs="Arial" w:eastAsia="Arial" w:hAnsi="Arial"/>
                <w:sz w:val="18"/>
                <w:szCs w:val="18"/>
                <w:color w:val="auto"/>
                <w:w w:val="90"/>
              </w:rPr>
              <w:t>John Schmid</w:t>
            </w: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0"/>
        </w:trPr>
        <w:tc>
          <w:tcPr>
            <w:tcW w:w="4120" w:type="dxa"/>
            <w:vAlign w:val="bottom"/>
          </w:tcPr>
          <w:p>
            <w:pPr>
              <w:jc w:val="center"/>
              <w:spacing w:after="0"/>
              <w:rPr>
                <w:sz w:val="20"/>
                <w:szCs w:val="20"/>
                <w:color w:val="auto"/>
              </w:rPr>
            </w:pPr>
            <w:r>
              <w:rPr>
                <w:rFonts w:ascii="Arial" w:cs="Arial" w:eastAsia="Arial" w:hAnsi="Arial"/>
                <w:sz w:val="18"/>
                <w:szCs w:val="18"/>
                <w:color w:val="auto"/>
                <w:w w:val="88"/>
              </w:rPr>
              <w:t>/s/ James A. Schoeneck</w:t>
            </w:r>
          </w:p>
        </w:tc>
        <w:tc>
          <w:tcPr>
            <w:tcW w:w="360" w:type="dxa"/>
            <w:vAlign w:val="bottom"/>
          </w:tcPr>
          <w:p>
            <w:pPr>
              <w:spacing w:after="0"/>
              <w:rPr>
                <w:sz w:val="23"/>
                <w:szCs w:val="23"/>
                <w:color w:val="auto"/>
              </w:rPr>
            </w:pPr>
          </w:p>
        </w:tc>
        <w:tc>
          <w:tcPr>
            <w:tcW w:w="52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620"/>
              <w:spacing w:after="0"/>
              <w:rPr>
                <w:sz w:val="20"/>
                <w:szCs w:val="20"/>
                <w:color w:val="auto"/>
              </w:rPr>
            </w:pPr>
            <w:r>
              <w:rPr>
                <w:rFonts w:ascii="Arial" w:cs="Arial" w:eastAsia="Arial" w:hAnsi="Arial"/>
                <w:sz w:val="18"/>
                <w:szCs w:val="18"/>
                <w:color w:val="auto"/>
                <w:w w:val="92"/>
              </w:rPr>
              <w:t>March 5, 2018</w:t>
            </w:r>
          </w:p>
        </w:tc>
      </w:tr>
      <w:tr>
        <w:trPr>
          <w:trHeight w:val="27"/>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120" w:type="dxa"/>
            <w:vAlign w:val="bottom"/>
          </w:tcPr>
          <w:p>
            <w:pPr>
              <w:jc w:val="center"/>
              <w:spacing w:after="0"/>
              <w:rPr>
                <w:sz w:val="20"/>
                <w:szCs w:val="20"/>
                <w:color w:val="auto"/>
              </w:rPr>
            </w:pPr>
            <w:r>
              <w:rPr>
                <w:rFonts w:ascii="Arial" w:cs="Arial" w:eastAsia="Arial" w:hAnsi="Arial"/>
                <w:sz w:val="18"/>
                <w:szCs w:val="18"/>
                <w:color w:val="auto"/>
                <w:w w:val="87"/>
              </w:rPr>
              <w:t>James A. Schoeneck</w:t>
            </w: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0"/>
        </w:trPr>
        <w:tc>
          <w:tcPr>
            <w:tcW w:w="4120" w:type="dxa"/>
            <w:vAlign w:val="bottom"/>
          </w:tcPr>
          <w:p>
            <w:pPr>
              <w:jc w:val="center"/>
              <w:spacing w:after="0"/>
              <w:rPr>
                <w:sz w:val="20"/>
                <w:szCs w:val="20"/>
                <w:color w:val="auto"/>
              </w:rPr>
            </w:pPr>
            <w:r>
              <w:rPr>
                <w:rFonts w:ascii="Arial" w:cs="Arial" w:eastAsia="Arial" w:hAnsi="Arial"/>
                <w:sz w:val="18"/>
                <w:szCs w:val="18"/>
                <w:color w:val="auto"/>
                <w:w w:val="87"/>
              </w:rPr>
              <w:t>/s/ James N. Topper</w:t>
            </w:r>
          </w:p>
        </w:tc>
        <w:tc>
          <w:tcPr>
            <w:tcW w:w="360" w:type="dxa"/>
            <w:vAlign w:val="bottom"/>
          </w:tcPr>
          <w:p>
            <w:pPr>
              <w:spacing w:after="0"/>
              <w:rPr>
                <w:sz w:val="23"/>
                <w:szCs w:val="23"/>
                <w:color w:val="auto"/>
              </w:rPr>
            </w:pPr>
          </w:p>
        </w:tc>
        <w:tc>
          <w:tcPr>
            <w:tcW w:w="52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620"/>
              <w:spacing w:after="0"/>
              <w:rPr>
                <w:sz w:val="20"/>
                <w:szCs w:val="20"/>
                <w:color w:val="auto"/>
              </w:rPr>
            </w:pPr>
            <w:r>
              <w:rPr>
                <w:rFonts w:ascii="Arial" w:cs="Arial" w:eastAsia="Arial" w:hAnsi="Arial"/>
                <w:sz w:val="18"/>
                <w:szCs w:val="18"/>
                <w:color w:val="auto"/>
                <w:w w:val="92"/>
              </w:rPr>
              <w:t>March 5, 2018</w:t>
            </w:r>
          </w:p>
        </w:tc>
      </w:tr>
      <w:tr>
        <w:trPr>
          <w:trHeight w:val="27"/>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120" w:type="dxa"/>
            <w:vAlign w:val="bottom"/>
          </w:tcPr>
          <w:p>
            <w:pPr>
              <w:jc w:val="center"/>
              <w:spacing w:after="0"/>
              <w:rPr>
                <w:sz w:val="20"/>
                <w:szCs w:val="20"/>
                <w:color w:val="auto"/>
              </w:rPr>
            </w:pPr>
            <w:r>
              <w:rPr>
                <w:rFonts w:ascii="Arial" w:cs="Arial" w:eastAsia="Arial" w:hAnsi="Arial"/>
                <w:sz w:val="18"/>
                <w:szCs w:val="18"/>
                <w:color w:val="auto"/>
                <w:w w:val="90"/>
              </w:rPr>
              <w:t>James N. Topper, M.D., Ph.D.</w:t>
            </w: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0"/>
        </w:trPr>
        <w:tc>
          <w:tcPr>
            <w:tcW w:w="4120" w:type="dxa"/>
            <w:vAlign w:val="bottom"/>
          </w:tcPr>
          <w:p>
            <w:pPr>
              <w:jc w:val="center"/>
              <w:spacing w:after="0"/>
              <w:rPr>
                <w:sz w:val="20"/>
                <w:szCs w:val="20"/>
                <w:color w:val="auto"/>
              </w:rPr>
            </w:pPr>
            <w:r>
              <w:rPr>
                <w:rFonts w:ascii="Arial" w:cs="Arial" w:eastAsia="Arial" w:hAnsi="Arial"/>
                <w:sz w:val="18"/>
                <w:szCs w:val="18"/>
                <w:color w:val="auto"/>
                <w:w w:val="90"/>
              </w:rPr>
              <w:t>/s/ J. Anthony Ware</w:t>
            </w:r>
          </w:p>
        </w:tc>
        <w:tc>
          <w:tcPr>
            <w:tcW w:w="360" w:type="dxa"/>
            <w:vAlign w:val="bottom"/>
          </w:tcPr>
          <w:p>
            <w:pPr>
              <w:spacing w:after="0"/>
              <w:rPr>
                <w:sz w:val="23"/>
                <w:szCs w:val="23"/>
                <w:color w:val="auto"/>
              </w:rPr>
            </w:pPr>
          </w:p>
        </w:tc>
        <w:tc>
          <w:tcPr>
            <w:tcW w:w="52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620"/>
              <w:spacing w:after="0"/>
              <w:rPr>
                <w:sz w:val="20"/>
                <w:szCs w:val="20"/>
                <w:color w:val="auto"/>
              </w:rPr>
            </w:pPr>
            <w:r>
              <w:rPr>
                <w:rFonts w:ascii="Arial" w:cs="Arial" w:eastAsia="Arial" w:hAnsi="Arial"/>
                <w:sz w:val="18"/>
                <w:szCs w:val="18"/>
                <w:color w:val="auto"/>
                <w:w w:val="92"/>
              </w:rPr>
              <w:t>March 5, 2018</w:t>
            </w:r>
          </w:p>
        </w:tc>
      </w:tr>
      <w:tr>
        <w:trPr>
          <w:trHeight w:val="27"/>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12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ectPr>
          <w:pgSz w:w="11900" w:h="16838" w:orient="portrait"/>
          <w:cols w:equalWidth="0" w:num="1">
            <w:col w:w="11420"/>
          </w:cols>
          <w:pgMar w:left="240" w:top="364"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243205</wp:posOffset>
            </wp:positionV>
            <wp:extent cx="2898775"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898775" cy="909320"/>
                    </a:xfrm>
                    <a:prstGeom prst="rect">
                      <a:avLst/>
                    </a:prstGeom>
                    <a:noFill/>
                  </pic:spPr>
                </pic:pic>
              </a:graphicData>
            </a:graphic>
          </wp:anchor>
        </w:drawing>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5.01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counsel to AnaptysBio,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have examined the Registration Statement on Form S-8 to be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or about March 5, 2018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an aggregate of 1,189,569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subject to issuance by the Company (a) upon the exercise or settlement of awards (including any stock option, restricted stock, stock bonus, stock appreciation right, restricted stock unit or award of performance shares) granted or to be granted under the 2017 Equity Incentive Plan (the “</w:t>
      </w:r>
      <w:r>
        <w:rPr>
          <w:rFonts w:ascii="Arial" w:cs="Arial" w:eastAsia="Arial" w:hAnsi="Arial"/>
          <w:sz w:val="16"/>
          <w:szCs w:val="16"/>
          <w:b w:val="1"/>
          <w:bCs w:val="1"/>
          <w:i w:val="1"/>
          <w:iCs w:val="1"/>
          <w:color w:val="auto"/>
        </w:rPr>
        <w:t>EIP</w:t>
      </w:r>
      <w:r>
        <w:rPr>
          <w:rFonts w:ascii="Arial" w:cs="Arial" w:eastAsia="Arial" w:hAnsi="Arial"/>
          <w:sz w:val="16"/>
          <w:szCs w:val="16"/>
          <w:color w:val="auto"/>
        </w:rPr>
        <w:t>”) and (b) pursuant to purchase rights granted or to be granted under the Company’s 2017 Employee Stock Purchase Plan (the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The plans referred to in clauses (a) through (b) above are collectively referred to in this letter as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At your request we are providing this letter to express our opinion on the matters set forth below in this letter (“</w:t>
      </w:r>
      <w:r>
        <w:rPr>
          <w:rFonts w:ascii="Arial" w:cs="Arial" w:eastAsia="Arial" w:hAnsi="Arial"/>
          <w:sz w:val="16"/>
          <w:szCs w:val="16"/>
          <w:b w:val="1"/>
          <w:bCs w:val="1"/>
          <w:i w:val="1"/>
          <w:iCs w:val="1"/>
          <w:color w:val="auto"/>
        </w:rPr>
        <w:t>our opinion</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our opinion expressed below we have examined originals or copies of the Company’s certificate of incorporation and bylaws, certain corporate proceedings of the Company’s board of directors and stockholders relating to the Registration Statement, the Plans and the Company’s current certificate of incorporation and bylaws, and such other agreements, documents, certificates and statements of the Company, its transfer agent and public or governmental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regarding the Company issued by the Delaware Secretary of State and representations made to us by the Company, including representations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render this opinion only with respect to, and we express no opinion herein concerning the application or effect of the laws of any jurisdiction other than, the existing Delaware General Corporation Law.</w:t>
      </w:r>
    </w:p>
    <w:p>
      <w:pPr>
        <w:spacing w:after="0" w:line="400" w:lineRule="exact"/>
        <w:rPr>
          <w:sz w:val="20"/>
          <w:szCs w:val="20"/>
          <w:color w:val="auto"/>
        </w:rPr>
      </w:pPr>
    </w:p>
    <w:p>
      <w:pPr>
        <w:jc w:val="both"/>
        <w:ind w:right="20" w:firstLine="648"/>
        <w:spacing w:after="0" w:line="309" w:lineRule="auto"/>
        <w:rPr>
          <w:sz w:val="20"/>
          <w:szCs w:val="20"/>
          <w:color w:val="auto"/>
        </w:rPr>
      </w:pPr>
      <w:r>
        <w:rPr>
          <w:rFonts w:ascii="Arial" w:cs="Arial" w:eastAsia="Arial" w:hAnsi="Arial"/>
          <w:sz w:val="18"/>
          <w:szCs w:val="18"/>
          <w:color w:val="auto"/>
        </w:rPr>
        <w:t>Based upon, and subject to, the foregoing, it is our opinion that when the 1,189,569 Shares of Common Stock that may be issued and sold by the Company (a) upon the exercise or settlement of awards (including any stock option,</w:t>
      </w:r>
    </w:p>
    <w:p>
      <w:pPr>
        <w:sectPr>
          <w:pgSz w:w="11900" w:h="16838" w:orient="portrait"/>
          <w:cols w:equalWidth="0" w:num="1">
            <w:col w:w="11420"/>
          </w:cols>
          <w:pgMar w:left="240" w:top="1440" w:right="239" w:bottom="1440" w:gutter="0" w:footer="0" w:header="0"/>
        </w:sectPr>
      </w:pPr>
    </w:p>
    <w:bookmarkStart w:id="6" w:name="page7"/>
    <w:bookmarkEnd w:id="6"/>
    <w:p>
      <w:pPr>
        <w:jc w:val="both"/>
        <w:spacing w:after="0" w:line="288" w:lineRule="auto"/>
        <w:rPr>
          <w:sz w:val="20"/>
          <w:szCs w:val="20"/>
          <w:color w:val="auto"/>
        </w:rPr>
      </w:pPr>
      <w:r>
        <w:rPr>
          <w:rFonts w:ascii="Arial" w:cs="Arial" w:eastAsia="Arial" w:hAnsi="Arial"/>
          <w:sz w:val="18"/>
          <w:szCs w:val="18"/>
          <w:color w:val="auto"/>
        </w:rPr>
        <w:t>restricted stock, stock bonus, stock appreciation right, restricted stock unit or award of performance shares) granted or to be granted under the EIP and (b) pursuant to purchase rights granted or to be granted under the ESPP, have been issued and sold by the Company against the Company’s receipt of payment therefor (in an amount and type of consideration not less than the par value per Share) in accordance with the terms (including payment provisions) of the applicable Plan and have been duly registered on the books of the transfer agent and registrar for the Shares in the name or on behalf of the holders thereof, such Shares will be validly issued, fully paid and non-assessable.</w:t>
      </w:r>
    </w:p>
    <w:p>
      <w:pPr>
        <w:spacing w:after="0" w:line="176" w:lineRule="exact"/>
        <w:rPr>
          <w:sz w:val="20"/>
          <w:szCs w:val="20"/>
          <w:color w:val="auto"/>
        </w:rPr>
      </w:pPr>
    </w:p>
    <w:p>
      <w:pPr>
        <w:jc w:val="both"/>
        <w:ind w:firstLine="662"/>
        <w:spacing w:after="0" w:line="286"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all references to us, if any, in the Registration Statement, the prospectus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66" w:lineRule="exact"/>
        <w:rPr>
          <w:sz w:val="20"/>
          <w:szCs w:val="20"/>
          <w:color w:val="auto"/>
        </w:rPr>
      </w:pPr>
    </w:p>
    <w:p>
      <w:pPr>
        <w:jc w:val="both"/>
        <w:ind w:firstLine="662"/>
        <w:spacing w:after="0" w:line="255" w:lineRule="auto"/>
        <w:rPr>
          <w:sz w:val="20"/>
          <w:szCs w:val="20"/>
          <w:color w:val="auto"/>
        </w:rPr>
      </w:pPr>
      <w:r>
        <w:rPr>
          <w:rFonts w:ascii="Arial" w:cs="Arial" w:eastAsia="Arial" w:hAnsi="Arial"/>
          <w:sz w:val="18"/>
          <w:szCs w:val="18"/>
          <w:color w:val="auto"/>
        </w:rPr>
        <w:t>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Fenwick &amp; West LLP</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1420"/>
          </w:cols>
          <w:pgMar w:left="240" w:top="598" w:right="239" w:bottom="1440" w:gutter="0" w:footer="0" w:header="0"/>
        </w:sectPr>
      </w:pPr>
    </w:p>
    <w:bookmarkStart w:id="7" w:name="page8"/>
    <w:bookmarkEnd w:id="7"/>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incorporated by reference herein.</w:t>
      </w:r>
    </w:p>
    <w:p>
      <w:pPr>
        <w:spacing w:after="0" w:line="18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eg"/><Relationship Id="rId15" Type="http://schemas.openxmlformats.org/officeDocument/2006/relationships/hyperlink" Target="http://www.sec.gov/Archives/edgar/data/1370053/000137005317000005/anab-033117x10qxexx31.htm" TargetMode="External"/><Relationship Id="rId16" Type="http://schemas.openxmlformats.org/officeDocument/2006/relationships/hyperlink" Target="http://www.sec.gov/Archives/edgar/data/1370053/000119312515315918/d942137dex34.htm" TargetMode="External"/><Relationship Id="rId17" Type="http://schemas.openxmlformats.org/officeDocument/2006/relationships/hyperlink" Target="http://www.sec.gov/Archives/edgar/data/1370053/000119312515412604/d942137dex41.htm" TargetMode="External"/><Relationship Id="rId18" Type="http://schemas.openxmlformats.org/officeDocument/2006/relationships/hyperlink" Target="http://www.sec.gov/Archives/edgar/data/1370053/000119312517010405/d320192dex103.htm" TargetMode="External"/><Relationship Id="rId19" Type="http://schemas.openxmlformats.org/officeDocument/2006/relationships/hyperlink" Target="http://www.sec.gov/Archives/edgar/data/1370053/000119312517010405/d320192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2019-12-07T05:15:30Z</dcterms:created>
  <dcterms:modified xsi:type="dcterms:W3CDTF">2019-12-07T05:15:30Z</dcterms:modified>
</cp:coreProperties>
</file>