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1" w:lineRule="exact"/>
        <w:rPr>
          <w:sz w:val="24"/>
          <w:szCs w:val="24"/>
          <w:color w:val="auto"/>
        </w:rPr>
      </w:pPr>
    </w:p>
    <w:p>
      <w:pPr>
        <w:ind w:left="340" w:right="80"/>
        <w:spacing w:after="0" w:line="254"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-227330</wp:posOffset>
            </wp:positionV>
            <wp:extent cx="120650" cy="1206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5" w:lineRule="exact"/>
        <w:rPr>
          <w:sz w:val="24"/>
          <w:szCs w:val="24"/>
          <w:color w:val="auto"/>
        </w:rPr>
      </w:pPr>
    </w:p>
    <w:p>
      <w:pPr>
        <w:ind w:left="340"/>
        <w:spacing w:after="0" w:line="246"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33020</wp:posOffset>
            </wp:positionH>
            <wp:positionV relativeFrom="paragraph">
              <wp:posOffset>-568325</wp:posOffset>
            </wp:positionV>
            <wp:extent cx="120650" cy="1206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650" cy="1206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7"/>
        </w:trPr>
        <w:tc>
          <w:tcPr>
            <w:tcW w:w="6240" w:type="dxa"/>
            <w:vAlign w:val="bottom"/>
          </w:tcPr>
          <w:p>
            <w:pPr>
              <w:jc w:val="center"/>
              <w:ind w:right="21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8"/>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2"/>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218"/>
              <w:spacing w:after="0" w:line="183"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7"/>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7"/>
        </w:trPr>
        <w:tc>
          <w:tcPr>
            <w:tcW w:w="6240" w:type="dxa"/>
            <w:vAlign w:val="bottom"/>
            <w:vMerge w:val="restart"/>
          </w:tcPr>
          <w:p>
            <w:pPr>
              <w:jc w:val="center"/>
              <w:ind w:right="198"/>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5230495</wp:posOffset>
            </wp:positionH>
            <wp:positionV relativeFrom="paragraph">
              <wp:posOffset>-615950</wp:posOffset>
            </wp:positionV>
            <wp:extent cx="57785" cy="6292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29285"/>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-615950</wp:posOffset>
            </wp:positionV>
            <wp:extent cx="57785" cy="6292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2928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-1675130</wp:posOffset>
            </wp:positionH>
            <wp:positionV relativeFrom="paragraph">
              <wp:posOffset>729615</wp:posOffset>
            </wp:positionV>
            <wp:extent cx="7047865" cy="8412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865" cy="8412480"/>
                    </a:xfrm>
                    <a:prstGeom prst="rect">
                      <a:avLst/>
                    </a:prstGeom>
                    <a:noFill/>
                  </pic:spPr>
                </pic:pic>
              </a:graphicData>
            </a:graphic>
          </wp:anchor>
        </w:drawing>
      </w:r>
    </w:p>
    <w:p>
      <w:pPr>
        <w:spacing w:after="0" w:line="1155" w:lineRule="exact"/>
        <w:rPr>
          <w:sz w:val="24"/>
          <w:szCs w:val="24"/>
          <w:color w:val="auto"/>
        </w:rPr>
      </w:pPr>
    </w:p>
    <w:p>
      <w:pPr>
        <w:sectPr>
          <w:pgSz w:w="11900" w:h="16838" w:orient="portrait"/>
          <w:cols w:equalWidth="0" w:num="2">
            <w:col w:w="2280" w:space="340"/>
            <w:col w:w="846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8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1140" w:type="dxa"/>
            <w:vAlign w:val="bottom"/>
            <w:vMerge w:val="restart"/>
          </w:tcPr>
          <w:p>
            <w:pPr>
              <w:spacing w:after="0"/>
              <w:rPr>
                <w:rFonts w:ascii="Times New Roman" w:cs="Times New Roman" w:eastAsia="Times New Roman" w:hAnsi="Times New Roman"/>
                <w:sz w:val="20"/>
                <w:szCs w:val="20"/>
                <w:color w:val="0000EE"/>
                <w:w w:val="98"/>
              </w:rPr>
            </w:pPr>
            <w:hyperlink r:id="rId13">
              <w:r>
                <w:rPr>
                  <w:rFonts w:ascii="Times New Roman" w:cs="Times New Roman" w:eastAsia="Times New Roman" w:hAnsi="Times New Roman"/>
                  <w:sz w:val="20"/>
                  <w:szCs w:val="20"/>
                  <w:color w:val="0000EE"/>
                  <w:w w:val="98"/>
                </w:rPr>
                <w:t>Orwin John A</w:t>
              </w:r>
            </w:hyperlink>
          </w:p>
        </w:tc>
        <w:tc>
          <w:tcPr>
            <w:tcW w:w="12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tcPr>
          <w:p>
            <w:pPr>
              <w:spacing w:after="0" w:line="102"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ANAPTYSBIO,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ANAB</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2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1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Borders>
              <w:bottom w:val="single" w:sz="8" w:color="0000EE"/>
            </w:tcBorders>
          </w:tcPr>
          <w:p>
            <w:pPr>
              <w:spacing w:after="0"/>
              <w:rPr>
                <w:sz w:val="5"/>
                <w:szCs w:val="5"/>
                <w:color w:val="auto"/>
              </w:rPr>
            </w:pPr>
          </w:p>
        </w:tc>
        <w:tc>
          <w:tcPr>
            <w:tcW w:w="2040" w:type="dxa"/>
            <w:vAlign w:val="bottom"/>
          </w:tcPr>
          <w:p>
            <w:pPr>
              <w:spacing w:after="0"/>
              <w:rPr>
                <w:sz w:val="5"/>
                <w:szCs w:val="5"/>
                <w:color w:val="auto"/>
              </w:rPr>
            </w:pPr>
          </w:p>
        </w:tc>
        <w:tc>
          <w:tcPr>
            <w:tcW w:w="1820" w:type="dxa"/>
            <w:vAlign w:val="bottom"/>
            <w:vMerge w:val="continue"/>
          </w:tcPr>
          <w:p>
            <w:pPr>
              <w:spacing w:after="0"/>
              <w:rPr>
                <w:sz w:val="5"/>
                <w:szCs w:val="5"/>
                <w:color w:val="auto"/>
              </w:rPr>
            </w:pPr>
          </w:p>
        </w:tc>
        <w:tc>
          <w:tcPr>
            <w:tcW w:w="14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140" w:type="dxa"/>
            <w:vAlign w:val="bottom"/>
            <w:tcBorders>
              <w:bottom w:val="single" w:sz="8" w:color="0000EE"/>
            </w:tcBorders>
            <w:vMerge w:val="continue"/>
          </w:tcPr>
          <w:p>
            <w:pPr>
              <w:spacing w:after="0"/>
              <w:rPr>
                <w:sz w:val="5"/>
                <w:szCs w:val="5"/>
                <w:color w:val="auto"/>
              </w:rPr>
            </w:pPr>
          </w:p>
        </w:tc>
        <w:tc>
          <w:tcPr>
            <w:tcW w:w="1280" w:type="dxa"/>
            <w:vAlign w:val="bottom"/>
          </w:tcPr>
          <w:p>
            <w:pPr>
              <w:spacing w:after="0"/>
              <w:rPr>
                <w:sz w:val="5"/>
                <w:szCs w:val="5"/>
                <w:color w:val="auto"/>
              </w:rPr>
            </w:pPr>
          </w:p>
        </w:tc>
        <w:tc>
          <w:tcPr>
            <w:tcW w:w="12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740" w:type="dxa"/>
            <w:vAlign w:val="bottom"/>
          </w:tcPr>
          <w:p>
            <w:pPr>
              <w:spacing w:after="0"/>
              <w:rPr>
                <w:sz w:val="5"/>
                <w:szCs w:val="5"/>
                <w:color w:val="auto"/>
              </w:rPr>
            </w:pPr>
          </w:p>
        </w:tc>
        <w:tc>
          <w:tcPr>
            <w:tcW w:w="2040" w:type="dxa"/>
            <w:vAlign w:val="bottom"/>
          </w:tcPr>
          <w:p>
            <w:pPr>
              <w:spacing w:after="0"/>
              <w:rPr>
                <w:sz w:val="5"/>
                <w:szCs w:val="5"/>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2040" w:type="dxa"/>
            <w:vAlign w:val="bottom"/>
          </w:tcPr>
          <w:p>
            <w:pPr>
              <w:spacing w:after="0"/>
              <w:rPr>
                <w:sz w:val="6"/>
                <w:szCs w:val="6"/>
                <w:color w:val="auto"/>
              </w:rPr>
            </w:pPr>
          </w:p>
        </w:tc>
        <w:tc>
          <w:tcPr>
            <w:tcW w:w="1820" w:type="dxa"/>
            <w:vAlign w:val="bottom"/>
            <w:vMerge w:val="continue"/>
          </w:tcPr>
          <w:p>
            <w:pPr>
              <w:spacing w:after="0"/>
              <w:rPr>
                <w:sz w:val="6"/>
                <w:szCs w:val="6"/>
                <w:color w:val="auto"/>
              </w:rPr>
            </w:pPr>
          </w:p>
        </w:tc>
        <w:tc>
          <w:tcPr>
            <w:tcW w:w="14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128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6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1140" w:type="dxa"/>
            <w:vAlign w:val="bottom"/>
            <w:tcBorders>
              <w:top w:val="single" w:sz="8" w:color="EEEEEE"/>
            </w:tcBorders>
          </w:tcPr>
          <w:p>
            <w:pPr>
              <w:spacing w:after="0" w:line="20" w:lineRule="exact"/>
              <w:rPr>
                <w:sz w:val="1"/>
                <w:szCs w:val="1"/>
                <w:color w:val="auto"/>
              </w:rPr>
            </w:pPr>
          </w:p>
        </w:tc>
        <w:tc>
          <w:tcPr>
            <w:tcW w:w="128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2C2C2C"/>
            </w:tcBorders>
          </w:tcPr>
          <w:p>
            <w:pPr>
              <w:spacing w:after="0" w:line="20" w:lineRule="exact"/>
              <w:rPr>
                <w:sz w:val="1"/>
                <w:szCs w:val="1"/>
                <w:color w:val="auto"/>
              </w:rPr>
            </w:pPr>
          </w:p>
        </w:tc>
        <w:tc>
          <w:tcPr>
            <w:tcW w:w="3780" w:type="dxa"/>
            <w:vAlign w:val="bottom"/>
            <w:tcBorders>
              <w:top w:val="single" w:sz="8" w:color="2C2C2C"/>
            </w:tcBorders>
            <w:gridSpan w:val="2"/>
            <w:vMerge w:val="restart"/>
          </w:tcPr>
          <w:p>
            <w:pPr>
              <w:spacing w:after="0" w:line="148" w:lineRule="exact"/>
              <w:rPr>
                <w:sz w:val="20"/>
                <w:szCs w:val="20"/>
                <w:color w:val="auto"/>
              </w:rPr>
            </w:pPr>
            <w:r>
              <w:rPr>
                <w:rFonts w:ascii="Arial" w:cs="Arial" w:eastAsia="Arial" w:hAnsi="Arial"/>
                <w:sz w:val="13"/>
                <w:szCs w:val="13"/>
                <w:color w:val="auto"/>
              </w:rPr>
              <w:t>3. Date of Earliest Transaction (Month/Day/Year)</w:t>
            </w:r>
          </w:p>
        </w:tc>
        <w:tc>
          <w:tcPr>
            <w:tcW w:w="1820" w:type="dxa"/>
            <w:vAlign w:val="bottom"/>
            <w:vMerge w:val="continue"/>
          </w:tcPr>
          <w:p>
            <w:pPr>
              <w:spacing w:after="0" w:line="20" w:lineRule="exact"/>
              <w:rPr>
                <w:sz w:val="1"/>
                <w:szCs w:val="1"/>
                <w:color w:val="auto"/>
              </w:rPr>
            </w:pPr>
          </w:p>
        </w:tc>
        <w:tc>
          <w:tcPr>
            <w:tcW w:w="14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80"/>
              <w:spacing w:after="0"/>
              <w:rPr>
                <w:sz w:val="20"/>
                <w:szCs w:val="20"/>
                <w:color w:val="auto"/>
              </w:rPr>
            </w:pPr>
            <w:r>
              <w:rPr>
                <w:rFonts w:ascii="Arial" w:cs="Arial" w:eastAsia="Arial" w:hAnsi="Arial"/>
                <w:sz w:val="13"/>
                <w:szCs w:val="13"/>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80" w:type="dxa"/>
            <w:vAlign w:val="bottom"/>
            <w:gridSpan w:val="2"/>
            <w:vMerge w:val="continue"/>
          </w:tcPr>
          <w:p>
            <w:pPr>
              <w:spacing w:after="0"/>
              <w:rPr>
                <w:sz w:val="11"/>
                <w:szCs w:val="11"/>
                <w:color w:val="auto"/>
              </w:rPr>
            </w:pPr>
          </w:p>
        </w:tc>
        <w:tc>
          <w:tcPr>
            <w:tcW w:w="1820" w:type="dxa"/>
            <w:vAlign w:val="bottom"/>
          </w:tcPr>
          <w:p>
            <w:pPr>
              <w:ind w:left="580"/>
              <w:spacing w:after="0" w:line="127" w:lineRule="exact"/>
              <w:rPr>
                <w:sz w:val="20"/>
                <w:szCs w:val="20"/>
                <w:color w:val="auto"/>
              </w:rPr>
            </w:pPr>
            <w:r>
              <w:rPr>
                <w:rFonts w:ascii="Arial" w:cs="Arial" w:eastAsia="Arial" w:hAnsi="Arial"/>
                <w:sz w:val="13"/>
                <w:szCs w:val="13"/>
                <w:color w:val="auto"/>
              </w:rPr>
              <w:t>below)</w:t>
            </w:r>
          </w:p>
        </w:tc>
        <w:tc>
          <w:tcPr>
            <w:tcW w:w="1460" w:type="dxa"/>
            <w:vAlign w:val="bottom"/>
          </w:tcPr>
          <w:p>
            <w:pPr>
              <w:ind w:left="320"/>
              <w:spacing w:after="0" w:line="127"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160" w:type="dxa"/>
            <w:vAlign w:val="bottom"/>
            <w:gridSpan w:val="2"/>
            <w:vMerge w:val="continue"/>
          </w:tcPr>
          <w:p>
            <w:pPr>
              <w:spacing w:after="0"/>
              <w:rPr>
                <w:sz w:val="7"/>
                <w:szCs w:val="7"/>
                <w:color w:val="auto"/>
              </w:rPr>
            </w:pPr>
          </w:p>
        </w:tc>
        <w:tc>
          <w:tcPr>
            <w:tcW w:w="12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880" w:type="dxa"/>
            <w:vAlign w:val="bottom"/>
            <w:gridSpan w:val="3"/>
            <w:vMerge w:val="restart"/>
          </w:tcPr>
          <w:p>
            <w:pPr>
              <w:ind w:left="140"/>
              <w:spacing w:after="0"/>
              <w:rPr>
                <w:sz w:val="20"/>
                <w:szCs w:val="20"/>
                <w:color w:val="auto"/>
              </w:rPr>
            </w:pPr>
            <w:r>
              <w:rPr>
                <w:rFonts w:ascii="Times New Roman" w:cs="Times New Roman" w:eastAsia="Times New Roman" w:hAnsi="Times New Roman"/>
                <w:sz w:val="16"/>
                <w:szCs w:val="16"/>
                <w:color w:val="0000FF"/>
              </w:rPr>
              <w:t>04/20/2026</w:t>
            </w:r>
          </w:p>
        </w:tc>
        <w:tc>
          <w:tcPr>
            <w:tcW w:w="204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44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color w:val="0000FF"/>
              </w:rPr>
              <w:t>C/O ANAPTYSBIO, INC.</w:t>
            </w:r>
          </w:p>
        </w:tc>
        <w:tc>
          <w:tcPr>
            <w:tcW w:w="1220" w:type="dxa"/>
            <w:vAlign w:val="bottom"/>
          </w:tcPr>
          <w:p>
            <w:pPr>
              <w:spacing w:after="0"/>
              <w:rPr>
                <w:sz w:val="10"/>
                <w:szCs w:val="10"/>
                <w:color w:val="auto"/>
              </w:rPr>
            </w:pPr>
          </w:p>
        </w:tc>
        <w:tc>
          <w:tcPr>
            <w:tcW w:w="1880" w:type="dxa"/>
            <w:vAlign w:val="bottom"/>
            <w:gridSpan w:val="3"/>
            <w:vMerge w:val="continue"/>
          </w:tcPr>
          <w:p>
            <w:pPr>
              <w:spacing w:after="0"/>
              <w:rPr>
                <w:sz w:val="10"/>
                <w:szCs w:val="10"/>
                <w:color w:val="auto"/>
              </w:rPr>
            </w:pPr>
          </w:p>
        </w:tc>
        <w:tc>
          <w:tcPr>
            <w:tcW w:w="204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60" w:type="dxa"/>
            <w:vAlign w:val="bottom"/>
            <w:gridSpan w:val="4"/>
            <w:vMerge w:val="restart"/>
          </w:tcPr>
          <w:p>
            <w:pPr>
              <w:ind w:left="20"/>
              <w:spacing w:after="0"/>
              <w:rPr>
                <w:sz w:val="20"/>
                <w:szCs w:val="20"/>
                <w:color w:val="auto"/>
              </w:rPr>
            </w:pPr>
            <w:r>
              <w:rPr>
                <w:rFonts w:ascii="Times New Roman" w:cs="Times New Roman" w:eastAsia="Times New Roman" w:hAnsi="Times New Roman"/>
                <w:sz w:val="16"/>
                <w:szCs w:val="16"/>
                <w:color w:val="0000FF"/>
              </w:rPr>
              <w:t>10770 WATERIDGE CIRCLE, SUITE 210</w:t>
            </w:r>
          </w:p>
        </w:tc>
        <w:tc>
          <w:tcPr>
            <w:tcW w:w="8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1740" w:type="dxa"/>
            <w:vAlign w:val="bottom"/>
            <w:tcBorders>
              <w:bottom w:val="single" w:sz="8" w:color="2C2C2C"/>
            </w:tcBorders>
          </w:tcPr>
          <w:p>
            <w:pPr>
              <w:spacing w:after="0"/>
              <w:rPr>
                <w:sz w:val="11"/>
                <w:szCs w:val="11"/>
                <w:color w:val="auto"/>
              </w:rPr>
            </w:pPr>
          </w:p>
        </w:tc>
        <w:tc>
          <w:tcPr>
            <w:tcW w:w="204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366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78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0" w:gutter="0" w:footer="0" w:header="0"/>
          <w:type w:val="continuous"/>
        </w:sectPr>
      </w:pPr>
    </w:p>
    <w:p>
      <w:pPr>
        <w:spacing w:after="0" w:line="16" w:lineRule="exact"/>
        <w:rPr>
          <w:sz w:val="20"/>
          <w:szCs w:val="20"/>
          <w:color w:val="auto"/>
        </w:rPr>
      </w:pPr>
    </w:p>
    <w:tbl>
      <w:tblPr>
        <w:tblLayout w:type="fixed"/>
        <w:tblInd w:w="80" w:type="dxa"/>
        <w:tblCellMar>
          <w:top w:w="0" w:type="dxa"/>
          <w:left w:w="0" w:type="dxa"/>
          <w:bottom w:w="0" w:type="dxa"/>
          <w:right w:w="0" w:type="dxa"/>
        </w:tblCellMar>
      </w:tblPr>
      <w:tr>
        <w:trPr>
          <w:trHeight w:val="167"/>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5"/>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SAN DIEGO</w:t>
            </w:r>
          </w:p>
        </w:tc>
        <w:tc>
          <w:tcPr>
            <w:tcW w:w="980" w:type="dxa"/>
            <w:vAlign w:val="bottom"/>
          </w:tcPr>
          <w:p>
            <w:pPr>
              <w:ind w:left="180"/>
              <w:spacing w:after="0"/>
              <w:rPr>
                <w:sz w:val="20"/>
                <w:szCs w:val="20"/>
                <w:color w:val="auto"/>
              </w:rPr>
            </w:pPr>
            <w:r>
              <w:rPr>
                <w:rFonts w:ascii="Times New Roman" w:cs="Times New Roman" w:eastAsia="Times New Roman" w:hAnsi="Times New Roman"/>
                <w:sz w:val="16"/>
                <w:szCs w:val="16"/>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92121</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4"/>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66"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3"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71" w:lineRule="exact"/>
        <w:rPr>
          <w:sz w:val="20"/>
          <w:szCs w:val="20"/>
          <w:color w:val="auto"/>
        </w:rPr>
      </w:pPr>
    </w:p>
    <w:p>
      <w:pPr>
        <w:sectPr>
          <w:pgSz w:w="11900" w:h="16838" w:orient="portrait"/>
          <w:cols w:equalWidth="0" w:num="2">
            <w:col w:w="7540" w:space="720"/>
            <w:col w:w="282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8"/>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5"/>
                <w:szCs w:val="5"/>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9"/>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18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520" w:type="dxa"/>
            <w:vAlign w:val="bottom"/>
          </w:tcPr>
          <w:p>
            <w:pPr>
              <w:spacing w:after="0"/>
              <w:rPr>
                <w:sz w:val="7"/>
                <w:szCs w:val="7"/>
                <w:color w:val="auto"/>
              </w:rPr>
            </w:pPr>
          </w:p>
        </w:tc>
        <w:tc>
          <w:tcPr>
            <w:tcW w:w="1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7"/>
                <w:szCs w:val="7"/>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7"/>
                <w:szCs w:val="7"/>
                <w:color w:val="auto"/>
              </w:rPr>
            </w:pPr>
          </w:p>
        </w:tc>
        <w:tc>
          <w:tcPr>
            <w:tcW w:w="8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(e.g., puts, calls, warrants, options, convertible securities)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jc w:val="center"/>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Disposed of</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60" w:type="dxa"/>
            <w:vAlign w:val="bottom"/>
            <w:gridSpan w:val="2"/>
          </w:tcPr>
          <w:p>
            <w:pPr>
              <w:ind w:left="80"/>
              <w:spacing w:after="0"/>
              <w:rPr>
                <w:sz w:val="20"/>
                <w:szCs w:val="20"/>
                <w:color w:val="auto"/>
              </w:rPr>
            </w:pPr>
            <w:r>
              <w:rPr>
                <w:rFonts w:ascii="Arial" w:cs="Arial" w:eastAsia="Arial" w:hAnsi="Arial"/>
                <w:sz w:val="11"/>
                <w:szCs w:val="11"/>
                <w:b w:val="1"/>
                <w:bCs w:val="1"/>
                <w:color w:val="auto"/>
              </w:rPr>
              <w:t>(D) (Instr.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and 5)</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Pr>
          <w:p>
            <w:pPr>
              <w:spacing w:after="0"/>
              <w:rPr>
                <w:sz w:val="5"/>
                <w:szCs w:val="5"/>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Pr>
          <w:p>
            <w:pPr>
              <w:spacing w:after="0"/>
              <w:rPr>
                <w:sz w:val="3"/>
                <w:szCs w:val="3"/>
                <w:color w:val="auto"/>
              </w:rPr>
            </w:pPr>
          </w:p>
        </w:tc>
        <w:tc>
          <w:tcPr>
            <w:tcW w:w="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480" w:type="dxa"/>
            <w:vAlign w:val="bottom"/>
          </w:tcPr>
          <w:p>
            <w:pPr>
              <w:ind w:left="8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19.5</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48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3,311</w:t>
            </w: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09/14/2033</w:t>
            </w:r>
          </w:p>
        </w:tc>
        <w:tc>
          <w:tcPr>
            <w:tcW w:w="66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3,311</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3,311</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14.29</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3,311</w:t>
            </w:r>
          </w:p>
        </w:tc>
        <w:tc>
          <w:tcPr>
            <w:tcW w:w="480" w:type="dxa"/>
            <w:vAlign w:val="bottom"/>
          </w:tcPr>
          <w:p>
            <w:pPr>
              <w:spacing w:after="0"/>
              <w:rPr>
                <w:sz w:val="12"/>
                <w:szCs w:val="12"/>
                <w:color w:val="auto"/>
              </w:rPr>
            </w:pP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09/14/2033</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3,311</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3,311</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19.5</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09/14/2033</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10,600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14.29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09/14/2033</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10,600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10,600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21.19</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01/02/2034</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16,510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15.53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01/02/2034</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16,510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14.83</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D</w:t>
            </w:r>
            <w:r>
              <w:rPr>
                <w:rFonts w:ascii="Times New Roman" w:cs="Times New Roman" w:eastAsia="Times New Roman" w:hAnsi="Times New Roman"/>
                <w:sz w:val="10"/>
                <w:szCs w:val="10"/>
                <w:color w:val="008000"/>
              </w:rPr>
              <w:t>(1)</w:t>
            </w:r>
          </w:p>
        </w:tc>
        <w:tc>
          <w:tcPr>
            <w:tcW w:w="480" w:type="dxa"/>
            <w:vAlign w:val="bottom"/>
          </w:tcPr>
          <w:p>
            <w:pPr>
              <w:spacing w:after="0"/>
              <w:rPr>
                <w:sz w:val="16"/>
                <w:szCs w:val="16"/>
                <w:color w:val="auto"/>
              </w:rPr>
            </w:pP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01/06/2035</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16,510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6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10.87</w:t>
            </w:r>
          </w:p>
        </w:tc>
        <w:tc>
          <w:tcPr>
            <w:tcW w:w="106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6"/>
                <w:szCs w:val="16"/>
                <w:color w:val="auto"/>
              </w:rPr>
            </w:pPr>
          </w:p>
        </w:tc>
        <w:tc>
          <w:tcPr>
            <w:tcW w:w="800" w:type="dxa"/>
            <w:vAlign w:val="bottom"/>
          </w:tcPr>
          <w:p>
            <w:pPr>
              <w:ind w:left="120"/>
              <w:spacing w:after="0" w:line="190" w:lineRule="exact"/>
              <w:rPr>
                <w:sz w:val="20"/>
                <w:szCs w:val="20"/>
                <w:color w:val="auto"/>
              </w:rPr>
            </w:pPr>
            <w:r>
              <w:rPr>
                <w:rFonts w:ascii="Times New Roman" w:cs="Times New Roman" w:eastAsia="Times New Roman" w:hAnsi="Times New Roman"/>
                <w:sz w:val="22"/>
                <w:szCs w:val="22"/>
                <w:color w:val="0000FF"/>
                <w:vertAlign w:val="subscript"/>
              </w:rPr>
              <w:t>A</w:t>
            </w:r>
            <w:r>
              <w:rPr>
                <w:rFonts w:ascii="Times New Roman" w:cs="Times New Roman" w:eastAsia="Times New Roman" w:hAnsi="Times New Roman"/>
                <w:sz w:val="10"/>
                <w:szCs w:val="10"/>
                <w:color w:val="008000"/>
              </w:rPr>
              <w:t>(1)</w:t>
            </w:r>
          </w:p>
        </w:tc>
        <w:tc>
          <w:tcPr>
            <w:tcW w:w="4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480" w:type="dxa"/>
            <w:vAlign w:val="bottom"/>
          </w:tcPr>
          <w:p>
            <w:pPr>
              <w:spacing w:after="0"/>
              <w:rPr>
                <w:sz w:val="16"/>
                <w:szCs w:val="16"/>
                <w:color w:val="auto"/>
              </w:rPr>
            </w:pPr>
          </w:p>
        </w:tc>
        <w:tc>
          <w:tcPr>
            <w:tcW w:w="7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01/06/2035</w:t>
            </w:r>
          </w:p>
        </w:tc>
        <w:tc>
          <w:tcPr>
            <w:tcW w:w="660" w:type="dxa"/>
            <w:vAlign w:val="bottom"/>
          </w:tcPr>
          <w:p>
            <w:pPr>
              <w:jc w:val="center"/>
              <w:ind w:right="2"/>
              <w:spacing w:after="0"/>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tcPr>
          <w:p>
            <w:pPr>
              <w:jc w:val="center"/>
              <w:spacing w:after="0"/>
              <w:rPr>
                <w:sz w:val="20"/>
                <w:szCs w:val="20"/>
                <w:color w:val="auto"/>
              </w:rPr>
            </w:pPr>
            <w:r>
              <w:rPr>
                <w:rFonts w:ascii="Times New Roman" w:cs="Times New Roman" w:eastAsia="Times New Roman" w:hAnsi="Times New Roman"/>
                <w:sz w:val="16"/>
                <w:szCs w:val="16"/>
                <w:color w:val="0000FF"/>
              </w:rPr>
              <w:t>16,510</w:t>
            </w:r>
          </w:p>
        </w:tc>
        <w:tc>
          <w:tcPr>
            <w:tcW w:w="680" w:type="dxa"/>
            <w:vAlign w:val="bottom"/>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16,510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680" w:type="dxa"/>
            <w:vAlign w:val="bottom"/>
          </w:tcPr>
          <w:p>
            <w:pPr>
              <w:ind w:left="60"/>
              <w:spacing w:after="0" w:line="89" w:lineRule="exact"/>
              <w:rPr>
                <w:sz w:val="20"/>
                <w:szCs w:val="20"/>
                <w:color w:val="auto"/>
              </w:rPr>
            </w:pPr>
            <w:r>
              <w:rPr>
                <w:rFonts w:ascii="Times New Roman" w:cs="Times New Roman" w:eastAsia="Times New Roman" w:hAnsi="Times New Roman"/>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0" w:type="dxa"/>
            <w:vAlign w:val="bottom"/>
          </w:tcPr>
          <w:p>
            <w:pPr>
              <w:spacing w:after="0"/>
              <w:rPr>
                <w:sz w:val="7"/>
                <w:szCs w:val="7"/>
                <w:color w:val="auto"/>
              </w:rPr>
            </w:pPr>
          </w:p>
        </w:tc>
        <w:tc>
          <w:tcPr>
            <w:tcW w:w="480" w:type="dxa"/>
            <w:vAlign w:val="bottom"/>
          </w:tcPr>
          <w:p>
            <w:pPr>
              <w:spacing w:after="0"/>
              <w:rPr>
                <w:sz w:val="7"/>
                <w:szCs w:val="7"/>
                <w:color w:val="auto"/>
              </w:rPr>
            </w:pPr>
          </w:p>
        </w:tc>
        <w:tc>
          <w:tcPr>
            <w:tcW w:w="4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60" w:type="dxa"/>
            <w:vAlign w:val="bottom"/>
          </w:tcPr>
          <w:p>
            <w:pPr>
              <w:jc w:val="center"/>
              <w:ind w:right="2"/>
              <w:spacing w:after="0" w:line="89" w:lineRule="exact"/>
              <w:rPr>
                <w:sz w:val="20"/>
                <w:szCs w:val="20"/>
                <w:color w:val="auto"/>
              </w:rPr>
            </w:pPr>
            <w:r>
              <w:rPr>
                <w:rFonts w:ascii="Times New Roman" w:cs="Times New Roman" w:eastAsia="Times New Roman" w:hAnsi="Times New Roman"/>
                <w:sz w:val="10"/>
                <w:szCs w:val="10"/>
                <w:color w:val="0000FF"/>
              </w:rPr>
              <w:t>Stock</w:t>
            </w: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9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43.91</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(1)</w:t>
            </w:r>
          </w:p>
        </w:tc>
        <w:tc>
          <w:tcPr>
            <w:tcW w:w="480" w:type="dxa"/>
            <w:vAlign w:val="bottom"/>
          </w:tcPr>
          <w:p>
            <w:pPr>
              <w:spacing w:after="0"/>
              <w:rPr>
                <w:sz w:val="12"/>
                <w:szCs w:val="12"/>
                <w:color w:val="auto"/>
              </w:rPr>
            </w:pP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8,250</w:t>
            </w: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01/06/2035</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8,250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8,250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0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48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78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680" w:type="dxa"/>
            <w:vAlign w:val="bottom"/>
          </w:tcPr>
          <w:p>
            <w:pPr>
              <w:ind w:left="60"/>
              <w:spacing w:after="0" w:line="139" w:lineRule="exact"/>
              <w:rPr>
                <w:sz w:val="20"/>
                <w:szCs w:val="20"/>
                <w:color w:val="auto"/>
              </w:rPr>
            </w:pPr>
            <w:r>
              <w:rPr>
                <w:rFonts w:ascii="Times New Roman" w:cs="Times New Roman" w:eastAsia="Times New Roman" w:hAnsi="Times New Roman"/>
                <w:sz w:val="13"/>
                <w:szCs w:val="13"/>
                <w:color w:val="0000FF"/>
              </w:rPr>
              <w:t>Option</w:t>
            </w:r>
          </w:p>
        </w:tc>
        <w:tc>
          <w:tcPr>
            <w:tcW w:w="76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32.17</w:t>
            </w: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04/20/2026</w:t>
            </w:r>
          </w:p>
        </w:tc>
        <w:tc>
          <w:tcPr>
            <w:tcW w:w="1060" w:type="dxa"/>
            <w:vAlign w:val="bottom"/>
          </w:tcPr>
          <w:p>
            <w:pPr>
              <w:spacing w:after="0"/>
              <w:rPr>
                <w:sz w:val="12"/>
                <w:szCs w:val="12"/>
                <w:color w:val="auto"/>
              </w:rPr>
            </w:pPr>
          </w:p>
        </w:tc>
        <w:tc>
          <w:tcPr>
            <w:tcW w:w="800" w:type="dxa"/>
            <w:vAlign w:val="bottom"/>
            <w:vMerge w:val="restart"/>
          </w:tcPr>
          <w:p>
            <w:pPr>
              <w:ind w:left="120"/>
              <w:spacing w:after="0" w:line="266" w:lineRule="exact"/>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4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8,250</w:t>
            </w:r>
          </w:p>
        </w:tc>
        <w:tc>
          <w:tcPr>
            <w:tcW w:w="480" w:type="dxa"/>
            <w:vAlign w:val="bottom"/>
          </w:tcPr>
          <w:p>
            <w:pPr>
              <w:spacing w:after="0"/>
              <w:rPr>
                <w:sz w:val="12"/>
                <w:szCs w:val="12"/>
                <w:color w:val="auto"/>
              </w:rPr>
            </w:pPr>
          </w:p>
        </w:tc>
        <w:tc>
          <w:tcPr>
            <w:tcW w:w="780" w:type="dxa"/>
            <w:vAlign w:val="bottom"/>
            <w:vMerge w:val="restart"/>
          </w:tcPr>
          <w:p>
            <w:pPr>
              <w:jc w:val="right"/>
              <w:ind w:right="266"/>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01/06/2036</w:t>
            </w:r>
          </w:p>
        </w:tc>
        <w:tc>
          <w:tcPr>
            <w:tcW w:w="660" w:type="dxa"/>
            <w:vAlign w:val="bottom"/>
          </w:tcPr>
          <w:p>
            <w:pPr>
              <w:jc w:val="center"/>
              <w:ind w:right="2"/>
              <w:spacing w:after="0" w:line="139" w:lineRule="exact"/>
              <w:rPr>
                <w:sz w:val="20"/>
                <w:szCs w:val="20"/>
                <w:color w:val="auto"/>
              </w:rPr>
            </w:pPr>
            <w:r>
              <w:rPr>
                <w:rFonts w:ascii="Times New Roman" w:cs="Times New Roman" w:eastAsia="Times New Roman" w:hAnsi="Times New Roman"/>
                <w:sz w:val="13"/>
                <w:szCs w:val="13"/>
                <w:color w:val="0000FF"/>
                <w:w w:val="99"/>
              </w:rPr>
              <w:t>Common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0000FF"/>
              </w:rPr>
              <w:t>8,250</w:t>
            </w:r>
          </w:p>
        </w:tc>
        <w:tc>
          <w:tcPr>
            <w:tcW w:w="680" w:type="dxa"/>
            <w:vAlign w:val="bottom"/>
            <w:vMerge w:val="restart"/>
          </w:tcPr>
          <w:p>
            <w:pPr>
              <w:jc w:val="center"/>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5"/>
              </w:rPr>
              <w:t>8,250</w:t>
            </w:r>
          </w:p>
        </w:tc>
        <w:tc>
          <w:tcPr>
            <w:tcW w:w="72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vMerge w:val="continue"/>
          </w:tcPr>
          <w:p>
            <w:pPr>
              <w:spacing w:after="0"/>
              <w:rPr>
                <w:sz w:val="11"/>
                <w:szCs w:val="11"/>
                <w:color w:val="auto"/>
              </w:rPr>
            </w:pPr>
          </w:p>
        </w:tc>
        <w:tc>
          <w:tcPr>
            <w:tcW w:w="1060" w:type="dxa"/>
            <w:vAlign w:val="bottom"/>
            <w:vMerge w:val="continue"/>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660" w:type="dxa"/>
            <w:vAlign w:val="bottom"/>
            <w:vMerge w:val="restart"/>
          </w:tcPr>
          <w:p>
            <w:pPr>
              <w:jc w:val="center"/>
              <w:ind w:right="2"/>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92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
        </w:trPr>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vMerge w:val="continue"/>
          </w:tcPr>
          <w:p>
            <w:pPr>
              <w:spacing w:after="0"/>
              <w:rPr>
                <w:sz w:val="2"/>
                <w:szCs w:val="2"/>
                <w:color w:val="auto"/>
              </w:rPr>
            </w:pPr>
          </w:p>
        </w:tc>
        <w:tc>
          <w:tcPr>
            <w:tcW w:w="520" w:type="dxa"/>
            <w:vAlign w:val="bottom"/>
          </w:tcPr>
          <w:p>
            <w:pPr>
              <w:spacing w:after="0"/>
              <w:rPr>
                <w:sz w:val="2"/>
                <w:szCs w:val="2"/>
                <w:color w:val="auto"/>
              </w:rPr>
            </w:pPr>
          </w:p>
        </w:tc>
        <w:tc>
          <w:tcPr>
            <w:tcW w:w="6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Effective as of a pro rata distribution by AnaptysBio to holders of its shares of common stock pursuant to the Separation and Distribution Agreement dated as of April 20, 2026, by and between AnaptysBio and</w:t>
      </w:r>
    </w:p>
    <w:p>
      <w:pPr>
        <w:sectPr>
          <w:pgSz w:w="11900" w:h="16838" w:orient="portrait"/>
          <w:cols w:equalWidth="0" w:num="1">
            <w:col w:w="11080"/>
          </w:cols>
          <w:pgMar w:left="460" w:top="216" w:right="359" w:bottom="0" w:gutter="0" w:footer="0" w:header="0"/>
          <w:type w:val="continuous"/>
        </w:sectPr>
      </w:pPr>
    </w:p>
    <w:bookmarkStart w:id="1" w:name="page2"/>
    <w:bookmarkEnd w:id="1"/>
    <w:p>
      <w:pPr>
        <w:ind w:left="1"/>
        <w:spacing w:after="0" w:line="237" w:lineRule="auto"/>
        <w:rPr>
          <w:sz w:val="20"/>
          <w:szCs w:val="20"/>
          <w:color w:val="auto"/>
        </w:rPr>
      </w:pPr>
      <w:r>
        <w:rPr>
          <w:rFonts w:ascii="Times New Roman" w:cs="Times New Roman" w:eastAsia="Times New Roman" w:hAnsi="Times New Roman"/>
          <w:sz w:val="13"/>
          <w:szCs w:val="13"/>
          <w:color w:val="008000"/>
        </w:rPr>
        <w:t>First Tracks (the "Separation Agreement"), each outstanding option to acquire AnaptysBio shares of common stock was adjusted so that such option became an option to acquire First Tracks shares of common stock and an option to acquire AnaptysBio shares of common stock. As a result, the Reporting Person acquired options to acquire AnaptysBio shares of common stock in an amount determined in accordance with the Separation Agreement.</w:t>
      </w:r>
    </w:p>
    <w:p>
      <w:pPr>
        <w:spacing w:after="0" w:line="26" w:lineRule="exact"/>
        <w:rPr>
          <w:sz w:val="20"/>
          <w:szCs w:val="20"/>
          <w:color w:val="auto"/>
        </w:rPr>
      </w:pPr>
    </w:p>
    <w:p>
      <w:pPr>
        <w:ind w:left="121" w:hanging="121"/>
        <w:spacing w:after="0"/>
        <w:tabs>
          <w:tab w:leader="none" w:pos="12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is fully vested and exercisable.</w:t>
      </w:r>
    </w:p>
    <w:p>
      <w:pPr>
        <w:spacing w:after="0" w:line="40" w:lineRule="exact"/>
        <w:rPr>
          <w:rFonts w:ascii="Times New Roman" w:cs="Times New Roman" w:eastAsia="Times New Roman" w:hAnsi="Times New Roman"/>
          <w:sz w:val="13"/>
          <w:szCs w:val="13"/>
          <w:color w:val="008000"/>
        </w:rPr>
      </w:pPr>
    </w:p>
    <w:p>
      <w:pPr>
        <w:ind w:left="121" w:hanging="121"/>
        <w:spacing w:after="0"/>
        <w:tabs>
          <w:tab w:leader="none" w:pos="121"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vests as to 1/12 of the total shares monthly commencing on February 6, 2026 until fully vested, subject to the Reporting Person's provision of service to the Issuer on each vesting date.</w:t>
      </w:r>
    </w:p>
    <w:p>
      <w:pPr>
        <w:spacing w:after="0" w:line="60" w:lineRule="exact"/>
        <w:rPr>
          <w:sz w:val="20"/>
          <w:szCs w:val="20"/>
          <w:color w:val="auto"/>
        </w:rPr>
      </w:pPr>
    </w:p>
    <w:tbl>
      <w:tblPr>
        <w:tblLayout w:type="fixed"/>
        <w:tblInd w:w="6561" w:type="dxa"/>
        <w:tblCellMar>
          <w:top w:w="0" w:type="dxa"/>
          <w:left w:w="0" w:type="dxa"/>
          <w:bottom w:w="0" w:type="dxa"/>
          <w:right w:w="0" w:type="dxa"/>
        </w:tblCellMar>
      </w:tblPr>
      <w:tr>
        <w:trPr>
          <w:trHeight w:val="184"/>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rPr>
              <w:t>/s/ Dan Faga, Attorney-in-Fact</w:t>
            </w:r>
          </w:p>
        </w:tc>
        <w:tc>
          <w:tcPr>
            <w:tcW w:w="180" w:type="dxa"/>
            <w:vAlign w:val="bottom"/>
          </w:tcPr>
          <w:p>
            <w:pPr>
              <w:spacing w:after="0"/>
              <w:rPr>
                <w:sz w:val="16"/>
                <w:szCs w:val="16"/>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0000FF"/>
                <w:w w:val="98"/>
              </w:rPr>
              <w:t>04/22/2026</w:t>
            </w:r>
          </w:p>
        </w:tc>
      </w:tr>
      <w:tr>
        <w:trPr>
          <w:trHeight w:val="223"/>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1"/>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ind w:left="1"/>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left="1" w:right="3560" w:hanging="1"/>
        <w:spacing w:after="0" w:line="330" w:lineRule="auto"/>
        <w:tabs>
          <w:tab w:leader="none" w:pos="134"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1"/>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1"/>
      </w:cols>
      <w:pgMar w:left="499" w:top="127"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77384" TargetMode="External"/><Relationship Id="rId14"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2026-04-22T17:38:43Z</dcterms:created>
  <dcterms:modified xsi:type="dcterms:W3CDTF">2026-04-22T17:38:43Z</dcterms:modified>
</cp:coreProperties>
</file>