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Date of Report: July 21, 2017</w:t>
      </w:r>
    </w:p>
    <w:p>
      <w:pPr>
        <w:spacing w:after="0" w:line="1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tbl>
      <w:tblPr>
        <w:tblLayout w:type="fixed"/>
        <w:tblInd w:w="1440" w:type="dxa"/>
        <w:tblCellMar>
          <w:top w:w="0" w:type="dxa"/>
          <w:left w:w="0" w:type="dxa"/>
          <w:bottom w:w="0" w:type="dxa"/>
          <w:right w:w="0" w:type="dxa"/>
        </w:tblCellMar>
      </w:tblPr>
      <w:tr>
        <w:trPr>
          <w:trHeight w:val="529"/>
        </w:trPr>
        <w:tc>
          <w:tcPr>
            <w:tcW w:w="6500" w:type="dxa"/>
            <w:vAlign w:val="bottom"/>
            <w:gridSpan w:val="3"/>
          </w:tcPr>
          <w:p>
            <w:pPr>
              <w:jc w:val="center"/>
              <w:ind w:left="1949"/>
              <w:spacing w:after="0"/>
              <w:rPr>
                <w:sz w:val="20"/>
                <w:szCs w:val="20"/>
                <w:color w:val="auto"/>
              </w:rPr>
            </w:pPr>
            <w:r>
              <w:rPr>
                <w:rFonts w:ascii="Times New Roman" w:cs="Times New Roman" w:eastAsia="Times New Roman" w:hAnsi="Times New Roman"/>
                <w:sz w:val="43"/>
                <w:szCs w:val="43"/>
                <w:b w:val="1"/>
                <w:bCs w:val="1"/>
                <w:color w:val="auto"/>
              </w:rPr>
              <w:t>ANAPTYSBIO, INC.</w:t>
            </w:r>
          </w:p>
        </w:tc>
        <w:tc>
          <w:tcPr>
            <w:tcW w:w="1280" w:type="dxa"/>
            <w:vAlign w:val="bottom"/>
          </w:tcPr>
          <w:p>
            <w:pPr>
              <w:spacing w:after="0"/>
              <w:rPr>
                <w:sz w:val="24"/>
                <w:szCs w:val="24"/>
                <w:color w:val="auto"/>
              </w:rPr>
            </w:pPr>
          </w:p>
        </w:tc>
      </w:tr>
      <w:tr>
        <w:trPr>
          <w:trHeight w:val="238"/>
        </w:trPr>
        <w:tc>
          <w:tcPr>
            <w:tcW w:w="6500" w:type="dxa"/>
            <w:vAlign w:val="bottom"/>
            <w:gridSpan w:val="3"/>
          </w:tcPr>
          <w:p>
            <w:pPr>
              <w:jc w:val="center"/>
              <w:ind w:left="196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280" w:type="dxa"/>
            <w:vAlign w:val="bottom"/>
          </w:tcPr>
          <w:p>
            <w:pPr>
              <w:spacing w:after="0"/>
              <w:rPr>
                <w:sz w:val="20"/>
                <w:szCs w:val="20"/>
                <w:color w:val="auto"/>
              </w:rPr>
            </w:pPr>
          </w:p>
        </w:tc>
      </w:tr>
      <w:tr>
        <w:trPr>
          <w:trHeight w:val="365"/>
        </w:trPr>
        <w:tc>
          <w:tcPr>
            <w:tcW w:w="30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01"/>
        </w:trPr>
        <w:tc>
          <w:tcPr>
            <w:tcW w:w="3080" w:type="dxa"/>
            <w:vAlign w:val="bottom"/>
          </w:tcPr>
          <w:p>
            <w:pPr>
              <w:spacing w:after="0"/>
              <w:rPr>
                <w:sz w:val="24"/>
                <w:szCs w:val="24"/>
                <w:color w:val="auto"/>
              </w:rPr>
            </w:pPr>
          </w:p>
        </w:tc>
        <w:tc>
          <w:tcPr>
            <w:tcW w:w="342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80" w:type="dxa"/>
            <w:vAlign w:val="bottom"/>
          </w:tcPr>
          <w:p>
            <w:pPr>
              <w:spacing w:after="0"/>
              <w:rPr>
                <w:sz w:val="24"/>
                <w:szCs w:val="24"/>
                <w:color w:val="auto"/>
              </w:rPr>
            </w:pPr>
          </w:p>
        </w:tc>
      </w:tr>
      <w:tr>
        <w:trPr>
          <w:trHeight w:val="190"/>
        </w:trPr>
        <w:tc>
          <w:tcPr>
            <w:tcW w:w="6500" w:type="dxa"/>
            <w:vAlign w:val="bottom"/>
            <w:gridSpan w:val="3"/>
          </w:tcPr>
          <w:p>
            <w:pPr>
              <w:jc w:val="center"/>
              <w:ind w:left="194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1280" w:type="dxa"/>
            <w:vAlign w:val="bottom"/>
          </w:tcPr>
          <w:p>
            <w:pPr>
              <w:spacing w:after="0"/>
              <w:rPr>
                <w:sz w:val="16"/>
                <w:szCs w:val="16"/>
                <w:color w:val="auto"/>
              </w:rPr>
            </w:pPr>
          </w:p>
        </w:tc>
      </w:tr>
      <w:tr>
        <w:trPr>
          <w:trHeight w:val="417"/>
        </w:trPr>
        <w:tc>
          <w:tcPr>
            <w:tcW w:w="3080" w:type="dxa"/>
            <w:vAlign w:val="bottom"/>
          </w:tcPr>
          <w:p>
            <w:pPr>
              <w:jc w:val="center"/>
              <w:ind w:right="89"/>
              <w:spacing w:after="0"/>
              <w:rPr>
                <w:sz w:val="20"/>
                <w:szCs w:val="20"/>
                <w:color w:val="auto"/>
              </w:rPr>
            </w:pPr>
            <w:r>
              <w:rPr>
                <w:rFonts w:ascii="Times New Roman" w:cs="Times New Roman" w:eastAsia="Times New Roman" w:hAnsi="Times New Roman"/>
                <w:sz w:val="18"/>
                <w:szCs w:val="18"/>
                <w:b w:val="1"/>
                <w:bCs w:val="1"/>
                <w:color w:val="auto"/>
                <w:w w:val="99"/>
              </w:rPr>
              <w:t>001-37985</w:t>
            </w:r>
          </w:p>
        </w:tc>
        <w:tc>
          <w:tcPr>
            <w:tcW w:w="2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20-3828755</w:t>
            </w:r>
          </w:p>
        </w:tc>
      </w:tr>
      <w:tr>
        <w:trPr>
          <w:trHeight w:val="149"/>
        </w:trPr>
        <w:tc>
          <w:tcPr>
            <w:tcW w:w="6500" w:type="dxa"/>
            <w:vAlign w:val="bottom"/>
            <w:gridSpan w:val="3"/>
          </w:tcPr>
          <w:p>
            <w:pPr>
              <w:jc w:val="center"/>
              <w:ind w:right="36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280" w:type="dxa"/>
            <w:vAlign w:val="bottom"/>
          </w:tcPr>
          <w:p>
            <w:pPr>
              <w:jc w:val="center"/>
              <w:ind w:left="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500" w:type="dxa"/>
            <w:vAlign w:val="bottom"/>
            <w:gridSpan w:val="3"/>
          </w:tcPr>
          <w:p>
            <w:pPr>
              <w:jc w:val="center"/>
              <w:ind w:right="3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280" w:type="dxa"/>
            <w:vAlign w:val="bottom"/>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6500" w:type="dxa"/>
            <w:vAlign w:val="bottom"/>
            <w:gridSpan w:val="3"/>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rPr>
              <w:t>AnaptysBio, Inc.</w:t>
            </w:r>
          </w:p>
        </w:tc>
        <w:tc>
          <w:tcPr>
            <w:tcW w:w="1280" w:type="dxa"/>
            <w:vAlign w:val="bottom"/>
          </w:tcPr>
          <w:p>
            <w:pPr>
              <w:spacing w:after="0"/>
              <w:rPr>
                <w:sz w:val="24"/>
                <w:szCs w:val="24"/>
                <w:color w:val="auto"/>
              </w:rPr>
            </w:pPr>
          </w:p>
        </w:tc>
      </w:tr>
      <w:tr>
        <w:trPr>
          <w:trHeight w:val="216"/>
        </w:trPr>
        <w:tc>
          <w:tcPr>
            <w:tcW w:w="6500" w:type="dxa"/>
            <w:vAlign w:val="bottom"/>
            <w:gridSpan w:val="3"/>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rPr>
              <w:t>10421 Pacific Center Court, Suite 200</w:t>
            </w:r>
          </w:p>
        </w:tc>
        <w:tc>
          <w:tcPr>
            <w:tcW w:w="1280" w:type="dxa"/>
            <w:vAlign w:val="bottom"/>
          </w:tcPr>
          <w:p>
            <w:pPr>
              <w:spacing w:after="0"/>
              <w:rPr>
                <w:sz w:val="18"/>
                <w:szCs w:val="18"/>
                <w:color w:val="auto"/>
              </w:rPr>
            </w:pPr>
          </w:p>
        </w:tc>
      </w:tr>
      <w:tr>
        <w:trPr>
          <w:trHeight w:val="227"/>
        </w:trPr>
        <w:tc>
          <w:tcPr>
            <w:tcW w:w="6500" w:type="dxa"/>
            <w:vAlign w:val="bottom"/>
            <w:gridSpan w:val="3"/>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rPr>
              <w:t>San Diego, CA</w:t>
            </w:r>
          </w:p>
        </w:tc>
        <w:tc>
          <w:tcPr>
            <w:tcW w:w="12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90"/>
        </w:trPr>
        <w:tc>
          <w:tcPr>
            <w:tcW w:w="6500" w:type="dxa"/>
            <w:vAlign w:val="bottom"/>
            <w:gridSpan w:val="3"/>
          </w:tcPr>
          <w:p>
            <w:pPr>
              <w:jc w:val="center"/>
              <w:ind w:right="36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80" w:type="dxa"/>
            <w:vAlign w:val="bottom"/>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5460" w:type="dxa"/>
            <w:vAlign w:val="bottom"/>
            <w:gridSpan w:val="2"/>
          </w:tcPr>
          <w:p>
            <w:pPr>
              <w:jc w:val="center"/>
              <w:ind w:left="3009"/>
              <w:spacing w:after="0"/>
              <w:rPr>
                <w:sz w:val="20"/>
                <w:szCs w:val="20"/>
                <w:color w:val="auto"/>
              </w:rPr>
            </w:pPr>
            <w:r>
              <w:rPr>
                <w:rFonts w:ascii="Times New Roman" w:cs="Times New Roman" w:eastAsia="Times New Roman" w:hAnsi="Times New Roman"/>
                <w:sz w:val="18"/>
                <w:szCs w:val="18"/>
                <w:b w:val="1"/>
                <w:bCs w:val="1"/>
                <w:color w:val="auto"/>
                <w:w w:val="99"/>
              </w:rPr>
              <w:t>(858) 362-6295</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0"/>
        </w:trPr>
        <w:tc>
          <w:tcPr>
            <w:tcW w:w="6500" w:type="dxa"/>
            <w:vAlign w:val="bottom"/>
            <w:gridSpan w:val="3"/>
          </w:tcPr>
          <w:p>
            <w:pPr>
              <w:jc w:val="center"/>
              <w:ind w:left="196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280" w:type="dxa"/>
            <w:vAlign w:val="bottom"/>
          </w:tcPr>
          <w:p>
            <w:pPr>
              <w:spacing w:after="0"/>
              <w:rPr>
                <w:sz w:val="16"/>
                <w:szCs w:val="16"/>
                <w:color w:val="auto"/>
              </w:rPr>
            </w:pPr>
          </w:p>
        </w:tc>
      </w:tr>
      <w:tr>
        <w:trPr>
          <w:trHeight w:val="390"/>
        </w:trPr>
        <w:tc>
          <w:tcPr>
            <w:tcW w:w="3080" w:type="dxa"/>
            <w:vAlign w:val="bottom"/>
          </w:tcPr>
          <w:p>
            <w:pPr>
              <w:spacing w:after="0"/>
              <w:rPr>
                <w:sz w:val="24"/>
                <w:szCs w:val="24"/>
                <w:color w:val="auto"/>
              </w:rPr>
            </w:pPr>
          </w:p>
        </w:tc>
        <w:tc>
          <w:tcPr>
            <w:tcW w:w="342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280" w:type="dxa"/>
            <w:vAlign w:val="bottom"/>
          </w:tcPr>
          <w:p>
            <w:pPr>
              <w:spacing w:after="0"/>
              <w:rPr>
                <w:sz w:val="24"/>
                <w:szCs w:val="24"/>
                <w:color w:val="auto"/>
              </w:rPr>
            </w:pPr>
          </w:p>
        </w:tc>
      </w:tr>
      <w:tr>
        <w:trPr>
          <w:trHeight w:val="190"/>
        </w:trPr>
        <w:tc>
          <w:tcPr>
            <w:tcW w:w="6500" w:type="dxa"/>
            <w:vAlign w:val="bottom"/>
            <w:gridSpan w:val="3"/>
          </w:tcPr>
          <w:p>
            <w:pPr>
              <w:jc w:val="center"/>
              <w:ind w:left="196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2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212090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460"/>
        <w:spacing w:after="0" w:line="207" w:lineRule="exact"/>
        <w:tabs>
          <w:tab w:leader="none" w:pos="26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ind w:firstLine="456"/>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362" w:right="459" w:bottom="1440" w:gutter="0" w:footer="0" w:header="0"/>
        </w:sectPr>
      </w:pPr>
    </w:p>
    <w:bookmarkStart w:id="1" w:name="page2"/>
    <w:bookmarkEnd w:id="1"/>
    <w:p>
      <w:pPr>
        <w:ind w:left="114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1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July 21, 2017, Matthew Moyle, the Chief Scientific Officer of AnaptysBio, Inc. (“AnaptysBio”), notified AnaptysBio of his decision to resign, effective immediately.</w:t>
      </w:r>
    </w:p>
    <w:p>
      <w:pPr>
        <w:spacing w:after="0" w:line="16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In connection with Mr. Moyle’s resignation, AnaptysBio and Mr. Moyle have entered into a separation agreement that provides for severance consistent with the terms of Mr. Moyle’s employment agreement dated March 22, 2016 consisting of (i) cash payments equivalent to nine months of his base salary and</w:t>
      </w:r>
    </w:p>
    <w:p>
      <w:pPr>
        <w:spacing w:after="0" w:line="1" w:lineRule="exact"/>
        <w:rPr>
          <w:sz w:val="20"/>
          <w:szCs w:val="20"/>
          <w:color w:val="auto"/>
        </w:rPr>
      </w:pPr>
    </w:p>
    <w:p>
      <w:pPr>
        <w:ind w:right="300" w:firstLine="8"/>
        <w:spacing w:after="0" w:line="261"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Mr. Moyle’s timely election to continue his existing COBRA benefits, continued premium payments for such benefits for a period of up to nine months, in exchange for Mr. Moyle’s delivery of an effective general release and waiver of any claims against AnaptysBio by Mr. Moyle.</w:t>
      </w:r>
    </w:p>
    <w:p>
      <w:pPr>
        <w:sectPr>
          <w:pgSz w:w="11900" w:h="16838" w:orient="portrait"/>
          <w:cols w:equalWidth="0" w:num="1">
            <w:col w:w="11300"/>
          </w:cols>
          <w:pgMar w:left="240" w:top="266"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80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ANAPTYSBIO, INC.</w:t>
            </w:r>
          </w:p>
        </w:tc>
      </w:tr>
      <w:tr>
        <w:trPr>
          <w:trHeight w:val="43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July 27, 2017</w:t>
            </w:r>
          </w:p>
        </w:tc>
        <w:tc>
          <w:tcPr>
            <w:tcW w:w="27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Dominic Piscitelli</w:t>
            </w:r>
          </w:p>
        </w:tc>
      </w:tr>
      <w:tr>
        <w:trPr>
          <w:trHeight w:val="198"/>
        </w:trPr>
        <w:tc>
          <w:tcPr>
            <w:tcW w:w="3620" w:type="dxa"/>
            <w:vAlign w:val="bottom"/>
          </w:tcPr>
          <w:p>
            <w:pPr>
              <w:spacing w:after="0"/>
              <w:rPr>
                <w:sz w:val="17"/>
                <w:szCs w:val="17"/>
                <w:color w:val="auto"/>
              </w:rPr>
            </w:pPr>
          </w:p>
        </w:tc>
        <w:tc>
          <w:tcPr>
            <w:tcW w:w="2780" w:type="dxa"/>
            <w:vAlign w:val="bottom"/>
          </w:tcPr>
          <w:p>
            <w:pPr>
              <w:ind w:left="22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Dominic Piscitelli</w:t>
            </w:r>
          </w:p>
        </w:tc>
      </w:tr>
      <w:tr>
        <w:trPr>
          <w:trHeight w:val="234"/>
        </w:trPr>
        <w:tc>
          <w:tcPr>
            <w:tcW w:w="3620" w:type="dxa"/>
            <w:vAlign w:val="bottom"/>
          </w:tcPr>
          <w:p>
            <w:pPr>
              <w:spacing w:after="0"/>
              <w:rPr>
                <w:sz w:val="20"/>
                <w:szCs w:val="20"/>
                <w:color w:val="auto"/>
              </w:rPr>
            </w:pPr>
          </w:p>
        </w:tc>
        <w:tc>
          <w:tcPr>
            <w:tcW w:w="27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2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2019-12-07T03:15:45Z</dcterms:created>
  <dcterms:modified xsi:type="dcterms:W3CDTF">2019-12-07T03:15:45Z</dcterms:modified>
</cp:coreProperties>
</file>