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EcoR1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ANAPTYSBIO,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304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03/08/2021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5"/>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8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03/08/2021</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91"/>
              </w:rPr>
              <w:t>2,777,800</w:t>
            </w:r>
            <w:r>
              <w:rPr>
                <w:rFonts w:ascii="Arial" w:cs="Arial" w:eastAsia="Arial" w:hAnsi="Arial"/>
                <w:sz w:val="22"/>
                <w:szCs w:val="22"/>
                <w:color w:val="008000"/>
                <w:w w:val="91"/>
                <w:vertAlign w:val="superscript"/>
              </w:rPr>
              <w:t>(2)</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40" w:type="dxa"/>
            <w:vAlign w:val="bottom"/>
            <w:gridSpan w:val="4"/>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18.9698</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6,620,624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8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03/09/2021</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940" w:type="dxa"/>
            <w:vAlign w:val="bottom"/>
            <w:vMerge w:val="restart"/>
          </w:tcPr>
          <w:p>
            <w:pPr>
              <w:jc w:val="center"/>
              <w:ind w:right="31"/>
              <w:spacing w:after="0"/>
              <w:rPr>
                <w:sz w:val="20"/>
                <w:szCs w:val="20"/>
                <w:color w:val="auto"/>
              </w:rPr>
            </w:pPr>
            <w:r>
              <w:rPr>
                <w:rFonts w:ascii="Arial" w:cs="Arial" w:eastAsia="Arial" w:hAnsi="Arial"/>
                <w:sz w:val="17"/>
                <w:szCs w:val="17"/>
                <w:color w:val="0000FF"/>
              </w:rPr>
              <w:t>531,000</w:t>
            </w:r>
            <w:r>
              <w:rPr>
                <w:rFonts w:ascii="Arial" w:cs="Arial" w:eastAsia="Arial" w:hAnsi="Arial"/>
                <w:sz w:val="22"/>
                <w:szCs w:val="22"/>
                <w:color w:val="008000"/>
                <w:vertAlign w:val="superscript"/>
              </w:rPr>
              <w:t>(3)</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40" w:type="dxa"/>
            <w:vAlign w:val="bottom"/>
            <w:gridSpan w:val="4"/>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18.6976</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7,151,624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persons (the "Filers") are EcoR1 Capital, LLC ("EcoR1"), Oleg Nodelman and EcoR1 Capital Fund Qualified, L.P. ("Qualified Fund"). EcoR1 is the investment adviser and general partner of private funds, including Qualified Fund (collectively, the "Funds"). Mr. Nodelman is the manager and controlling owner of EcoR1. EcoR1 is filing this Form 4 for itself, Mr. Nodelman and Qualified Fund. The Filers are filing this Form 4 jointly, but not as a group, and each expressly disclaims membership in a group within the meaning of Rule 13d-5(b) under the Securities Exchange Act of 1934, as amended. The Funds hold these securities directly for the benefit of their investors. EcoR1 indirectly beneficially owns them as the investment adviser to the Funds, and Mr. Nodelman indirectly beneficially owns them as the control person of EcoR1. The Filers disclaim beneficial ownership of such securities except to the extent of their pecuniary interest therein.</w:t>
      </w:r>
    </w:p>
    <w:p>
      <w:pPr>
        <w:spacing w:after="0" w:line="15"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Qualified Fund purchased 2,333,073 shares of the Common Stock purchased in this transaction. After this transaction, Qualified Fund held 5,559,279 shares of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Qualified Fund purchased 445,987 shares of the Common Stock purchased in this transaction. After this transaction, Qualified Fund held 6,005,266 shares of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Oleg Nodelman, Manager of</w:t>
            </w: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03/10/2021</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EcoR1 Capital, LLC</w:t>
            </w:r>
          </w:p>
        </w:tc>
        <w:tc>
          <w:tcPr>
            <w:tcW w:w="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7114"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2021-03-10T16:54:27Z</dcterms:created>
  <dcterms:modified xsi:type="dcterms:W3CDTF">2021-03-10T16:54:27Z</dcterms:modified>
</cp:coreProperties>
</file>