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611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11060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76"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Lizzul Paul F.</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ANAPTYSBIO,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6"/>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394" w:lineRule="exact"/>
        <w:rPr>
          <w:sz w:val="24"/>
          <w:szCs w:val="24"/>
          <w:color w:val="auto"/>
        </w:rPr>
      </w:pPr>
    </w:p>
    <w:p>
      <w:pPr>
        <w:sectPr>
          <w:pgSz w:w="11900" w:h="16838" w:orient="portrait"/>
          <w:cols w:equalWidth="0" w:num="3">
            <w:col w:w="3180" w:space="720"/>
            <w:col w:w="3114" w:space="720"/>
            <w:col w:w="3346"/>
          </w:cols>
          <w:pgMar w:left="460" w:top="216" w:right="359" w:bottom="76"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7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9"/>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4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92121</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2"/>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671"/>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01/03/2025</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60"/>
              <w:spacing w:after="0"/>
              <w:rPr>
                <w:sz w:val="20"/>
                <w:szCs w:val="20"/>
                <w:color w:val="auto"/>
              </w:rPr>
            </w:pPr>
            <w:r>
              <w:rPr>
                <w:rFonts w:ascii="Times New Roman" w:cs="Times New Roman" w:eastAsia="Times New Roman" w:hAnsi="Times New Roman"/>
                <w:sz w:val="16"/>
                <w:szCs w:val="16"/>
                <w:color w:val="0000FF"/>
              </w:rPr>
              <w:t>10,555</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1"/>
                <w:szCs w:val="11"/>
                <w:color w:val="008000"/>
                <w:w w:val="93"/>
              </w:rPr>
              <w:t>(1)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26,095</w:t>
            </w:r>
            <w:r>
              <w:rPr>
                <w:rFonts w:ascii="Times New Roman" w:cs="Times New Roman" w:eastAsia="Times New Roman" w:hAnsi="Times New Roman"/>
                <w:sz w:val="21"/>
                <w:szCs w:val="21"/>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01/03/2025</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60"/>
              <w:spacing w:after="0" w:line="304" w:lineRule="exact"/>
              <w:rPr>
                <w:sz w:val="20"/>
                <w:szCs w:val="20"/>
                <w:color w:val="auto"/>
              </w:rPr>
            </w:pPr>
            <w:r>
              <w:rPr>
                <w:rFonts w:ascii="Times New Roman" w:cs="Times New Roman" w:eastAsia="Times New Roman" w:hAnsi="Times New Roman"/>
                <w:sz w:val="32"/>
                <w:szCs w:val="32"/>
                <w:color w:val="0000FF"/>
                <w:w w:val="84"/>
                <w:vertAlign w:val="subscript"/>
              </w:rPr>
              <w:t>4,336</w:t>
            </w:r>
            <w:r>
              <w:rPr>
                <w:rFonts w:ascii="Times New Roman" w:cs="Times New Roman" w:eastAsia="Times New Roman" w:hAnsi="Times New Roman"/>
                <w:sz w:val="11"/>
                <w:szCs w:val="11"/>
                <w:color w:val="008000"/>
                <w:w w:val="84"/>
              </w:rPr>
              <w:t>(3)(4)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21,759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01/06/2025</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0000FF"/>
              </w:rPr>
              <w:t>6,145</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left="13"/>
              <w:spacing w:after="0"/>
              <w:rPr>
                <w:sz w:val="20"/>
                <w:szCs w:val="20"/>
                <w:color w:val="auto"/>
              </w:rPr>
            </w:pPr>
            <w:r>
              <w:rPr>
                <w:rFonts w:ascii="Times New Roman" w:cs="Times New Roman" w:eastAsia="Times New Roman" w:hAnsi="Times New Roman"/>
                <w:sz w:val="11"/>
                <w:szCs w:val="11"/>
                <w:color w:val="008000"/>
                <w:w w:val="93"/>
              </w:rPr>
              <w:t>(1)</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27,904</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01/06/2025</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60"/>
              <w:spacing w:after="0" w:line="304" w:lineRule="exact"/>
              <w:rPr>
                <w:sz w:val="20"/>
                <w:szCs w:val="20"/>
                <w:color w:val="auto"/>
              </w:rPr>
            </w:pPr>
            <w:r>
              <w:rPr>
                <w:rFonts w:ascii="Times New Roman" w:cs="Times New Roman" w:eastAsia="Times New Roman" w:hAnsi="Times New Roman"/>
                <w:sz w:val="32"/>
                <w:szCs w:val="32"/>
                <w:color w:val="0000FF"/>
                <w:w w:val="84"/>
                <w:vertAlign w:val="subscript"/>
              </w:rPr>
              <w:t>2,261</w:t>
            </w:r>
            <w:r>
              <w:rPr>
                <w:rFonts w:ascii="Times New Roman" w:cs="Times New Roman" w:eastAsia="Times New Roman" w:hAnsi="Times New Roman"/>
                <w:sz w:val="11"/>
                <w:szCs w:val="11"/>
                <w:color w:val="008000"/>
                <w:w w:val="84"/>
              </w:rPr>
              <w:t>(3)(4)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25,643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8)</w:t>
            </w: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01/03/2025</w:t>
            </w:r>
          </w:p>
        </w:tc>
        <w:tc>
          <w:tcPr>
            <w:tcW w:w="1080" w:type="dxa"/>
            <w:vAlign w:val="bottom"/>
          </w:tcPr>
          <w:p>
            <w:pPr>
              <w:spacing w:after="0"/>
              <w:rPr>
                <w:sz w:val="19"/>
                <w:szCs w:val="19"/>
                <w:color w:val="auto"/>
              </w:rPr>
            </w:pPr>
          </w:p>
        </w:tc>
        <w:tc>
          <w:tcPr>
            <w:tcW w:w="76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0000FF"/>
              </w:rPr>
              <w:t>10,555</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10,555</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31,665</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01/06/2025</w:t>
            </w:r>
          </w:p>
        </w:tc>
        <w:tc>
          <w:tcPr>
            <w:tcW w:w="1080" w:type="dxa"/>
            <w:vAlign w:val="bottom"/>
          </w:tcPr>
          <w:p>
            <w:pPr>
              <w:spacing w:after="0"/>
              <w:rPr>
                <w:sz w:val="15"/>
                <w:szCs w:val="15"/>
                <w:color w:val="auto"/>
              </w:rPr>
            </w:pPr>
          </w:p>
        </w:tc>
        <w:tc>
          <w:tcPr>
            <w:tcW w:w="760" w:type="dxa"/>
            <w:vAlign w:val="bottom"/>
            <w:gridSpan w:val="2"/>
            <w:vMerge w:val="restart"/>
          </w:tcPr>
          <w:p>
            <w:pPr>
              <w:jc w:val="center"/>
              <w:ind w:right="257"/>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0000FF"/>
              </w:rPr>
              <w:t>6,145</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6,145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12,290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01/07/2025</w:t>
            </w:r>
          </w:p>
        </w:tc>
        <w:tc>
          <w:tcPr>
            <w:tcW w:w="1080" w:type="dxa"/>
            <w:vAlign w:val="bottom"/>
          </w:tcPr>
          <w:p>
            <w:pPr>
              <w:spacing w:after="0"/>
              <w:rPr>
                <w:sz w:val="19"/>
                <w:szCs w:val="19"/>
                <w:color w:val="auto"/>
              </w:rPr>
            </w:pPr>
          </w:p>
        </w:tc>
        <w:tc>
          <w:tcPr>
            <w:tcW w:w="76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34,100</w:t>
            </w:r>
          </w:p>
        </w:tc>
        <w:tc>
          <w:tcPr>
            <w:tcW w:w="52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34,100</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34,100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01/07/2025</w:t>
            </w:r>
          </w:p>
        </w:tc>
        <w:tc>
          <w:tcPr>
            <w:tcW w:w="1080" w:type="dxa"/>
            <w:vAlign w:val="bottom"/>
          </w:tcPr>
          <w:p>
            <w:pPr>
              <w:spacing w:after="0"/>
              <w:rPr>
                <w:sz w:val="16"/>
                <w:szCs w:val="16"/>
                <w:color w:val="auto"/>
              </w:rPr>
            </w:pPr>
          </w:p>
        </w:tc>
        <w:tc>
          <w:tcPr>
            <w:tcW w:w="76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97,200</w:t>
            </w:r>
          </w:p>
        </w:tc>
        <w:tc>
          <w:tcPr>
            <w:tcW w:w="5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01/06/2035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97,200</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97,200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ind w:left="12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142 shares acquired under the Company's ESPP.</w:t>
      </w:r>
    </w:p>
    <w:p>
      <w:pPr>
        <w:spacing w:after="0" w:line="40" w:lineRule="exact"/>
        <w:rPr>
          <w:rFonts w:ascii="Times New Roman" w:cs="Times New Roman" w:eastAsia="Times New Roman" w:hAnsi="Times New Roman"/>
          <w:sz w:val="13"/>
          <w:szCs w:val="13"/>
          <w:color w:val="008000"/>
        </w:rPr>
      </w:pPr>
    </w:p>
    <w:p>
      <w:pPr>
        <w:ind w:left="40" w:right="4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a portion of the tax withholding obligation in connection with the vesting of RSUs and do not represent discretionary transactions by the Reporting Person. Following the transactions reflecting in this Form 4, no additional transactions are expected to satisfy the Reporting Person's tax withholding obligation.</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did not sell or otherwise dispose of any of the shares with respect to the vesting of RSUs reported on this Form 4 for any reason other than to cover required taxes.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spacing w:after="0" w:line="40" w:lineRule="exact"/>
        <w:rPr>
          <w:rFonts w:ascii="Times New Roman" w:cs="Times New Roman" w:eastAsia="Times New Roman" w:hAnsi="Times New Roman"/>
          <w:sz w:val="13"/>
          <w:szCs w:val="13"/>
          <w:color w:val="008000"/>
        </w:rPr>
      </w:pPr>
    </w:p>
    <w:p>
      <w:pPr>
        <w:ind w:left="40" w:right="3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7, 2026, and thereafter vests as to 1/48 of the total shares monthly until fully vested, subject to the Reporting Person's provision of service to the Issuer on each vesting date.</w:t>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Eric Loumeau, Attorney-in-</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01/07/2025</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2025-01-07T16:38:58Z</dcterms:created>
  <dcterms:modified xsi:type="dcterms:W3CDTF">2025-01-07T16:38:58Z</dcterms:modified>
</cp:coreProperties>
</file>