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28, 2019</w:t>
      </w:r>
    </w:p>
    <w:p>
      <w:pPr>
        <w:spacing w:after="0" w:line="117" w:lineRule="exact"/>
        <w:rPr>
          <w:sz w:val="24"/>
          <w:szCs w:val="24"/>
          <w:color w:val="auto"/>
        </w:rPr>
      </w:pPr>
    </w:p>
    <w:p>
      <w:pPr>
        <w:ind w:left="8940"/>
        <w:spacing w:after="0"/>
        <w:rPr>
          <w:sz w:val="20"/>
          <w:szCs w:val="20"/>
          <w:color w:val="auto"/>
        </w:rPr>
      </w:pPr>
      <w:r>
        <w:rPr>
          <w:rFonts w:ascii="Arial" w:cs="Arial" w:eastAsia="Arial" w:hAnsi="Arial"/>
          <w:sz w:val="18"/>
          <w:szCs w:val="18"/>
          <w:b w:val="1"/>
          <w:bCs w:val="1"/>
          <w:color w:val="auto"/>
        </w:rPr>
        <w:t>Registration No. 333-_____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UNDER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ANAPTYSBIO, INC.</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tbl>
      <w:tblPr>
        <w:tblLayout w:type="fixed"/>
        <w:tblInd w:w="1920" w:type="dxa"/>
        <w:tblCellMar>
          <w:top w:w="0" w:type="dxa"/>
          <w:left w:w="0" w:type="dxa"/>
          <w:bottom w:w="0" w:type="dxa"/>
          <w:right w:w="0" w:type="dxa"/>
        </w:tblCellMar>
      </w:tblPr>
      <w:tr>
        <w:trPr>
          <w:trHeight w:val="234"/>
        </w:trPr>
        <w:tc>
          <w:tcPr>
            <w:tcW w:w="3960" w:type="dxa"/>
            <w:vAlign w:val="bottom"/>
          </w:tcPr>
          <w:p>
            <w:pPr>
              <w:jc w:val="center"/>
              <w:ind w:right="2002"/>
              <w:spacing w:after="0"/>
              <w:rPr>
                <w:sz w:val="20"/>
                <w:szCs w:val="20"/>
                <w:color w:val="auto"/>
              </w:rPr>
            </w:pPr>
            <w:r>
              <w:rPr>
                <w:rFonts w:ascii="Arial" w:cs="Arial" w:eastAsia="Arial" w:hAnsi="Arial"/>
                <w:sz w:val="18"/>
                <w:szCs w:val="18"/>
                <w:b w:val="1"/>
                <w:bCs w:val="1"/>
                <w:color w:val="auto"/>
                <w:w w:val="91"/>
              </w:rPr>
              <w:t>Delaware</w:t>
            </w:r>
          </w:p>
        </w:tc>
        <w:tc>
          <w:tcPr>
            <w:tcW w:w="3520" w:type="dxa"/>
            <w:vAlign w:val="bottom"/>
          </w:tcPr>
          <w:p>
            <w:pPr>
              <w:jc w:val="center"/>
              <w:ind w:left="2022"/>
              <w:spacing w:after="0"/>
              <w:rPr>
                <w:sz w:val="20"/>
                <w:szCs w:val="20"/>
                <w:color w:val="auto"/>
              </w:rPr>
            </w:pPr>
            <w:r>
              <w:rPr>
                <w:rFonts w:ascii="Arial" w:cs="Arial" w:eastAsia="Arial" w:hAnsi="Arial"/>
                <w:sz w:val="18"/>
                <w:szCs w:val="18"/>
                <w:b w:val="1"/>
                <w:bCs w:val="1"/>
                <w:color w:val="auto"/>
                <w:w w:val="89"/>
              </w:rPr>
              <w:t>20-3828755</w:t>
            </w:r>
          </w:p>
        </w:tc>
      </w:tr>
      <w:tr>
        <w:trPr>
          <w:trHeight w:val="180"/>
        </w:trPr>
        <w:tc>
          <w:tcPr>
            <w:tcW w:w="3960" w:type="dxa"/>
            <w:vAlign w:val="bottom"/>
          </w:tcPr>
          <w:p>
            <w:pPr>
              <w:jc w:val="center"/>
              <w:ind w:right="2002"/>
              <w:spacing w:after="0"/>
              <w:rPr>
                <w:sz w:val="20"/>
                <w:szCs w:val="20"/>
                <w:color w:val="auto"/>
              </w:rPr>
            </w:pPr>
            <w:r>
              <w:rPr>
                <w:rFonts w:ascii="Arial" w:cs="Arial" w:eastAsia="Arial" w:hAnsi="Arial"/>
                <w:sz w:val="14"/>
                <w:szCs w:val="14"/>
                <w:b w:val="1"/>
                <w:bCs w:val="1"/>
                <w:color w:val="auto"/>
                <w:w w:val="93"/>
              </w:rPr>
              <w:t>(State or other jurisdiction of</w:t>
            </w:r>
          </w:p>
        </w:tc>
        <w:tc>
          <w:tcPr>
            <w:tcW w:w="3520" w:type="dxa"/>
            <w:vAlign w:val="bottom"/>
          </w:tcPr>
          <w:p>
            <w:pPr>
              <w:jc w:val="center"/>
              <w:ind w:left="200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960" w:type="dxa"/>
            <w:vAlign w:val="bottom"/>
          </w:tcPr>
          <w:p>
            <w:pPr>
              <w:jc w:val="center"/>
              <w:ind w:right="2002"/>
              <w:spacing w:after="0"/>
              <w:rPr>
                <w:sz w:val="20"/>
                <w:szCs w:val="20"/>
                <w:color w:val="auto"/>
              </w:rPr>
            </w:pPr>
            <w:r>
              <w:rPr>
                <w:rFonts w:ascii="Arial" w:cs="Arial" w:eastAsia="Arial" w:hAnsi="Arial"/>
                <w:sz w:val="14"/>
                <w:szCs w:val="14"/>
                <w:b w:val="1"/>
                <w:bCs w:val="1"/>
                <w:color w:val="auto"/>
                <w:w w:val="94"/>
              </w:rPr>
              <w:t>incorporation or organization)</w:t>
            </w:r>
          </w:p>
        </w:tc>
        <w:tc>
          <w:tcPr>
            <w:tcW w:w="3520" w:type="dxa"/>
            <w:vAlign w:val="bottom"/>
          </w:tcPr>
          <w:p>
            <w:pPr>
              <w:jc w:val="center"/>
              <w:ind w:left="202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10421 Pacific Center Court, Suite 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362-6295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2017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2017 Employee Stock Purchase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plans)</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Hamza Suria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10421 Pacific Center Court, 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362-6295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Please send copies of all communications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Robert A. Freedman,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Fenwick &amp; West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555 California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 94104</w:t>
      </w:r>
    </w:p>
    <w:p>
      <w:pPr>
        <w:spacing w:after="0" w:line="9"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875-2300</w:t>
      </w:r>
    </w:p>
    <w:p>
      <w:pPr>
        <w:spacing w:after="0" w:line="9" w:lineRule="exact"/>
        <w:rPr>
          <w:rFonts w:ascii="Arial" w:cs="Arial" w:eastAsia="Arial" w:hAnsi="Arial"/>
          <w:sz w:val="18"/>
          <w:szCs w:val="18"/>
          <w:b w:val="1"/>
          <w:bCs w:val="1"/>
          <w:color w:val="auto"/>
        </w:rPr>
      </w:pPr>
    </w:p>
    <w:p>
      <w:pPr>
        <w:ind w:left="4820"/>
        <w:spacing w:after="0"/>
        <w:rPr>
          <w:rFonts w:ascii="Arial" w:cs="Arial" w:eastAsia="Arial" w:hAnsi="Arial"/>
          <w:sz w:val="18"/>
          <w:szCs w:val="18"/>
          <w:b w:val="1"/>
          <w:bCs w:val="1"/>
          <w:color w:val="auto"/>
        </w:rPr>
      </w:pPr>
      <w:r>
        <w:rPr>
          <w:rFonts w:ascii="Arial" w:cs="Arial" w:eastAsia="Arial" w:hAnsi="Arial"/>
          <w:sz w:val="16"/>
          <w:szCs w:val="16"/>
          <w:b w:val="1"/>
          <w:bCs w:val="1"/>
          <w:u w:val="single" w:color="auto"/>
          <w:color w:val="auto"/>
        </w:rPr>
        <w:t>______________________</w:t>
      </w:r>
    </w:p>
    <w:p>
      <w:pPr>
        <w:spacing w:after="0" w:line="59" w:lineRule="exact"/>
        <w:rPr>
          <w:sz w:val="24"/>
          <w:szCs w:val="24"/>
          <w:color w:val="auto"/>
        </w:rPr>
      </w:pPr>
    </w:p>
    <w:p>
      <w:pPr>
        <w:jc w:val="both"/>
        <w:spacing w:after="0" w:line="263"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3"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20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40" w:type="dxa"/>
            <w:vAlign w:val="bottom"/>
          </w:tcPr>
          <w:p>
            <w:pPr>
              <w:ind w:left="740"/>
              <w:spacing w:after="0"/>
              <w:rPr>
                <w:sz w:val="20"/>
                <w:szCs w:val="20"/>
                <w:color w:val="auto"/>
              </w:rPr>
            </w:pPr>
            <w:r>
              <w:rPr>
                <w:rFonts w:ascii="Arial" w:cs="Arial" w:eastAsia="Arial" w:hAnsi="Arial"/>
                <w:sz w:val="14"/>
                <w:szCs w:val="14"/>
                <w:color w:val="auto"/>
              </w:rPr>
              <w:t>x</w:t>
            </w:r>
          </w:p>
        </w:tc>
        <w:tc>
          <w:tcPr>
            <w:tcW w:w="4880" w:type="dxa"/>
            <w:vAlign w:val="bottom"/>
          </w:tcPr>
          <w:p>
            <w:pPr>
              <w:ind w:left="2680"/>
              <w:spacing w:after="0"/>
              <w:rPr>
                <w:sz w:val="20"/>
                <w:szCs w:val="20"/>
                <w:color w:val="auto"/>
              </w:rPr>
            </w:pPr>
            <w:r>
              <w:rPr>
                <w:rFonts w:ascii="Arial" w:cs="Arial" w:eastAsia="Arial" w:hAnsi="Arial"/>
                <w:sz w:val="14"/>
                <w:szCs w:val="14"/>
                <w:color w:val="auto"/>
              </w:rPr>
              <w:t>Accelerated filer</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19"/>
        </w:trPr>
        <w:tc>
          <w:tcPr>
            <w:tcW w:w="2020" w:type="dxa"/>
            <w:vAlign w:val="bottom"/>
          </w:tcPr>
          <w:p>
            <w:pPr>
              <w:spacing w:after="0"/>
              <w:rPr>
                <w:sz w:val="20"/>
                <w:szCs w:val="20"/>
                <w:color w:val="auto"/>
              </w:rPr>
            </w:pPr>
            <w:r>
              <w:rPr>
                <w:rFonts w:ascii="Arial" w:cs="Arial" w:eastAsia="Arial" w:hAnsi="Arial"/>
                <w:sz w:val="14"/>
                <w:szCs w:val="14"/>
                <w:color w:val="auto"/>
              </w:rPr>
              <w:t>Non-accelerated filer</w:t>
            </w:r>
          </w:p>
        </w:tc>
        <w:tc>
          <w:tcPr>
            <w:tcW w:w="354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680"/>
              <w:spacing w:after="0"/>
              <w:rPr>
                <w:sz w:val="20"/>
                <w:szCs w:val="20"/>
                <w:color w:val="auto"/>
              </w:rPr>
            </w:pPr>
            <w:r>
              <w:rPr>
                <w:rFonts w:ascii="Arial" w:cs="Arial" w:eastAsia="Arial" w:hAnsi="Arial"/>
                <w:sz w:val="14"/>
                <w:szCs w:val="14"/>
                <w:color w:val="auto"/>
              </w:rPr>
              <w:t>Smaller reporting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92"/>
        </w:trPr>
        <w:tc>
          <w:tcPr>
            <w:tcW w:w="20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880" w:type="dxa"/>
            <w:vAlign w:val="bottom"/>
          </w:tcPr>
          <w:p>
            <w:pPr>
              <w:ind w:left="2680"/>
              <w:spacing w:after="0"/>
              <w:rPr>
                <w:sz w:val="20"/>
                <w:szCs w:val="20"/>
                <w:color w:val="auto"/>
              </w:rPr>
            </w:pPr>
            <w:r>
              <w:rPr>
                <w:rFonts w:ascii="Arial" w:cs="Arial" w:eastAsia="Arial" w:hAnsi="Arial"/>
                <w:sz w:val="14"/>
                <w:szCs w:val="14"/>
                <w:color w:val="auto"/>
              </w:rPr>
              <w:t>Emerging growth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62" w:lineRule="exact"/>
        <w:rPr>
          <w:sz w:val="24"/>
          <w:szCs w:val="24"/>
          <w:color w:val="auto"/>
        </w:rPr>
      </w:pPr>
    </w:p>
    <w:p>
      <w:pPr>
        <w:sectPr>
          <w:pgSz w:w="11900" w:h="16838" w:orient="portrait"/>
          <w:cols w:equalWidth="0" w:num="1">
            <w:col w:w="11420"/>
          </w:cols>
          <w:pgMar w:left="240" w:top="229" w:right="239" w:bottom="1440" w:gutter="0" w:footer="0" w:header="0"/>
        </w:sectPr>
      </w:pPr>
    </w:p>
    <w:p>
      <w:pPr>
        <w:ind w:left="40" w:right="12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7(a)(2)(B) of the Securities Act. [ ]</w:t>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6"/>
          <w:szCs w:val="16"/>
          <w:b w:val="1"/>
          <w:bCs w:val="1"/>
          <w:color w:val="auto"/>
        </w:rPr>
        <w:t>CALCULATION OF REGISTRATION FEE</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5320" w:type="dxa"/>
            <w:vAlign w:val="bottom"/>
            <w:tcBorders>
              <w:top w:val="single" w:sz="8" w:color="auto"/>
              <w:left w:val="single" w:sz="8" w:color="auto"/>
            </w:tcBorders>
            <w:vMerge w:val="restart"/>
          </w:tcPr>
          <w:p>
            <w:pPr>
              <w:ind w:left="2200"/>
              <w:spacing w:after="0"/>
              <w:rPr>
                <w:sz w:val="20"/>
                <w:szCs w:val="20"/>
                <w:color w:val="auto"/>
              </w:rPr>
            </w:pPr>
            <w:r>
              <w:rPr>
                <w:rFonts w:ascii="Arial" w:cs="Arial" w:eastAsia="Arial" w:hAnsi="Arial"/>
                <w:sz w:val="14"/>
                <w:szCs w:val="14"/>
                <w:b w:val="1"/>
                <w:bCs w:val="1"/>
                <w:color w:val="auto"/>
              </w:rPr>
              <w:t>Title of Securities</w:t>
            </w:r>
          </w:p>
        </w:tc>
        <w:tc>
          <w:tcPr>
            <w:tcW w:w="14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 To Be</w:t>
            </w: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Proposed Maximum</w:t>
            </w:r>
          </w:p>
        </w:tc>
        <w:tc>
          <w:tcPr>
            <w:tcW w:w="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1"/>
              </w:rPr>
              <w:t>Proposed Maximum</w:t>
            </w: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vMerge w:val="restart"/>
          </w:tcPr>
          <w:p>
            <w:pPr>
              <w:jc w:val="right"/>
              <w:ind w:right="288"/>
              <w:spacing w:after="0"/>
              <w:rPr>
                <w:sz w:val="20"/>
                <w:szCs w:val="20"/>
                <w:color w:val="auto"/>
              </w:rPr>
            </w:pPr>
            <w:r>
              <w:rPr>
                <w:rFonts w:ascii="Arial" w:cs="Arial" w:eastAsia="Arial" w:hAnsi="Arial"/>
                <w:sz w:val="14"/>
                <w:szCs w:val="14"/>
                <w:b w:val="1"/>
                <w:bCs w:val="1"/>
                <w:color w:val="auto"/>
              </w:rPr>
              <w:t>Amount of</w:t>
            </w:r>
          </w:p>
        </w:tc>
        <w:tc>
          <w:tcPr>
            <w:tcW w:w="1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320" w:type="dxa"/>
            <w:vAlign w:val="bottom"/>
            <w:tcBorders>
              <w:left w:val="single" w:sz="8" w:color="auto"/>
            </w:tcBorders>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0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Aggregate Offering</w:t>
            </w:r>
          </w:p>
        </w:tc>
        <w:tc>
          <w:tcPr>
            <w:tcW w:w="1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320" w:type="dxa"/>
            <w:vAlign w:val="bottom"/>
            <w:tcBorders>
              <w:left w:val="single" w:sz="8" w:color="auto"/>
            </w:tcBorders>
          </w:tcPr>
          <w:p>
            <w:pPr>
              <w:ind w:left="2200"/>
              <w:spacing w:after="0"/>
              <w:rPr>
                <w:sz w:val="20"/>
                <w:szCs w:val="20"/>
                <w:color w:val="auto"/>
              </w:rPr>
            </w:pPr>
            <w:r>
              <w:rPr>
                <w:rFonts w:ascii="Arial" w:cs="Arial" w:eastAsia="Arial" w:hAnsi="Arial"/>
                <w:sz w:val="14"/>
                <w:szCs w:val="14"/>
                <w:b w:val="1"/>
                <w:bCs w:val="1"/>
                <w:color w:val="auto"/>
              </w:rPr>
              <w:t>To Be Registered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 xml:space="preserve">Registered </w:t>
            </w:r>
            <w:r>
              <w:rPr>
                <w:rFonts w:ascii="Arial" w:cs="Arial" w:eastAsia="Arial" w:hAnsi="Arial"/>
                <w:sz w:val="8"/>
                <w:szCs w:val="8"/>
                <w:b w:val="1"/>
                <w:bCs w:val="1"/>
                <w:color w:val="auto"/>
                <w:w w:val="92"/>
              </w:rPr>
              <w:t>(1)</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b w:val="1"/>
                <w:bCs w:val="1"/>
                <w:color w:val="auto"/>
                <w:w w:val="92"/>
              </w:rPr>
              <w:t>Registration Fee</w:t>
            </w: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2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w w:val="94"/>
              </w:rPr>
              <w:t>Common Stock, $0.001 par value per share, reserved for issuance pursuant to the 2017</w:t>
            </w:r>
          </w:p>
        </w:tc>
        <w:tc>
          <w:tcPr>
            <w:tcW w:w="1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32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Equity Incentive Plan</w:t>
            </w:r>
          </w:p>
        </w:tc>
        <w:tc>
          <w:tcPr>
            <w:tcW w:w="1480" w:type="dxa"/>
            <w:vAlign w:val="bottom"/>
          </w:tcPr>
          <w:p>
            <w:pPr>
              <w:jc w:val="center"/>
              <w:ind w:left="88"/>
              <w:spacing w:after="0"/>
              <w:rPr>
                <w:sz w:val="20"/>
                <w:szCs w:val="20"/>
                <w:color w:val="auto"/>
              </w:rPr>
            </w:pPr>
            <w:r>
              <w:rPr>
                <w:rFonts w:ascii="Arial" w:cs="Arial" w:eastAsia="Arial" w:hAnsi="Arial"/>
                <w:sz w:val="14"/>
                <w:szCs w:val="14"/>
                <w:color w:val="auto"/>
                <w:w w:val="94"/>
              </w:rPr>
              <w:t>1,076,877</w:t>
            </w:r>
            <w:r>
              <w:rPr>
                <w:rFonts w:ascii="Arial" w:cs="Arial" w:eastAsia="Arial" w:hAnsi="Arial"/>
                <w:sz w:val="8"/>
                <w:szCs w:val="8"/>
                <w:color w:val="auto"/>
                <w:w w:val="94"/>
              </w:rPr>
              <w:t>(2)</w:t>
            </w:r>
          </w:p>
        </w:tc>
        <w:tc>
          <w:tcPr>
            <w:tcW w:w="1600" w:type="dxa"/>
            <w:vAlign w:val="bottom"/>
          </w:tcPr>
          <w:p>
            <w:pPr>
              <w:jc w:val="center"/>
              <w:spacing w:after="0"/>
              <w:rPr>
                <w:sz w:val="20"/>
                <w:szCs w:val="20"/>
                <w:color w:val="auto"/>
              </w:rPr>
            </w:pPr>
            <w:r>
              <w:rPr>
                <w:rFonts w:ascii="Arial" w:cs="Arial" w:eastAsia="Arial" w:hAnsi="Arial"/>
                <w:sz w:val="14"/>
                <w:szCs w:val="14"/>
                <w:color w:val="auto"/>
                <w:w w:val="94"/>
              </w:rPr>
              <w:t>$68.70</w:t>
            </w:r>
            <w:r>
              <w:rPr>
                <w:rFonts w:ascii="Arial" w:cs="Arial" w:eastAsia="Arial" w:hAnsi="Arial"/>
                <w:sz w:val="8"/>
                <w:szCs w:val="8"/>
                <w:color w:val="auto"/>
                <w:w w:val="94"/>
              </w:rPr>
              <w:t>(3)</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73,976,066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8,966</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2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w w:val="94"/>
              </w:rPr>
              <w:t>Common Stock, $0.001 par value per share, reserved for issuance pursuant to the 2017</w:t>
            </w:r>
          </w:p>
        </w:tc>
        <w:tc>
          <w:tcPr>
            <w:tcW w:w="1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32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Employee Stock Purchase Plan</w:t>
            </w:r>
          </w:p>
        </w:tc>
        <w:tc>
          <w:tcPr>
            <w:tcW w:w="148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5"/>
              </w:rPr>
              <w:t>269,219</w:t>
            </w:r>
            <w:r>
              <w:rPr>
                <w:rFonts w:ascii="Arial" w:cs="Arial" w:eastAsia="Arial" w:hAnsi="Arial"/>
                <w:sz w:val="8"/>
                <w:szCs w:val="8"/>
                <w:color w:val="auto"/>
                <w:w w:val="95"/>
              </w:rPr>
              <w:t>(4)</w:t>
            </w:r>
          </w:p>
        </w:tc>
        <w:tc>
          <w:tcPr>
            <w:tcW w:w="1600" w:type="dxa"/>
            <w:vAlign w:val="bottom"/>
          </w:tcPr>
          <w:p>
            <w:pPr>
              <w:jc w:val="center"/>
              <w:spacing w:after="0"/>
              <w:rPr>
                <w:sz w:val="20"/>
                <w:szCs w:val="20"/>
                <w:color w:val="auto"/>
              </w:rPr>
            </w:pPr>
            <w:r>
              <w:rPr>
                <w:rFonts w:ascii="Arial" w:cs="Arial" w:eastAsia="Arial" w:hAnsi="Arial"/>
                <w:sz w:val="14"/>
                <w:szCs w:val="14"/>
                <w:color w:val="auto"/>
                <w:w w:val="94"/>
              </w:rPr>
              <w:t>$58.39</w:t>
            </w:r>
            <w:r>
              <w:rPr>
                <w:rFonts w:ascii="Arial" w:cs="Arial" w:eastAsia="Arial" w:hAnsi="Arial"/>
                <w:sz w:val="8"/>
                <w:szCs w:val="8"/>
                <w:color w:val="auto"/>
                <w:w w:val="94"/>
              </w:rPr>
              <w:t>(5)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15,719,899</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1,905</w:t>
            </w: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532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Common Stock, $0.001 par value per share</w:t>
            </w:r>
          </w:p>
        </w:tc>
        <w:tc>
          <w:tcPr>
            <w:tcW w:w="148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3"/>
              </w:rPr>
              <w:t>1,346,096</w:t>
            </w:r>
          </w:p>
        </w:tc>
        <w:tc>
          <w:tcPr>
            <w:tcW w:w="16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89,695,965</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10,871</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20" w:type="dxa"/>
            <w:vAlign w:val="bottom"/>
            <w:tcBorders>
              <w:left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320" w:type="dxa"/>
            <w:vAlign w:val="bottom"/>
            <w:tcBorders>
              <w:left w:val="single" w:sz="8" w:color="auto"/>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left="340" w:right="20" w:hanging="332"/>
        <w:spacing w:after="0" w:line="257"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Pursuant to Rule 416(a) under the Securities Act of 1933, as amended (the “Securities Act”), this Registration Statement shall also cover any additional shares of the Registrant’s Common Stock that becomes issuable under the Registrant’s 2017 Equity Incentive Plan by reason of any stock dividend, stock split, recapitalization or other similar transaction effected without the receipt of consideration that increases the number of the Registrant’s outstanding shares of Common Stock.</w:t>
      </w:r>
    </w:p>
    <w:p>
      <w:pPr>
        <w:spacing w:after="0" w:line="23" w:lineRule="exact"/>
        <w:rPr>
          <w:rFonts w:ascii="Arial" w:cs="Arial" w:eastAsia="Arial" w:hAnsi="Arial"/>
          <w:sz w:val="14"/>
          <w:szCs w:val="14"/>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additional shares reserved for issuance under the 2017 Equity Incentive Plan as of the date of this Registration Statement.</w:t>
      </w:r>
    </w:p>
    <w:p>
      <w:pPr>
        <w:spacing w:after="0" w:line="55" w:lineRule="exact"/>
        <w:rPr>
          <w:rFonts w:ascii="Arial" w:cs="Arial" w:eastAsia="Arial" w:hAnsi="Arial"/>
          <w:sz w:val="14"/>
          <w:szCs w:val="14"/>
          <w:color w:val="auto"/>
        </w:rPr>
      </w:pPr>
    </w:p>
    <w:p>
      <w:pPr>
        <w:ind w:left="340" w:right="40" w:hanging="332"/>
        <w:spacing w:after="0" w:line="273"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Calculated solely for the purposes of this offering under Rules 457(c) and (h) of the Securities Act on the basis of the average of the high and low prices of the Registrant’s Common Stock as reported on the Nasdaq Global Market on February 25, 2019.</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additional shares reserved for issuance under the 2017 Employee Stock Purchase Plan as of the date of this Registration Statement.</w:t>
      </w:r>
    </w:p>
    <w:p>
      <w:pPr>
        <w:spacing w:after="0" w:line="55" w:lineRule="exact"/>
        <w:rPr>
          <w:rFonts w:ascii="Arial" w:cs="Arial" w:eastAsia="Arial" w:hAnsi="Arial"/>
          <w:sz w:val="14"/>
          <w:szCs w:val="14"/>
          <w:color w:val="auto"/>
        </w:rPr>
      </w:pPr>
    </w:p>
    <w:p>
      <w:pPr>
        <w:jc w:val="both"/>
        <w:ind w:left="340" w:right="20" w:hanging="332"/>
        <w:spacing w:after="0" w:line="257"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Calculated solely for the purposes of this offering under Rules 457(c) and (h) of the Securities Act on the basis of the average of the high and low prices of the Registrant’s Common Stock as reported on the Nasdaq Global Market on February 25, 2019. In the case of the 2017 Employee Stock Purchase Plan, this price per share is multiplied by 85%, which is the percentage of the price per share applicable to purchases under the 2017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585" w:right="219" w:bottom="1440" w:gutter="0" w:footer="0" w:header="0"/>
        </w:sectPr>
      </w:pPr>
    </w:p>
    <w:bookmarkStart w:id="2" w:name="page3"/>
    <w:bookmarkEnd w:id="2"/>
    <w:p>
      <w:pPr>
        <w:ind w:left="3860"/>
        <w:spacing w:after="0"/>
        <w:rPr>
          <w:sz w:val="20"/>
          <w:szCs w:val="20"/>
          <w:color w:val="auto"/>
        </w:rPr>
      </w:pPr>
      <w:r>
        <w:rPr>
          <w:rFonts w:ascii="Arial" w:cs="Arial" w:eastAsia="Arial" w:hAnsi="Arial"/>
          <w:sz w:val="18"/>
          <w:szCs w:val="18"/>
          <w:b w:val="1"/>
          <w:bCs w:val="1"/>
          <w:color w:val="auto"/>
        </w:rPr>
        <w:t>REGISTRATION OF ADDITIONAL SHARES</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PURSUANT TO GENERAL INSTRUCTION E</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Pursuant to General Instruction E of Form S-8, AnaptysBio, Inc. (the “Registrant”) is filing this Registration Statement with the Securities and Exchange Commission (the “Commission”) to register 1,076,877 additional shares of Common Stock under the Registrant’s 2017 Equity Incentive Plan (“EIP”), pursuant to the provisions of the EIP providing for an automatic increase in the number of shares reserved for issuance under the EIP, and 269,219 additional shares of Common Stock under the Registrant’s 2017 Employee Stock Purchase Plan (“ESPP”), pursuant to the provisions of the ESPP providing for an automatic increase in the number of shares reserved for issuance under the ESPP. This Registration Statement hereby incorporates by reference the contents of the Registrant’s registration statements on Form S-8 filed with the Commission on January 26, 2017 (Registration No. 333-215741) and March 5, 2018 (Registration No. 333-223446). In accordance with the instructional note to Part I of Form S-8 as promulgated by the Commission, the information specified by Part I of the Form S-8 has been omitted from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364" w:right="319" w:bottom="1440" w:gutter="0" w:footer="0" w:header="0"/>
        </w:sectPr>
      </w:pPr>
    </w:p>
    <w:bookmarkStart w:id="3" w:name="page4"/>
    <w:bookmarkEnd w:id="3"/>
    <w:p>
      <w:pPr>
        <w:jc w:val="center"/>
        <w:ind w:left="112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jc w:val="center"/>
        <w:ind w:left="11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u w:val="single" w:color="auto"/>
          <w:color w:val="auto"/>
        </w:rPr>
        <w:t>Exhibits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Exhibit</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ind w:left="1000"/>
              <w:spacing w:after="0"/>
              <w:rPr>
                <w:sz w:val="20"/>
                <w:szCs w:val="20"/>
                <w:color w:val="auto"/>
              </w:rPr>
            </w:pPr>
            <w:r>
              <w:rPr>
                <w:rFonts w:ascii="Arial" w:cs="Arial" w:eastAsia="Arial" w:hAnsi="Arial"/>
                <w:sz w:val="14"/>
                <w:szCs w:val="14"/>
                <w:b w:val="1"/>
                <w:bCs w:val="1"/>
                <w:color w:val="auto"/>
                <w:w w:val="96"/>
              </w:rPr>
              <w:t>Incorporated by Reference</w:t>
            </w:r>
          </w:p>
        </w:tc>
        <w:tc>
          <w:tcPr>
            <w:tcW w:w="1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10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1040" w:type="dxa"/>
            <w:vAlign w:val="bottom"/>
          </w:tcPr>
          <w:p>
            <w:pPr>
              <w:ind w:left="60"/>
              <w:spacing w:after="0"/>
              <w:rPr>
                <w:sz w:val="20"/>
                <w:szCs w:val="20"/>
                <w:color w:val="auto"/>
              </w:rPr>
            </w:pPr>
            <w:r>
              <w:rPr>
                <w:rFonts w:ascii="Arial" w:cs="Arial" w:eastAsia="Arial" w:hAnsi="Arial"/>
                <w:sz w:val="14"/>
                <w:szCs w:val="14"/>
                <w:b w:val="1"/>
                <w:bCs w:val="1"/>
                <w:color w:val="auto"/>
              </w:rPr>
              <w:t>Number</w:t>
            </w:r>
          </w:p>
        </w:tc>
        <w:tc>
          <w:tcPr>
            <w:tcW w:w="3740" w:type="dxa"/>
            <w:vAlign w:val="bottom"/>
            <w:gridSpan w:val="15"/>
          </w:tcPr>
          <w:p>
            <w:pPr>
              <w:spacing w:after="0"/>
              <w:rPr>
                <w:sz w:val="20"/>
                <w:szCs w:val="20"/>
                <w:color w:val="auto"/>
              </w:rPr>
            </w:pPr>
            <w:r>
              <w:rPr>
                <w:rFonts w:ascii="Arial" w:cs="Arial" w:eastAsia="Arial" w:hAnsi="Arial"/>
                <w:sz w:val="14"/>
                <w:szCs w:val="14"/>
                <w:b w:val="1"/>
                <w:bCs w:val="1"/>
                <w:color w:val="auto"/>
              </w:rPr>
              <w:t>Exhibit Description</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240" w:type="dxa"/>
            <w:vAlign w:val="bottom"/>
          </w:tcPr>
          <w:p>
            <w:pPr>
              <w:spacing w:after="0"/>
              <w:rPr>
                <w:sz w:val="17"/>
                <w:szCs w:val="17"/>
                <w:color w:val="auto"/>
              </w:rPr>
            </w:pPr>
          </w:p>
        </w:tc>
        <w:tc>
          <w:tcPr>
            <w:tcW w:w="14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File No.</w:t>
            </w:r>
          </w:p>
        </w:tc>
        <w:tc>
          <w:tcPr>
            <w:tcW w:w="220" w:type="dxa"/>
            <w:vAlign w:val="bottom"/>
          </w:tcPr>
          <w:p>
            <w:pPr>
              <w:spacing w:after="0"/>
              <w:rPr>
                <w:sz w:val="17"/>
                <w:szCs w:val="17"/>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351"/>
        </w:trPr>
        <w:tc>
          <w:tcPr>
            <w:tcW w:w="1040" w:type="dxa"/>
            <w:vAlign w:val="bottom"/>
          </w:tcPr>
          <w:p>
            <w:pPr>
              <w:spacing w:after="0"/>
              <w:rPr>
                <w:sz w:val="20"/>
                <w:szCs w:val="20"/>
                <w:color w:val="auto"/>
              </w:rPr>
            </w:pPr>
            <w:r>
              <w:rPr>
                <w:rFonts w:ascii="Arial" w:cs="Arial" w:eastAsia="Arial" w:hAnsi="Arial"/>
                <w:sz w:val="18"/>
                <w:szCs w:val="18"/>
                <w:color w:val="auto"/>
              </w:rPr>
              <w:t>4.1</w:t>
            </w:r>
          </w:p>
        </w:tc>
        <w:tc>
          <w:tcPr>
            <w:tcW w:w="3740" w:type="dxa"/>
            <w:vAlign w:val="bottom"/>
            <w:gridSpan w:val="15"/>
          </w:tcPr>
          <w:p>
            <w:pPr>
              <w:spacing w:after="0"/>
              <w:rPr>
                <w:rFonts w:ascii="Arial" w:cs="Arial" w:eastAsia="Arial" w:hAnsi="Arial"/>
                <w:sz w:val="18"/>
                <w:szCs w:val="18"/>
                <w:color w:val="0000FF"/>
              </w:rPr>
            </w:pPr>
            <w:hyperlink r:id="rId15">
              <w:r>
                <w:rPr>
                  <w:rFonts w:ascii="Arial" w:cs="Arial" w:eastAsia="Arial" w:hAnsi="Arial"/>
                  <w:sz w:val="18"/>
                  <w:szCs w:val="18"/>
                  <w:color w:val="0000FF"/>
                </w:rPr>
                <w:t>Amended and Restated Certificate of</w:t>
              </w:r>
            </w:hyperlink>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10-Q</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May 12, 2017</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2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15">
              <w:r>
                <w:rPr>
                  <w:rFonts w:ascii="Arial" w:cs="Arial" w:eastAsia="Arial" w:hAnsi="Arial"/>
                  <w:sz w:val="18"/>
                  <w:szCs w:val="18"/>
                  <w:color w:val="0000FF"/>
                  <w:w w:val="90"/>
                </w:rPr>
                <w:t>Incorporation of the Registrant</w:t>
              </w:r>
            </w:hyperlink>
          </w:p>
        </w:tc>
        <w:tc>
          <w:tcPr>
            <w:tcW w:w="440" w:type="dxa"/>
            <w:vAlign w:val="bottom"/>
            <w:tcBorders>
              <w:top w:val="single" w:sz="8" w:color="0000FF"/>
            </w:tcBorders>
            <w:gridSpan w:val="2"/>
          </w:tcPr>
          <w:p>
            <w:pPr>
              <w:spacing w:after="0"/>
              <w:rPr>
                <w:sz w:val="17"/>
                <w:szCs w:val="17"/>
                <w:color w:val="auto"/>
              </w:rPr>
            </w:pPr>
          </w:p>
        </w:tc>
        <w:tc>
          <w:tcPr>
            <w:tcW w:w="108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4.2</w:t>
            </w:r>
          </w:p>
        </w:tc>
        <w:tc>
          <w:tcPr>
            <w:tcW w:w="3080" w:type="dxa"/>
            <w:vAlign w:val="bottom"/>
            <w:tcBorders>
              <w:bottom w:val="single" w:sz="8" w:color="0000FF"/>
            </w:tcBorders>
            <w:gridSpan w:val="10"/>
          </w:tcPr>
          <w:p>
            <w:pPr>
              <w:spacing w:after="0"/>
              <w:rPr>
                <w:rFonts w:ascii="Arial" w:cs="Arial" w:eastAsia="Arial" w:hAnsi="Arial"/>
                <w:sz w:val="18"/>
                <w:szCs w:val="18"/>
                <w:color w:val="0000FF"/>
                <w:w w:val="90"/>
              </w:rPr>
            </w:pPr>
            <w:hyperlink r:id="rId16">
              <w:r>
                <w:rPr>
                  <w:rFonts w:ascii="Arial" w:cs="Arial" w:eastAsia="Arial" w:hAnsi="Arial"/>
                  <w:sz w:val="18"/>
                  <w:szCs w:val="18"/>
                  <w:color w:val="0000FF"/>
                  <w:w w:val="90"/>
                </w:rPr>
                <w:t>Form of Restated Bylaws of the Registrant</w:t>
              </w:r>
            </w:hyperlink>
          </w:p>
        </w:tc>
        <w:tc>
          <w:tcPr>
            <w:tcW w:w="660" w:type="dxa"/>
            <w:vAlign w:val="bottom"/>
            <w:gridSpan w:val="5"/>
          </w:tcPr>
          <w:p>
            <w:pPr>
              <w:spacing w:after="0"/>
              <w:rPr>
                <w:sz w:val="24"/>
                <w:szCs w:val="2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333-206849</w:t>
            </w:r>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Sep. 9, 2015</w:t>
            </w: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4.3</w:t>
            </w:r>
          </w:p>
        </w:tc>
        <w:tc>
          <w:tcPr>
            <w:tcW w:w="3440" w:type="dxa"/>
            <w:vAlign w:val="bottom"/>
            <w:tcBorders>
              <w:bottom w:val="single" w:sz="8" w:color="0000FF"/>
            </w:tcBorders>
            <w:gridSpan w:val="14"/>
          </w:tcPr>
          <w:p>
            <w:pPr>
              <w:spacing w:after="0"/>
              <w:rPr>
                <w:rFonts w:ascii="Arial" w:cs="Arial" w:eastAsia="Arial" w:hAnsi="Arial"/>
                <w:sz w:val="18"/>
                <w:szCs w:val="18"/>
                <w:color w:val="0000FF"/>
                <w:w w:val="91"/>
              </w:rPr>
            </w:pPr>
            <w:hyperlink r:id="rId17">
              <w:r>
                <w:rPr>
                  <w:rFonts w:ascii="Arial" w:cs="Arial" w:eastAsia="Arial" w:hAnsi="Arial"/>
                  <w:sz w:val="18"/>
                  <w:szCs w:val="18"/>
                  <w:color w:val="0000FF"/>
                  <w:w w:val="91"/>
                </w:rPr>
                <w:t>Form of Registrant’s Common Stock certificate</w:t>
              </w:r>
            </w:hyperlink>
          </w:p>
        </w:tc>
        <w:tc>
          <w:tcPr>
            <w:tcW w:w="300" w:type="dxa"/>
            <w:vAlign w:val="bottom"/>
          </w:tcPr>
          <w:p>
            <w:pPr>
              <w:spacing w:after="0"/>
              <w:rPr>
                <w:sz w:val="24"/>
                <w:szCs w:val="2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333-206849</w:t>
            </w:r>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Dec. 23, 2015</w:t>
            </w: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4.4</w:t>
            </w:r>
          </w:p>
        </w:tc>
        <w:tc>
          <w:tcPr>
            <w:tcW w:w="3740" w:type="dxa"/>
            <w:vAlign w:val="bottom"/>
            <w:gridSpan w:val="15"/>
          </w:tcPr>
          <w:p>
            <w:pPr>
              <w:spacing w:after="0"/>
              <w:rPr>
                <w:rFonts w:ascii="Arial" w:cs="Arial" w:eastAsia="Arial" w:hAnsi="Arial"/>
                <w:sz w:val="18"/>
                <w:szCs w:val="18"/>
                <w:color w:val="0000FF"/>
                <w:w w:val="99"/>
              </w:rPr>
            </w:pPr>
            <w:hyperlink r:id="rId18">
              <w:r>
                <w:rPr>
                  <w:rFonts w:ascii="Arial" w:cs="Arial" w:eastAsia="Arial" w:hAnsi="Arial"/>
                  <w:sz w:val="18"/>
                  <w:szCs w:val="18"/>
                  <w:color w:val="0000FF"/>
                  <w:w w:val="99"/>
                </w:rPr>
                <w:t>2017 Equity Incentive Plan and forms of award</w:t>
              </w:r>
            </w:hyperlink>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333-206849</w:t>
            </w:r>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Jan. 17, 2017</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r:id="rId18">
              <w:r>
                <w:rPr>
                  <w:rFonts w:ascii="Arial" w:cs="Arial" w:eastAsia="Arial" w:hAnsi="Arial"/>
                  <w:sz w:val="18"/>
                  <w:szCs w:val="18"/>
                  <w:color w:val="0000FF"/>
                  <w:w w:val="84"/>
                </w:rPr>
                <w:t>agreements</w:t>
              </w:r>
            </w:hyperlink>
          </w:p>
        </w:tc>
        <w:tc>
          <w:tcPr>
            <w:tcW w:w="2580" w:type="dxa"/>
            <w:vAlign w:val="bottom"/>
            <w:tcBorders>
              <w:top w:val="single" w:sz="8" w:color="0000FF"/>
            </w:tcBorders>
            <w:gridSpan w:val="11"/>
          </w:tcPr>
          <w:p>
            <w:pPr>
              <w:spacing w:after="0"/>
              <w:rPr>
                <w:sz w:val="17"/>
                <w:szCs w:val="17"/>
                <w:color w:val="auto"/>
              </w:rPr>
            </w:pPr>
          </w:p>
        </w:tc>
        <w:tc>
          <w:tcPr>
            <w:tcW w:w="34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4"/>
                <w:szCs w:val="24"/>
                <w:color w:val="auto"/>
              </w:rPr>
            </w:pPr>
          </w:p>
        </w:tc>
        <w:tc>
          <w:tcPr>
            <w:tcW w:w="3420" w:type="dxa"/>
            <w:vAlign w:val="bottom"/>
            <w:tcBorders>
              <w:bottom w:val="single" w:sz="8" w:color="0000FF"/>
            </w:tcBorders>
            <w:gridSpan w:val="13"/>
          </w:tcPr>
          <w:p>
            <w:pPr>
              <w:spacing w:after="0"/>
              <w:rPr>
                <w:rFonts w:ascii="Arial" w:cs="Arial" w:eastAsia="Arial" w:hAnsi="Arial"/>
                <w:sz w:val="18"/>
                <w:szCs w:val="18"/>
                <w:color w:val="0000FF"/>
                <w:w w:val="88"/>
              </w:rPr>
            </w:pPr>
            <w:hyperlink r:id="rId19">
              <w:r>
                <w:rPr>
                  <w:rFonts w:ascii="Arial" w:cs="Arial" w:eastAsia="Arial" w:hAnsi="Arial"/>
                  <w:sz w:val="18"/>
                  <w:szCs w:val="18"/>
                  <w:color w:val="0000FF"/>
                  <w:w w:val="88"/>
                </w:rPr>
                <w:t>2017 Employee Stock Purchase Plan and forms</w:t>
              </w:r>
            </w:hyperlink>
          </w:p>
        </w:tc>
        <w:tc>
          <w:tcPr>
            <w:tcW w:w="32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1500" w:type="dxa"/>
            <w:vAlign w:val="bottom"/>
            <w:tcBorders>
              <w:bottom w:val="single" w:sz="8" w:color="0000FF"/>
            </w:tcBorders>
            <w:gridSpan w:val="4"/>
          </w:tcPr>
          <w:p>
            <w:pPr>
              <w:spacing w:after="0" w:line="196" w:lineRule="exact"/>
              <w:rPr>
                <w:rFonts w:ascii="Arial" w:cs="Arial" w:eastAsia="Arial" w:hAnsi="Arial"/>
                <w:sz w:val="18"/>
                <w:szCs w:val="18"/>
                <w:color w:val="0000FF"/>
                <w:w w:val="87"/>
              </w:rPr>
            </w:pPr>
            <w:hyperlink r:id="rId19">
              <w:r>
                <w:rPr>
                  <w:rFonts w:ascii="Arial" w:cs="Arial" w:eastAsia="Arial" w:hAnsi="Arial"/>
                  <w:sz w:val="18"/>
                  <w:szCs w:val="18"/>
                  <w:color w:val="0000FF"/>
                  <w:w w:val="87"/>
                </w:rPr>
                <w:t>of award agreements</w:t>
              </w:r>
            </w:hyperlink>
          </w:p>
        </w:tc>
        <w:tc>
          <w:tcPr>
            <w:tcW w:w="2240" w:type="dxa"/>
            <w:vAlign w:val="bottom"/>
            <w:gridSpan w:val="11"/>
          </w:tcPr>
          <w:p>
            <w:pPr>
              <w:spacing w:after="0"/>
              <w:rPr>
                <w:sz w:val="17"/>
                <w:szCs w:val="17"/>
                <w:color w:val="auto"/>
              </w:rPr>
            </w:pPr>
          </w:p>
        </w:tc>
        <w:tc>
          <w:tcPr>
            <w:tcW w:w="920" w:type="dxa"/>
            <w:vAlign w:val="bottom"/>
            <w:gridSpan w:val="2"/>
          </w:tcPr>
          <w:p>
            <w:pPr>
              <w:jc w:val="center"/>
              <w:ind w:right="240"/>
              <w:spacing w:after="0" w:line="196" w:lineRule="exact"/>
              <w:rPr>
                <w:sz w:val="20"/>
                <w:szCs w:val="20"/>
                <w:color w:val="auto"/>
              </w:rPr>
            </w:pPr>
            <w:r>
              <w:rPr>
                <w:rFonts w:ascii="Arial" w:cs="Arial" w:eastAsia="Arial" w:hAnsi="Arial"/>
                <w:sz w:val="18"/>
                <w:szCs w:val="18"/>
                <w:color w:val="auto"/>
                <w:w w:val="85"/>
              </w:rPr>
              <w:t>S-1</w:t>
            </w: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333-206849</w:t>
            </w:r>
          </w:p>
        </w:tc>
        <w:tc>
          <w:tcPr>
            <w:tcW w:w="22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220" w:type="dxa"/>
            <w:vAlign w:val="bottom"/>
          </w:tcPr>
          <w:p>
            <w:pPr>
              <w:spacing w:after="0"/>
              <w:rPr>
                <w:sz w:val="17"/>
                <w:szCs w:val="17"/>
                <w:color w:val="auto"/>
              </w:rPr>
            </w:pPr>
          </w:p>
        </w:tc>
        <w:tc>
          <w:tcPr>
            <w:tcW w:w="1820" w:type="dxa"/>
            <w:vAlign w:val="bottom"/>
          </w:tcPr>
          <w:p>
            <w:pPr>
              <w:jc w:val="center"/>
              <w:spacing w:after="0" w:line="196" w:lineRule="exact"/>
              <w:rPr>
                <w:sz w:val="20"/>
                <w:szCs w:val="20"/>
                <w:color w:val="auto"/>
              </w:rPr>
            </w:pPr>
            <w:r>
              <w:rPr>
                <w:rFonts w:ascii="Arial" w:cs="Arial" w:eastAsia="Arial" w:hAnsi="Arial"/>
                <w:sz w:val="18"/>
                <w:szCs w:val="18"/>
                <w:color w:val="auto"/>
                <w:w w:val="87"/>
              </w:rPr>
              <w:t>Jan. 17, 2017</w:t>
            </w: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5.1</w:t>
            </w:r>
          </w:p>
        </w:tc>
        <w:tc>
          <w:tcPr>
            <w:tcW w:w="2400" w:type="dxa"/>
            <w:vAlign w:val="bottom"/>
            <w:tcBorders>
              <w:bottom w:val="single" w:sz="8" w:color="0000FF"/>
            </w:tcBorders>
            <w:gridSpan w:val="7"/>
          </w:tcPr>
          <w:p>
            <w:pPr>
              <w:spacing w:after="0"/>
              <w:rPr>
                <w:rFonts w:ascii="Arial" w:cs="Arial" w:eastAsia="Arial" w:hAnsi="Arial"/>
                <w:sz w:val="18"/>
                <w:szCs w:val="18"/>
                <w:color w:val="0000FF"/>
                <w:w w:val="94"/>
              </w:rPr>
            </w:pPr>
            <w:hyperlink w:anchor="page6">
              <w:r>
                <w:rPr>
                  <w:rFonts w:ascii="Arial" w:cs="Arial" w:eastAsia="Arial" w:hAnsi="Arial"/>
                  <w:sz w:val="18"/>
                  <w:szCs w:val="18"/>
                  <w:color w:val="0000FF"/>
                  <w:w w:val="94"/>
                </w:rPr>
                <w:t>Opinion of Fenwick &amp; West LLP</w:t>
              </w:r>
            </w:hyperlink>
          </w:p>
        </w:tc>
        <w:tc>
          <w:tcPr>
            <w:tcW w:w="1340" w:type="dxa"/>
            <w:vAlign w:val="bottom"/>
            <w:gridSpan w:val="8"/>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3740" w:type="dxa"/>
            <w:vAlign w:val="bottom"/>
            <w:gridSpan w:val="1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Consent of Fenwick &amp; West LLP (contained in</w:t>
              </w:r>
            </w:hyperlink>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3"/>
              </w:rPr>
            </w:pPr>
            <w:hyperlink w:anchor="page6">
              <w:r>
                <w:rPr>
                  <w:rFonts w:ascii="Arial" w:cs="Arial" w:eastAsia="Arial" w:hAnsi="Arial"/>
                  <w:sz w:val="18"/>
                  <w:szCs w:val="18"/>
                  <w:color w:val="0000FF"/>
                  <w:w w:val="93"/>
                </w:rPr>
                <w:t>Exhibit 5.1)</w:t>
              </w:r>
            </w:hyperlink>
          </w:p>
        </w:tc>
        <w:tc>
          <w:tcPr>
            <w:tcW w:w="2520" w:type="dxa"/>
            <w:vAlign w:val="bottom"/>
            <w:tcBorders>
              <w:top w:val="single" w:sz="8" w:color="0000FF"/>
            </w:tcBorders>
            <w:gridSpan w:val="9"/>
          </w:tcPr>
          <w:p>
            <w:pPr>
              <w:spacing w:after="0"/>
              <w:rPr>
                <w:sz w:val="17"/>
                <w:szCs w:val="17"/>
                <w:color w:val="auto"/>
              </w:rPr>
            </w:pPr>
          </w:p>
        </w:tc>
        <w:tc>
          <w:tcPr>
            <w:tcW w:w="36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23.2</w:t>
            </w:r>
          </w:p>
        </w:tc>
        <w:tc>
          <w:tcPr>
            <w:tcW w:w="3740" w:type="dxa"/>
            <w:vAlign w:val="bottom"/>
            <w:gridSpan w:val="15"/>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Consent of KPMG, independent registered</w:t>
              </w:r>
            </w:hyperlink>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3"/>
              </w:rPr>
            </w:pPr>
            <w:hyperlink w:anchor="page8">
              <w:r>
                <w:rPr>
                  <w:rFonts w:ascii="Arial" w:cs="Arial" w:eastAsia="Arial" w:hAnsi="Arial"/>
                  <w:sz w:val="18"/>
                  <w:szCs w:val="18"/>
                  <w:color w:val="0000FF"/>
                  <w:w w:val="93"/>
                </w:rPr>
                <w:t>public accounting firm</w:t>
              </w:r>
            </w:hyperlink>
          </w:p>
        </w:tc>
        <w:tc>
          <w:tcPr>
            <w:tcW w:w="1420" w:type="dxa"/>
            <w:vAlign w:val="bottom"/>
            <w:tcBorders>
              <w:top w:val="single" w:sz="8" w:color="0000FF"/>
            </w:tcBorders>
            <w:gridSpan w:val="4"/>
          </w:tcPr>
          <w:p>
            <w:pPr>
              <w:spacing w:after="0"/>
              <w:rPr>
                <w:sz w:val="17"/>
                <w:szCs w:val="17"/>
                <w:color w:val="auto"/>
              </w:rPr>
            </w:pPr>
          </w:p>
        </w:tc>
        <w:tc>
          <w:tcPr>
            <w:tcW w:w="68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24.1</w:t>
            </w:r>
          </w:p>
        </w:tc>
        <w:tc>
          <w:tcPr>
            <w:tcW w:w="13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Power of Attorney</w:t>
              </w:r>
            </w:hyperlink>
          </w:p>
        </w:tc>
        <w:tc>
          <w:tcPr>
            <w:tcW w:w="2400" w:type="dxa"/>
            <w:vAlign w:val="bottom"/>
            <w:gridSpan w:val="12"/>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10300" w:space="380"/>
            <w:col w:w="580"/>
          </w:cols>
          <w:pgMar w:left="240" w:top="364"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this 28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February, 2019.</w:t>
      </w:r>
    </w:p>
    <w:p>
      <w:pPr>
        <w:spacing w:after="0" w:line="7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AnaptysBio, Inc.</w:t>
      </w:r>
    </w:p>
    <w:p>
      <w:pPr>
        <w:spacing w:after="0" w:line="33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-10160</wp:posOffset>
            </wp:positionV>
            <wp:extent cx="8445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84455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Hamza Suria</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the undersigned officers and directors of AnaptysBio, Inc., a Delaware corporation, do</w:t>
      </w:r>
      <w:r>
        <w:rPr>
          <w:rFonts w:ascii="Arial" w:cs="Arial" w:eastAsia="Arial" w:hAnsi="Arial"/>
          <w:sz w:val="16"/>
          <w:szCs w:val="16"/>
          <w:b w:val="1"/>
          <w:bCs w:val="1"/>
          <w:color w:val="auto"/>
        </w:rPr>
        <w:t xml:space="preserve"> </w:t>
      </w:r>
      <w:r>
        <w:rPr>
          <w:rFonts w:ascii="Arial" w:cs="Arial" w:eastAsia="Arial" w:hAnsi="Arial"/>
          <w:sz w:val="16"/>
          <w:szCs w:val="16"/>
          <w:color w:val="auto"/>
        </w:rPr>
        <w:t>hereby constitute and appoint Hamza Suria and Dominic G. Piscitelli, and each of them, the lawful attorneys-in-fact and agents with full power and authority to do any and all acts and things and to execute any and all instruments which said attorneys and agents, and any one of them, determine may be necessary or advisable or required to enable said corporation to comply with the Securities Act of 1933, as amended, and any rules or regulations or requirements of the Securities and Exchange Commission in connection with this Registration Statement. Without limiting the generality of the foregoing power and authority, the powers granted include the power and authority to sign the names of the undersigned officers and directors in the capacities indicated below to this Registration Statement, to any and all amendments, both pre-effective and post-effective, and supplements to this Registration Statement, and to any and all instruments or documents filed as part of or in conjunction with this Registration Statement or amendments or supplements thereof, and each of the undersigned hereby ratifies and confirms that all said attorneys and agents, or any one of them, shall do or cause to be done by virtue hereof.</w:t>
      </w:r>
    </w:p>
    <w:p>
      <w:pPr>
        <w:spacing w:after="0" w:line="16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behalf of the Registrant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60" w:type="dxa"/>
            <w:vAlign w:val="bottom"/>
          </w:tcPr>
          <w:p>
            <w:pPr>
              <w:spacing w:after="0"/>
              <w:rPr>
                <w:sz w:val="16"/>
                <w:szCs w:val="16"/>
                <w:color w:val="auto"/>
              </w:rPr>
            </w:pPr>
          </w:p>
        </w:tc>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320" w:type="dxa"/>
            <w:vAlign w:val="bottom"/>
          </w:tcPr>
          <w:p>
            <w:pPr>
              <w:spacing w:after="0"/>
              <w:rPr>
                <w:sz w:val="16"/>
                <w:szCs w:val="16"/>
                <w:color w:val="auto"/>
              </w:rPr>
            </w:pPr>
          </w:p>
        </w:tc>
        <w:tc>
          <w:tcPr>
            <w:tcW w:w="19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Date</w:t>
            </w:r>
          </w:p>
        </w:tc>
      </w:tr>
      <w:tr>
        <w:trPr>
          <w:trHeight w:val="418"/>
        </w:trPr>
        <w:tc>
          <w:tcPr>
            <w:tcW w:w="4000" w:type="dxa"/>
            <w:vAlign w:val="bottom"/>
          </w:tcPr>
          <w:p>
            <w:pPr>
              <w:jc w:val="center"/>
              <w:spacing w:after="0"/>
              <w:rPr>
                <w:sz w:val="20"/>
                <w:szCs w:val="20"/>
                <w:color w:val="auto"/>
              </w:rPr>
            </w:pPr>
            <w:r>
              <w:rPr>
                <w:rFonts w:ascii="Arial" w:cs="Arial" w:eastAsia="Arial" w:hAnsi="Arial"/>
                <w:sz w:val="18"/>
                <w:szCs w:val="18"/>
                <w:color w:val="auto"/>
                <w:w w:val="88"/>
              </w:rPr>
              <w:t>/s/ Hamza Suria</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President, Chief Executive Officer and Director</w:t>
            </w:r>
          </w:p>
        </w:tc>
        <w:tc>
          <w:tcPr>
            <w:tcW w:w="1940" w:type="dxa"/>
            <w:vAlign w:val="bottom"/>
          </w:tcPr>
          <w:p>
            <w:pPr>
              <w:spacing w:after="0"/>
              <w:rPr>
                <w:sz w:val="24"/>
                <w:szCs w:val="24"/>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0"/>
              </w:rPr>
              <w:t>Hamza Suria</w:t>
            </w:r>
          </w:p>
        </w:tc>
        <w:tc>
          <w:tcPr>
            <w:tcW w:w="360" w:type="dxa"/>
            <w:vAlign w:val="bottom"/>
          </w:tcPr>
          <w:p>
            <w:pPr>
              <w:spacing w:after="0"/>
              <w:rPr>
                <w:sz w:val="20"/>
                <w:szCs w:val="20"/>
                <w:color w:val="auto"/>
              </w:rPr>
            </w:pPr>
          </w:p>
        </w:tc>
        <w:tc>
          <w:tcPr>
            <w:tcW w:w="51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(Principal Executive Officer)</w:t>
            </w:r>
          </w:p>
        </w:tc>
        <w:tc>
          <w:tcPr>
            <w:tcW w:w="1940" w:type="dxa"/>
            <w:vAlign w:val="bottom"/>
          </w:tcPr>
          <w:p>
            <w:pPr>
              <w:ind w:left="580"/>
              <w:spacing w:after="0"/>
              <w:rPr>
                <w:sz w:val="20"/>
                <w:szCs w:val="20"/>
                <w:color w:val="auto"/>
              </w:rPr>
            </w:pPr>
            <w:r>
              <w:rPr>
                <w:rFonts w:ascii="Arial" w:cs="Arial" w:eastAsia="Arial" w:hAnsi="Arial"/>
                <w:sz w:val="18"/>
                <w:szCs w:val="18"/>
                <w:color w:val="auto"/>
                <w:w w:val="91"/>
              </w:rPr>
              <w:t>February 28, 2019</w:t>
            </w:r>
          </w:p>
        </w:tc>
      </w:tr>
      <w:tr>
        <w:trPr>
          <w:trHeight w:val="473"/>
        </w:trPr>
        <w:tc>
          <w:tcPr>
            <w:tcW w:w="4000" w:type="dxa"/>
            <w:vAlign w:val="bottom"/>
          </w:tcPr>
          <w:p>
            <w:pPr>
              <w:jc w:val="center"/>
              <w:spacing w:after="0"/>
              <w:rPr>
                <w:sz w:val="20"/>
                <w:szCs w:val="20"/>
                <w:color w:val="auto"/>
              </w:rPr>
            </w:pPr>
            <w:r>
              <w:rPr>
                <w:rFonts w:ascii="Arial" w:cs="Arial" w:eastAsia="Arial" w:hAnsi="Arial"/>
                <w:sz w:val="18"/>
                <w:szCs w:val="18"/>
                <w:color w:val="auto"/>
                <w:w w:val="95"/>
              </w:rPr>
              <w:t>/s/ Dominic G. Piscitelli</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Chief Financial Officer</w:t>
            </w:r>
          </w:p>
        </w:tc>
        <w:tc>
          <w:tcPr>
            <w:tcW w:w="1940" w:type="dxa"/>
            <w:vAlign w:val="bottom"/>
          </w:tcPr>
          <w:p>
            <w:pPr>
              <w:spacing w:after="0"/>
              <w:rPr>
                <w:sz w:val="24"/>
                <w:szCs w:val="24"/>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5"/>
              </w:rPr>
              <w:t>Dominic G. Piscitelli</w:t>
            </w:r>
          </w:p>
        </w:tc>
        <w:tc>
          <w:tcPr>
            <w:tcW w:w="360" w:type="dxa"/>
            <w:vAlign w:val="bottom"/>
          </w:tcPr>
          <w:p>
            <w:pPr>
              <w:spacing w:after="0"/>
              <w:rPr>
                <w:sz w:val="20"/>
                <w:szCs w:val="20"/>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(Principal Accounting and Financial Officer)</w:t>
            </w:r>
          </w:p>
        </w:tc>
        <w:tc>
          <w:tcPr>
            <w:tcW w:w="1940" w:type="dxa"/>
            <w:vAlign w:val="bottom"/>
          </w:tcPr>
          <w:p>
            <w:pPr>
              <w:ind w:left="580"/>
              <w:spacing w:after="0"/>
              <w:rPr>
                <w:sz w:val="20"/>
                <w:szCs w:val="20"/>
                <w:color w:val="auto"/>
              </w:rPr>
            </w:pPr>
            <w:r>
              <w:rPr>
                <w:rFonts w:ascii="Arial" w:cs="Arial" w:eastAsia="Arial" w:hAnsi="Arial"/>
                <w:sz w:val="18"/>
                <w:szCs w:val="18"/>
                <w:color w:val="auto"/>
                <w:w w:val="91"/>
              </w:rPr>
              <w:t>February 28, 2019</w:t>
            </w:r>
          </w:p>
        </w:tc>
      </w:tr>
      <w:tr>
        <w:trPr>
          <w:trHeight w:val="473"/>
        </w:trPr>
        <w:tc>
          <w:tcPr>
            <w:tcW w:w="4000" w:type="dxa"/>
            <w:vAlign w:val="bottom"/>
          </w:tcPr>
          <w:p>
            <w:pPr>
              <w:jc w:val="center"/>
              <w:spacing w:after="0"/>
              <w:rPr>
                <w:sz w:val="20"/>
                <w:szCs w:val="20"/>
                <w:color w:val="auto"/>
              </w:rPr>
            </w:pPr>
            <w:r>
              <w:rPr>
                <w:rFonts w:ascii="Arial" w:cs="Arial" w:eastAsia="Arial" w:hAnsi="Arial"/>
                <w:sz w:val="18"/>
                <w:szCs w:val="18"/>
                <w:color w:val="auto"/>
                <w:w w:val="89"/>
              </w:rPr>
              <w:t>/s/ Dennis Fenton</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ind w:left="580"/>
              <w:spacing w:after="0"/>
              <w:rPr>
                <w:sz w:val="20"/>
                <w:szCs w:val="20"/>
                <w:color w:val="auto"/>
              </w:rPr>
            </w:pPr>
            <w:r>
              <w:rPr>
                <w:rFonts w:ascii="Arial" w:cs="Arial" w:eastAsia="Arial" w:hAnsi="Arial"/>
                <w:sz w:val="18"/>
                <w:szCs w:val="18"/>
                <w:color w:val="auto"/>
                <w:w w:val="91"/>
              </w:rPr>
              <w:t>February 28, 2019</w:t>
            </w: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89"/>
              </w:rPr>
              <w:t>Dennis Fenton Ph.D.</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0"/>
        </w:trPr>
        <w:tc>
          <w:tcPr>
            <w:tcW w:w="4000" w:type="dxa"/>
            <w:vAlign w:val="bottom"/>
          </w:tcPr>
          <w:p>
            <w:pPr>
              <w:jc w:val="center"/>
              <w:spacing w:after="0"/>
              <w:rPr>
                <w:sz w:val="20"/>
                <w:szCs w:val="20"/>
                <w:color w:val="auto"/>
              </w:rPr>
            </w:pPr>
            <w:r>
              <w:rPr>
                <w:rFonts w:ascii="Arial" w:cs="Arial" w:eastAsia="Arial" w:hAnsi="Arial"/>
                <w:sz w:val="18"/>
                <w:szCs w:val="18"/>
                <w:color w:val="auto"/>
                <w:w w:val="93"/>
              </w:rPr>
              <w:t>/s/ Nicholas B. Lydon</w:t>
            </w:r>
          </w:p>
        </w:tc>
        <w:tc>
          <w:tcPr>
            <w:tcW w:w="360" w:type="dxa"/>
            <w:vAlign w:val="bottom"/>
          </w:tcPr>
          <w:p>
            <w:pPr>
              <w:spacing w:after="0"/>
              <w:rPr>
                <w:sz w:val="23"/>
                <w:szCs w:val="23"/>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ind w:left="580"/>
              <w:spacing w:after="0"/>
              <w:rPr>
                <w:sz w:val="20"/>
                <w:szCs w:val="20"/>
                <w:color w:val="auto"/>
              </w:rPr>
            </w:pPr>
            <w:r>
              <w:rPr>
                <w:rFonts w:ascii="Arial" w:cs="Arial" w:eastAsia="Arial" w:hAnsi="Arial"/>
                <w:sz w:val="18"/>
                <w:szCs w:val="18"/>
                <w:color w:val="auto"/>
                <w:w w:val="91"/>
              </w:rPr>
              <w:t>February 28, 2019</w:t>
            </w: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1"/>
              </w:rPr>
              <w:t>Nicholas B. Lydon, Ph.D., FRS</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0"/>
        </w:trPr>
        <w:tc>
          <w:tcPr>
            <w:tcW w:w="4000" w:type="dxa"/>
            <w:vAlign w:val="bottom"/>
          </w:tcPr>
          <w:p>
            <w:pPr>
              <w:jc w:val="center"/>
              <w:spacing w:after="0"/>
              <w:rPr>
                <w:sz w:val="20"/>
                <w:szCs w:val="20"/>
                <w:color w:val="auto"/>
              </w:rPr>
            </w:pPr>
            <w:r>
              <w:rPr>
                <w:rFonts w:ascii="Arial" w:cs="Arial" w:eastAsia="Arial" w:hAnsi="Arial"/>
                <w:sz w:val="18"/>
                <w:szCs w:val="18"/>
                <w:color w:val="auto"/>
                <w:w w:val="92"/>
              </w:rPr>
              <w:t>/s/ Hollings Renton</w:t>
            </w:r>
          </w:p>
        </w:tc>
        <w:tc>
          <w:tcPr>
            <w:tcW w:w="360" w:type="dxa"/>
            <w:vAlign w:val="bottom"/>
          </w:tcPr>
          <w:p>
            <w:pPr>
              <w:spacing w:after="0"/>
              <w:rPr>
                <w:sz w:val="23"/>
                <w:szCs w:val="23"/>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ind w:left="580"/>
              <w:spacing w:after="0"/>
              <w:rPr>
                <w:sz w:val="20"/>
                <w:szCs w:val="20"/>
                <w:color w:val="auto"/>
              </w:rPr>
            </w:pPr>
            <w:r>
              <w:rPr>
                <w:rFonts w:ascii="Arial" w:cs="Arial" w:eastAsia="Arial" w:hAnsi="Arial"/>
                <w:sz w:val="18"/>
                <w:szCs w:val="18"/>
                <w:color w:val="auto"/>
                <w:w w:val="91"/>
              </w:rPr>
              <w:t>February 28, 2019</w:t>
            </w: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2"/>
              </w:rPr>
              <w:t>Hollings Renton</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0"/>
        </w:trPr>
        <w:tc>
          <w:tcPr>
            <w:tcW w:w="4000" w:type="dxa"/>
            <w:vAlign w:val="bottom"/>
          </w:tcPr>
          <w:p>
            <w:pPr>
              <w:jc w:val="center"/>
              <w:spacing w:after="0"/>
              <w:rPr>
                <w:sz w:val="20"/>
                <w:szCs w:val="20"/>
                <w:color w:val="auto"/>
              </w:rPr>
            </w:pPr>
            <w:r>
              <w:rPr>
                <w:rFonts w:ascii="Arial" w:cs="Arial" w:eastAsia="Arial" w:hAnsi="Arial"/>
                <w:sz w:val="18"/>
                <w:szCs w:val="18"/>
                <w:color w:val="auto"/>
                <w:w w:val="88"/>
              </w:rPr>
              <w:t>/s/ John Schmid</w:t>
            </w:r>
          </w:p>
        </w:tc>
        <w:tc>
          <w:tcPr>
            <w:tcW w:w="360" w:type="dxa"/>
            <w:vAlign w:val="bottom"/>
          </w:tcPr>
          <w:p>
            <w:pPr>
              <w:spacing w:after="0"/>
              <w:rPr>
                <w:sz w:val="23"/>
                <w:szCs w:val="23"/>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ind w:left="580"/>
              <w:spacing w:after="0"/>
              <w:rPr>
                <w:sz w:val="20"/>
                <w:szCs w:val="20"/>
                <w:color w:val="auto"/>
              </w:rPr>
            </w:pPr>
            <w:r>
              <w:rPr>
                <w:rFonts w:ascii="Arial" w:cs="Arial" w:eastAsia="Arial" w:hAnsi="Arial"/>
                <w:sz w:val="18"/>
                <w:szCs w:val="18"/>
                <w:color w:val="auto"/>
                <w:w w:val="91"/>
              </w:rPr>
              <w:t>February 28, 2019</w:t>
            </w: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0"/>
              </w:rPr>
              <w:t>John Schmid</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0"/>
        </w:trPr>
        <w:tc>
          <w:tcPr>
            <w:tcW w:w="4000" w:type="dxa"/>
            <w:vAlign w:val="bottom"/>
          </w:tcPr>
          <w:p>
            <w:pPr>
              <w:jc w:val="center"/>
              <w:spacing w:after="0"/>
              <w:rPr>
                <w:sz w:val="20"/>
                <w:szCs w:val="20"/>
                <w:color w:val="auto"/>
              </w:rPr>
            </w:pPr>
            <w:r>
              <w:rPr>
                <w:rFonts w:ascii="Arial" w:cs="Arial" w:eastAsia="Arial" w:hAnsi="Arial"/>
                <w:sz w:val="18"/>
                <w:szCs w:val="18"/>
                <w:color w:val="auto"/>
                <w:w w:val="87"/>
              </w:rPr>
              <w:t>/s/ James N. Topper</w:t>
            </w:r>
          </w:p>
        </w:tc>
        <w:tc>
          <w:tcPr>
            <w:tcW w:w="360" w:type="dxa"/>
            <w:vAlign w:val="bottom"/>
          </w:tcPr>
          <w:p>
            <w:pPr>
              <w:spacing w:after="0"/>
              <w:rPr>
                <w:sz w:val="23"/>
                <w:szCs w:val="23"/>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ind w:left="580"/>
              <w:spacing w:after="0"/>
              <w:rPr>
                <w:sz w:val="20"/>
                <w:szCs w:val="20"/>
                <w:color w:val="auto"/>
              </w:rPr>
            </w:pPr>
            <w:r>
              <w:rPr>
                <w:rFonts w:ascii="Arial" w:cs="Arial" w:eastAsia="Arial" w:hAnsi="Arial"/>
                <w:sz w:val="18"/>
                <w:szCs w:val="18"/>
                <w:color w:val="auto"/>
                <w:w w:val="91"/>
              </w:rPr>
              <w:t>February 28, 2019</w:t>
            </w: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0"/>
              </w:rPr>
              <w:t>James N. Topper, M.D., Ph.D.</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0"/>
        </w:trPr>
        <w:tc>
          <w:tcPr>
            <w:tcW w:w="4000" w:type="dxa"/>
            <w:vAlign w:val="bottom"/>
          </w:tcPr>
          <w:p>
            <w:pPr>
              <w:jc w:val="center"/>
              <w:spacing w:after="0"/>
              <w:rPr>
                <w:sz w:val="20"/>
                <w:szCs w:val="20"/>
                <w:color w:val="auto"/>
              </w:rPr>
            </w:pPr>
            <w:r>
              <w:rPr>
                <w:rFonts w:ascii="Arial" w:cs="Arial" w:eastAsia="Arial" w:hAnsi="Arial"/>
                <w:sz w:val="18"/>
                <w:szCs w:val="18"/>
                <w:color w:val="auto"/>
                <w:w w:val="90"/>
              </w:rPr>
              <w:t>/s/ J. Anthony Ware</w:t>
            </w:r>
          </w:p>
        </w:tc>
        <w:tc>
          <w:tcPr>
            <w:tcW w:w="360" w:type="dxa"/>
            <w:vAlign w:val="bottom"/>
          </w:tcPr>
          <w:p>
            <w:pPr>
              <w:spacing w:after="0"/>
              <w:rPr>
                <w:sz w:val="23"/>
                <w:szCs w:val="23"/>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ind w:left="580"/>
              <w:spacing w:after="0"/>
              <w:rPr>
                <w:sz w:val="20"/>
                <w:szCs w:val="20"/>
                <w:color w:val="auto"/>
              </w:rPr>
            </w:pPr>
            <w:r>
              <w:rPr>
                <w:rFonts w:ascii="Arial" w:cs="Arial" w:eastAsia="Arial" w:hAnsi="Arial"/>
                <w:sz w:val="18"/>
                <w:szCs w:val="18"/>
                <w:color w:val="auto"/>
                <w:w w:val="91"/>
              </w:rPr>
              <w:t>February 28, 2019</w:t>
            </w: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2"/>
              </w:rPr>
              <w:t>J. Anthony Ware, M.D.</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bl>
    <w:p>
      <w:pPr>
        <w:sectPr>
          <w:pgSz w:w="11900" w:h="16838" w:orient="portrait"/>
          <w:cols w:equalWidth="0" w:num="1">
            <w:col w:w="11420"/>
          </w:cols>
          <w:pgMar w:left="240" w:top="364" w:right="239" w:bottom="1440" w:gutter="0" w:footer="0" w:header="0"/>
        </w:sectPr>
      </w:pPr>
    </w:p>
    <w:bookmarkStart w:id="5" w:name="page6"/>
    <w:bookmarkEnd w:id="5"/>
    <w:p>
      <w:pPr>
        <w:spacing w:after="0" w:line="3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2335530</wp:posOffset>
            </wp:positionH>
            <wp:positionV relativeFrom="page">
              <wp:posOffset>88900</wp:posOffset>
            </wp:positionV>
            <wp:extent cx="2898775" cy="909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898775" cy="90932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Exhibit 5.01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28,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10421 Pacific Center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3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counsel to AnaptysBio,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we have examined the Registration Statement on Form S-8 to be filed by the Company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or about February 28, 2019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in connection with the registration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of an aggregate of 1,346,096 shares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the Company’s Common Stock, $0.001 par value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subject to issuance by the Company (a) upon the exercise or settlement of awards (including any stock option, restricted stock, stock bonus, stock appreciation right, restricted stock unit or award of performance shares) granted or to be granted under the 2017 Equity Incentive Plan (the “</w:t>
      </w:r>
      <w:r>
        <w:rPr>
          <w:rFonts w:ascii="Arial" w:cs="Arial" w:eastAsia="Arial" w:hAnsi="Arial"/>
          <w:sz w:val="16"/>
          <w:szCs w:val="16"/>
          <w:b w:val="1"/>
          <w:bCs w:val="1"/>
          <w:i w:val="1"/>
          <w:iCs w:val="1"/>
          <w:color w:val="auto"/>
        </w:rPr>
        <w:t>EIP</w:t>
      </w:r>
      <w:r>
        <w:rPr>
          <w:rFonts w:ascii="Arial" w:cs="Arial" w:eastAsia="Arial" w:hAnsi="Arial"/>
          <w:sz w:val="16"/>
          <w:szCs w:val="16"/>
          <w:color w:val="auto"/>
        </w:rPr>
        <w:t>”) and (b) pursuant to purchase rights granted or to be granted under the Company’s 2017 Employee Stock Purchase Plan (the “</w:t>
      </w:r>
      <w:r>
        <w:rPr>
          <w:rFonts w:ascii="Arial" w:cs="Arial" w:eastAsia="Arial" w:hAnsi="Arial"/>
          <w:sz w:val="16"/>
          <w:szCs w:val="16"/>
          <w:b w:val="1"/>
          <w:bCs w:val="1"/>
          <w:i w:val="1"/>
          <w:iCs w:val="1"/>
          <w:color w:val="auto"/>
        </w:rPr>
        <w:t>ESPP</w:t>
      </w:r>
      <w:r>
        <w:rPr>
          <w:rFonts w:ascii="Arial" w:cs="Arial" w:eastAsia="Arial" w:hAnsi="Arial"/>
          <w:sz w:val="16"/>
          <w:szCs w:val="16"/>
          <w:color w:val="auto"/>
        </w:rPr>
        <w:t>”). The plans referred to in clauses (a) through (b) above are collectively referred to in this letter as the “</w:t>
      </w:r>
      <w:r>
        <w:rPr>
          <w:rFonts w:ascii="Arial" w:cs="Arial" w:eastAsia="Arial" w:hAnsi="Arial"/>
          <w:sz w:val="16"/>
          <w:szCs w:val="16"/>
          <w:b w:val="1"/>
          <w:bCs w:val="1"/>
          <w:i w:val="1"/>
          <w:iCs w:val="1"/>
          <w:color w:val="auto"/>
        </w:rPr>
        <w:t>Plans</w:t>
      </w:r>
      <w:r>
        <w:rPr>
          <w:rFonts w:ascii="Arial" w:cs="Arial" w:eastAsia="Arial" w:hAnsi="Arial"/>
          <w:sz w:val="16"/>
          <w:szCs w:val="16"/>
          <w:color w:val="auto"/>
        </w:rPr>
        <w:t>.” At your request we are providing this letter to express our opinion on the matters set forth below in this letter (“</w:t>
      </w:r>
      <w:r>
        <w:rPr>
          <w:rFonts w:ascii="Arial" w:cs="Arial" w:eastAsia="Arial" w:hAnsi="Arial"/>
          <w:sz w:val="16"/>
          <w:szCs w:val="16"/>
          <w:b w:val="1"/>
          <w:bCs w:val="1"/>
          <w:i w:val="1"/>
          <w:iCs w:val="1"/>
          <w:color w:val="auto"/>
        </w:rPr>
        <w:t>our opinion</w:t>
      </w:r>
      <w:r>
        <w:rPr>
          <w:rFonts w:ascii="Arial" w:cs="Arial" w:eastAsia="Arial" w:hAnsi="Arial"/>
          <w:sz w:val="16"/>
          <w:szCs w:val="16"/>
          <w:color w:val="auto"/>
        </w:rPr>
        <w:t>”).</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connection with our opinion expressed below we have examined originals or copies of the Company’s certificate of incorporation and bylaws, certain corporate proceedings of the Company’s board of directors and stockholders relating to the Registration Statement, the Plans and the Company’s current certificate of incorporation and bylaws, and such other agreements, documents, certificates and statements of the Company, its transfer agent and public or governmental officials, as we have deemed advisable, and have examined such questions of law as we have considered necessary. We have assumed the authenticity of all documents submitted to us as originals, the genuineness of all signatures on documents submitted to us, the conformity to originals of all documents submitted to us as copies, and the absence of any undisclosed termination, waiver or amendment to any document reviewed by us. In giving our opinion, we have also relied upon a good standing certificate regarding the Company issued by the Delaware Secretary of State and representations made to us by the Company, including representations that the Company has available a sufficient number of authorized shares of Common Stock that are not currently outstanding or reserved for issuance under other outstanding securities or plans of the Company, to enable the Company to issue and deliver all of the Shares as of the date of this letter.</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render this opinion only with respect to, and we express no opinion herein concerning the application or effect of the laws of any jurisdiction other than, the existing Delaware General Corporation Law.</w:t>
      </w:r>
    </w:p>
    <w:p>
      <w:pPr>
        <w:spacing w:after="0" w:line="3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Based upon, and subject to, the foregoing, it is our opinion that when the 1,346,096 Shares of Common Stock that may be issued and sold by the Company (a) upon the exercise or settlement of awards (including any stock option,</w:t>
      </w:r>
    </w:p>
    <w:p>
      <w:pPr>
        <w:sectPr>
          <w:pgSz w:w="11900" w:h="16838" w:orient="portrait"/>
          <w:cols w:equalWidth="0" w:num="1">
            <w:col w:w="11420"/>
          </w:cols>
          <w:pgMar w:left="240" w:top="1440" w:right="239" w:bottom="1440" w:gutter="0" w:footer="0" w:header="0"/>
        </w:sectPr>
      </w:pPr>
    </w:p>
    <w:bookmarkStart w:id="6" w:name="page7"/>
    <w:bookmarkEnd w:id="6"/>
    <w:p>
      <w:pPr>
        <w:jc w:val="both"/>
        <w:spacing w:after="0" w:line="257" w:lineRule="auto"/>
        <w:rPr>
          <w:sz w:val="20"/>
          <w:szCs w:val="20"/>
          <w:color w:val="auto"/>
        </w:rPr>
      </w:pPr>
      <w:r>
        <w:rPr>
          <w:rFonts w:ascii="Arial" w:cs="Arial" w:eastAsia="Arial" w:hAnsi="Arial"/>
          <w:sz w:val="18"/>
          <w:szCs w:val="18"/>
          <w:color w:val="auto"/>
        </w:rPr>
        <w:t>restricted stock, stock bonus, stock appreciation right, restricted stock unit or award of performance shares) granted or to be granted under the EIP and (b) pursuant to purchase rights granted or to be granted under the ESPP, have been issued and sold by the Company against the Company’s receipt of payment therefor (in an amount and type of consideration not less than the par value per Share) in accordance with the terms (including payment provisions) of the applicable Plan and have been duly registered on the books of the transfer agent and registrar for the Shares in the name or on behalf of the holders thereof, such Shares will be validly issued, fully paid and non-assessable.</w:t>
      </w:r>
    </w:p>
    <w:p>
      <w:pPr>
        <w:spacing w:after="0" w:line="188" w:lineRule="exact"/>
        <w:rPr>
          <w:sz w:val="20"/>
          <w:szCs w:val="20"/>
          <w:color w:val="auto"/>
        </w:rPr>
      </w:pPr>
    </w:p>
    <w:p>
      <w:pPr>
        <w:jc w:val="both"/>
        <w:ind w:firstLine="662"/>
        <w:spacing w:after="0" w:line="286" w:lineRule="auto"/>
        <w:rPr>
          <w:sz w:val="20"/>
          <w:szCs w:val="20"/>
          <w:color w:val="auto"/>
        </w:rPr>
      </w:pPr>
      <w:r>
        <w:rPr>
          <w:rFonts w:ascii="Arial" w:cs="Arial" w:eastAsia="Arial" w:hAnsi="Arial"/>
          <w:sz w:val="17"/>
          <w:szCs w:val="17"/>
          <w:color w:val="auto"/>
        </w:rPr>
        <w:t>We consent to the use of this opinion as an exhibit to the Registration Statement and further consent to all references to us, if any, in the Registration Statement, the prospectus constituting a part thereof and any amendments thereto. We do not thereby admit that we are within the category of persons whose consent is required under Section 7 of the Securities Act or the rules and regulations of the Commission thereunder.</w:t>
      </w:r>
    </w:p>
    <w:p>
      <w:pPr>
        <w:spacing w:after="0" w:line="166" w:lineRule="exact"/>
        <w:rPr>
          <w:sz w:val="20"/>
          <w:szCs w:val="20"/>
          <w:color w:val="auto"/>
        </w:rPr>
      </w:pPr>
    </w:p>
    <w:p>
      <w:pPr>
        <w:jc w:val="both"/>
        <w:ind w:firstLine="662"/>
        <w:spacing w:after="0" w:line="255" w:lineRule="auto"/>
        <w:rPr>
          <w:sz w:val="20"/>
          <w:szCs w:val="20"/>
          <w:color w:val="auto"/>
        </w:rPr>
      </w:pPr>
      <w:r>
        <w:rPr>
          <w:rFonts w:ascii="Arial" w:cs="Arial" w:eastAsia="Arial" w:hAnsi="Arial"/>
          <w:sz w:val="18"/>
          <w:szCs w:val="18"/>
          <w:color w:val="auto"/>
        </w:rPr>
        <w:t>This opinion is intended solely for use in connection with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Fenwick &amp; West LLP</w:t>
      </w: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FENWICK &amp; WEST LLP</w:t>
      </w:r>
    </w:p>
    <w:p>
      <w:pPr>
        <w:sectPr>
          <w:pgSz w:w="11900" w:h="16838" w:orient="portrait"/>
          <w:cols w:equalWidth="0" w:num="1">
            <w:col w:w="11420"/>
          </w:cols>
          <w:pgMar w:left="240" w:top="584" w:right="239" w:bottom="1440" w:gutter="0" w:footer="0" w:header="0"/>
        </w:sectPr>
      </w:pPr>
    </w:p>
    <w:bookmarkStart w:id="7" w:name="page8"/>
    <w:bookmarkEnd w:id="7"/>
    <w:p>
      <w:pPr>
        <w:spacing w:after="0" w:line="5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consent to the use of our reports with respect to the consolidated financial statements and the effectiveness of internal control over financial reporting incorporated by reference herein.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1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jpeg"/><Relationship Id="rId15" Type="http://schemas.openxmlformats.org/officeDocument/2006/relationships/hyperlink" Target="http://www.sec.gov/Archives/edgar/data/1370053/000137005317000005/anab-033117x10qxexx31.htm" TargetMode="External"/><Relationship Id="rId16" Type="http://schemas.openxmlformats.org/officeDocument/2006/relationships/hyperlink" Target="http://www.sec.gov/Archives/edgar/data/1370053/000119312515315918/d942137dex34.htm" TargetMode="External"/><Relationship Id="rId17" Type="http://schemas.openxmlformats.org/officeDocument/2006/relationships/hyperlink" Target="http://www.sec.gov/Archives/edgar/data/1370053/000119312515412604/d942137dex41.htm" TargetMode="External"/><Relationship Id="rId18" Type="http://schemas.openxmlformats.org/officeDocument/2006/relationships/hyperlink" Target="http://www.sec.gov/Archives/edgar/data/1370053/000119312517010405/d320192dex103.htm" TargetMode="External"/><Relationship Id="rId19" Type="http://schemas.openxmlformats.org/officeDocument/2006/relationships/hyperlink" Target="http://www.sec.gov/Archives/edgar/data/1370053/000119312517010405/d320192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2019-12-21T02:34:47Z</dcterms:created>
  <dcterms:modified xsi:type="dcterms:W3CDTF">2019-12-21T02:34:47Z</dcterms:modified>
</cp:coreProperties>
</file>