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September 24,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620" w:space="720"/>
            <w:col w:w="2940" w:space="720"/>
            <w:col w:w="2420"/>
          </w:cols>
          <w:pgMar w:left="240" w:top="225" w:right="2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5"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San Diego, CA 92121</w:t>
      </w:r>
    </w:p>
    <w:p>
      <w:pPr>
        <w:jc w:val="center"/>
        <w:ind w:right="-19"/>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420"/>
          </w:cols>
          <w:pgMar w:left="240" w:top="225" w:right="2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ind w:right="54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6"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On September 24, 2019, AnaptysBio, Inc. (the “Company”) appointed Laura Hamill as a Class II director on its board of directors (the “Board”), effective as of September 24, 2019.</w:t>
      </w:r>
    </w:p>
    <w:p>
      <w:pPr>
        <w:spacing w:after="0" w:line="17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In connection with her appointment as a non-employee director of the Board, Ms. Hamill received a stock option to purchase 2,268 shares of common stock at an exercise price equal to the closing sale price of the common stock on September 24, 2019, as reported by the Nasdaq Global Market, 1/4th of which will vest on November 8, 2019, with an additional 1/4th vesting each month thereafter, representing a pro rata portion of the annual retainer for service as a director for the remaining portion of the year in accordance with the Company’s existing compensation policy for non-employee directors. In addition, the Board granted to Ms. Hamill, effective September 24, 2019, a stock option to purchase 6,000 shares of common stock at an exercise price equal to the closing sale price of the common stock on September 24, 2019, as reported by the Nasdaq Global Market, which will vest monthly over three years, subject to Ms. Hamill’s continued service to the Company.</w:t>
      </w:r>
    </w:p>
    <w:p>
      <w:pPr>
        <w:spacing w:after="0" w:line="16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Company has entered into its standard form of indemnification agreement with Ms. Hamill. The form of the indemnification agreement was previously filed by the Company as Exhibit 10.1 to the Company’s Registration Statement on Form S-1 filed with the Securities and Exchange Commission on September 9, 2015 and incorporated by reference herein.</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There are no arrangements or understandings between Ms. Hamill and any other persons, pursuant to which Ms. Hamill was selected as a member of the Board. There are also no family relationships among any of the Company’s other directors or executive officers and Ms. Hamill, and Ms. Hamill does not have any direct or indirect material interest in any transaction required to be disclosed pursuant to Item 404(a) of Regulation S-K.</w:t>
      </w:r>
    </w:p>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460" w:val="left"/>
          <w:tab w:leader="none" w:pos="2940" w:val="left"/>
        </w:tabs>
        <w:rPr>
          <w:sz w:val="20"/>
          <w:szCs w:val="20"/>
          <w:color w:val="auto"/>
        </w:rPr>
      </w:pPr>
      <w:r>
        <w:rPr>
          <w:rFonts w:ascii="Arial" w:cs="Arial" w:eastAsia="Arial" w:hAnsi="Arial"/>
          <w:sz w:val="20"/>
          <w:szCs w:val="20"/>
          <w:color w:val="auto"/>
        </w:rPr>
        <w:t>Date: September 25,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-14605</wp:posOffset>
            </wp:positionV>
            <wp:extent cx="1179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Hamza Suria</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Executive Officer</w:t>
      </w:r>
    </w:p>
    <w:sectPr>
      <w:pgSz w:w="11900" w:h="16838" w:orient="portrait"/>
      <w:cols w:equalWidth="0" w:num="1">
        <w:col w:w="11300"/>
      </w:cols>
      <w:pgMar w:left="240" w:top="45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2019-12-04T22:14:56Z</dcterms:created>
  <dcterms:modified xsi:type="dcterms:W3CDTF">2019-12-04T22:14:56Z</dcterms:modified>
</cp:coreProperties>
</file>