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SCHEDULE 13G</w:t>
      </w:r>
    </w:p>
    <w:p>
      <w:pPr>
        <w:spacing w:after="0" w:line="2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(Amendment No. )*</w:t>
      </w:r>
    </w:p>
    <w:p>
      <w:pPr>
        <w:spacing w:after="0" w:line="20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13970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13970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13970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September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13970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71" w:lineRule="auto"/>
        <w:tabs>
          <w:tab w:leader="none" w:pos="1033"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Rule 13d-1(b) ý Rule 13d-1(c)</w:t>
      </w:r>
    </w:p>
    <w:p>
      <w:pPr>
        <w:spacing w:after="0" w:line="1" w:lineRule="exact"/>
        <w:rPr>
          <w:rFonts w:ascii="MS PGothic" w:cs="MS PGothic" w:eastAsia="MS PGothic" w:hAnsi="MS PGothic"/>
          <w:sz w:val="19"/>
          <w:szCs w:val="19"/>
          <w:color w:val="auto"/>
        </w:rPr>
      </w:pP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(Page 1 of 12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ind w:firstLine="648"/>
        <w:spacing w:after="0" w:line="271" w:lineRule="auto"/>
        <w:rPr>
          <w:sz w:val="20"/>
          <w:szCs w:val="20"/>
          <w:color w:val="auto"/>
        </w:rPr>
      </w:pP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9" w:lineRule="exact"/>
        <w:rPr>
          <w:sz w:val="24"/>
          <w:szCs w:val="24"/>
          <w:color w:val="auto"/>
        </w:rPr>
      </w:pPr>
    </w:p>
    <w:p>
      <w:pPr>
        <w:ind w:right="280"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306"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032724106</w:t>
            </w:r>
          </w:p>
        </w:tc>
        <w:tc>
          <w:tcPr>
            <w:tcW w:w="63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w w:val="97"/>
              </w:rPr>
              <w:t>Page 2 of 12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8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Adage Capital Partners, L.P.</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8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2</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Delaware</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2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20" w:type="dxa"/>
            <w:vAlign w:val="bottom"/>
            <w:tcBorders>
              <w:bottom w:val="single" w:sz="8" w:color="auto"/>
              <w:right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20" w:type="dxa"/>
            <w:vAlign w:val="bottom"/>
            <w:tcBorders>
              <w:bottom w:val="single" w:sz="8" w:color="auto"/>
              <w:right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1,231,486</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6.05%</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PN</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032724106</w:t>
            </w:r>
          </w:p>
        </w:tc>
        <w:tc>
          <w:tcPr>
            <w:tcW w:w="63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w w:val="97"/>
              </w:rPr>
              <w:t>Page 3 of 12 Pages</w:t>
            </w:r>
          </w:p>
        </w:tc>
        <w:tc>
          <w:tcPr>
            <w:tcW w:w="0" w:type="dxa"/>
            <w:vAlign w:val="bottom"/>
          </w:tcPr>
          <w:p>
            <w:pPr>
              <w:spacing w:after="0"/>
              <w:rPr>
                <w:sz w:val="1"/>
                <w:szCs w:val="1"/>
                <w:color w:val="auto"/>
              </w:rPr>
            </w:pPr>
          </w:p>
        </w:tc>
      </w:tr>
      <w:tr>
        <w:trPr>
          <w:trHeight w:val="432"/>
        </w:trPr>
        <w:tc>
          <w:tcPr>
            <w:tcW w:w="18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8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Adage Capital Partners GP, L.L.C.</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8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2</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Delaware</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2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20" w:type="dxa"/>
            <w:vAlign w:val="bottom"/>
            <w:tcBorders>
              <w:bottom w:val="single" w:sz="8" w:color="auto"/>
              <w:right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20" w:type="dxa"/>
            <w:vAlign w:val="bottom"/>
            <w:tcBorders>
              <w:bottom w:val="single" w:sz="8" w:color="auto"/>
              <w:right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1,231,486</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6.05%</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OO</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032724106</w:t>
            </w:r>
          </w:p>
        </w:tc>
        <w:tc>
          <w:tcPr>
            <w:tcW w:w="63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w w:val="97"/>
              </w:rPr>
              <w:t>Page 4 of 12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8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Adage Capital Advisors, L.L.C.</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8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2</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Delaware</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2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20" w:type="dxa"/>
            <w:vAlign w:val="bottom"/>
            <w:tcBorders>
              <w:bottom w:val="single" w:sz="8" w:color="auto"/>
              <w:right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20" w:type="dxa"/>
            <w:vAlign w:val="bottom"/>
            <w:tcBorders>
              <w:bottom w:val="single" w:sz="8" w:color="auto"/>
              <w:right w:val="single" w:sz="8" w:color="auto"/>
            </w:tcBorders>
          </w:tcPr>
          <w:p>
            <w:pPr>
              <w:spacing w:after="0"/>
              <w:rPr>
                <w:sz w:val="7"/>
                <w:szCs w:val="7"/>
                <w:color w:val="auto"/>
              </w:rPr>
            </w:pPr>
          </w:p>
        </w:tc>
        <w:tc>
          <w:tcPr>
            <w:tcW w:w="594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1,231,486</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6.05%</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OO</w:t>
            </w:r>
          </w:p>
        </w:tc>
        <w:tc>
          <w:tcPr>
            <w:tcW w:w="59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032724106</w:t>
            </w:r>
          </w:p>
        </w:tc>
        <w:tc>
          <w:tcPr>
            <w:tcW w:w="63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w w:val="97"/>
              </w:rPr>
              <w:t>Page 5 of 12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8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Robert Atchinson</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8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2</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5"/>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United States</w:t>
            </w:r>
          </w:p>
        </w:tc>
        <w:tc>
          <w:tcPr>
            <w:tcW w:w="5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40" w:type="dxa"/>
            <w:vAlign w:val="bottom"/>
          </w:tcPr>
          <w:p>
            <w:pPr>
              <w:spacing w:after="0"/>
              <w:rPr>
                <w:sz w:val="19"/>
                <w:szCs w:val="19"/>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SOLE VOTING POWER</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59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40" w:type="dxa"/>
            <w:vAlign w:val="bottom"/>
          </w:tcPr>
          <w:p>
            <w:pPr>
              <w:spacing w:after="0"/>
              <w:rPr>
                <w:sz w:val="8"/>
                <w:szCs w:val="8"/>
                <w:color w:val="auto"/>
              </w:rPr>
            </w:pP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SHARED VOTING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40" w:type="dxa"/>
            <w:vAlign w:val="bottom"/>
          </w:tcPr>
          <w:p>
            <w:pPr>
              <w:spacing w:after="0"/>
              <w:rPr>
                <w:sz w:val="8"/>
                <w:szCs w:val="8"/>
                <w:color w:val="auto"/>
              </w:rPr>
            </w:pP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SOLE DISPOSITIVE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59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gridSpan w:val="2"/>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1,231,486</w:t>
            </w:r>
          </w:p>
        </w:tc>
        <w:tc>
          <w:tcPr>
            <w:tcW w:w="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6.05%</w:t>
            </w:r>
          </w:p>
        </w:tc>
        <w:tc>
          <w:tcPr>
            <w:tcW w:w="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gridSpan w:val="2"/>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IN</w:t>
            </w:r>
          </w:p>
        </w:tc>
        <w:tc>
          <w:tcPr>
            <w:tcW w:w="5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032724106</w:t>
            </w:r>
          </w:p>
        </w:tc>
        <w:tc>
          <w:tcPr>
            <w:tcW w:w="63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w w:val="97"/>
              </w:rPr>
              <w:t>Page 6 of 12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8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Phillip Gross</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80" w:type="dxa"/>
            <w:vAlign w:val="bottom"/>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2</w:t>
            </w:r>
          </w:p>
        </w:tc>
        <w:tc>
          <w:tcPr>
            <w:tcW w:w="6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200" w:type="dxa"/>
            <w:vAlign w:val="bottom"/>
            <w:vMerge w:val="restart"/>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3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200" w:type="dxa"/>
            <w:vAlign w:val="bottom"/>
          </w:tcPr>
          <w:p>
            <w:pPr>
              <w:ind w:left="19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United States</w:t>
            </w:r>
          </w:p>
        </w:tc>
        <w:tc>
          <w:tcPr>
            <w:tcW w:w="5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40" w:type="dxa"/>
            <w:vAlign w:val="bottom"/>
          </w:tcPr>
          <w:p>
            <w:pPr>
              <w:spacing w:after="0"/>
              <w:rPr>
                <w:sz w:val="19"/>
                <w:szCs w:val="19"/>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SOLE VOTING POWER</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59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40" w:type="dxa"/>
            <w:vAlign w:val="bottom"/>
          </w:tcPr>
          <w:p>
            <w:pPr>
              <w:spacing w:after="0"/>
              <w:rPr>
                <w:sz w:val="8"/>
                <w:szCs w:val="8"/>
                <w:color w:val="auto"/>
              </w:rPr>
            </w:pP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SHARED VOTING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40" w:type="dxa"/>
            <w:vAlign w:val="bottom"/>
          </w:tcPr>
          <w:p>
            <w:pPr>
              <w:spacing w:after="0"/>
              <w:rPr>
                <w:sz w:val="8"/>
                <w:szCs w:val="8"/>
                <w:color w:val="auto"/>
              </w:rPr>
            </w:pP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SOLE DISPOSITIVE POWER</w:t>
            </w:r>
          </w:p>
        </w:tc>
        <w:tc>
          <w:tcPr>
            <w:tcW w:w="2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59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auto"/>
              </w:rPr>
              <w:t>1,231,486</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5940" w:type="dxa"/>
            <w:vAlign w:val="bottom"/>
            <w:tcBorders>
              <w:bottom w:val="single" w:sz="8" w:color="auto"/>
            </w:tcBorders>
            <w:gridSpan w:val="2"/>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1,231,486</w:t>
            </w:r>
          </w:p>
        </w:tc>
        <w:tc>
          <w:tcPr>
            <w:tcW w:w="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Times New Roman" w:cs="Times New Roman" w:eastAsia="Times New Roman" w:hAnsi="Times New Roman"/>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6.05%</w:t>
            </w:r>
          </w:p>
        </w:tc>
        <w:tc>
          <w:tcPr>
            <w:tcW w:w="4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gridSpan w:val="2"/>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20"/>
                <w:szCs w:val="20"/>
                <w:color w:val="auto"/>
              </w:rPr>
              <w:t>IN</w:t>
            </w:r>
          </w:p>
        </w:tc>
        <w:tc>
          <w:tcPr>
            <w:tcW w:w="59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6" w:name="page7"/>
    <w:bookmarkEnd w:id="6"/>
    <w:p>
      <w:pPr>
        <w:spacing w:after="0"/>
        <w:tabs>
          <w:tab w:leader="none" w:pos="5540" w:val="left"/>
          <w:tab w:leader="none" w:pos="100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12 Pages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84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80" w:type="dxa"/>
            <w:vAlign w:val="bottom"/>
          </w:tcPr>
          <w:p>
            <w:pPr>
              <w:spacing w:after="0"/>
              <w:rPr>
                <w:sz w:val="18"/>
                <w:szCs w:val="18"/>
                <w:color w:val="auto"/>
              </w:rPr>
            </w:pPr>
          </w:p>
        </w:tc>
        <w:tc>
          <w:tcPr>
            <w:tcW w:w="9840" w:type="dxa"/>
            <w:vAlign w:val="bottom"/>
            <w:gridSpan w:val="3"/>
          </w:tcPr>
          <w:p>
            <w:pPr>
              <w:ind w:left="440"/>
              <w:spacing w:after="0" w:line="212" w:lineRule="exact"/>
              <w:rPr>
                <w:sz w:val="20"/>
                <w:szCs w:val="20"/>
                <w:color w:val="auto"/>
              </w:rPr>
            </w:pPr>
            <w:r>
              <w:rPr>
                <w:rFonts w:ascii="Times New Roman" w:cs="Times New Roman" w:eastAsia="Times New Roman" w:hAnsi="Times New Roman"/>
                <w:sz w:val="20"/>
                <w:szCs w:val="20"/>
                <w:color w:val="auto"/>
              </w:rPr>
              <w:t>The name of the issuer is AnaptysBio, Inc. (the "Company").</w:t>
            </w:r>
          </w:p>
        </w:tc>
      </w:tr>
      <w:tr>
        <w:trPr>
          <w:trHeight w:val="20"/>
        </w:trPr>
        <w:tc>
          <w:tcPr>
            <w:tcW w:w="1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686"/>
        </w:trPr>
        <w:tc>
          <w:tcPr>
            <w:tcW w:w="1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840" w:type="dxa"/>
            <w:vAlign w:val="bottom"/>
            <w:gridSpan w:val="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30"/>
        </w:trPr>
        <w:tc>
          <w:tcPr>
            <w:tcW w:w="1280" w:type="dxa"/>
            <w:vAlign w:val="bottom"/>
          </w:tcPr>
          <w:p>
            <w:pPr>
              <w:spacing w:after="0"/>
              <w:rPr>
                <w:sz w:val="19"/>
                <w:szCs w:val="19"/>
                <w:color w:val="auto"/>
              </w:rPr>
            </w:pPr>
          </w:p>
        </w:tc>
        <w:tc>
          <w:tcPr>
            <w:tcW w:w="984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w w:val="98"/>
              </w:rPr>
              <w:t>The Company's principal executive offices are located at 10421 Pacific Center Court, Suite 200, San Diego, California</w:t>
            </w:r>
          </w:p>
        </w:tc>
      </w:tr>
      <w:tr>
        <w:trPr>
          <w:trHeight w:val="258"/>
        </w:trPr>
        <w:tc>
          <w:tcPr>
            <w:tcW w:w="1280" w:type="dxa"/>
            <w:vAlign w:val="bottom"/>
          </w:tcPr>
          <w:p>
            <w:pPr>
              <w:spacing w:after="0"/>
              <w:rPr>
                <w:sz w:val="22"/>
                <w:szCs w:val="22"/>
                <w:color w:val="auto"/>
              </w:rPr>
            </w:pPr>
          </w:p>
        </w:tc>
        <w:tc>
          <w:tcPr>
            <w:tcW w:w="4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92121.</w:t>
            </w:r>
          </w:p>
        </w:tc>
        <w:tc>
          <w:tcPr>
            <w:tcW w:w="760" w:type="dxa"/>
            <w:vAlign w:val="bottom"/>
          </w:tcPr>
          <w:p>
            <w:pPr>
              <w:spacing w:after="0"/>
              <w:rPr>
                <w:sz w:val="22"/>
                <w:szCs w:val="22"/>
                <w:color w:val="auto"/>
              </w:rPr>
            </w:pPr>
          </w:p>
        </w:tc>
        <w:tc>
          <w:tcPr>
            <w:tcW w:w="4760" w:type="dxa"/>
            <w:vAlign w:val="bottom"/>
          </w:tcPr>
          <w:p>
            <w:pPr>
              <w:spacing w:after="0"/>
              <w:rPr>
                <w:sz w:val="22"/>
                <w:szCs w:val="22"/>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2(a).</w:t>
      </w:r>
      <w:r>
        <w:rPr>
          <w:sz w:val="20"/>
          <w:szCs w:val="20"/>
          <w:color w:val="auto"/>
        </w:rPr>
        <w:tab/>
      </w:r>
      <w:r>
        <w:rPr>
          <w:rFonts w:ascii="Times New Roman" w:cs="Times New Roman" w:eastAsia="Times New Roman" w:hAnsi="Times New Roman"/>
          <w:sz w:val="19"/>
          <w:szCs w:val="19"/>
          <w:b w:val="1"/>
          <w:bCs w:val="1"/>
          <w:color w:val="auto"/>
        </w:rPr>
        <w:t>NAME OF PERSON FILING</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This statement is filed by:</w:t>
      </w:r>
    </w:p>
    <w:p>
      <w:pPr>
        <w:spacing w:after="0" w:line="207" w:lineRule="exact"/>
        <w:rPr>
          <w:sz w:val="20"/>
          <w:szCs w:val="20"/>
          <w:color w:val="auto"/>
        </w:rPr>
      </w:pPr>
    </w:p>
    <w:p>
      <w:pPr>
        <w:ind w:left="2620" w:right="420" w:hanging="800"/>
        <w:spacing w:after="0" w:line="269" w:lineRule="auto"/>
        <w:tabs>
          <w:tab w:leader="none" w:pos="26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 Delaware limited partnership ("</w:t>
      </w:r>
      <w:r>
        <w:rPr>
          <w:rFonts w:ascii="Times New Roman" w:cs="Times New Roman" w:eastAsia="Times New Roman" w:hAnsi="Times New Roman"/>
          <w:sz w:val="20"/>
          <w:szCs w:val="20"/>
          <w:u w:val="single" w:color="auto"/>
          <w:color w:val="auto"/>
        </w:rPr>
        <w:t>ACP</w:t>
      </w:r>
      <w:r>
        <w:rPr>
          <w:rFonts w:ascii="Times New Roman" w:cs="Times New Roman" w:eastAsia="Times New Roman" w:hAnsi="Times New Roman"/>
          <w:sz w:val="20"/>
          <w:szCs w:val="20"/>
          <w:color w:val="auto"/>
        </w:rPr>
        <w:t>") with respect to the shares of Common Stock directly owned by it;</w:t>
      </w:r>
    </w:p>
    <w:p>
      <w:pPr>
        <w:spacing w:after="0" w:line="173" w:lineRule="exact"/>
        <w:rPr>
          <w:rFonts w:ascii="Times New Roman" w:cs="Times New Roman" w:eastAsia="Times New Roman" w:hAnsi="Times New Roman"/>
          <w:sz w:val="20"/>
          <w:szCs w:val="20"/>
          <w:color w:val="auto"/>
        </w:rPr>
      </w:pPr>
    </w:p>
    <w:p>
      <w:pPr>
        <w:ind w:left="2620" w:right="320" w:hanging="800"/>
        <w:spacing w:after="0" w:line="254" w:lineRule="auto"/>
        <w:tabs>
          <w:tab w:leader="none" w:pos="26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GP, L.L.C., a limited liability company organized under the laws of the State of Delaware ("</w:t>
      </w:r>
      <w:r>
        <w:rPr>
          <w:rFonts w:ascii="Times New Roman" w:cs="Times New Roman" w:eastAsia="Times New Roman" w:hAnsi="Times New Roman"/>
          <w:sz w:val="20"/>
          <w:szCs w:val="20"/>
          <w:u w:val="single" w:color="auto"/>
          <w:color w:val="auto"/>
        </w:rPr>
        <w:t>ACPGP</w:t>
      </w:r>
      <w:r>
        <w:rPr>
          <w:rFonts w:ascii="Times New Roman" w:cs="Times New Roman" w:eastAsia="Times New Roman" w:hAnsi="Times New Roman"/>
          <w:sz w:val="20"/>
          <w:szCs w:val="20"/>
          <w:color w:val="auto"/>
        </w:rPr>
        <w:t>"), as general partner of ACP with respect to the shares of Common Stock directly owned by ACP;</w:t>
      </w:r>
    </w:p>
    <w:p>
      <w:pPr>
        <w:spacing w:after="0" w:line="188" w:lineRule="exact"/>
        <w:rPr>
          <w:rFonts w:ascii="Times New Roman" w:cs="Times New Roman" w:eastAsia="Times New Roman" w:hAnsi="Times New Roman"/>
          <w:sz w:val="20"/>
          <w:szCs w:val="20"/>
          <w:color w:val="auto"/>
        </w:rPr>
      </w:pPr>
    </w:p>
    <w:p>
      <w:pPr>
        <w:ind w:left="2620" w:right="240" w:hanging="800"/>
        <w:spacing w:after="0" w:line="254" w:lineRule="auto"/>
        <w:tabs>
          <w:tab w:leader="none" w:pos="26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Advisors, L.L.C., a limited liability company organized under the laws of the State of Delaware ("</w:t>
      </w:r>
      <w:r>
        <w:rPr>
          <w:rFonts w:ascii="Times New Roman" w:cs="Times New Roman" w:eastAsia="Times New Roman" w:hAnsi="Times New Roman"/>
          <w:sz w:val="20"/>
          <w:szCs w:val="20"/>
          <w:u w:val="single" w:color="auto"/>
          <w:color w:val="auto"/>
        </w:rPr>
        <w:t>ACA</w:t>
      </w:r>
      <w:r>
        <w:rPr>
          <w:rFonts w:ascii="Times New Roman" w:cs="Times New Roman" w:eastAsia="Times New Roman" w:hAnsi="Times New Roman"/>
          <w:sz w:val="20"/>
          <w:szCs w:val="20"/>
          <w:color w:val="auto"/>
        </w:rPr>
        <w:t>"), as managing member of ACPGP, general partner of ACP, with respect to the shares of Common Stock directly owned by ACP;</w:t>
      </w:r>
    </w:p>
    <w:p>
      <w:pPr>
        <w:spacing w:after="0" w:line="188" w:lineRule="exact"/>
        <w:rPr>
          <w:rFonts w:ascii="Times New Roman" w:cs="Times New Roman" w:eastAsia="Times New Roman" w:hAnsi="Times New Roman"/>
          <w:sz w:val="20"/>
          <w:szCs w:val="20"/>
          <w:color w:val="auto"/>
        </w:rPr>
      </w:pPr>
    </w:p>
    <w:p>
      <w:pPr>
        <w:ind w:left="2620" w:right="480" w:hanging="800"/>
        <w:spacing w:after="0" w:line="269" w:lineRule="auto"/>
        <w:tabs>
          <w:tab w:leader="none" w:pos="26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w:t>
      </w:r>
      <w:r>
        <w:rPr>
          <w:rFonts w:ascii="Times New Roman" w:cs="Times New Roman" w:eastAsia="Times New Roman" w:hAnsi="Times New Roman"/>
          <w:sz w:val="20"/>
          <w:szCs w:val="20"/>
          <w:u w:val="single" w:color="auto"/>
          <w:color w:val="auto"/>
        </w:rPr>
        <w:t>Mr. Atchinson</w:t>
      </w:r>
      <w:r>
        <w:rPr>
          <w:rFonts w:ascii="Times New Roman" w:cs="Times New Roman" w:eastAsia="Times New Roman" w:hAnsi="Times New Roman"/>
          <w:sz w:val="20"/>
          <w:szCs w:val="20"/>
          <w:color w:val="auto"/>
        </w:rPr>
        <w:t>"), as managing member of ACA, managing member of ACPGP, general partner of ACP with respect to the shares of Common Stock directly owned by ACP; and</w:t>
      </w:r>
    </w:p>
    <w:p>
      <w:pPr>
        <w:spacing w:after="0" w:line="173" w:lineRule="exact"/>
        <w:rPr>
          <w:rFonts w:ascii="Times New Roman" w:cs="Times New Roman" w:eastAsia="Times New Roman" w:hAnsi="Times New Roman"/>
          <w:sz w:val="20"/>
          <w:szCs w:val="20"/>
          <w:color w:val="auto"/>
        </w:rPr>
      </w:pPr>
    </w:p>
    <w:p>
      <w:pPr>
        <w:ind w:left="2620" w:right="380" w:hanging="800"/>
        <w:spacing w:after="0" w:line="269" w:lineRule="auto"/>
        <w:tabs>
          <w:tab w:leader="none" w:pos="26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Phillip Gross ("</w:t>
      </w:r>
      <w:r>
        <w:rPr>
          <w:rFonts w:ascii="Times New Roman" w:cs="Times New Roman" w:eastAsia="Times New Roman" w:hAnsi="Times New Roman"/>
          <w:sz w:val="20"/>
          <w:szCs w:val="20"/>
          <w:u w:val="single" w:color="auto"/>
          <w:color w:val="auto"/>
        </w:rPr>
        <w:t>Mr. Gross</w:t>
      </w:r>
      <w:r>
        <w:rPr>
          <w:rFonts w:ascii="Times New Roman" w:cs="Times New Roman" w:eastAsia="Times New Roman" w:hAnsi="Times New Roman"/>
          <w:sz w:val="20"/>
          <w:szCs w:val="20"/>
          <w:color w:val="auto"/>
        </w:rPr>
        <w:t>"), as managing member of ACA, managing member of ACPGP, general partner of ACP with respect to the shares of Common Stock directly owned by ACP.</w:t>
      </w:r>
    </w:p>
    <w:p>
      <w:pPr>
        <w:spacing w:after="0" w:line="173" w:lineRule="exact"/>
        <w:rPr>
          <w:sz w:val="20"/>
          <w:szCs w:val="20"/>
          <w:color w:val="auto"/>
        </w:rPr>
      </w:pPr>
    </w:p>
    <w:p>
      <w:pPr>
        <w:ind w:left="1720" w:right="180"/>
        <w:spacing w:after="0" w:line="254" w:lineRule="auto"/>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w:t>
      </w:r>
      <w:r>
        <w:rPr>
          <w:rFonts w:ascii="Times New Roman" w:cs="Times New Roman" w:eastAsia="Times New Roman" w:hAnsi="Times New Roman"/>
          <w:sz w:val="20"/>
          <w:szCs w:val="20"/>
          <w:u w:val="single" w:color="auto"/>
          <w:color w:val="auto"/>
        </w:rPr>
        <w:t>Reporting Persons</w:t>
      </w:r>
      <w:r>
        <w:rPr>
          <w:rFonts w:ascii="Times New Roman" w:cs="Times New Roman" w:eastAsia="Times New Roman" w:hAnsi="Times New Roman"/>
          <w:sz w:val="20"/>
          <w:szCs w:val="20"/>
          <w:color w:val="auto"/>
        </w:rPr>
        <w:t>." Any disclosures herein with respect to persons other than the Reporting Persons are made on information and belief after making inquiry to the appropriate party.</w:t>
      </w:r>
    </w:p>
    <w:p>
      <w:pPr>
        <w:spacing w:after="0" w:line="188" w:lineRule="exact"/>
        <w:rPr>
          <w:sz w:val="20"/>
          <w:szCs w:val="20"/>
          <w:color w:val="auto"/>
        </w:rPr>
      </w:pPr>
    </w:p>
    <w:p>
      <w:pPr>
        <w:ind w:left="1720" w:right="680"/>
        <w:spacing w:after="0" w:line="269" w:lineRule="auto"/>
        <w:rPr>
          <w:sz w:val="20"/>
          <w:szCs w:val="20"/>
          <w:color w:val="auto"/>
        </w:rPr>
      </w:pPr>
      <w:r>
        <w:rPr>
          <w:rFonts w:ascii="Times New Roman" w:cs="Times New Roman" w:eastAsia="Times New Roman" w:hAnsi="Times New Roman"/>
          <w:sz w:val="20"/>
          <w:szCs w:val="20"/>
          <w:color w:val="auto"/>
        </w:rPr>
        <w:t>The filing of this statement should not be construed in and of itself as an admission by any Reporting Person as to beneficial ownership of the securities reported herein.</w:t>
      </w:r>
    </w:p>
    <w:p>
      <w:pPr>
        <w:spacing w:after="0" w:line="399"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2(b).</w:t>
      </w:r>
      <w:r>
        <w:rPr>
          <w:sz w:val="20"/>
          <w:szCs w:val="20"/>
          <w:color w:val="auto"/>
        </w:rPr>
        <w:tab/>
      </w:r>
      <w:r>
        <w:rPr>
          <w:rFonts w:ascii="Times New Roman" w:cs="Times New Roman" w:eastAsia="Times New Roman" w:hAnsi="Times New Roman"/>
          <w:sz w:val="19"/>
          <w:szCs w:val="19"/>
          <w:b w:val="1"/>
          <w:bCs w:val="1"/>
          <w:color w:val="auto"/>
        </w:rPr>
        <w:t>ADDRESS OF PRINCIPAL BUSINESS OFFICE OR, IF NONE, RESIDENCE</w:t>
      </w:r>
    </w:p>
    <w:p>
      <w:pPr>
        <w:spacing w:after="0" w:line="26" w:lineRule="exact"/>
        <w:rPr>
          <w:sz w:val="20"/>
          <w:szCs w:val="20"/>
          <w:color w:val="auto"/>
        </w:rPr>
      </w:pPr>
    </w:p>
    <w:p>
      <w:pPr>
        <w:ind w:left="1720" w:right="840"/>
        <w:spacing w:after="0" w:line="246" w:lineRule="auto"/>
        <w:rPr>
          <w:sz w:val="20"/>
          <w:szCs w:val="20"/>
          <w:color w:val="auto"/>
        </w:rPr>
      </w:pPr>
      <w:r>
        <w:rPr>
          <w:rFonts w:ascii="Times New Roman" w:cs="Times New Roman" w:eastAsia="Times New Roman" w:hAnsi="Times New Roman"/>
          <w:sz w:val="20"/>
          <w:szCs w:val="20"/>
          <w:color w:val="auto"/>
        </w:rPr>
        <w:t>The address of the business office of each of the Reporting Persons is 200 Clarendon Street, 52nd floor, Boston, Massachusetts 02116.</w:t>
      </w:r>
    </w:p>
    <w:p>
      <w:pPr>
        <w:sectPr>
          <w:pgSz w:w="11900" w:h="16838" w:orient="portrait"/>
          <w:cols w:equalWidth="0" w:num="1">
            <w:col w:w="11420"/>
          </w:cols>
          <w:pgMar w:left="240" w:top="2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CUSIP No. 032724106</w:t>
            </w:r>
          </w:p>
        </w:tc>
        <w:tc>
          <w:tcPr>
            <w:tcW w:w="6780" w:type="dxa"/>
            <w:vAlign w:val="bottom"/>
            <w:gridSpan w:val="3"/>
          </w:tcPr>
          <w:p>
            <w:pPr>
              <w:ind w:left="38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92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w w:val="97"/>
              </w:rPr>
              <w:t>Page 8 of 12 Pages</w:t>
            </w:r>
          </w:p>
        </w:tc>
      </w:tr>
      <w:tr>
        <w:trPr>
          <w:trHeight w:val="450"/>
        </w:trPr>
        <w:tc>
          <w:tcPr>
            <w:tcW w:w="1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6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CITIZENSHIP</w:t>
            </w:r>
          </w:p>
        </w:tc>
        <w:tc>
          <w:tcPr>
            <w:tcW w:w="2920" w:type="dxa"/>
            <w:vAlign w:val="bottom"/>
          </w:tcPr>
          <w:p>
            <w:pPr>
              <w:spacing w:after="0"/>
              <w:rPr>
                <w:sz w:val="24"/>
                <w:szCs w:val="24"/>
                <w:color w:val="auto"/>
              </w:rPr>
            </w:pPr>
          </w:p>
        </w:tc>
      </w:tr>
      <w:tr>
        <w:trPr>
          <w:trHeight w:val="230"/>
        </w:trPr>
        <w:tc>
          <w:tcPr>
            <w:tcW w:w="1720" w:type="dxa"/>
            <w:vAlign w:val="bottom"/>
          </w:tcPr>
          <w:p>
            <w:pPr>
              <w:spacing w:after="0"/>
              <w:rPr>
                <w:sz w:val="19"/>
                <w:szCs w:val="19"/>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ACP is a limited partnership organized under the laws of the State of Delaware. ACPGP and ACA are limited liability</w:t>
            </w:r>
          </w:p>
        </w:tc>
      </w:tr>
      <w:tr>
        <w:trPr>
          <w:trHeight w:val="230"/>
        </w:trPr>
        <w:tc>
          <w:tcPr>
            <w:tcW w:w="1720" w:type="dxa"/>
            <w:vAlign w:val="bottom"/>
          </w:tcPr>
          <w:p>
            <w:pPr>
              <w:spacing w:after="0"/>
              <w:rPr>
                <w:sz w:val="19"/>
                <w:szCs w:val="19"/>
                <w:color w:val="auto"/>
              </w:rPr>
            </w:pPr>
          </w:p>
        </w:tc>
        <w:tc>
          <w:tcPr>
            <w:tcW w:w="97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companies organized under the laws of the State of Delaware. Messrs. Gross and Atchinson are citizens of the United</w:t>
            </w:r>
          </w:p>
        </w:tc>
      </w:tr>
      <w:tr>
        <w:trPr>
          <w:trHeight w:val="258"/>
        </w:trPr>
        <w:tc>
          <w:tcPr>
            <w:tcW w:w="17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States.</w:t>
            </w:r>
          </w:p>
        </w:tc>
        <w:tc>
          <w:tcPr>
            <w:tcW w:w="2920" w:type="dxa"/>
            <w:vAlign w:val="bottom"/>
          </w:tcPr>
          <w:p>
            <w:pPr>
              <w:spacing w:after="0"/>
              <w:rPr>
                <w:sz w:val="22"/>
                <w:szCs w:val="22"/>
                <w:color w:val="auto"/>
              </w:rPr>
            </w:pPr>
          </w:p>
        </w:tc>
      </w:tr>
      <w:tr>
        <w:trPr>
          <w:trHeight w:val="660"/>
        </w:trPr>
        <w:tc>
          <w:tcPr>
            <w:tcW w:w="1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6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c>
          <w:tcPr>
            <w:tcW w:w="2920" w:type="dxa"/>
            <w:vAlign w:val="bottom"/>
          </w:tcPr>
          <w:p>
            <w:pPr>
              <w:spacing w:after="0"/>
              <w:rPr>
                <w:sz w:val="24"/>
                <w:szCs w:val="24"/>
                <w:color w:val="auto"/>
              </w:rPr>
            </w:pPr>
          </w:p>
        </w:tc>
      </w:tr>
      <w:tr>
        <w:trPr>
          <w:trHeight w:val="212"/>
        </w:trPr>
        <w:tc>
          <w:tcPr>
            <w:tcW w:w="1720" w:type="dxa"/>
            <w:vAlign w:val="bottom"/>
          </w:tcPr>
          <w:p>
            <w:pPr>
              <w:spacing w:after="0"/>
              <w:rPr>
                <w:sz w:val="18"/>
                <w:szCs w:val="18"/>
                <w:color w:val="auto"/>
              </w:rPr>
            </w:pPr>
          </w:p>
        </w:tc>
        <w:tc>
          <w:tcPr>
            <w:tcW w:w="678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Common Stock, par value $0.001 per share (the "Common Stock").</w:t>
            </w:r>
          </w:p>
        </w:tc>
        <w:tc>
          <w:tcPr>
            <w:tcW w:w="2920" w:type="dxa"/>
            <w:vAlign w:val="bottom"/>
          </w:tcPr>
          <w:p>
            <w:pPr>
              <w:spacing w:after="0"/>
              <w:rPr>
                <w:sz w:val="18"/>
                <w:szCs w:val="18"/>
                <w:color w:val="auto"/>
              </w:rPr>
            </w:pPr>
          </w:p>
        </w:tc>
      </w:tr>
      <w:tr>
        <w:trPr>
          <w:trHeight w:val="457"/>
        </w:trPr>
        <w:tc>
          <w:tcPr>
            <w:tcW w:w="1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3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8"/>
        </w:trPr>
        <w:tc>
          <w:tcPr>
            <w:tcW w:w="1720" w:type="dxa"/>
            <w:vAlign w:val="bottom"/>
          </w:tcPr>
          <w:p>
            <w:pPr>
              <w:spacing w:after="0"/>
              <w:rPr>
                <w:sz w:val="22"/>
                <w:szCs w:val="2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032724106</w:t>
            </w:r>
          </w:p>
        </w:tc>
        <w:tc>
          <w:tcPr>
            <w:tcW w:w="1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426"/>
        </w:trPr>
        <w:tc>
          <w:tcPr>
            <w:tcW w:w="1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Rules 13d-1(b), OR 13d-2(b) OR (c), CHECK WHETHER</w:t>
            </w:r>
          </w:p>
        </w:tc>
      </w:tr>
      <w:tr>
        <w:trPr>
          <w:trHeight w:val="256"/>
        </w:trPr>
        <w:tc>
          <w:tcPr>
            <w:tcW w:w="1720" w:type="dxa"/>
            <w:vAlign w:val="bottom"/>
          </w:tcPr>
          <w:p>
            <w:pPr>
              <w:spacing w:after="0"/>
              <w:rPr>
                <w:sz w:val="22"/>
                <w:szCs w:val="22"/>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THE PERSON FILING IS A:</w:t>
            </w:r>
          </w:p>
        </w:tc>
        <w:tc>
          <w:tcPr>
            <w:tcW w:w="2920" w:type="dxa"/>
            <w:vAlign w:val="bottom"/>
          </w:tcPr>
          <w:p>
            <w:pPr>
              <w:spacing w:after="0"/>
              <w:rPr>
                <w:sz w:val="22"/>
                <w:szCs w:val="22"/>
                <w:color w:val="auto"/>
              </w:rPr>
            </w:pPr>
          </w:p>
        </w:tc>
      </w:tr>
    </w:tbl>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w:t>
      </w:r>
    </w:p>
    <w:p>
      <w:pPr>
        <w:spacing w:after="0" w:line="189"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w:t>
      </w:r>
    </w:p>
    <w:p>
      <w:pPr>
        <w:spacing w:after="0" w:line="229"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w:t>
      </w:r>
    </w:p>
    <w:p>
      <w:pPr>
        <w:spacing w:after="0" w:line="229"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w:t>
      </w:r>
    </w:p>
    <w:p>
      <w:pPr>
        <w:spacing w:after="0" w:line="229"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employee benefit plan or endowment fund in accordance with Rule 13d-1(b)(1)(ii)(F);</w:t>
      </w:r>
    </w:p>
    <w:p>
      <w:pPr>
        <w:spacing w:after="0" w:line="229"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parent holding company or control person in accordance with Rule 13d-1(b)(1)(ii)(G);</w:t>
      </w:r>
    </w:p>
    <w:p>
      <w:pPr>
        <w:spacing w:after="0" w:line="229"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w:t>
      </w:r>
    </w:p>
    <w:p>
      <w:pPr>
        <w:spacing w:after="0" w:line="229" w:lineRule="exact"/>
        <w:rPr>
          <w:rFonts w:ascii="Times New Roman" w:cs="Times New Roman" w:eastAsia="Times New Roman" w:hAnsi="Times New Roman"/>
          <w:sz w:val="20"/>
          <w:szCs w:val="20"/>
          <w:color w:val="auto"/>
        </w:rPr>
      </w:pPr>
    </w:p>
    <w:p>
      <w:pPr>
        <w:ind w:left="3200" w:right="280" w:hanging="1380"/>
        <w:spacing w:after="0" w:line="253" w:lineRule="exact"/>
        <w:tabs>
          <w:tab w:leader="none" w:pos="2732"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w:t>
      </w:r>
    </w:p>
    <w:p>
      <w:pPr>
        <w:spacing w:after="0" w:line="184"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Rule 13d-1(b)(1)(ii)(J);</w:t>
      </w:r>
    </w:p>
    <w:p>
      <w:pPr>
        <w:spacing w:after="0" w:line="229" w:lineRule="exact"/>
        <w:rPr>
          <w:rFonts w:ascii="Times New Roman" w:cs="Times New Roman" w:eastAsia="Times New Roman" w:hAnsi="Times New Roman"/>
          <w:sz w:val="20"/>
          <w:szCs w:val="20"/>
          <w:color w:val="auto"/>
        </w:rPr>
      </w:pPr>
    </w:p>
    <w:p>
      <w:pPr>
        <w:ind w:left="2720" w:hanging="900"/>
        <w:spacing w:after="0" w:line="230" w:lineRule="exact"/>
        <w:tabs>
          <w:tab w:leader="none" w:pos="272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940" w:right="292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 Not applicable.</w:t>
      </w:r>
    </w:p>
    <w:p>
      <w:pPr>
        <w:sectPr>
          <w:pgSz w:w="11900" w:h="16838" w:orient="portrait"/>
          <w:cols w:equalWidth="0" w:num="1">
            <w:col w:w="11420"/>
          </w:cols>
          <w:pgMar w:left="240" w:top="225" w:right="239" w:bottom="1440" w:gutter="0" w:footer="0" w:header="0"/>
        </w:sectPr>
      </w:pPr>
    </w:p>
    <w:bookmarkStart w:id="8" w:name="page9"/>
    <w:bookmarkEnd w:id="8"/>
    <w:p>
      <w:pPr>
        <w:spacing w:after="0"/>
        <w:tabs>
          <w:tab w:leader="none" w:pos="5540" w:val="left"/>
          <w:tab w:leader="none" w:pos="100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9 of 12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22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5" w:lineRule="exact"/>
        <w:rPr>
          <w:sz w:val="20"/>
          <w:szCs w:val="20"/>
          <w:color w:val="auto"/>
        </w:rPr>
      </w:pPr>
    </w:p>
    <w:p>
      <w:pPr>
        <w:ind w:left="1760" w:hanging="717"/>
        <w:spacing w:after="0"/>
        <w:tabs>
          <w:tab w:leader="none" w:pos="1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Adage Capital Partners, L.P., Adage Capital Partners GP, L.L.C. and Adage Capital Advisors, L.L.C.</w:t>
      </w:r>
    </w:p>
    <w:p>
      <w:pPr>
        <w:ind w:left="3100" w:hanging="558"/>
        <w:spacing w:after="0"/>
        <w:tabs>
          <w:tab w:leader="none" w:pos="31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1,231,486</w:t>
      </w:r>
    </w:p>
    <w:p>
      <w:pPr>
        <w:ind w:left="3100" w:right="460" w:hanging="558"/>
        <w:spacing w:after="0" w:line="239" w:lineRule="auto"/>
        <w:tabs>
          <w:tab w:leader="none" w:pos="31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6.05%. The percentage set forth in this Schedule 13G is calculated based upon the 20,342,484 shares of Common Stock reported to be issued and outstanding as of August 8, 2017 as reflected in the Company's Quarterly Report on Form 10-Q for the quarterly period ended June 30, 2017 filed with the Securities and Exchange Commission on August 10, 2017.</w:t>
      </w:r>
    </w:p>
    <w:p>
      <w:pPr>
        <w:spacing w:after="0" w:line="2" w:lineRule="exact"/>
        <w:rPr>
          <w:rFonts w:ascii="Times New Roman" w:cs="Times New Roman" w:eastAsia="Times New Roman" w:hAnsi="Times New Roman"/>
          <w:sz w:val="20"/>
          <w:szCs w:val="20"/>
          <w:color w:val="auto"/>
        </w:rPr>
      </w:pPr>
    </w:p>
    <w:p>
      <w:pPr>
        <w:ind w:left="3100" w:hanging="558"/>
        <w:spacing w:after="0"/>
        <w:tabs>
          <w:tab w:leader="none" w:pos="310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3900" w:hanging="790"/>
        <w:spacing w:after="0"/>
        <w:tabs>
          <w:tab w:leader="none" w:pos="390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1,231,486</w:t>
      </w:r>
    </w:p>
    <w:p>
      <w:pPr>
        <w:ind w:left="3900" w:hanging="790"/>
        <w:spacing w:after="0"/>
        <w:tabs>
          <w:tab w:leader="none" w:pos="390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3900" w:hanging="790"/>
        <w:spacing w:after="0"/>
        <w:tabs>
          <w:tab w:leader="none" w:pos="3900" w:val="left"/>
        </w:tabs>
        <w:numPr>
          <w:ilvl w:val="2"/>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of: 1,231,486</w:t>
      </w:r>
    </w:p>
    <w:p>
      <w:pPr>
        <w:spacing w:after="0" w:line="207" w:lineRule="exact"/>
        <w:rPr>
          <w:sz w:val="20"/>
          <w:szCs w:val="20"/>
          <w:color w:val="auto"/>
        </w:rPr>
      </w:pPr>
    </w:p>
    <w:p>
      <w:pPr>
        <w:ind w:left="120" w:right="140"/>
        <w:spacing w:after="0" w:line="249" w:lineRule="auto"/>
        <w:rPr>
          <w:sz w:val="20"/>
          <w:szCs w:val="20"/>
          <w:color w:val="auto"/>
        </w:rPr>
      </w:pPr>
      <w:r>
        <w:rPr>
          <w:rFonts w:ascii="Times New Roman" w:cs="Times New Roman" w:eastAsia="Times New Roman" w:hAnsi="Times New Roman"/>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ACPGP and ACA may be deemed to beneficially own the shares owned by ACP.</w:t>
      </w:r>
    </w:p>
    <w:p>
      <w:pPr>
        <w:spacing w:after="0" w:line="194" w:lineRule="exact"/>
        <w:rPr>
          <w:sz w:val="20"/>
          <w:szCs w:val="20"/>
          <w:color w:val="auto"/>
        </w:rPr>
      </w:pPr>
    </w:p>
    <w:p>
      <w:pPr>
        <w:ind w:left="1760" w:hanging="717"/>
        <w:spacing w:after="0"/>
        <w:tabs>
          <w:tab w:leader="none" w:pos="1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Robert Atchinson and Phillip Gross</w:t>
      </w:r>
    </w:p>
    <w:p>
      <w:pPr>
        <w:spacing w:after="0" w:line="21" w:lineRule="exact"/>
        <w:rPr>
          <w:rFonts w:ascii="Times New Roman" w:cs="Times New Roman" w:eastAsia="Times New Roman" w:hAnsi="Times New Roman"/>
          <w:sz w:val="20"/>
          <w:szCs w:val="20"/>
          <w:color w:val="auto"/>
        </w:rPr>
      </w:pPr>
    </w:p>
    <w:p>
      <w:pPr>
        <w:ind w:left="3220" w:hanging="786"/>
        <w:spacing w:after="0"/>
        <w:tabs>
          <w:tab w:leader="none" w:pos="32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1,231,486</w:t>
      </w:r>
    </w:p>
    <w:p>
      <w:pPr>
        <w:ind w:left="3220" w:hanging="786"/>
        <w:spacing w:after="0"/>
        <w:tabs>
          <w:tab w:leader="none" w:pos="32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6.05%</w:t>
      </w:r>
    </w:p>
    <w:p>
      <w:pPr>
        <w:ind w:left="3220" w:hanging="786"/>
        <w:spacing w:after="0"/>
        <w:tabs>
          <w:tab w:leader="none" w:pos="322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(i)Sole power to vote or direct the vote: 0</w:t>
      </w:r>
    </w:p>
    <w:p>
      <w:pPr>
        <w:ind w:left="4000" w:hanging="789"/>
        <w:spacing w:after="0"/>
        <w:tabs>
          <w:tab w:leader="none" w:pos="400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direct the vote: 1,231,486</w:t>
      </w:r>
    </w:p>
    <w:p>
      <w:pPr>
        <w:ind w:left="4000" w:hanging="789"/>
        <w:spacing w:after="0"/>
        <w:tabs>
          <w:tab w:leader="none" w:pos="400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direct the disposition: 0</w:t>
      </w:r>
    </w:p>
    <w:p>
      <w:pPr>
        <w:ind w:left="4000" w:hanging="789"/>
        <w:spacing w:after="0"/>
        <w:tabs>
          <w:tab w:leader="none" w:pos="400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direct the disposition: 1,231,486</w:t>
      </w:r>
    </w:p>
    <w:p>
      <w:pPr>
        <w:spacing w:after="0" w:line="207" w:lineRule="exact"/>
        <w:rPr>
          <w:sz w:val="20"/>
          <w:szCs w:val="20"/>
          <w:color w:val="auto"/>
        </w:rPr>
      </w:pPr>
    </w:p>
    <w:p>
      <w:pPr>
        <w:jc w:val="both"/>
        <w:ind w:left="120" w:right="320"/>
        <w:spacing w:after="0" w:line="254" w:lineRule="auto"/>
        <w:rPr>
          <w:sz w:val="20"/>
          <w:szCs w:val="20"/>
          <w:color w:val="auto"/>
        </w:rPr>
      </w:pPr>
      <w:r>
        <w:rPr>
          <w:rFonts w:ascii="Times New Roman" w:cs="Times New Roman" w:eastAsia="Times New Roman" w:hAnsi="Times New Roman"/>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33" w:lineRule="exact"/>
        <w:rPr>
          <w:sz w:val="20"/>
          <w:szCs w:val="20"/>
          <w:color w:val="auto"/>
        </w:rPr>
      </w:pPr>
    </w:p>
    <w:p>
      <w:pPr>
        <w:ind w:left="1720" w:right="1900" w:hanging="1617"/>
        <w:spacing w:after="0" w:line="273" w:lineRule="auto"/>
        <w:tabs>
          <w:tab w:leader="none" w:pos="170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color w:val="auto"/>
        </w:rPr>
        <w:t xml:space="preserve">OWNERSHIP OF MORE THAN FIVE PERCENT ON BEHALF OF ANOTHER PERSON </w:t>
      </w:r>
      <w:r>
        <w:rPr>
          <w:rFonts w:ascii="Times New Roman" w:cs="Times New Roman" w:eastAsia="Times New Roman" w:hAnsi="Times New Roman"/>
          <w:sz w:val="20"/>
          <w:szCs w:val="20"/>
          <w:color w:val="auto"/>
        </w:rPr>
        <w:t>Not applicable.</w:t>
      </w:r>
    </w:p>
    <w:p>
      <w:pPr>
        <w:sectPr>
          <w:pgSz w:w="11900" w:h="16838" w:orient="portrait"/>
          <w:cols w:equalWidth="0" w:num="1">
            <w:col w:w="11420"/>
          </w:cols>
          <w:pgMar w:left="240" w:top="225" w:right="239" w:bottom="1440" w:gutter="0" w:footer="0" w:header="0"/>
          <w:type w:val="continuous"/>
        </w:sectPr>
      </w:pPr>
    </w:p>
    <w:bookmarkStart w:id="9" w:name="page10"/>
    <w:bookmarkEnd w:id="9"/>
    <w:p>
      <w:pPr>
        <w:spacing w:after="0"/>
        <w:tabs>
          <w:tab w:leader="none" w:pos="55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10 of 12 Pages</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w:t>
      </w:r>
    </w:p>
    <w:p>
      <w:pPr>
        <w:spacing w:after="0" w:line="26" w:lineRule="exact"/>
        <w:rPr>
          <w:sz w:val="20"/>
          <w:szCs w:val="20"/>
          <w:color w:val="auto"/>
        </w:rPr>
      </w:pPr>
    </w:p>
    <w:p>
      <w:pPr>
        <w:ind w:left="1720" w:right="160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BEING REPORTED ON BY THE PARENT HOLDING COMPANY OR CONTROL PERSON </w:t>
      </w: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21"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07" w:lineRule="exact"/>
        <w:rPr>
          <w:sz w:val="20"/>
          <w:szCs w:val="20"/>
          <w:color w:val="auto"/>
        </w:rPr>
      </w:pPr>
    </w:p>
    <w:p>
      <w:pPr>
        <w:ind w:left="172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25" w:right="239" w:bottom="1440" w:gutter="0" w:footer="0" w:header="0"/>
          <w:type w:val="continuous"/>
        </w:sectPr>
      </w:pPr>
    </w:p>
    <w:bookmarkStart w:id="10" w:name="page11"/>
    <w:bookmarkEnd w:id="10"/>
    <w:p>
      <w:pPr>
        <w:spacing w:after="0"/>
        <w:tabs>
          <w:tab w:leader="none" w:pos="5540" w:val="left"/>
          <w:tab w:leader="none" w:pos="992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11 of 12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certifies that the information set forth in this statement is true, complete and correct.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2,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Phillip Gross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p>
      <w:pPr>
        <w:sectPr>
          <w:pgSz w:w="11900" w:h="16838" w:orient="portrait"/>
          <w:cols w:equalWidth="0" w:num="1">
            <w:col w:w="11420"/>
          </w:cols>
          <w:pgMar w:left="240" w:top="225" w:right="239" w:bottom="1440" w:gutter="0" w:footer="0" w:header="0"/>
        </w:sectPr>
      </w:pPr>
    </w:p>
    <w:bookmarkStart w:id="11" w:name="page12"/>
    <w:bookmarkEnd w:id="11"/>
    <w:p>
      <w:pPr>
        <w:spacing w:after="0"/>
        <w:tabs>
          <w:tab w:leader="none" w:pos="55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032724106</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12 of 12 Pages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October 2, 2017</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GP,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PARTNERS GP,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Advisors, L.L.C.,</w:t>
      </w:r>
    </w:p>
    <w:p>
      <w:pPr>
        <w:spacing w:after="0"/>
        <w:rPr>
          <w:sz w:val="20"/>
          <w:szCs w:val="20"/>
          <w:color w:val="auto"/>
        </w:rPr>
      </w:pPr>
      <w:r>
        <w:rPr>
          <w:rFonts w:ascii="Times New Roman" w:cs="Times New Roman" w:eastAsia="Times New Roman" w:hAnsi="Times New Roman"/>
          <w:sz w:val="20"/>
          <w:szCs w:val="20"/>
          <w:color w:val="auto"/>
        </w:rPr>
        <w:t>its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Robert Atchinson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Phillip Gross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
    <w:nsid w:val="4DB12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2019-12-16T07:39:47Z</dcterms:created>
  <dcterms:modified xsi:type="dcterms:W3CDTF">2019-12-16T07:39:47Z</dcterms:modified>
</cp:coreProperties>
</file>