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51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EcoR1 Capital,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357 TEHAMA STREET #3</w:t>
      </w:r>
    </w:p>
    <w:p>
      <w:pPr>
        <w:spacing w:after="0" w:line="35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94103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ANAPTYSBIO,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ANAB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00" w:type="dxa"/>
            <w:vAlign w:val="bottom"/>
            <w:tcBorders>
              <w:bottom w:val="single" w:sz="8" w:color="0000EE"/>
            </w:tcBorders>
          </w:tcPr>
          <w:p>
            <w:pPr>
              <w:spacing w:after="0"/>
              <w:rPr>
                <w:sz w:val="3"/>
                <w:szCs w:val="3"/>
                <w:color w:val="auto"/>
              </w:rPr>
            </w:pPr>
          </w:p>
        </w:tc>
        <w:tc>
          <w:tcPr>
            <w:tcW w:w="1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08/14/2024</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08/14/2024</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3"/>
              </w:rPr>
              <w:t>273,972</w:t>
            </w:r>
            <w:r>
              <w:rPr>
                <w:rFonts w:ascii="Times New Roman" w:cs="Times New Roman" w:eastAsia="Times New Roman" w:hAnsi="Times New Roman"/>
                <w:sz w:val="22"/>
                <w:szCs w:val="22"/>
                <w:color w:val="008000"/>
                <w:w w:val="93"/>
                <w:vertAlign w:val="superscript"/>
              </w:rPr>
              <w:t>(2)</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w:t>
            </w: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7,794,996</w:t>
            </w:r>
            <w:r>
              <w:rPr>
                <w:rFonts w:ascii="Times New Roman" w:cs="Times New Roman" w:eastAsia="Times New Roman" w:hAnsi="Times New Roman"/>
                <w:sz w:val="22"/>
                <w:szCs w:val="22"/>
                <w:color w:val="008000"/>
                <w:vertAlign w:val="superscript"/>
              </w:rPr>
              <w:t>(3)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Notes</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filers are EcoR1 Capital, LLC ("EcoR1"), Oleg Nodelman and EcoR1 Capital Fund Qualified, L.P. ("Qualified Fund"). EcoR1 is the investment adviser and general partner of private funds, including Qualified Fund ("the Funds"). Mr. Nodelman is the manager and controlling owner of EcoR1 and a director of the Issuer. EcoR1 is filing this Form 4 for itself and Qualified Fund. The filers are filing this Form 4 jointly, but not as a group, and each expressly disclaims membership in a group within the meaning of Rule 13d-5(b) under the Securities Exchange Act of 1934. The Funds hold shares directly for the benefit of their investors. EcoR1 may be deemed to beneficially own the shares indirectly as the investment adviser to the Fund, and Mr. Nodelman may be deemed to beneficially own them indirectly as the control person of EcoR1. The filers disclaim beneficial ownership of the shares except to the extent of their pecuniary interest therein.</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Qualified Fund purchased all of the shares acquired in this transaction.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this transaction, Qualified Fund holds 7,316,874 shares of Issuer's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Oleg Nodelman, Manager of</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08/15/2024</w:t>
            </w:r>
          </w:p>
        </w:tc>
        <w:tc>
          <w:tcPr>
            <w:tcW w:w="0" w:type="dxa"/>
            <w:vAlign w:val="bottom"/>
          </w:tcPr>
          <w:p>
            <w:pPr>
              <w:spacing w:after="0"/>
              <w:rPr>
                <w:sz w:val="1"/>
                <w:szCs w:val="1"/>
                <w:color w:val="auto"/>
              </w:rPr>
            </w:pPr>
          </w:p>
        </w:tc>
      </w:tr>
      <w:tr>
        <w:trPr>
          <w:trHeight w:val="87"/>
        </w:trPr>
        <w:tc>
          <w:tcPr>
            <w:tcW w:w="14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EcoR1 Capital, LLC</w:t>
            </w:r>
          </w:p>
        </w:tc>
        <w:tc>
          <w:tcPr>
            <w:tcW w:w="5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7114"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2024-08-16T11:06:56Z</dcterms:created>
  <dcterms:modified xsi:type="dcterms:W3CDTF">2024-08-16T11:06:56Z</dcterms:modified>
</cp:coreProperties>
</file>