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-195580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187325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40" w:type="dxa"/>
            <w:vAlign w:val="bottom"/>
            <w:gridSpan w:val="2"/>
          </w:tcPr>
          <w:p>
            <w:pPr>
              <w:jc w:val="center"/>
              <w:ind w:left="20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2"/>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78"/>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gridSpan w:val="2"/>
          </w:tcPr>
          <w:p>
            <w:pPr>
              <w:jc w:val="center"/>
              <w:ind w:left="19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20" w:type="dxa"/>
            <w:vAlign w:val="bottom"/>
            <w:gridSpan w:val="2"/>
          </w:tcPr>
          <w:p>
            <w:pPr>
              <w:jc w:val="center"/>
              <w:ind w:right="205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4"/>
        </w:trPr>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96"/>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53"/>
        </w:trPr>
        <w:tc>
          <w:tcPr>
            <w:tcW w:w="3660" w:type="dxa"/>
            <w:vAlign w:val="bottom"/>
          </w:tcPr>
          <w:p>
            <w:pPr>
              <w:spacing w:after="0"/>
              <w:rPr>
                <w:sz w:val="22"/>
                <w:szCs w:val="22"/>
                <w:color w:val="auto"/>
              </w:rPr>
            </w:pPr>
          </w:p>
        </w:tc>
        <w:tc>
          <w:tcPr>
            <w:tcW w:w="480" w:type="dxa"/>
            <w:vAlign w:val="bottom"/>
            <w:tcBorders>
              <w:bottom w:val="single" w:sz="8" w:color="auto"/>
            </w:tcBorders>
            <w:gridSpan w:val="2"/>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spacing w:after="0"/>
              <w:rPr>
                <w:sz w:val="22"/>
                <w:szCs w:val="22"/>
                <w:color w:val="auto"/>
              </w:rPr>
            </w:pPr>
          </w:p>
        </w:tc>
        <w:tc>
          <w:tcPr>
            <w:tcW w:w="3660" w:type="dxa"/>
            <w:vAlign w:val="bottom"/>
          </w:tcPr>
          <w:p>
            <w:pPr>
              <w:spacing w:after="0"/>
              <w:rPr>
                <w:sz w:val="22"/>
                <w:szCs w:val="22"/>
                <w:color w:val="auto"/>
              </w:rPr>
            </w:pPr>
          </w:p>
        </w:tc>
      </w:tr>
      <w:tr>
        <w:trPr>
          <w:trHeight w:val="318"/>
        </w:trPr>
        <w:tc>
          <w:tcPr>
            <w:tcW w:w="114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40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spacing w:after="0"/>
              <w:rPr>
                <w:sz w:val="21"/>
                <w:szCs w:val="21"/>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00" w:type="dxa"/>
            <w:vAlign w:val="bottom"/>
          </w:tcPr>
          <w:p>
            <w:pPr>
              <w:spacing w:after="0"/>
              <w:rPr>
                <w:sz w:val="20"/>
                <w:szCs w:val="20"/>
                <w:color w:val="auto"/>
              </w:rPr>
            </w:pPr>
          </w:p>
        </w:tc>
        <w:tc>
          <w:tcPr>
            <w:tcW w:w="3920" w:type="dxa"/>
            <w:vAlign w:val="bottom"/>
            <w:tcBorders>
              <w:right w:val="single" w:sz="8" w:color="auto"/>
            </w:tcBorders>
            <w:gridSpan w:val="2"/>
          </w:tcPr>
          <w:p>
            <w:pPr>
              <w:jc w:val="center"/>
              <w:ind w:right="23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04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37"/>
        </w:trPr>
        <w:tc>
          <w:tcPr>
            <w:tcW w:w="4040" w:type="dxa"/>
            <w:vAlign w:val="bottom"/>
            <w:tcBorders>
              <w:left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366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ind w:right="44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69" w:lineRule="exact"/>
        <w:rPr>
          <w:sz w:val="24"/>
          <w:szCs w:val="24"/>
          <w:color w:val="auto"/>
        </w:rPr>
      </w:pPr>
    </w:p>
    <w:p>
      <w:pPr>
        <w:ind w:right="50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39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540"/>
              <w:spacing w:after="0" w:line="251" w:lineRule="exact"/>
              <w:rPr>
                <w:sz w:val="20"/>
                <w:szCs w:val="20"/>
                <w:color w:val="auto"/>
              </w:rPr>
            </w:pPr>
            <w:r>
              <w:rPr>
                <w:rFonts w:ascii="MS PGothic" w:cs="MS PGothic" w:eastAsia="MS PGothic" w:hAnsi="MS PGothic"/>
                <w:sz w:val="25"/>
                <w:szCs w:val="25"/>
                <w:color w:val="auto"/>
              </w:rPr>
              <w:t>☒</w:t>
            </w: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81"/>
              </w:rPr>
              <w:t>☐</w:t>
            </w:r>
          </w:p>
        </w:tc>
      </w:tr>
    </w:tbl>
    <w:p>
      <w:pPr>
        <w:sectPr>
          <w:pgSz w:w="11900" w:h="16838" w:orient="portrait"/>
          <w:cols w:equalWidth="0" w:num="1">
            <w:col w:w="11440"/>
          </w:cols>
          <w:pgMar w:left="240" w:top="480" w:right="219" w:bottom="1440" w:gutter="0" w:footer="0" w:header="0"/>
        </w:sectPr>
      </w:pPr>
    </w:p>
    <w:bookmarkStart w:id="1" w:name="page2"/>
    <w:bookmarkEnd w:id="1"/>
    <w:p>
      <w:pPr>
        <w:spacing w:after="0" w:line="27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23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As of August 5, 2019, there were 27,047,596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163830</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280"/>
          </w:cols>
          <w:pgMar w:left="240" w:top="445" w:right="379" w:bottom="1440" w:gutter="0" w:footer="0" w:header="0"/>
        </w:sectPr>
      </w:pPr>
    </w:p>
    <w:bookmarkStart w:id="2" w:name="page3"/>
    <w:bookmarkEnd w:id="2"/>
    <w:p>
      <w:pPr>
        <w:jc w:val="center"/>
        <w:ind w:left="162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32"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color w:val="auto"/>
          </w:rPr>
          <w:t>Item 1.</w:t>
        </w:r>
      </w:hyperlink>
      <w:r>
        <w:rPr>
          <w:rFonts w:ascii="Times New Roman" w:cs="Times New Roman" w:eastAsia="Times New Roman" w:hAnsi="Times New Roman"/>
          <w:sz w:val="18"/>
          <w:szCs w:val="18"/>
          <w:color w:val="auto"/>
        </w:rPr>
        <w:tab/>
      </w:r>
      <w:hyperlink w:anchor="page4">
        <w:r>
          <w:rPr>
            <w:rFonts w:ascii="Times New Roman" w:cs="Times New Roman" w:eastAsia="Times New Roman" w:hAnsi="Times New Roman"/>
            <w:sz w:val="17"/>
            <w:szCs w:val="17"/>
            <w:u w:val="single" w:color="auto"/>
            <w:color w:val="0000EE"/>
          </w:rPr>
          <w:t>Consolidated Financial Statements (unaudited)</w:t>
        </w:r>
      </w:hyperlink>
    </w:p>
    <w:p>
      <w:pPr>
        <w:spacing w:after="0" w:line="144" w:lineRule="exact"/>
        <w:rPr>
          <w:sz w:val="20"/>
          <w:szCs w:val="20"/>
          <w:color w:val="auto"/>
        </w:rPr>
      </w:pPr>
    </w:p>
    <w:p>
      <w:pPr>
        <w:ind w:left="14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 as of June 30,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4" w:lineRule="exact"/>
        <w:rPr>
          <w:sz w:val="20"/>
          <w:szCs w:val="20"/>
          <w:color w:val="auto"/>
        </w:rPr>
      </w:pPr>
    </w:p>
    <w:p>
      <w:pPr>
        <w:ind w:left="1420"/>
        <w:spacing w:after="0" w:line="282"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Operations and Comprehensive Loss for the Three and Six Months Ended June 30, 2019</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and 2018</w:t>
        </w:r>
      </w:hyperlink>
    </w:p>
    <w:p>
      <w:pPr>
        <w:spacing w:after="0" w:line="81" w:lineRule="exact"/>
        <w:rPr>
          <w:sz w:val="20"/>
          <w:szCs w:val="20"/>
          <w:color w:val="auto"/>
        </w:rPr>
      </w:pPr>
    </w:p>
    <w:p>
      <w:pPr>
        <w:ind w:left="1420" w:right="1140"/>
        <w:spacing w:after="0" w:line="407" w:lineRule="auto"/>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Stockholder’s Equity for the Three and Six Months Ended June 30, 2019</w:t>
        </w:r>
      </w:hyperlink>
      <w:r>
        <w:rPr>
          <w:rFonts w:ascii="Times New Roman" w:cs="Times New Roman" w:eastAsia="Times New Roman" w:hAnsi="Times New Roman"/>
          <w:sz w:val="18"/>
          <w:szCs w:val="18"/>
          <w:u w:val="single" w:color="auto"/>
          <w:color w:val="0000EE"/>
        </w:rPr>
        <w:t xml:space="preserve"> </w:t>
      </w:r>
      <w:hyperlink w:anchor="page7">
        <w:r>
          <w:rPr>
            <w:rFonts w:ascii="Times New Roman" w:cs="Times New Roman" w:eastAsia="Times New Roman" w:hAnsi="Times New Roman"/>
            <w:sz w:val="18"/>
            <w:szCs w:val="18"/>
            <w:u w:val="single" w:color="auto"/>
            <w:color w:val="0000EE"/>
          </w:rPr>
          <w:t>Consolidated Statements of Stockholder’s Equity for the Three and Six Months Ended June 30, 2018</w:t>
        </w:r>
      </w:hyperlink>
      <w:r>
        <w:rPr>
          <w:rFonts w:ascii="Times New Roman" w:cs="Times New Roman" w:eastAsia="Times New Roman" w:hAnsi="Times New Roman"/>
          <w:sz w:val="18"/>
          <w:szCs w:val="18"/>
          <w:u w:val="single" w:color="auto"/>
          <w:color w:val="0000EE"/>
        </w:rPr>
        <w:t xml:space="preserve"> </w:t>
      </w:r>
      <w:hyperlink w:anchor="page8">
        <w:r>
          <w:rPr>
            <w:rFonts w:ascii="Times New Roman" w:cs="Times New Roman" w:eastAsia="Times New Roman" w:hAnsi="Times New Roman"/>
            <w:sz w:val="18"/>
            <w:szCs w:val="18"/>
            <w:u w:val="single" w:color="auto"/>
            <w:color w:val="0000EE"/>
          </w:rPr>
          <w:t>Consolidated Statements of Cash Flows for the Six Months Ended June 30, 2019 and 2018</w:t>
        </w:r>
      </w:hyperlink>
      <w:r>
        <w:rPr>
          <w:rFonts w:ascii="Times New Roman" w:cs="Times New Roman" w:eastAsia="Times New Roman" w:hAnsi="Times New Roman"/>
          <w:sz w:val="18"/>
          <w:szCs w:val="18"/>
          <w:u w:val="single" w:color="auto"/>
          <w:color w:val="0000EE"/>
        </w:rPr>
        <w:t xml:space="preserve"> </w:t>
      </w:r>
      <w:hyperlink w:anchor="page9">
        <w:r>
          <w:rPr>
            <w:rFonts w:ascii="Times New Roman" w:cs="Times New Roman" w:eastAsia="Times New Roman" w:hAnsi="Times New Roman"/>
            <w:sz w:val="18"/>
            <w:szCs w:val="18"/>
            <w:u w:val="single" w:color="auto"/>
            <w:color w:val="0000EE"/>
          </w:rPr>
          <w:t>Notes to the Unaudited Consolidated Financial Statements</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22">
        <w:r>
          <w:rPr>
            <w:rFonts w:ascii="Times New Roman" w:cs="Times New Roman" w:eastAsia="Times New Roman" w:hAnsi="Times New Roman"/>
            <w:sz w:val="18"/>
            <w:szCs w:val="18"/>
            <w:color w:val="auto"/>
          </w:rPr>
          <w:t>Item 2.</w:t>
        </w:r>
      </w:hyperlink>
      <w:r>
        <w:rPr>
          <w:rFonts w:ascii="Times New Roman" w:cs="Times New Roman" w:eastAsia="Times New Roman" w:hAnsi="Times New Roman"/>
          <w:sz w:val="18"/>
          <w:szCs w:val="18"/>
          <w:color w:val="auto"/>
        </w:rPr>
        <w:tab/>
      </w:r>
      <w:hyperlink w:anchor="page22">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29">
        <w:r>
          <w:rPr>
            <w:rFonts w:ascii="Times New Roman" w:cs="Times New Roman" w:eastAsia="Times New Roman" w:hAnsi="Times New Roman"/>
            <w:sz w:val="18"/>
            <w:szCs w:val="18"/>
            <w:color w:val="auto"/>
          </w:rPr>
          <w:t>Item 3.</w:t>
        </w:r>
      </w:hyperlink>
      <w:r>
        <w:rPr>
          <w:rFonts w:ascii="Times New Roman" w:cs="Times New Roman" w:eastAsia="Times New Roman" w:hAnsi="Times New Roman"/>
          <w:sz w:val="18"/>
          <w:szCs w:val="18"/>
          <w:color w:val="auto"/>
        </w:rPr>
        <w:tab/>
      </w:r>
      <w:hyperlink w:anchor="page29">
        <w:r>
          <w:rPr>
            <w:rFonts w:ascii="Times New Roman" w:cs="Times New Roman" w:eastAsia="Times New Roman" w:hAnsi="Times New Roman"/>
            <w:sz w:val="17"/>
            <w:szCs w:val="17"/>
            <w:u w:val="single" w:color="auto"/>
            <w:color w:val="0000EE"/>
          </w:rPr>
          <w:t>Quantitative and Qualitative Disclosures About Market Risk</w:t>
        </w:r>
      </w:hyperlink>
    </w:p>
    <w:p>
      <w:pPr>
        <w:spacing w:after="0" w:line="144" w:lineRule="exact"/>
        <w:rPr>
          <w:sz w:val="20"/>
          <w:szCs w:val="20"/>
          <w:color w:val="auto"/>
        </w:rPr>
      </w:pPr>
    </w:p>
    <w:p>
      <w:pPr>
        <w:ind w:left="40"/>
        <w:spacing w:after="0"/>
        <w:tabs>
          <w:tab w:leader="none" w:pos="1400" w:val="left"/>
        </w:tabs>
        <w:rPr>
          <w:rFonts w:ascii="Times New Roman" w:cs="Times New Roman" w:eastAsia="Times New Roman" w:hAnsi="Times New Roman"/>
          <w:sz w:val="17"/>
          <w:szCs w:val="17"/>
          <w:u w:val="single" w:color="auto"/>
          <w:color w:val="0000EE"/>
        </w:rPr>
      </w:pPr>
      <w:hyperlink w:anchor="page29">
        <w:r>
          <w:rPr>
            <w:rFonts w:ascii="Times New Roman" w:cs="Times New Roman" w:eastAsia="Times New Roman" w:hAnsi="Times New Roman"/>
            <w:sz w:val="18"/>
            <w:szCs w:val="18"/>
            <w:color w:val="auto"/>
          </w:rPr>
          <w:t>Item 4.</w:t>
        </w:r>
      </w:hyperlink>
      <w:r>
        <w:rPr>
          <w:rFonts w:ascii="Times New Roman" w:cs="Times New Roman" w:eastAsia="Times New Roman" w:hAnsi="Times New Roman"/>
          <w:sz w:val="18"/>
          <w:szCs w:val="18"/>
          <w:color w:val="auto"/>
        </w:rPr>
        <w:tab/>
      </w:r>
      <w:hyperlink w:anchor="page29">
        <w:r>
          <w:rPr>
            <w:rFonts w:ascii="Times New Roman" w:cs="Times New Roman" w:eastAsia="Times New Roman" w:hAnsi="Times New Roman"/>
            <w:sz w:val="17"/>
            <w:szCs w:val="17"/>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34290</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p>
      <w:pPr>
        <w:spacing w:after="0" w:line="360"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3</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4</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5</w:t>
        </w:r>
      </w:hyperlink>
    </w:p>
    <w:p>
      <w:pPr>
        <w:spacing w:after="0" w:line="144" w:lineRule="exact"/>
        <w:rPr>
          <w:sz w:val="20"/>
          <w:szCs w:val="20"/>
          <w:color w:val="auto"/>
        </w:rPr>
      </w:pPr>
    </w:p>
    <w:p>
      <w:pPr>
        <w:ind w:left="4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6</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19</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26</w:t>
        </w:r>
      </w:hyperlink>
    </w:p>
    <w:p>
      <w:pPr>
        <w:spacing w:after="0" w:line="144" w:lineRule="exact"/>
        <w:rPr>
          <w:sz w:val="20"/>
          <w:szCs w:val="20"/>
          <w:color w:val="auto"/>
        </w:rPr>
      </w:pPr>
    </w:p>
    <w:p>
      <w:pPr>
        <w:ind w:left="40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26</w:t>
        </w:r>
      </w:hyperlink>
    </w:p>
    <w:p>
      <w:pPr>
        <w:spacing w:after="0" w:line="790" w:lineRule="exact"/>
        <w:rPr>
          <w:sz w:val="20"/>
          <w:szCs w:val="20"/>
          <w:color w:val="auto"/>
        </w:rPr>
      </w:pPr>
    </w:p>
    <w:p>
      <w:pPr>
        <w:sectPr>
          <w:pgSz w:w="11900" w:h="16838" w:orient="portrait"/>
          <w:cols w:equalWidth="0" w:num="2">
            <w:col w:w="9820" w:space="420"/>
            <w:col w:w="1180"/>
          </w:cols>
          <w:pgMar w:left="240" w:top="365" w:right="239" w:bottom="1440" w:gutter="0" w:footer="0" w:header="0"/>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w:t>
              </w:r>
            </w:hyperlink>
          </w:p>
        </w:tc>
        <w:tc>
          <w:tcPr>
            <w:tcW w:w="6780" w:type="dxa"/>
            <w:vAlign w:val="bottom"/>
            <w:gridSpan w:val="8"/>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1A.</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2.</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Unregistered Sales of Equity Securities and Use of Proceeds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58</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20" w:type="dxa"/>
            <w:vAlign w:val="bottom"/>
            <w:tcBorders>
              <w:top w:val="single" w:sz="8" w:color="0000EE"/>
            </w:tcBorders>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Item 3.</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Defaults Upon Senior Securities</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58</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0000EE"/>
              <w:bottom w:val="single" w:sz="8" w:color="CCEEFF"/>
            </w:tcBorders>
            <w:shd w:val="clear" w:color="auto" w:fill="CCEEFF"/>
          </w:tcPr>
          <w:p>
            <w:pPr>
              <w:spacing w:after="0"/>
              <w:rPr>
                <w:sz w:val="9"/>
                <w:szCs w:val="9"/>
                <w:color w:val="auto"/>
              </w:rPr>
            </w:pPr>
          </w:p>
        </w:tc>
        <w:tc>
          <w:tcPr>
            <w:tcW w:w="440" w:type="dxa"/>
            <w:vAlign w:val="bottom"/>
            <w:tcBorders>
              <w:top w:val="single" w:sz="8" w:color="0000EE"/>
              <w:bottom w:val="single" w:sz="8" w:color="CCEEFF"/>
            </w:tcBorders>
            <w:shd w:val="clear" w:color="auto" w:fill="CCEEFF"/>
          </w:tcPr>
          <w:p>
            <w:pPr>
              <w:spacing w:after="0"/>
              <w:rPr>
                <w:sz w:val="9"/>
                <w:szCs w:val="9"/>
                <w:color w:val="auto"/>
              </w:rPr>
            </w:pPr>
          </w:p>
        </w:tc>
        <w:tc>
          <w:tcPr>
            <w:tcW w:w="560" w:type="dxa"/>
            <w:vAlign w:val="bottom"/>
            <w:tcBorders>
              <w:top w:val="single" w:sz="8" w:color="0000EE"/>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4.</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Mine Safety Disclosures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line="202" w:lineRule="exact"/>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5.</w:t>
              </w:r>
            </w:hyperlink>
          </w:p>
        </w:tc>
        <w:tc>
          <w:tcPr>
            <w:tcW w:w="678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Other Information</w:t>
              </w:r>
            </w:hyperlink>
          </w:p>
        </w:tc>
        <w:tc>
          <w:tcPr>
            <w:tcW w:w="322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0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2440" w:type="dxa"/>
            <w:vAlign w:val="bottom"/>
            <w:tcBorders>
              <w:top w:val="single" w:sz="8" w:color="CCEEFF"/>
              <w:bottom w:val="single" w:sz="8" w:color="CCEEFF"/>
            </w:tcBorders>
            <w:shd w:val="clear" w:color="auto" w:fill="CCEEFF"/>
          </w:tcPr>
          <w:p>
            <w:pPr>
              <w:spacing w:after="0"/>
              <w:rPr>
                <w:sz w:val="9"/>
                <w:szCs w:val="9"/>
                <w:color w:val="auto"/>
              </w:rPr>
            </w:pPr>
          </w:p>
        </w:tc>
        <w:tc>
          <w:tcPr>
            <w:tcW w:w="32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40"/>
              <w:spacing w:after="0" w:line="202" w:lineRule="exact"/>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Item 6.</w:t>
              </w:r>
            </w:hyperlink>
          </w:p>
        </w:tc>
        <w:tc>
          <w:tcPr>
            <w:tcW w:w="6780" w:type="dxa"/>
            <w:vAlign w:val="bottom"/>
            <w:gridSpan w:val="8"/>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Exhibits</w:t>
              </w:r>
            </w:hyperlink>
          </w:p>
        </w:tc>
        <w:tc>
          <w:tcPr>
            <w:tcW w:w="322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Exhibit Index</w:t>
              </w:r>
            </w:hyperlink>
          </w:p>
        </w:tc>
        <w:tc>
          <w:tcPr>
            <w:tcW w:w="4900" w:type="dxa"/>
            <w:vAlign w:val="bottom"/>
            <w:vMerge w:val="restart"/>
            <w:shd w:val="clear" w:color="auto" w:fill="CCEEFF"/>
          </w:tcPr>
          <w:p>
            <w:pPr>
              <w:jc w:val="right"/>
              <w:ind w:right="510"/>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109"/>
        </w:trPr>
        <w:tc>
          <w:tcPr>
            <w:tcW w:w="142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0000EE"/>
              <w:bottom w:val="single" w:sz="8" w:color="CCEEFF"/>
            </w:tcBorders>
            <w:shd w:val="clear" w:color="auto" w:fill="CCEEFF"/>
          </w:tcPr>
          <w:p>
            <w:pPr>
              <w:spacing w:after="0"/>
              <w:rPr>
                <w:sz w:val="9"/>
                <w:szCs w:val="9"/>
                <w:color w:val="auto"/>
              </w:rPr>
            </w:pPr>
          </w:p>
        </w:tc>
        <w:tc>
          <w:tcPr>
            <w:tcW w:w="220" w:type="dxa"/>
            <w:vAlign w:val="bottom"/>
            <w:tcBorders>
              <w:top w:val="single" w:sz="8" w:color="0000EE"/>
              <w:bottom w:val="single" w:sz="8" w:color="CCEEFF"/>
            </w:tcBorders>
            <w:shd w:val="clear" w:color="auto" w:fill="CCEEFF"/>
          </w:tcPr>
          <w:p>
            <w:pPr>
              <w:spacing w:after="0"/>
              <w:rPr>
                <w:sz w:val="9"/>
                <w:szCs w:val="9"/>
                <w:color w:val="auto"/>
              </w:rPr>
            </w:pPr>
          </w:p>
        </w:tc>
        <w:tc>
          <w:tcPr>
            <w:tcW w:w="4120" w:type="dxa"/>
            <w:vAlign w:val="bottom"/>
            <w:tcBorders>
              <w:top w:val="single" w:sz="8" w:color="CCEEFF"/>
              <w:bottom w:val="single" w:sz="8" w:color="CCEEFF"/>
            </w:tcBorders>
            <w:shd w:val="clear" w:color="auto" w:fill="CCEEFF"/>
          </w:tcPr>
          <w:p>
            <w:pPr>
              <w:spacing w:after="0"/>
              <w:rPr>
                <w:sz w:val="9"/>
                <w:szCs w:val="9"/>
                <w:color w:val="auto"/>
              </w:rPr>
            </w:pPr>
          </w:p>
        </w:tc>
        <w:tc>
          <w:tcPr>
            <w:tcW w:w="490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100" w:type="dxa"/>
            <w:vAlign w:val="bottom"/>
            <w:gridSpan w:val="3"/>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Signatures</w:t>
              </w:r>
            </w:hyperlink>
          </w:p>
        </w:tc>
        <w:tc>
          <w:tcPr>
            <w:tcW w:w="4900" w:type="dxa"/>
            <w:vAlign w:val="bottom"/>
            <w:vMerge w:val="restart"/>
          </w:tcPr>
          <w:p>
            <w:pPr>
              <w:jc w:val="right"/>
              <w:ind w:right="510"/>
              <w:spacing w:after="0"/>
              <w:rPr>
                <w:rFonts w:ascii="Times New Roman" w:cs="Times New Roman" w:eastAsia="Times New Roman" w:hAnsi="Times New Roman"/>
                <w:sz w:val="18"/>
                <w:szCs w:val="18"/>
                <w:color w:val="auto"/>
              </w:rPr>
            </w:pPr>
            <w:hyperlink w:anchor="page63">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type w:val="continuous"/>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120" w:type="dxa"/>
            <w:vAlign w:val="bottom"/>
            <w:tcBorders>
              <w:bottom w:val="single" w:sz="8" w:color="CFF0FC"/>
            </w:tcBorders>
            <w:shd w:val="clear" w:color="auto" w:fill="CFF0FC"/>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146,552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113,596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Receivable from collaborative partners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2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275,664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313,486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6,960</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430,988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434,216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investments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45,707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480,149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14,102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8,761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7,574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7"/>
        </w:trPr>
        <w:tc>
          <w:tcPr>
            <w:tcW w:w="8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30,623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21,836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June 30, 2019 and</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$0.001 par value, 500,000 shares authorized, 27,045 shares and 26,922 shares issued and outstanding at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30, 2019 and December 31, 2018, respectively</w:t>
            </w:r>
          </w:p>
        </w:tc>
        <w:tc>
          <w:tcPr>
            <w:tcW w:w="24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640,550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633,251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(192,730)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(146,690)</w:t>
            </w:r>
          </w:p>
        </w:tc>
        <w:tc>
          <w:tcPr>
            <w:tcW w:w="0" w:type="dxa"/>
            <w:vAlign w:val="bottom"/>
          </w:tcPr>
          <w:p>
            <w:pPr>
              <w:spacing w:after="0"/>
              <w:rPr>
                <w:sz w:val="1"/>
                <w:szCs w:val="1"/>
                <w:color w:val="auto"/>
              </w:rPr>
            </w:pPr>
          </w:p>
        </w:tc>
      </w:tr>
      <w:tr>
        <w:trPr>
          <w:trHeight w:val="217"/>
        </w:trPr>
        <w:tc>
          <w:tcPr>
            <w:tcW w:w="8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448,421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486,365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480,149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508,997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55"/>
        </w:trPr>
        <w:tc>
          <w:tcPr>
            <w:tcW w:w="56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Collaboration revenue</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27,350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10,583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47,981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22,393</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8,448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7,779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31,657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14,415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56,429</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30,172</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(30,172)</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5,945</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2,482</w:t>
            </w:r>
          </w:p>
        </w:tc>
        <w:tc>
          <w:tcPr>
            <w:tcW w:w="0" w:type="dxa"/>
            <w:vAlign w:val="bottom"/>
          </w:tcPr>
          <w:p>
            <w:pPr>
              <w:spacing w:after="0"/>
              <w:rPr>
                <w:sz w:val="1"/>
                <w:szCs w:val="1"/>
                <w:color w:val="auto"/>
              </w:rPr>
            </w:pPr>
          </w:p>
        </w:tc>
      </w:tr>
      <w:tr>
        <w:trPr>
          <w:trHeight w:val="237"/>
        </w:trPr>
        <w:tc>
          <w:tcPr>
            <w:tcW w:w="5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5,310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(28,704)</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(46,040)</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(28,704)</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Unrealized income (loss) on available for sale securities, net of tax of $99,</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 $214 and $0, respectively</w:t>
            </w:r>
          </w:p>
        </w:tc>
        <w:tc>
          <w:tcPr>
            <w:tcW w:w="34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(45,243)</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(28,954)</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27,026</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23,932</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27,004</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23,867</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360"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9"/>
        </w:trPr>
        <w:tc>
          <w:tcPr>
            <w:tcW w:w="4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200" w:type="dxa"/>
            <w:vAlign w:val="bottom"/>
          </w:tcPr>
          <w:p>
            <w:pPr>
              <w:spacing w:after="0"/>
              <w:rPr>
                <w:sz w:val="8"/>
                <w:szCs w:val="8"/>
                <w:color w:val="auto"/>
              </w:rPr>
            </w:pPr>
          </w:p>
        </w:tc>
        <w:tc>
          <w:tcPr>
            <w:tcW w:w="1160" w:type="dxa"/>
            <w:vAlign w:val="bottom"/>
            <w:gridSpan w:val="2"/>
          </w:tcPr>
          <w:p>
            <w:pPr>
              <w:jc w:val="center"/>
              <w:ind w:right="3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8"/>
                <w:szCs w:val="8"/>
                <w:color w:val="auto"/>
              </w:rPr>
            </w:pPr>
          </w:p>
        </w:tc>
        <w:tc>
          <w:tcPr>
            <w:tcW w:w="1040" w:type="dxa"/>
            <w:vAlign w:val="bottom"/>
          </w:tcPr>
          <w:p>
            <w:pPr>
              <w:jc w:val="center"/>
              <w:ind w:right="1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42"/>
        </w:trPr>
        <w:tc>
          <w:tcPr>
            <w:tcW w:w="424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tcPr>
          <w:p>
            <w:pPr>
              <w:spacing w:after="0"/>
              <w:rPr>
                <w:sz w:val="12"/>
                <w:szCs w:val="12"/>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
        </w:trPr>
        <w:tc>
          <w:tcPr>
            <w:tcW w:w="42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December 31, 2018</w:t>
            </w:r>
          </w:p>
        </w:tc>
        <w:tc>
          <w:tcPr>
            <w:tcW w:w="8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26,922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633,251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(146,690)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486,365</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574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574</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2,867</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2,867</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427</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c>
          <w:tcPr>
            <w:tcW w:w="12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r>
      <w:tr>
        <w:trPr>
          <w:trHeight w:val="244"/>
        </w:trPr>
        <w:tc>
          <w:tcPr>
            <w:tcW w:w="42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Balance, March 31, 2019</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rPr>
              <w:t>27,006</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636,692</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(168,768)</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468,155</w:t>
            </w:r>
          </w:p>
        </w:tc>
      </w:tr>
      <w:tr>
        <w:trPr>
          <w:trHeight w:val="257"/>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215</w:t>
            </w:r>
          </w:p>
        </w:tc>
      </w:tr>
      <w:tr>
        <w:trPr>
          <w:trHeight w:val="262"/>
        </w:trPr>
        <w:tc>
          <w:tcPr>
            <w:tcW w:w="42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3,643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3,643</w:t>
            </w:r>
          </w:p>
        </w:tc>
      </w:tr>
      <w:tr>
        <w:trPr>
          <w:trHeight w:val="278"/>
        </w:trPr>
        <w:tc>
          <w:tcPr>
            <w:tcW w:w="4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income, net</w:t>
            </w:r>
          </w:p>
        </w:tc>
        <w:tc>
          <w:tcPr>
            <w:tcW w:w="8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370</w:t>
            </w:r>
          </w:p>
        </w:tc>
      </w:tr>
      <w:tr>
        <w:trPr>
          <w:trHeight w:val="264"/>
        </w:trPr>
        <w:tc>
          <w:tcPr>
            <w:tcW w:w="42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(23,962)</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(23,962)</w:t>
            </w:r>
          </w:p>
        </w:tc>
      </w:tr>
      <w:tr>
        <w:trPr>
          <w:trHeight w:val="237"/>
        </w:trPr>
        <w:tc>
          <w:tcPr>
            <w:tcW w:w="4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June 30, 2019</w:t>
            </w:r>
          </w:p>
        </w:tc>
        <w:tc>
          <w:tcPr>
            <w:tcW w:w="80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27,045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640,550</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(192,730)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448,421</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December 31, 2017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issued under employee stock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Warrants exercised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loss,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March 31, 2018</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issued under employee stock plans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Warrants exercised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 June 30, 2018</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164"/>
        </w:trPr>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99"/>
        </w:trPr>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200" w:type="dxa"/>
            <w:vAlign w:val="bottom"/>
          </w:tcPr>
          <w:p>
            <w:pPr>
              <w:spacing w:after="0"/>
              <w:rPr>
                <w:sz w:val="8"/>
                <w:szCs w:val="8"/>
                <w:color w:val="auto"/>
              </w:rPr>
            </w:pPr>
          </w:p>
        </w:tc>
        <w:tc>
          <w:tcPr>
            <w:tcW w:w="114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80" w:type="dxa"/>
            <w:vAlign w:val="bottom"/>
          </w:tcPr>
          <w:p>
            <w:pPr>
              <w:spacing w:after="0"/>
              <w:rPr>
                <w:sz w:val="8"/>
                <w:szCs w:val="8"/>
                <w:color w:val="auto"/>
              </w:rPr>
            </w:pPr>
          </w:p>
        </w:tc>
        <w:tc>
          <w:tcPr>
            <w:tcW w:w="1040" w:type="dxa"/>
            <w:vAlign w:val="bottom"/>
          </w:tcPr>
          <w:p>
            <w:pPr>
              <w:jc w:val="center"/>
              <w:ind w:right="119"/>
              <w:spacing w:after="0" w:line="100" w:lineRule="exact"/>
              <w:rPr>
                <w:sz w:val="20"/>
                <w:szCs w:val="20"/>
                <w:color w:val="auto"/>
              </w:rPr>
            </w:pPr>
            <w:r>
              <w:rPr>
                <w:rFonts w:ascii="Times New Roman" w:cs="Times New Roman" w:eastAsia="Times New Roman" w:hAnsi="Times New Roman"/>
                <w:sz w:val="11"/>
                <w:szCs w:val="11"/>
                <w:b w:val="1"/>
                <w:bCs w:val="1"/>
                <w:color w:val="auto"/>
                <w:w w:val="95"/>
              </w:rPr>
              <w:t>Stockholders’</w:t>
            </w:r>
          </w:p>
        </w:tc>
      </w:tr>
      <w:tr>
        <w:trPr>
          <w:trHeight w:val="142"/>
        </w:trPr>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80" w:type="dxa"/>
            <w:vAlign w:val="bottom"/>
          </w:tcPr>
          <w:p>
            <w:pPr>
              <w:spacing w:after="0"/>
              <w:rPr>
                <w:sz w:val="12"/>
                <w:szCs w:val="12"/>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4"/>
              </w:rPr>
              <w:t>Equity</w:t>
            </w:r>
          </w:p>
        </w:tc>
      </w:tr>
      <w:tr>
        <w:trPr>
          <w:trHeight w:val="22"/>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23,791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0"/>
                <w:szCs w:val="20"/>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393,017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(85,034)</w:t>
            </w:r>
          </w:p>
        </w:tc>
        <w:tc>
          <w:tcPr>
            <w:tcW w:w="120" w:type="dxa"/>
            <w:vAlign w:val="bottom"/>
          </w:tcPr>
          <w:p>
            <w:pPr>
              <w:spacing w:after="0"/>
              <w:rPr>
                <w:sz w:val="20"/>
                <w:szCs w:val="20"/>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307,581</w:t>
            </w:r>
          </w:p>
        </w:tc>
      </w:tr>
      <w:tr>
        <w:trPr>
          <w:trHeight w:val="270"/>
        </w:trPr>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72</w:t>
            </w:r>
          </w:p>
        </w:tc>
      </w:tr>
      <w:tr>
        <w:trPr>
          <w:trHeight w:val="270"/>
        </w:trPr>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75</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2,260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2,260</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r>
      <w:tr>
        <w:trPr>
          <w:trHeight w:val="280"/>
        </w:trPr>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(15,086)</w:t>
            </w:r>
          </w:p>
        </w:tc>
      </w:tr>
      <w:tr>
        <w:trPr>
          <w:trHeight w:val="250"/>
        </w:trPr>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23,817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395,424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(100,120)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294,527</w:t>
            </w:r>
          </w:p>
        </w:tc>
      </w:tr>
      <w:tr>
        <w:trPr>
          <w:trHeight w:val="241"/>
        </w:trPr>
        <w:tc>
          <w:tcPr>
            <w:tcW w:w="8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1,397</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2,548</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124</w:t>
            </w:r>
          </w:p>
        </w:tc>
      </w:tr>
      <w:tr>
        <w:trPr>
          <w:trHeight w:val="280"/>
        </w:trPr>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(13,618)</w:t>
            </w:r>
          </w:p>
        </w:tc>
      </w:tr>
      <w:tr>
        <w:trPr>
          <w:trHeight w:val="237"/>
        </w:trPr>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24,029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399,370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(113,738)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284,979</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-2245995</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-1903095</wp:posOffset>
            </wp:positionV>
            <wp:extent cx="71862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-1560195</wp:posOffset>
            </wp:positionV>
            <wp:extent cx="71862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-1217295</wp:posOffset>
            </wp:positionV>
            <wp:extent cx="71862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-874395</wp:posOffset>
            </wp:positionV>
            <wp:extent cx="71862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-530860</wp:posOffset>
            </wp:positionV>
            <wp:extent cx="71862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-187960</wp:posOffset>
            </wp:positionV>
            <wp:extent cx="71862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5"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360" w:space="720"/>
            <w:col w:w="8200"/>
          </w:cols>
          <w:pgMar w:left="28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6,510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4,808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Accretion/amortization of investments, net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Receivable from collaborative partners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Australian tax incentive receivable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(31,616)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(21,356)</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10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(132,313)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200,267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provided by (used in) investing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67,533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stock options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warrants</w:t>
            </w:r>
          </w:p>
        </w:tc>
        <w:tc>
          <w:tcPr>
            <w:tcW w:w="10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Payments for offering costs, net</w:t>
            </w:r>
          </w:p>
        </w:tc>
        <w:tc>
          <w:tcPr>
            <w:tcW w:w="10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32,956</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(24,132)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113,656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81,249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20" w:type="dxa"/>
            <w:vAlign w:val="bottom"/>
            <w:tcBorders>
              <w:bottom w:val="single" w:sz="8" w:color="CFF0FC"/>
            </w:tcBorders>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146,612</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57,117</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tcBorders>
              <w:bottom w:val="single" w:sz="8" w:color="CFF0FC"/>
            </w:tcBorders>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2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33"/>
        </w:trPr>
        <w:tc>
          <w:tcPr>
            <w:tcW w:w="79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 natural process of antibody generation. We currently generate revenue from milestones achieved under our collaborative research and development arrangements.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9" w:lineRule="exact"/>
        <w:rPr>
          <w:sz w:val="20"/>
          <w:szCs w:val="20"/>
          <w:color w:val="auto"/>
        </w:rPr>
      </w:pPr>
    </w:p>
    <w:p>
      <w:pPr>
        <w:ind w:left="260" w:right="7860" w:hanging="252"/>
        <w:spacing w:after="0" w:line="378" w:lineRule="auto"/>
        <w:tabs>
          <w:tab w:leader="none" w:pos="1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2018 financial information to conform to the current year presentation of long-term liabilities on the Consolidated Balance Sheets. Operating results for the six months ended June 30, 2019 are not necessarily indicative of the results that may be expected for the year ending December 31, 2019. The financial statements should be read in conjunction with our audited financial statements for the year ended December 31, 2018, included in our Annual Form 10-K.</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620" w:firstLine="446"/>
        <w:spacing w:after="0" w:line="313"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Prior to January 1, 2019, we recorded our leases in accordance with Accounting Standard Codification (ASC) Topic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18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Accounting Standard Update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or “ROU”, asset. Operating lease ROU assets and operating lease liabilities are recognized based on the present value of the future minimum lease payments over the lease term at the date of adoption of ASC 842, or the lease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2"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124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86"/>
        </w:trPr>
        <w:tc>
          <w:tcPr>
            <w:tcW w:w="6060" w:type="dxa"/>
            <w:vAlign w:val="bottom"/>
            <w:tcBorders>
              <w:bottom w:val="single" w:sz="8" w:color="CCEEFF"/>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or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that lessees recognize a right-of-use, or “ROU”, asset and a related lease liability on the balance sheet for all leases with a term longer than 12 months. Topic 842 was subsequently amended by ASU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ASU 2018-11,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and ASU 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ASU 2016-02 became effective for our annual reporting period beginning January 1, 2019, including interim periods thereafter. 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adopted this standard on January 1, 2019 and used the effective date as our date of initial application.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also made an accounting policy election to not recognize leases with an initial term of 12 months or less within our consolidated balance sheets and to recognize those lease payments on a straight-line basis in our consolidated statements of operations over the lease term. Adoption of the new standard resulted in the recording of operating lease ROU assets and lease liabilities of approximately $2.1 million and $2.3 million as of January 1, 2019, respectively related to our real estate leases. Adoption of this new standard did not have a material impact on our consolidated statements of operations or cash flows.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84" w:right="239" w:bottom="1440" w:gutter="0" w:footer="0" w:header="0"/>
        </w:sectPr>
      </w:pPr>
    </w:p>
    <w:bookmarkStart w:id="10" w:name="page11"/>
    <w:bookmarkEnd w:id="10"/>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252525"/>
        </w:rPr>
        <w:t xml:space="preserve">In June 2016, the FASB issued ASU 2016-13, </w:t>
      </w:r>
      <w:r>
        <w:rPr>
          <w:rFonts w:ascii="Times New Roman" w:cs="Times New Roman" w:eastAsia="Times New Roman" w:hAnsi="Times New Roman"/>
          <w:sz w:val="18"/>
          <w:szCs w:val="18"/>
          <w:i w:val="1"/>
          <w:iCs w:val="1"/>
          <w:color w:val="252525"/>
        </w:rPr>
        <w:t>Financial Instruments - Credit Losses: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000000"/>
        </w:rPr>
        <w:t>Measurement of Credit Losses on Financial Instruments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252525"/>
        </w:rPr>
        <w:t>(Topic</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252525"/>
        </w:rPr>
        <w:t xml:space="preserve">326), </w:t>
      </w:r>
      <w:r>
        <w:rPr>
          <w:rFonts w:ascii="Times New Roman" w:cs="Times New Roman" w:eastAsia="Times New Roman" w:hAnsi="Times New Roman"/>
          <w:sz w:val="18"/>
          <w:szCs w:val="18"/>
          <w:color w:val="252525"/>
        </w:rPr>
        <w:t>which changes the accounting treatment for recognizing the impairment of financial assets. Under the new guidance, credit losses for certain types of</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early adoption is permitted. We believe that the adoption of this standard will not have a material impact on our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Borders>
              <w:top w:val="single" w:sz="8" w:color="auto"/>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40" w:type="dxa"/>
            <w:vAlign w:val="bottom"/>
            <w:tcBorders>
              <w:top w:val="single" w:sz="8" w:color="auto"/>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14,102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60" w:right="7080" w:hanging="252"/>
        <w:spacing w:after="0" w:line="378"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TESARO Collaboration</w:t>
      </w:r>
    </w:p>
    <w:p>
      <w:pPr>
        <w:ind w:right="260" w:firstLine="446"/>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or the TESARO Agreement, with TESARO, Inc. and TESARO Development, Inc., or collectively, TESARO, an oncology-focused biopharmaceutical company now a part of GlaxoSmithKline.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81" w:lineRule="exact"/>
        <w:rPr>
          <w:sz w:val="20"/>
          <w:szCs w:val="20"/>
          <w:color w:val="auto"/>
        </w:rPr>
      </w:pPr>
    </w:p>
    <w:p>
      <w:pPr>
        <w:ind w:right="220" w:firstLine="446"/>
        <w:spacing w:after="0" w:line="261" w:lineRule="auto"/>
        <w:rPr>
          <w:sz w:val="20"/>
          <w:szCs w:val="20"/>
          <w:color w:val="auto"/>
        </w:rPr>
      </w:pPr>
      <w:r>
        <w:rPr>
          <w:rFonts w:ascii="Times New Roman" w:cs="Times New Roman" w:eastAsia="Times New Roman" w:hAnsi="Times New Roman"/>
          <w:sz w:val="18"/>
          <w:szCs w:val="18"/>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95" w:right="239" w:bottom="1440" w:gutter="0" w:footer="0" w:header="0"/>
        </w:sectPr>
      </w:pPr>
    </w:p>
    <w:bookmarkStart w:id="11" w:name="page12"/>
    <w:bookmarkEnd w:id="11"/>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since been recognized in full.</w:t>
      </w:r>
    </w:p>
    <w:p>
      <w:pPr>
        <w:spacing w:after="0" w:line="8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8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June 30, 2019, the transaction price includes the upfront payment, research reimbursement revenue, and milestones earned to date, which are allocated in their entirety to the single performance obligation. Future potential milestones are generally not included as they are subject to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 During the three months ended June 30, 2019, we recognized one clinical milestone for $5.0 million which we expect to be achieved during the second half of 2019. This milestone was recognized upon the evaluation of recent actions, efforts, and public disclosures made by TESARO that led to the determination that a significant reversal of revenue would not be probable. No other future clinical or regulatory milestones have been included in the transaction price, as all other milestone amounts continued to be subject to the revenue constraint.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recognized through June 30, 2019 under the TESARO Agreement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Anti-LAG-3</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(TSR042/Dostarlimab)</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(TSR022)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(TSR033)</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820" w:type="dxa"/>
            <w:vAlign w:val="bottom"/>
            <w:vMerge w:val="continue"/>
          </w:tcPr>
          <w:p>
            <w:pPr>
              <w:spacing w:after="0"/>
              <w:rPr>
                <w:sz w:val="16"/>
                <w:szCs w:val="16"/>
                <w:color w:val="auto"/>
              </w:rPr>
            </w:pP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374"/>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w:t>
            </w: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320" w:type="dxa"/>
            <w:vAlign w:val="bottom"/>
            <w:gridSpan w:val="2"/>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Q2'15</w:t>
            </w:r>
          </w:p>
        </w:tc>
        <w:tc>
          <w:tcPr>
            <w:tcW w:w="820" w:type="dxa"/>
            <w:vAlign w:val="bottom"/>
            <w:vMerge w:val="restart"/>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$1.0M</w:t>
            </w:r>
          </w:p>
        </w:tc>
        <w:tc>
          <w:tcPr>
            <w:tcW w:w="1560" w:type="dxa"/>
            <w:vAlign w:val="bottom"/>
            <w:gridSpan w:val="2"/>
            <w:vMerge w:val="restart"/>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Q4'15</w:t>
            </w:r>
          </w:p>
        </w:tc>
        <w:tc>
          <w:tcPr>
            <w:tcW w:w="820" w:type="dxa"/>
            <w:vAlign w:val="bottom"/>
            <w:vMerge w:val="restart"/>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$1.0M</w:t>
            </w:r>
          </w:p>
        </w:tc>
        <w:tc>
          <w:tcPr>
            <w:tcW w:w="1440" w:type="dxa"/>
            <w:vAlign w:val="bottom"/>
            <w:vMerge w:val="restart"/>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Q3'16</w:t>
            </w: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(GLPs)</w:t>
            </w:r>
          </w:p>
        </w:tc>
        <w:tc>
          <w:tcPr>
            <w:tcW w:w="1100" w:type="dxa"/>
            <w:vAlign w:val="bottom"/>
            <w:vMerge w:val="continue"/>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Q1'16</w:t>
            </w:r>
          </w:p>
        </w:tc>
        <w:tc>
          <w:tcPr>
            <w:tcW w:w="8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$4.0M</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Q2'16</w:t>
            </w:r>
          </w:p>
        </w:tc>
        <w:tc>
          <w:tcPr>
            <w:tcW w:w="8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$4.0M</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Q2'17</w:t>
            </w:r>
          </w:p>
        </w:tc>
        <w:tc>
          <w:tcPr>
            <w:tcW w:w="0" w:type="dxa"/>
            <w:vAlign w:val="bottom"/>
          </w:tcPr>
          <w:p>
            <w:pPr>
              <w:spacing w:after="0"/>
              <w:rPr>
                <w:sz w:val="1"/>
                <w:szCs w:val="1"/>
                <w:color w:val="auto"/>
              </w:rPr>
            </w:pPr>
          </w:p>
        </w:tc>
      </w:tr>
      <w:tr>
        <w:trPr>
          <w:trHeight w:val="275"/>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Q2'17</w:t>
            </w:r>
          </w:p>
        </w:tc>
        <w:tc>
          <w:tcPr>
            <w:tcW w:w="82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$3.0M</w:t>
            </w:r>
          </w:p>
        </w:tc>
        <w:tc>
          <w:tcPr>
            <w:tcW w:w="15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Q4'17</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3 clinical trial initiation - first indication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Q3'18</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5"/>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Phase 3 clinical trial initiation - second indication</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3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4"/>
                <w:szCs w:val="14"/>
                <w:color w:val="auto"/>
              </w:rPr>
              <w:t>Q2'19</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achieved during the discovery period were recognized as revenue pro-rata through December 31, 2016. Milestones achieved during fiscal</w:t>
      </w:r>
    </w:p>
    <w:p>
      <w:pPr>
        <w:spacing w:after="0" w:line="27"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72"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We recognized $5.0 million in revenue under this agreement during the three and six months ended June 30, 2019 and no revenue during the three and six months ended June 30,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72" w:right="2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Celgene Corporation</w:t>
      </w:r>
    </w:p>
    <w:p>
      <w:pPr>
        <w:spacing w:after="0" w:line="121" w:lineRule="exact"/>
        <w:rPr>
          <w:sz w:val="20"/>
          <w:szCs w:val="20"/>
          <w:color w:val="auto"/>
        </w:rPr>
      </w:pPr>
    </w:p>
    <w:p>
      <w:pPr>
        <w:jc w:val="both"/>
        <w:ind w:right="220" w:firstLine="446"/>
        <w:spacing w:after="0" w:line="261"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72"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68"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77"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As of June 30, 2019,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Milestones achieved through June 30, 2019 under the Celgene Agreement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4980" w:type="dxa"/>
            <w:vAlign w:val="bottom"/>
            <w:gridSpan w:val="2"/>
          </w:tcPr>
          <w:p>
            <w:pPr>
              <w:jc w:val="center"/>
              <w:ind w:left="2608"/>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2"/>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(CC-90006)</w:t>
            </w:r>
          </w:p>
        </w:tc>
        <w:tc>
          <w:tcPr>
            <w:tcW w:w="0" w:type="dxa"/>
            <w:vAlign w:val="bottom"/>
          </w:tcPr>
          <w:p>
            <w:pPr>
              <w:spacing w:after="0"/>
              <w:rPr>
                <w:sz w:val="1"/>
                <w:szCs w:val="1"/>
                <w:color w:val="auto"/>
              </w:rPr>
            </w:pPr>
          </w:p>
        </w:tc>
      </w:tr>
      <w:tr>
        <w:trPr>
          <w:trHeight w:val="149"/>
        </w:trPr>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840" w:type="dxa"/>
            <w:vAlign w:val="bottom"/>
            <w:vMerge w:val="restart"/>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5"/>
        </w:trPr>
        <w:tc>
          <w:tcPr>
            <w:tcW w:w="6440" w:type="dxa"/>
            <w:vAlign w:val="bottom"/>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24"/>
        </w:trPr>
        <w:tc>
          <w:tcPr>
            <w:tcW w:w="6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 xml:space="preserve">Completion of first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GLPs</w:t>
            </w:r>
          </w:p>
        </w:tc>
        <w:tc>
          <w:tcPr>
            <w:tcW w:w="3840" w:type="dxa"/>
            <w:vAlign w:val="bottom"/>
            <w:shd w:val="clear" w:color="auto" w:fill="CFF0FC"/>
          </w:tcPr>
          <w:p>
            <w:pPr>
              <w:jc w:val="center"/>
              <w:ind w:left="2748"/>
              <w:spacing w:after="0"/>
              <w:rPr>
                <w:sz w:val="20"/>
                <w:szCs w:val="20"/>
                <w:color w:val="auto"/>
              </w:rPr>
            </w:pPr>
            <w:r>
              <w:rPr>
                <w:rFonts w:ascii="Times New Roman" w:cs="Times New Roman" w:eastAsia="Times New Roman" w:hAnsi="Times New Roman"/>
                <w:sz w:val="14"/>
                <w:szCs w:val="14"/>
                <w:color w:val="auto"/>
              </w:rPr>
              <w:t>$0.5M</w:t>
            </w:r>
          </w:p>
        </w:tc>
        <w:tc>
          <w:tcPr>
            <w:tcW w:w="1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193"/>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Phase 1 clinical trial initiation</w:t>
            </w:r>
          </w:p>
        </w:tc>
        <w:tc>
          <w:tcPr>
            <w:tcW w:w="3840" w:type="dxa"/>
            <w:vAlign w:val="bottom"/>
          </w:tcPr>
          <w:p>
            <w:pPr>
              <w:jc w:val="center"/>
              <w:ind w:left="2748"/>
              <w:spacing w:after="0"/>
              <w:rPr>
                <w:sz w:val="20"/>
                <w:szCs w:val="20"/>
                <w:color w:val="auto"/>
              </w:rPr>
            </w:pPr>
            <w:r>
              <w:rPr>
                <w:rFonts w:ascii="Times New Roman" w:cs="Times New Roman" w:eastAsia="Times New Roman" w:hAnsi="Times New Roman"/>
                <w:sz w:val="14"/>
                <w:szCs w:val="14"/>
                <w:color w:val="auto"/>
              </w:rPr>
              <w:t>$1.0M</w:t>
            </w:r>
          </w:p>
        </w:tc>
        <w:tc>
          <w:tcPr>
            <w:tcW w:w="1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Q4'16</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from future contingent milestone payments are recognized upon determination that a significant reversal of revenue would not be probable.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is generally received within 30 days of milestone achievement.</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revenue recognized under this agreement during the three and six months ended June 30, 2019 and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68"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4" w:right="2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June 30, 2019, there are 7 monthly principal and interest payments remaining on the Term Loans, with final maturity in January 2020. The Term Loans bear interest equal to the greater of 3-month U.S. LIBOR plus 6.37% or 7.3%. The interest rate was 8.87% as of June 30, 2019.</w:t>
      </w:r>
    </w:p>
    <w:p>
      <w:pPr>
        <w:spacing w:after="0" w:line="76"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72" w:lineRule="exact"/>
        <w:rPr>
          <w:sz w:val="20"/>
          <w:szCs w:val="20"/>
          <w:color w:val="auto"/>
        </w:rPr>
      </w:pPr>
    </w:p>
    <w:p>
      <w:pPr>
        <w:ind w:right="280" w:firstLine="446"/>
        <w:spacing w:after="0" w:line="266" w:lineRule="auto"/>
        <w:rPr>
          <w:sz w:val="20"/>
          <w:szCs w:val="20"/>
          <w:color w:val="auto"/>
        </w:rPr>
      </w:pPr>
      <w:r>
        <w:rPr>
          <w:rFonts w:ascii="Times New Roman" w:cs="Times New Roman" w:eastAsia="Times New Roman" w:hAnsi="Times New Roman"/>
          <w:sz w:val="18"/>
          <w:szCs w:val="18"/>
          <w:color w:val="auto"/>
        </w:rPr>
        <w:t>As of June 30, 2019, the carrying amount of the Term Loans was $4.8 million, which includes amortized final payment fees of $0.4 million and is classified as current liabilities as of June 30, 2019. The effective interest rate on the Term Loans at June 30, 2019 was 13.27%. As of June 30, 2019, future principal maturities of the Term Loans were $3.8 million and $0.6 million during the remainder of 2019 and 2020, respectively.</w:t>
      </w:r>
    </w:p>
    <w:p>
      <w:pPr>
        <w:spacing w:after="0" w:line="68" w:lineRule="exact"/>
        <w:rPr>
          <w:sz w:val="20"/>
          <w:szCs w:val="20"/>
          <w:color w:val="auto"/>
        </w:rPr>
      </w:pPr>
    </w:p>
    <w:p>
      <w:pPr>
        <w:ind w:right="820" w:firstLine="446"/>
        <w:spacing w:after="0" w:line="282" w:lineRule="auto"/>
        <w:rPr>
          <w:sz w:val="20"/>
          <w:szCs w:val="20"/>
          <w:color w:val="auto"/>
        </w:rPr>
      </w:pPr>
      <w:r>
        <w:rPr>
          <w:rFonts w:ascii="Times New Roman" w:cs="Times New Roman" w:eastAsia="Times New Roman" w:hAnsi="Times New Roman"/>
          <w:sz w:val="18"/>
          <w:szCs w:val="18"/>
          <w:color w:val="auto"/>
        </w:rPr>
        <w:t>The Term Loans are secured by a first priority interest in most of our assets, excluding intellectual property. As of June 30, 2019, we were in compliance with the covenants contained in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72" w:right="25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6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5160" w:type="dxa"/>
            <w:vAlign w:val="bottom"/>
            <w:tcBorders>
              <w:top w:val="single" w:sz="8" w:color="CFF0FC"/>
            </w:tcBorders>
            <w:gridSpan w:val="4"/>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At June 30, 2019</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auto"/>
            </w:tcBorders>
            <w:shd w:val="clear" w:color="auto" w:fill="CFF0FC"/>
          </w:tcPr>
          <w:p>
            <w:pPr>
              <w:spacing w:after="0"/>
              <w:rPr>
                <w:sz w:val="5"/>
                <w:szCs w:val="5"/>
                <w:color w:val="auto"/>
              </w:rPr>
            </w:pPr>
          </w:p>
        </w:tc>
        <w:tc>
          <w:tcPr>
            <w:tcW w:w="400" w:type="dxa"/>
            <w:vAlign w:val="bottom"/>
            <w:tcBorders>
              <w:top w:val="single" w:sz="8" w:color="CFF0FC"/>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127,844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127,844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112,676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112,676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61,684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(1)(2)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145,907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145,907</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At December 31, 2018</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87,213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87,213</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164,245</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164,245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5120" w:type="dxa"/>
            <w:vAlign w:val="bottom"/>
            <w:gridSpan w:val="3"/>
            <w:shd w:val="clear" w:color="auto" w:fill="CFF0FC"/>
          </w:tcPr>
          <w:p>
            <w:pPr>
              <w:ind w:left="20"/>
              <w:spacing w:after="0" w:line="270"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81,296</w:t>
            </w: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81,296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(1)(2)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153,983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153,983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cash and cash equivalents, and restricted cash in the accompanying consolidated balance sheets.</w:t>
      </w:r>
    </w:p>
    <w:p>
      <w:pPr>
        <w:spacing w:after="0" w:line="28" w:lineRule="exact"/>
        <w:rPr>
          <w:rFonts w:ascii="Times New Roman" w:cs="Times New Roman" w:eastAsia="Times New Roman" w:hAnsi="Times New Roman"/>
          <w:sz w:val="25"/>
          <w:szCs w:val="25"/>
          <w:color w:val="auto"/>
          <w:vertAlign w:val="superscript"/>
        </w:rPr>
      </w:pPr>
    </w:p>
    <w:p>
      <w:pPr>
        <w:ind w:left="460" w:hanging="452"/>
        <w:spacing w:after="0" w:line="186" w:lineRule="auto"/>
        <w:tabs>
          <w:tab w:leader="none" w:pos="4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Included in short-term or long-term investments in the accompanying consolidated balance sheets depending on the respective maturity date.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7"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other financial instruments estimated as of June 30, 2019 and December 31, 2018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63"/>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2"/>
        </w:trPr>
        <w:tc>
          <w:tcPr>
            <w:tcW w:w="5160" w:type="dxa"/>
            <w:vAlign w:val="bottom"/>
            <w:tcBorders>
              <w:top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8,806</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notes payable:</w:t>
      </w:r>
    </w:p>
    <w:p>
      <w:pPr>
        <w:spacing w:after="0" w:line="115"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74" w:lineRule="exact"/>
        <w:rPr>
          <w:sz w:val="20"/>
          <w:szCs w:val="20"/>
          <w:color w:val="auto"/>
        </w:rPr>
      </w:pPr>
    </w:p>
    <w:p>
      <w:pPr>
        <w:ind w:right="560" w:firstLine="52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right="80" w:firstLine="459"/>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June 30, 2019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61,558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61,684</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145,548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145,907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112,363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112,676</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325,580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326,422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460" w:right="1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agency securities, $47.8 million have maturity dates of less than one year and $13.9 million have a maturity date of between one to two years as of June 30, 2019.</w:t>
      </w:r>
    </w:p>
    <w:p>
      <w:pPr>
        <w:spacing w:after="0" w:line="37" w:lineRule="exact"/>
        <w:rPr>
          <w:rFonts w:ascii="Times New Roman" w:cs="Times New Roman" w:eastAsia="Times New Roman" w:hAnsi="Times New Roman"/>
          <w:sz w:val="25"/>
          <w:szCs w:val="25"/>
          <w:color w:val="auto"/>
          <w:vertAlign w:val="superscript"/>
        </w:rPr>
      </w:pPr>
    </w:p>
    <w:p>
      <w:pPr>
        <w:ind w:left="460" w:right="1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certificates of deposit, $1.0 million have a maturity date of less than one year and $5.2 million have a maturity date of between one to two years as of June 30, 2019.</w:t>
      </w:r>
    </w:p>
    <w:p>
      <w:pPr>
        <w:spacing w:after="0" w:line="37" w:lineRule="exact"/>
        <w:rPr>
          <w:rFonts w:ascii="Times New Roman" w:cs="Times New Roman" w:eastAsia="Times New Roman" w:hAnsi="Times New Roman"/>
          <w:sz w:val="25"/>
          <w:szCs w:val="25"/>
          <w:color w:val="auto"/>
          <w:vertAlign w:val="superscript"/>
        </w:rPr>
      </w:pPr>
    </w:p>
    <w:p>
      <w:pPr>
        <w:ind w:left="460" w:right="22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commercial and corporate obligations, $131.9 million have maturity dates of less than one year and $14.0 million have a maturity date of between one to two years as of June 30, 2019.</w:t>
      </w:r>
    </w:p>
    <w:p>
      <w:pPr>
        <w:spacing w:after="0" w:line="37" w:lineRule="exact"/>
        <w:rPr>
          <w:rFonts w:ascii="Times New Roman" w:cs="Times New Roman" w:eastAsia="Times New Roman" w:hAnsi="Times New Roman"/>
          <w:sz w:val="25"/>
          <w:szCs w:val="25"/>
          <w:color w:val="auto"/>
          <w:vertAlign w:val="superscript"/>
        </w:rPr>
      </w:pPr>
    </w:p>
    <w:p>
      <w:pPr>
        <w:ind w:left="460" w:right="80" w:hanging="452"/>
        <w:spacing w:after="0" w:line="218" w:lineRule="auto"/>
        <w:tabs>
          <w:tab w:leader="none" w:pos="4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our outstanding U.S. Treasury securities $100.1 million have maturity dates of less than one year and $12.6 million have a maturity date of between one to two years as of June 30, 2019.</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20" w:firstLine="446"/>
        <w:spacing w:after="0" w:line="282" w:lineRule="auto"/>
        <w:rPr>
          <w:sz w:val="20"/>
          <w:szCs w:val="20"/>
          <w:color w:val="auto"/>
        </w:rPr>
      </w:pPr>
      <w:r>
        <w:rPr>
          <w:rFonts w:ascii="Times New Roman" w:cs="Times New Roman" w:eastAsia="Times New Roman" w:hAnsi="Times New Roman"/>
          <w:sz w:val="18"/>
          <w:szCs w:val="18"/>
          <w:color w:val="auto"/>
        </w:rPr>
        <w:t>Of the 500,000,000 shares of common stock authorized, 27,044,527 shares were issued and outstanding as of June 30, 2019. Common stock reserved for future issuance upon the exercise, issuance or conversion of the respective equity instruments at June 30,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2,512,033</w:t>
            </w:r>
          </w:p>
        </w:tc>
      </w:tr>
      <w:tr>
        <w:trPr>
          <w:trHeight w:val="27"/>
        </w:trPr>
        <w:tc>
          <w:tcPr>
            <w:tcW w:w="98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Reserved For:</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2,615,613</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2017</w:t>
            </w:r>
          </w:p>
        </w:tc>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725,132</w:t>
            </w: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14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5,852,778</w:t>
            </w:r>
          </w:p>
        </w:tc>
      </w:tr>
      <w:tr>
        <w:trPr>
          <w:trHeight w:val="27"/>
        </w:trPr>
        <w:tc>
          <w:tcPr>
            <w:tcW w:w="6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2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1,076,877 shares as of January 1, 2019.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4" w:right="2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269,219 shares as of January 1, 2019.</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300" w:firstLine="44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six months ended June 30, 2019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6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2,152,455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539,400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(122,705)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2,512,033</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70,414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1,398,990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57,308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67.05</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360"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We determine the appropriate risk free interest rate, expected term for employee stock-based awards, contractual term for non-employee stock-based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17" w:name="page18"/>
    <w:bookmarkEnd w:id="17"/>
    <w:p>
      <w:pPr>
        <w:ind w:right="900" w:firstLine="446"/>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3,153</w:t>
            </w:r>
          </w:p>
        </w:tc>
      </w:tr>
      <w:tr>
        <w:trPr>
          <w:trHeight w:val="27"/>
        </w:trPr>
        <w:tc>
          <w:tcPr>
            <w:tcW w:w="60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4,808</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680" w:firstLine="446"/>
        <w:spacing w:after="0" w:line="282" w:lineRule="auto"/>
        <w:rPr>
          <w:sz w:val="20"/>
          <w:szCs w:val="20"/>
          <w:color w:val="auto"/>
        </w:rPr>
      </w:pPr>
      <w:r>
        <w:rPr>
          <w:rFonts w:ascii="Times New Roman" w:cs="Times New Roman" w:eastAsia="Times New Roman" w:hAnsi="Times New Roman"/>
          <w:sz w:val="18"/>
          <w:szCs w:val="18"/>
          <w:color w:val="auto"/>
        </w:rPr>
        <w:t>At June 30, 2019, there was $37.7 million of unrecognized compensation cost related to unvested stock option awards, which is expected to be recognized over a remaining weighted average vesting period of 2.69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right="180" w:firstLine="446"/>
        <w:spacing w:after="0" w:line="256" w:lineRule="auto"/>
        <w:rPr>
          <w:sz w:val="20"/>
          <w:szCs w:val="20"/>
          <w:color w:val="auto"/>
        </w:rPr>
      </w:pPr>
      <w:r>
        <w:rPr>
          <w:rFonts w:ascii="Times New Roman" w:cs="Times New Roman" w:eastAsia="Times New Roman" w:hAnsi="Times New Roman"/>
          <w:sz w:val="18"/>
          <w:szCs w:val="18"/>
          <w:color w:val="auto"/>
        </w:rPr>
        <w:t>Our Australian subsidiary, which conducts core research and development activities on our behalf, is eligible to receive a 43.5% refundable tax incentive for qualified research and development activities during fiscal 2019 and fiscal 2018. For the three and six months ended June 30, 2019, there were no eligible expenditures incurred in Australia, therefore no tax incentive receivable was recorded. For the three and six months ended June 30, 2018, we recorded a less than $0.1 million reduction to research and development expenses in the consolidated statements of operations and comprehensive loss for eligible expenses. We received $0.2 million and $1.5 million in cash during the six months ended June 30, 2019 and 2018, respectively, related to the tax incentive. As of June 30, 2019, we had no remaining tax incentive receivable from the Australian government.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2.25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balance sheet includes our ROU assets and lease liabilities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ROU assets</w:t>
            </w: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648"/>
        </w:trPr>
        <w:tc>
          <w:tcPr>
            <w:tcW w:w="6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costs are included in our cash flow statement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At June 30, 2019, the future minimum annual obligations under non-cancellable operating lease commitments in excess of one year are as follows (in thousands):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7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previously disclosed in our 2018 Annual Report on Form 10-K, and under the previous lease accounting standard, future minimum annual obligations under non-cancellable operating lease commitments in excess of one year would have been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7"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17" w:lineRule="exact"/>
        <w:rPr>
          <w:rFonts w:ascii="Times New Roman" w:cs="Times New Roman" w:eastAsia="Times New Roman" w:hAnsi="Times New Roman"/>
          <w:sz w:val="18"/>
          <w:szCs w:val="18"/>
          <w:color w:val="auto"/>
        </w:rPr>
      </w:pPr>
    </w:p>
    <w:p>
      <w:pPr>
        <w:ind w:left="660" w:right="46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candidates etokimab for patients with severe allergic and atopic diseases and ANB019 for patients with generalized pustular psoriasis, or GPP, and palmoplantar pustulosis, or PPP;</w:t>
      </w:r>
    </w:p>
    <w:p>
      <w:pPr>
        <w:spacing w:after="0" w:line="53" w:lineRule="exact"/>
        <w:rPr>
          <w:rFonts w:ascii="Times New Roman" w:cs="Times New Roman" w:eastAsia="Times New Roman" w:hAnsi="Times New Roman"/>
          <w:sz w:val="18"/>
          <w:szCs w:val="18"/>
          <w:color w:val="auto"/>
        </w:rPr>
      </w:pPr>
    </w:p>
    <w:p>
      <w:pPr>
        <w:ind w:left="660" w:right="80" w:hanging="314"/>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or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8"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7" w:lineRule="exact"/>
        <w:rPr>
          <w:rFonts w:ascii="Times New Roman" w:cs="Times New Roman" w:eastAsia="Times New Roman" w:hAnsi="Times New Roman"/>
          <w:sz w:val="18"/>
          <w:szCs w:val="18"/>
          <w:color w:val="auto"/>
        </w:rPr>
      </w:pPr>
    </w:p>
    <w:p>
      <w:pPr>
        <w:ind w:left="660" w:right="12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3" w:lineRule="exact"/>
        <w:rPr>
          <w:rFonts w:ascii="Times New Roman" w:cs="Times New Roman" w:eastAsia="Times New Roman" w:hAnsi="Times New Roman"/>
          <w:sz w:val="18"/>
          <w:szCs w:val="18"/>
          <w:color w:val="auto"/>
        </w:rPr>
      </w:pPr>
    </w:p>
    <w:p>
      <w:pPr>
        <w:ind w:left="660" w:right="8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etokimab and ANB019 and our other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Australia and other foreign countries;</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w:t>
      </w:r>
    </w:p>
    <w:p>
      <w:pPr>
        <w:spacing w:after="0" w:line="117" w:lineRule="exact"/>
        <w:rPr>
          <w:rFonts w:ascii="Times New Roman" w:cs="Times New Roman" w:eastAsia="Times New Roman" w:hAnsi="Times New Roman"/>
          <w:sz w:val="18"/>
          <w:szCs w:val="18"/>
          <w:color w:val="auto"/>
        </w:rPr>
      </w:pPr>
    </w:p>
    <w:p>
      <w:pPr>
        <w:ind w:left="660" w:right="540" w:hanging="314"/>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53"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684" w:right="259" w:bottom="1440" w:gutter="0" w:footer="0" w:header="0"/>
        </w:sectPr>
      </w:pPr>
    </w:p>
    <w:bookmarkStart w:id="20" w:name="page21"/>
    <w:bookmarkEnd w:id="20"/>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76"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0" w:lineRule="exact"/>
        <w:rPr>
          <w:sz w:val="20"/>
          <w:szCs w:val="20"/>
          <w:color w:val="auto"/>
        </w:rPr>
      </w:pPr>
    </w:p>
    <w:p>
      <w:pPr>
        <w:ind w:right="900" w:firstLine="567"/>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60" w:firstLine="486"/>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consolidated financial statements and related notes for the six months ended June 30, 2019, included in Part I, Item 1 of this report and with our audited consolidated financial statements and related notes thereto for the year ended December 31, 2018,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 Our most advanced wholly-owned antibody programs, etokimab and ANB019, neutralize therapeutic targets that are genetically associated with severe inflammatory disorders in humans.</w:t>
      </w:r>
    </w:p>
    <w:p>
      <w:pPr>
        <w:spacing w:after="0" w:line="189"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Etokimab, our anti-IL-33 antibody previously referred to as ANB020, inhibits the activity of the interleukin-33 cytokine, or IL-33, which we believe is broadly applicable to the treatment of atopic inflammatory disorders, such as moderate-to-severe atopic dermatitis, eosinophilic asthma, chronic rhinosinusitis with nasal polyps, or CRSwNP, and potentially other allergic conditions.</w:t>
      </w:r>
    </w:p>
    <w:p>
      <w:pPr>
        <w:spacing w:after="0" w:line="176"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We completed a Phase 2a proof-of-concept trial of etokimab in 12 moderate-to-severe adult atopic dermatitis patients in late 2017 and believe the data from this trial, presented at the 2018 American Academy of Dermatology, or AAD, and 2018 European Academy of Allergy and Clinical Immunology, </w:t>
      </w:r>
      <w:r>
        <w:rPr>
          <w:rFonts w:ascii="Times New Roman" w:cs="Times New Roman" w:eastAsia="Times New Roman" w:hAnsi="Times New Roman"/>
          <w:sz w:val="18"/>
          <w:szCs w:val="18"/>
          <w:color w:val="231F2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EAACI</w:t>
      </w:r>
      <w:r>
        <w:rPr>
          <w:rFonts w:ascii="Times New Roman" w:cs="Times New Roman" w:eastAsia="Times New Roman" w:hAnsi="Times New Roman"/>
          <w:sz w:val="18"/>
          <w:szCs w:val="18"/>
          <w:color w:val="000000"/>
        </w:rPr>
        <w:t>, demonstrate proof-of-concept for etokimab in moderate-to-severe adult atopic dermatitis and suggest that etokimab may provide meaningful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differentiation in terms of patient convenience. We are conducting a Phase 2b randomized, double-blinded, placebo-controlled, multi-dose study in approximately 300 adult patients with moderate-to-severe atopic dermatitis, also referred to as the ATLAS trial, to assess different dose levels and dosing frequencies of subcutaneously-administered etokimab with top-line data expected in the fourth quarter of 2019.</w:t>
      </w:r>
    </w:p>
    <w:p>
      <w:pPr>
        <w:spacing w:after="0" w:line="188"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We recently completed a Phase 2a randomized, placebo-controlled, single dose study of etokimab in 25 severe adult eosinophilic asthma patients. We presented full data from this trial at the 2019 EAACI, which demonstrated that a single dose of etokimab resulted in rapid and sustained lung function improvement as measured using Forced Expiratory Volume in One Second, or FEV1, patient reported outcomes associated with asthma symptoms, as measured using the Asthma Control Questionnaire 5 and biomarker levels as measured using blood eosinophils. We believe this trial supports the continued development of etokimab in eosinophilic asthma and plan to initiate, in the fourth quarter of 2019, a multi-dose Phase 2b randomized, double-blinded, placebo-controlled trial in 300-400 eosinophilic asthma patients where key endpoints will include annualized exacerbation reduction. We may also conduct clinical studies in other severe asthma subsets in the future.</w:t>
      </w:r>
    </w:p>
    <w:p>
      <w:pPr>
        <w:spacing w:after="0" w:line="189" w:lineRule="exact"/>
        <w:rPr>
          <w:sz w:val="20"/>
          <w:szCs w:val="20"/>
          <w:color w:val="auto"/>
        </w:rPr>
      </w:pPr>
    </w:p>
    <w:p>
      <w:pPr>
        <w:jc w:val="both"/>
        <w:ind w:right="40" w:firstLine="567"/>
        <w:spacing w:after="0" w:line="266" w:lineRule="auto"/>
        <w:rPr>
          <w:sz w:val="20"/>
          <w:szCs w:val="20"/>
          <w:color w:val="auto"/>
        </w:rPr>
      </w:pPr>
      <w:r>
        <w:rPr>
          <w:rFonts w:ascii="Times New Roman" w:cs="Times New Roman" w:eastAsia="Times New Roman" w:hAnsi="Times New Roman"/>
          <w:sz w:val="18"/>
          <w:szCs w:val="18"/>
          <w:color w:val="auto"/>
        </w:rPr>
        <w:t>We are conducting a randomized, placebo-controlled Phase 2 trial of etokimab in approximately 100 adult patients with CRSwNP, also referred to as the ECLIPSE trial, which is a debilitating atopic disorder associated with elevated IL-33 pathway signaling. We anticipate interim top-line data from this trial to be available in the fourth quarter of 2019.</w:t>
      </w:r>
    </w:p>
    <w:p>
      <w:pPr>
        <w:spacing w:after="0" w:line="176" w:lineRule="exact"/>
        <w:rPr>
          <w:sz w:val="20"/>
          <w:szCs w:val="20"/>
          <w:color w:val="auto"/>
        </w:rPr>
      </w:pPr>
    </w:p>
    <w:p>
      <w:pPr>
        <w:ind w:right="100" w:firstLine="567"/>
        <w:spacing w:after="0" w:line="255" w:lineRule="auto"/>
        <w:rPr>
          <w:sz w:val="20"/>
          <w:szCs w:val="20"/>
          <w:color w:val="auto"/>
        </w:rPr>
      </w:pPr>
      <w:r>
        <w:rPr>
          <w:rFonts w:ascii="Times New Roman" w:cs="Times New Roman" w:eastAsia="Times New Roman" w:hAnsi="Times New Roman"/>
          <w:sz w:val="18"/>
          <w:szCs w:val="18"/>
          <w:color w:val="auto"/>
        </w:rPr>
        <w:t>Our ANB019 antibody inhibits the interleukin-36 receptor, or IL-36R, and is being developed for the treatment of rare inflammatory diseases including generalized pustular psoriasis, or GPP, and palmoplantar pustulosis, or PPP. We completed a Phase 1 clinical trial in healthy volunteers, which was presented at EAACI 2018, where ANB019 was well-tolerated by all subjects, no dose-limiting toxicities were observed, and no serious adverse events were reported among any subjects in the trial. We have subsequently initiated an open-label, multi-dose, single-arm Phase 2 trial of ANB019 in up to 10 GPP patients, also referred to as the GALLOP trial, where interim top-line data are anticipated in mid-2019. We have also initiated a randomized, double-blind, placebo-controlled approximately 50-patient multi-dose trial of ANB019 in PPP, also referred to as the POPLAR trial, where top-line data are anticipated in the first half of 2020.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684" w:right="259" w:bottom="1440" w:gutter="0" w:footer="0" w:header="0"/>
        </w:sectPr>
      </w:pPr>
    </w:p>
    <w:bookmarkStart w:id="22" w:name="page23"/>
    <w:bookmarkEnd w:id="22"/>
    <w:p>
      <w:pPr>
        <w:ind w:firstLine="567"/>
        <w:spacing w:after="0" w:line="256" w:lineRule="auto"/>
        <w:rPr>
          <w:sz w:val="20"/>
          <w:szCs w:val="20"/>
          <w:color w:val="auto"/>
        </w:rPr>
      </w:pPr>
      <w:r>
        <w:rPr>
          <w:rFonts w:ascii="Times New Roman" w:cs="Times New Roman" w:eastAsia="Times New Roman" w:hAnsi="Times New Roman"/>
          <w:sz w:val="18"/>
          <w:szCs w:val="18"/>
          <w:color w:val="auto"/>
        </w:rPr>
        <w:t>In addition to etokimab and ANB019, our wholly-owned pipeline includes novel anti-inflammatory checkpoint receptor modulator antibodies that we believe are applicable for treatment of certain autoimmune diseases. We recently announced our third wholly-owned program ANB030, an anti-PD-1 agonist antibody program, which was developed using our proprietary antibody discovery platform. Preclinical data for ANB030 was recently presented at the 2019 Federation of Clinical Immunological Societies (FOCIS) Annual Meeting. We plan to focus future clinical development of ANB030 upon certain human autoimmune diseases where PD-1 checkpoint receptor function may be under-represented. We anticipate filing of an Investigational New Drug Application, or IND, for ANB030 in the fourth quarter of 2019.</w:t>
      </w:r>
    </w:p>
    <w:p>
      <w:pPr>
        <w:spacing w:after="0" w:line="188" w:lineRule="exact"/>
        <w:rPr>
          <w:sz w:val="20"/>
          <w:szCs w:val="20"/>
          <w:color w:val="auto"/>
        </w:rPr>
      </w:pPr>
    </w:p>
    <w:p>
      <w:pPr>
        <w:jc w:val="both"/>
        <w:ind w:right="420"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Times New Roman" w:cs="Times New Roman" w:eastAsia="Times New Roman" w:hAnsi="Times New Roman"/>
          <w:sz w:val="18"/>
          <w:szCs w:val="18"/>
          <w:color w:val="231F20"/>
        </w:rPr>
        <w:t>TESARO, Inc. and TESARO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Development, Ltd., or collectively TESARO, </w:t>
      </w:r>
      <w:r>
        <w:rPr>
          <w:rFonts w:ascii="Times New Roman" w:cs="Times New Roman" w:eastAsia="Times New Roman" w:hAnsi="Times New Roman"/>
          <w:sz w:val="18"/>
          <w:szCs w:val="18"/>
          <w:color w:val="000000"/>
        </w:rPr>
        <w:t>now a part of GlaxoSmithKline, and an inflammation-focused collaboration with Celgene Corporation,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Celgene, as discussed in Part I—Note 4, Collaborative Research and Development Agreements, above.</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189230</wp:posOffset>
            </wp:positionV>
            <wp:extent cx="5866130" cy="361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6130"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80" w:firstLine="44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June 30, 2019, we have received $81.6 million in cash in non-dilutive funding from our collaborators.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580" w:right="29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40" w:firstLine="44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4" w:lineRule="exact"/>
        <w:rPr>
          <w:sz w:val="20"/>
          <w:szCs w:val="20"/>
          <w:color w:val="auto"/>
        </w:rPr>
      </w:pPr>
    </w:p>
    <w:p>
      <w:pPr>
        <w:ind w:left="880" w:right="6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7" w:lineRule="exact"/>
        <w:rPr>
          <w:rFonts w:ascii="Times New Roman" w:cs="Times New Roman" w:eastAsia="Times New Roman" w:hAnsi="Times New Roman"/>
          <w:sz w:val="18"/>
          <w:szCs w:val="18"/>
          <w:color w:val="auto"/>
        </w:rPr>
      </w:pPr>
    </w:p>
    <w:p>
      <w:pPr>
        <w:ind w:left="880" w:right="7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4"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 as discussed in Part I Item 1— Note 9. Australia Research and Development Tax Incentive above.</w:t>
      </w:r>
    </w:p>
    <w:p>
      <w:pPr>
        <w:spacing w:after="0" w:line="80"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72"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We have completed Phase 1 and 2a trials for etokimab and Phase 1 trials for ANB019 and have ongoing Phase 2 and 2b clinical trials as well</w:t>
      </w:r>
      <w:r>
        <w:rPr>
          <w:rFonts w:ascii="Times New Roman" w:cs="Times New Roman" w:eastAsia="Times New Roman" w:hAnsi="Times New Roman"/>
          <w:sz w:val="18"/>
          <w:szCs w:val="18"/>
          <w:color w:val="231F20"/>
        </w:rPr>
        <w:t>. W</w:t>
      </w:r>
      <w:r>
        <w:rPr>
          <w:rFonts w:ascii="Times New Roman" w:cs="Times New Roman" w:eastAsia="Times New Roman" w:hAnsi="Times New Roman"/>
          <w:sz w:val="18"/>
          <w:szCs w:val="18"/>
          <w:color w:val="auto"/>
        </w:rPr>
        <w:t>e expect our research and development expenses to be higher for the foreseeable future as we continue to advance our product candidates.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68" w:right="27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28, 2019, other than to leases upon adoption of ASC Topic 842, as discussed below.</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60" w:firstLine="554"/>
        <w:spacing w:after="0" w:line="258" w:lineRule="auto"/>
        <w:rPr>
          <w:sz w:val="20"/>
          <w:szCs w:val="20"/>
          <w:color w:val="auto"/>
        </w:rPr>
      </w:pPr>
      <w:r>
        <w:rPr>
          <w:rFonts w:ascii="Times New Roman" w:cs="Times New Roman" w:eastAsia="Times New Roman" w:hAnsi="Times New Roman"/>
          <w:sz w:val="18"/>
          <w:szCs w:val="18"/>
          <w:color w:val="auto"/>
        </w:rPr>
        <w:t>Prior to January 1, 2019, we recognized our leases in accordance with ASC 840, Leases, and all current leases were classified as operating leases. Rent expense was recognized on a straight-line basis over the terms of the leases and, accordingly, we recorded the cumulative difference between cash rent payments and the recognition of rent expense as a deferred rent liability. When an operating lease included lease incentives, such as a rent abatements or leasehold improvement allowances, or required fixed escalations of the minimum lease payments, the aggregate rental expense, including such incentives or increases, was recognized on a straight-line basis over the term of the lease.</w:t>
      </w:r>
    </w:p>
    <w:p>
      <w:pPr>
        <w:spacing w:after="0" w:line="76"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ASU 2016-02, ASC 842, Leases, under which all outstanding leases continued to be classified as operating leases.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asset “ROU”. Operating lease ROU assets and operating lease liabilities are recognized based on the present value of the future minimum lease payments over the lease term at commencement date. 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and Six Months Ended June 30, 2019 and 2018</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recognized $5.0 million in collaboration revenue for the three and six months ended June 30, 2019 related to a milestone for the initiation of a Phase 3 trial in a second indication for dostarlimab, the anti-PD-1 antagonist antibody partnered with TESARO, compared to no collaboration revenue for the three and six months ended June 30, 2018. We expect that any collaboration revenue we generate will continue to fluctuate from period to period as a result of the timing and amount of milestones from our existing collaborations.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$27.4 million during the three months ended June 30, 2019 compared to $10.6 million during the three months ended June 30, 2018 for an increase of $16.8 million, primarily due to a $9.3 million increase in outside services for preclinical and manufacturing expenses, a $4.9 million increase in clinical expenses, a $1.5 million increase in internal costs, including salaries and related expenses such as stock compensation expense, and a $0.7 million increase in professional fees.</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$48.0 million during the six months ended June 30, 2019 compared to $22.4 million during the six months ended June 30, 2018 for an increase of $25.6 million, primarily due to a $10.7 million increase in outside services for preclinical and manufacturing expenses, a $9.8 million increase in clinical expenses, a $3.0 million increase in internal costs, including salaries and related expenses such as stock compensation expense and a $1.2 million increase in professional fees.</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7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External Costs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Etokimab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12,504</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ANB019</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5,906</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External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22,632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 Costs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2,956</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27,350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47,981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25,588</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540" w:firstLine="56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$4.3 million during the three months ended June 30, 2019 compared to $3.8 million during the three months ended June 30, 2018 for an increase of $0.5 million, primarily due to a $0.6 million increase in personnel costs including stock compensation expense.</w:t>
      </w:r>
    </w:p>
    <w:p>
      <w:pPr>
        <w:spacing w:after="0" w:line="68" w:lineRule="exact"/>
        <w:rPr>
          <w:sz w:val="20"/>
          <w:szCs w:val="20"/>
          <w:color w:val="auto"/>
        </w:rPr>
      </w:pPr>
    </w:p>
    <w:p>
      <w:pPr>
        <w:ind w:right="280" w:firstLine="567"/>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$8.4 million during the six months ended June 30, 2019 compared to $7.8 million during the six months ended June 30, 2018 for an increase of $0.6 million, primarily due to a $1.2 million increase in personnel costs including stock compensation expense, partially offset by a $0.4 million decrease in professional fees.</w:t>
      </w:r>
    </w:p>
    <w:p>
      <w:pPr>
        <w:spacing w:after="0" w:line="68"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300" w:firstLine="446"/>
        <w:spacing w:after="0" w:line="261" w:lineRule="auto"/>
        <w:rPr>
          <w:sz w:val="20"/>
          <w:szCs w:val="20"/>
          <w:color w:val="auto"/>
        </w:rPr>
      </w:pPr>
      <w:r>
        <w:rPr>
          <w:rFonts w:ascii="Times New Roman" w:cs="Times New Roman" w:eastAsia="Times New Roman" w:hAnsi="Times New Roman"/>
          <w:sz w:val="18"/>
          <w:szCs w:val="18"/>
          <w:color w:val="auto"/>
        </w:rPr>
        <w:t>Interest expense was $0.3 million and $0.6 million during the three and six months ended June 30, 2019, respectively, and represented an effective interest rate of approximately 13.27% as of June 30, 2019, on an outstanding principal balance of $4.4 million. Interest expense was $0.4 million and $0.9 million during the three and six months ended June 30, 2018, respectively, and represented an effective interest rate of 13.08% on an outstanding principal balance of $11.9 million.</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Interest income was $3.0 million and $1.3 million during the three months ended June 30, 2019 and 2018, respectively, and was $5.9 million and $2.5 million during the six months ended June 30, 2019 and 2018, respectively, which primarily related to our short-term and long-term investments, the balance of which increased as a result of the investment of proceeds from our follow-on offering in September 2018.</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was a loss of less than $0.1 million during each of the three months ended June 30, 2019 and 2018, and a loss of less than $0.1 million and $0.1 million during the six months ended June 30, 2019 and 2018, respectively, and primarily related to foreign exchange transactions through our Australian subsidiary and with our foreign CROs and CMOs.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From our inception through June 30, 2019, we have received an aggregate of $718.3 million to fund our operations which included $617.6 million from the sale of equity securities, $81.6 million from our collaboration agreements and $19.1 million from venture debt. As of June 30, 2019, we had $467.9 million in cash, cash equivalents and investments.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29" w:right="239" w:bottom="1440" w:gutter="0" w:footer="0" w:header="0"/>
        </w:sectPr>
      </w:pPr>
    </w:p>
    <w:bookmarkStart w:id="26" w:name="page27"/>
    <w:bookmarkEnd w:id="26"/>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76"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8" w:lineRule="exact"/>
        <w:rPr>
          <w:sz w:val="20"/>
          <w:szCs w:val="20"/>
          <w:color w:val="auto"/>
        </w:rPr>
      </w:pPr>
    </w:p>
    <w:p>
      <w:pPr>
        <w:jc w:val="both"/>
        <w:ind w:right="180" w:firstLine="446"/>
        <w:spacing w:after="0" w:line="266" w:lineRule="auto"/>
        <w:rPr>
          <w:sz w:val="20"/>
          <w:szCs w:val="20"/>
          <w:color w:val="auto"/>
        </w:rPr>
      </w:pPr>
      <w:r>
        <w:rPr>
          <w:rFonts w:ascii="Times New Roman" w:cs="Times New Roman" w:eastAsia="Times New Roman" w:hAnsi="Times New Roman"/>
          <w:sz w:val="18"/>
          <w:szCs w:val="18"/>
          <w:color w:val="auto"/>
        </w:rPr>
        <w:t>Under our original Loan Agreement, as defined in Part I Item 1—Note 5. Notes Payable, we could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2016, we further amended the Loan Agreement to (i) allow for the Term B Loans and Term C Loans to be drawn on December 30, 2016,</w:t>
      </w:r>
    </w:p>
    <w:p>
      <w:pPr>
        <w:spacing w:after="0" w:line="27" w:lineRule="exact"/>
        <w:rPr>
          <w:sz w:val="20"/>
          <w:szCs w:val="20"/>
          <w:color w:val="auto"/>
        </w:rPr>
      </w:pPr>
    </w:p>
    <w:p>
      <w:pPr>
        <w:ind w:right="20" w:firstLine="8"/>
        <w:spacing w:after="0" w:line="254"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June 30, 2019, there are 7 equal monthly principal and interest payments remaining on the Term Loans, with final maturity in January 2020. The Term Loans bear interest equal to the greater of 3-month U.S. LIBOR plus 6.37% or 7.3%. The interest rate was 8.87% as of June 30, 2019.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7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Cash, cash equivalents and investments totaled $467.9 million as of June 30, 2019, compared to $500.2 million as of December 31, 2018. We believe that our existing cash, cash equivalents and investments will fund our current operating plan at least through the end of 2020.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22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86"/>
        </w:trPr>
        <w:tc>
          <w:tcPr>
            <w:tcW w:w="8120" w:type="dxa"/>
            <w:vAlign w:val="bottom"/>
            <w:tcBorders>
              <w:bottom w:val="single" w:sz="8" w:color="CFF0FC"/>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67,533</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32,956</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2019 of $31.6 million was primarily due to our net loss of $46.0 million, adjusted for addbacks for non-cash expenses of $5.2 million which includes stock-based compensation and net increases in working capital of $9.3 million. Net cash used in operating activities during the six months ended June 30, 2018 of $21.4 million was primarily due to our net loss of $28.7 million, adjusted for non-cash expenses of $5.0 million which includes stock-based compensation and increases in working capital of $2.4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72" w:right="2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40" w:firstLine="446"/>
        <w:spacing w:after="0" w:line="282" w:lineRule="auto"/>
        <w:rPr>
          <w:sz w:val="20"/>
          <w:szCs w:val="20"/>
          <w:color w:val="auto"/>
        </w:rPr>
      </w:pPr>
      <w:r>
        <w:rPr>
          <w:rFonts w:ascii="Times New Roman" w:cs="Times New Roman" w:eastAsia="Times New Roman" w:hAnsi="Times New Roman"/>
          <w:sz w:val="18"/>
          <w:szCs w:val="18"/>
          <w:color w:val="auto"/>
        </w:rPr>
        <w:t>Net cash provided by (used in) investing activities during the six months ended June 30, 2019 and 2018 primarily relates to the timing of our investment maturity, which was used to fund our operating 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The net cash used in financing activities during the six months ended June 30, 2019 of $3.0 million primarily related to principal payments of $3.8 million made on our Term Loans, offset by $0.8 million in proceeds from the issuance of common stock upon the exercise of stock options. The cash used in financing activities during the six months ended June 30, 2018 of $1.9 million was primarily related to principal payments of $3.1 million made on our Term Loans offset by proceeds of $1.5 million from the issuance of common stock upon the exercise of stock options.</w:t>
      </w:r>
    </w:p>
    <w:p>
      <w:pPr>
        <w:spacing w:after="0" w:line="284"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have two non-cancellable office leases with remaining lease terms of approximately 2.25 years, each of which are classified as operating leases.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18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At June 30, 2019, the future minimum annual obligations under non-cancellable operating lease commitments are $0.5 million, $1.0 million, and $0.7 million, for the remainder of fiscal years ending 2019, 2020, and 2021,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8" w:lineRule="exact"/>
        <w:rPr>
          <w:sz w:val="20"/>
          <w:szCs w:val="20"/>
          <w:color w:val="auto"/>
        </w:rPr>
      </w:pPr>
    </w:p>
    <w:p>
      <w:pPr>
        <w:jc w:val="both"/>
        <w:ind w:right="280" w:firstLine="567"/>
        <w:spacing w:after="0" w:line="261"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June 30, 2019, there have been no material changes surrounding our market risk, including interest rate risk, inflation risk, and foreign currency exchange risk from the discussion provided in Item 7A. Quantitative and Qualitative Disclosures About Market Risk of our Fiscal 2018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46"/>
        <w:spacing w:after="0" w:line="273" w:lineRule="auto"/>
        <w:rPr>
          <w:sz w:val="20"/>
          <w:szCs w:val="20"/>
          <w:color w:val="auto"/>
        </w:rPr>
      </w:pPr>
      <w:r>
        <w:rPr>
          <w:rFonts w:ascii="Times New Roman" w:cs="Times New Roman" w:eastAsia="Times New Roman" w:hAnsi="Times New Roman"/>
          <w:sz w:val="17"/>
          <w:szCs w:val="17"/>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2019,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72" w:lineRule="exact"/>
        <w:rPr>
          <w:sz w:val="20"/>
          <w:szCs w:val="20"/>
          <w:color w:val="auto"/>
        </w:rPr>
      </w:pPr>
    </w:p>
    <w:p>
      <w:pPr>
        <w:ind w:right="540" w:firstLine="446"/>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13a-15(f) and 15d-15(f) of the Exchange Act that occurred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60" w:right="2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Phase 2a clinical trials of etokimab may not be representative of the results we will experience in later Phase 2b and registration trials. If we or our collaborators are unable to complete development of or commercialize our product candidates or experience significant delays in doing so, our business will be materially harmed.</w:t>
      </w:r>
    </w:p>
    <w:p>
      <w:pPr>
        <w:spacing w:after="0" w:line="181"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76" w:lineRule="exact"/>
        <w:rPr>
          <w:sz w:val="20"/>
          <w:szCs w:val="20"/>
          <w:color w:val="auto"/>
        </w:rPr>
      </w:pPr>
    </w:p>
    <w:p>
      <w:pPr>
        <w:ind w:right="140" w:firstLine="567"/>
        <w:spacing w:after="0" w:line="277" w:lineRule="auto"/>
        <w:rPr>
          <w:sz w:val="20"/>
          <w:szCs w:val="20"/>
          <w:color w:val="auto"/>
        </w:rPr>
      </w:pPr>
      <w:r>
        <w:rPr>
          <w:rFonts w:ascii="Times New Roman" w:cs="Times New Roman" w:eastAsia="Times New Roman" w:hAnsi="Times New Roman"/>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168"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 In addition, we have elected to structure our initial Phase 2a clinical trials as single dose studies, which may not be representative of the efficacy and/or safety observed in subsequent multi-dose Phase 2, Phase 2b or Phase 3 clinical trials.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60" w:right="259" w:bottom="1440" w:gutter="0" w:footer="0" w:header="0"/>
        </w:sectPr>
      </w:pPr>
    </w:p>
    <w:bookmarkStart w:id="30" w:name="page31"/>
    <w:bookmarkEnd w:id="30"/>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demonstrated efficacy in terms of FEV1 improvement versus placebo, we did not structure this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reported from our completed Phase 2a clinical trials have included interim analyses and top-line results at early timepoints, which may not accurately predict the final results of this clinical trial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this FEV1 improvement was not maintained at the same levels through study completion at the Day 127 timepoint.</w:t>
      </w:r>
    </w:p>
    <w:p>
      <w:pPr>
        <w:spacing w:after="0" w:line="19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other side effects and may result in a safety profile that could inhibit regulatory approval or market acceptance of any of our product candidates.</w:t>
      </w:r>
    </w:p>
    <w:p>
      <w:pPr>
        <w:spacing w:after="0" w:line="108" w:lineRule="exact"/>
        <w:rPr>
          <w:sz w:val="20"/>
          <w:szCs w:val="20"/>
          <w:color w:val="auto"/>
        </w:rPr>
      </w:pPr>
    </w:p>
    <w:p>
      <w:pPr>
        <w:ind w:right="80" w:firstLine="567"/>
        <w:spacing w:after="0" w:line="242"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5"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92"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ind w:right="40" w:firstLine="567"/>
        <w:spacing w:after="0" w:line="239"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8"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684" w:right="259" w:bottom="1440" w:gutter="0" w:footer="0" w:header="0"/>
        </w:sectPr>
      </w:pPr>
    </w:p>
    <w:bookmarkStart w:id="32" w:name="page33"/>
    <w:bookmarkEnd w:id="32"/>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9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average, take 10 to 15 years to be developed from the time they are discovered to the time they are approved and available for treating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start or end of a clinical trial is often delayed or halted for many reasons, including:</w:t>
      </w:r>
    </w:p>
    <w:p>
      <w:pPr>
        <w:spacing w:after="0" w:line="99" w:lineRule="exact"/>
        <w:rPr>
          <w:sz w:val="20"/>
          <w:szCs w:val="20"/>
          <w:color w:val="auto"/>
        </w:rPr>
      </w:pPr>
    </w:p>
    <w:p>
      <w:pPr>
        <w:ind w:left="880" w:right="56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684" w:right="259" w:bottom="1440" w:gutter="0" w:footer="0" w:header="0"/>
        </w:sectPr>
      </w:pPr>
    </w:p>
    <w:bookmarkStart w:id="33" w:name="page34"/>
    <w:bookmarkEnd w:id="33"/>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use our technology platform to expand our pipeline of product candidates and develop marketable products.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6" w:lineRule="exact"/>
        <w:rPr>
          <w:sz w:val="20"/>
          <w:szCs w:val="20"/>
          <w:color w:val="auto"/>
        </w:rPr>
      </w:pPr>
    </w:p>
    <w:p>
      <w:pPr>
        <w:ind w:right="40" w:firstLine="446"/>
        <w:spacing w:after="0" w:line="239"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2" w:lineRule="exact"/>
        <w:rPr>
          <w:sz w:val="20"/>
          <w:szCs w:val="20"/>
          <w:color w:val="auto"/>
        </w:rPr>
      </w:pPr>
    </w:p>
    <w:p>
      <w:pPr>
        <w:ind w:right="1060"/>
        <w:spacing w:after="0" w:line="271" w:lineRule="auto"/>
        <w:rPr>
          <w:sz w:val="20"/>
          <w:szCs w:val="20"/>
          <w:color w:val="auto"/>
        </w:rPr>
      </w:pPr>
      <w:r>
        <w:rPr>
          <w:rFonts w:ascii="Times New Roman" w:cs="Times New Roman" w:eastAsia="Times New Roman" w:hAnsi="Times New Roman"/>
          <w:sz w:val="18"/>
          <w:szCs w:val="18"/>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50" w:lineRule="exact"/>
        <w:rPr>
          <w:sz w:val="20"/>
          <w:szCs w:val="20"/>
          <w:color w:val="auto"/>
        </w:rPr>
      </w:pPr>
    </w:p>
    <w:p>
      <w:pPr>
        <w:ind w:right="20" w:firstLine="446"/>
        <w:spacing w:after="0" w:line="242"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580" w:right="299" w:bottom="1440" w:gutter="0" w:footer="0" w:header="0"/>
        </w:sectPr>
      </w:pPr>
    </w:p>
    <w:bookmarkStart w:id="34" w:name="page35"/>
    <w:bookmarkEnd w:id="34"/>
    <w:p>
      <w:pPr>
        <w:ind w:right="180"/>
        <w:spacing w:after="0" w:line="250" w:lineRule="auto"/>
        <w:rPr>
          <w:sz w:val="20"/>
          <w:szCs w:val="20"/>
          <w:color w:val="auto"/>
        </w:rPr>
      </w:pPr>
      <w:r>
        <w:rPr>
          <w:rFonts w:ascii="Times New Roman" w:cs="Times New Roman" w:eastAsia="Times New Roman" w:hAnsi="Times New Roman"/>
          <w:sz w:val="18"/>
          <w:szCs w:val="18"/>
          <w:color w:val="auto"/>
        </w:rPr>
        <w:t>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7" w:lineRule="exact"/>
        <w:rPr>
          <w:sz w:val="20"/>
          <w:szCs w:val="20"/>
          <w:color w:val="auto"/>
        </w:rPr>
      </w:pPr>
    </w:p>
    <w:p>
      <w:pPr>
        <w:jc w:val="both"/>
        <w:ind w:right="680" w:firstLine="446"/>
        <w:spacing w:after="0" w:line="250"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880" w:right="160" w:hanging="440"/>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880" w:right="660" w:hanging="440"/>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right="100" w:firstLine="446"/>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72" w:right="239" w:bottom="1440" w:gutter="0" w:footer="0" w:header="0"/>
        </w:sectPr>
      </w:pPr>
    </w:p>
    <w:bookmarkStart w:id="35" w:name="page36"/>
    <w:bookmarkEnd w:id="35"/>
    <w:p>
      <w:pPr>
        <w:ind w:right="120"/>
        <w:spacing w:after="0" w:line="261" w:lineRule="auto"/>
        <w:rPr>
          <w:sz w:val="20"/>
          <w:szCs w:val="20"/>
          <w:color w:val="auto"/>
        </w:rPr>
      </w:pPr>
      <w:r>
        <w:rPr>
          <w:rFonts w:ascii="Times New Roman" w:cs="Times New Roman" w:eastAsia="Times New Roman" w:hAnsi="Times New Roman"/>
          <w:sz w:val="18"/>
          <w:szCs w:val="18"/>
          <w:color w:val="auto"/>
        </w:rPr>
        <w:t>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For atopic dermatitis, our competitors include dupilumab (Dupixent, Regeneron, Sanofi), which has been approved by the FDA, crisaborole (EUCRISA, Pfizer), which has been approved by the FDA, VTP-38543 (Vitae, acquired by Allergan), JAK inhibitors such as baricitinib, PF-04965842 and upadacitinib under development by Lilly/Incyte, Pfizer and Abbvie, respectively, an IL-33 program by Regeneron (REGN3500) in a Phase 2 clinical trial for atopic dermatitis, a recently announced IL-33 related program by Pfizer (PF-06817024) in a Phase 1 clinical trial indicated for various indications, a recently announced IL-33 related program by Lilly in a Phase 1 clinical trial indicated for autoimmune disorders, an IL-1 alpha antibody, bermekimab (XBiotech) and antibodies that bind to IL-13 such as lebrikizumab (Dermira) and tezepelumab (AMG157, MEDI9929, Amgen/AstraZeneca).</w:t>
      </w:r>
    </w:p>
    <w:p>
      <w:pPr>
        <w:spacing w:after="0" w:line="188"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GSK’s GSK3772847 and Regeneron’s IL-33 antibody (REGN3500) each in clinical development for asthma and related conditions; a recently announced IL-33 related program by AstraZeneca (MEDI3506) in a Phase 1 clinical trial indicated for chronic obstructive pulmonary disease; DP-2 antagonists including fevipiprant (Novartis) under development for asthma and GB001 (Gossamer Bio) under development for moderate-to-severe eosinophilic asthma; and an anti-TSLP antibody called tezepelumab (AMG 157, MEDI9929) being developed by Amgen and AstraZeneca for asthma.</w:t>
      </w:r>
    </w:p>
    <w:p>
      <w:pPr>
        <w:spacing w:after="0" w:line="191" w:lineRule="exact"/>
        <w:rPr>
          <w:sz w:val="20"/>
          <w:szCs w:val="20"/>
          <w:color w:val="auto"/>
        </w:rPr>
      </w:pPr>
    </w:p>
    <w:p>
      <w:pPr>
        <w:ind w:right="340" w:firstLine="567"/>
        <w:spacing w:after="0" w:line="282" w:lineRule="auto"/>
        <w:rPr>
          <w:sz w:val="20"/>
          <w:szCs w:val="20"/>
          <w:color w:val="auto"/>
        </w:rPr>
      </w:pPr>
      <w:r>
        <w:rPr>
          <w:rFonts w:ascii="Times New Roman" w:cs="Times New Roman" w:eastAsia="Times New Roman" w:hAnsi="Times New Roman"/>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62"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5"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72" w:right="239" w:bottom="1440" w:gutter="0" w:footer="0" w:header="0"/>
        </w:sectPr>
      </w:pPr>
    </w:p>
    <w:bookmarkStart w:id="36" w:name="page37"/>
    <w:bookmarkEnd w:id="36"/>
    <w:p>
      <w:pPr>
        <w:ind w:firstLine="44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8" w:lineRule="exact"/>
        <w:rPr>
          <w:sz w:val="20"/>
          <w:szCs w:val="20"/>
          <w:color w:val="auto"/>
        </w:rPr>
      </w:pPr>
    </w:p>
    <w:p>
      <w:pPr>
        <w:ind w:right="60" w:firstLine="446"/>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1" w:lineRule="exact"/>
        <w:rPr>
          <w:sz w:val="20"/>
          <w:szCs w:val="20"/>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5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7" w:name="page38"/>
    <w:bookmarkEnd w:id="37"/>
    <w:p>
      <w:pPr>
        <w:ind w:right="40"/>
        <w:spacing w:after="0" w:line="258" w:lineRule="auto"/>
        <w:rPr>
          <w:sz w:val="20"/>
          <w:szCs w:val="20"/>
          <w:color w:val="auto"/>
        </w:rPr>
      </w:pPr>
      <w:r>
        <w:rPr>
          <w:rFonts w:ascii="Times New Roman" w:cs="Times New Roman" w:eastAsia="Times New Roman" w:hAnsi="Times New Roman"/>
          <w:sz w:val="18"/>
          <w:szCs w:val="18"/>
          <w:color w:val="auto"/>
        </w:rPr>
        <w:t>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4"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54" w:lineRule="exact"/>
        <w:rPr>
          <w:sz w:val="20"/>
          <w:szCs w:val="20"/>
          <w:color w:val="auto"/>
        </w:rPr>
      </w:pPr>
    </w:p>
    <w:p>
      <w:pPr>
        <w:ind w:left="880" w:right="4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17" w:lineRule="exact"/>
        <w:rPr>
          <w:rFonts w:ascii="Times New Roman" w:cs="Times New Roman" w:eastAsia="Times New Roman" w:hAnsi="Times New Roman"/>
          <w:sz w:val="18"/>
          <w:szCs w:val="18"/>
          <w:color w:val="auto"/>
        </w:rPr>
      </w:pPr>
    </w:p>
    <w:p>
      <w:pPr>
        <w:ind w:left="880" w:right="46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85"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9"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72"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We had $5.0 million in collaboration revenue and our net loss was $46.0 million for the six months ended June 30, 2019 and our net loss was $28.7 million for the six months ended June 30, 2018, with no collaboration revenue. As of June 30, 2019, we had an accumulated deficit of $192.7 million.</w:t>
      </w:r>
    </w:p>
    <w:p>
      <w:pPr>
        <w:spacing w:after="0" w:line="17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7"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 candidates for which we may obtain marketing approval;</w:t>
      </w:r>
    </w:p>
    <w:p>
      <w:pPr>
        <w:spacing w:after="0" w:line="128"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225"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4"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684" w:right="279" w:bottom="1440" w:gutter="0" w:footer="0" w:header="0"/>
        </w:sectPr>
      </w:pPr>
    </w:p>
    <w:bookmarkStart w:id="39" w:name="page40"/>
    <w:bookmarkEnd w:id="39"/>
    <w:p>
      <w:pPr>
        <w:ind w:right="20"/>
        <w:spacing w:after="0" w:line="255" w:lineRule="auto"/>
        <w:rPr>
          <w:sz w:val="20"/>
          <w:szCs w:val="20"/>
          <w:color w:val="auto"/>
        </w:rPr>
      </w:pPr>
      <w:r>
        <w:rPr>
          <w:rFonts w:ascii="Times New Roman" w:cs="Times New Roman" w:eastAsia="Times New Roman" w:hAnsi="Times New Roman"/>
          <w:sz w:val="18"/>
          <w:szCs w:val="18"/>
          <w:color w:val="auto"/>
        </w:rPr>
        <w:t>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through the end of 2020.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93" w:lineRule="exact"/>
        <w:rPr>
          <w:sz w:val="20"/>
          <w:szCs w:val="20"/>
          <w:color w:val="auto"/>
        </w:rPr>
      </w:pPr>
    </w:p>
    <w:p>
      <w:pPr>
        <w:ind w:right="160" w:firstLine="446"/>
        <w:spacing w:after="0" w:line="266" w:lineRule="auto"/>
        <w:rPr>
          <w:sz w:val="20"/>
          <w:szCs w:val="20"/>
          <w:color w:val="auto"/>
        </w:rPr>
      </w:pPr>
      <w:r>
        <w:rPr>
          <w:rFonts w:ascii="Times New Roman" w:cs="Times New Roman" w:eastAsia="Times New Roman" w:hAnsi="Times New Roman"/>
          <w:sz w:val="18"/>
          <w:szCs w:val="18"/>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68"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25"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80" w:lineRule="exact"/>
        <w:rPr>
          <w:sz w:val="20"/>
          <w:szCs w:val="20"/>
          <w:color w:val="auto"/>
        </w:rPr>
      </w:pPr>
    </w:p>
    <w:p>
      <w:pPr>
        <w:ind w:left="880" w:right="10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880" w:right="50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580" w:right="279" w:bottom="1440" w:gutter="0" w:footer="0" w:header="0"/>
        </w:sectPr>
      </w:pPr>
    </w:p>
    <w:bookmarkStart w:id="40" w:name="page41"/>
    <w:bookmarkEnd w:id="40"/>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jc w:val="both"/>
        <w:ind w:left="880" w:right="60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37"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9" w:lineRule="exact"/>
        <w:rPr>
          <w:sz w:val="20"/>
          <w:szCs w:val="20"/>
          <w:color w:val="auto"/>
        </w:rPr>
      </w:pPr>
    </w:p>
    <w:p>
      <w:pPr>
        <w:ind w:right="5260"/>
        <w:spacing w:after="0" w:line="40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93" w:lineRule="exact"/>
        <w:rPr>
          <w:sz w:val="20"/>
          <w:szCs w:val="20"/>
          <w:color w:val="auto"/>
        </w:rPr>
      </w:pPr>
    </w:p>
    <w:p>
      <w:pPr>
        <w:jc w:val="both"/>
        <w:ind w:right="120" w:firstLine="567"/>
        <w:spacing w:after="0" w:line="266"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2" w:right="239" w:bottom="1440" w:gutter="0" w:footer="0" w:header="0"/>
        </w:sectPr>
      </w:pPr>
    </w:p>
    <w:bookmarkStart w:id="41" w:name="page42"/>
    <w:bookmarkEnd w:id="41"/>
    <w:p>
      <w:pPr>
        <w:ind w:right="100"/>
        <w:spacing w:after="0" w:line="282" w:lineRule="auto"/>
        <w:rPr>
          <w:sz w:val="20"/>
          <w:szCs w:val="20"/>
          <w:color w:val="auto"/>
        </w:rPr>
      </w:pPr>
      <w:r>
        <w:rPr>
          <w:rFonts w:ascii="Times New Roman" w:cs="Times New Roman" w:eastAsia="Times New Roman" w:hAnsi="Times New Roman"/>
          <w:sz w:val="18"/>
          <w:szCs w:val="18"/>
          <w:color w:val="auto"/>
        </w:rPr>
        <w:t>candidates than what we have to offer. If we are unable to continue to attract and retain high-quality personnel, the rate and success at which we can discover and develop product candidates and our business will be limited.</w:t>
      </w:r>
    </w:p>
    <w:p>
      <w:pPr>
        <w:spacing w:after="0" w:line="26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0" w:lineRule="exact"/>
        <w:rPr>
          <w:sz w:val="20"/>
          <w:szCs w:val="20"/>
          <w:color w:val="auto"/>
        </w:rPr>
      </w:pPr>
    </w:p>
    <w:p>
      <w:pPr>
        <w:ind w:right="20" w:firstLine="446"/>
        <w:spacing w:after="0"/>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5" w:lineRule="exact"/>
        <w:rPr>
          <w:sz w:val="20"/>
          <w:szCs w:val="20"/>
          <w:color w:val="auto"/>
        </w:rPr>
      </w:pPr>
    </w:p>
    <w:p>
      <w:pPr>
        <w:ind w:right="160" w:firstLine="446"/>
        <w:spacing w:after="0" w:line="245"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1" w:lineRule="exact"/>
        <w:rPr>
          <w:sz w:val="20"/>
          <w:szCs w:val="20"/>
          <w:color w:val="auto"/>
        </w:rPr>
      </w:pPr>
    </w:p>
    <w:p>
      <w:pPr>
        <w:ind w:right="60" w:firstLine="446"/>
        <w:spacing w:after="0" w:line="237"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0" w:lineRule="exact"/>
        <w:rPr>
          <w:sz w:val="20"/>
          <w:szCs w:val="20"/>
          <w:color w:val="auto"/>
        </w:rPr>
      </w:pPr>
    </w:p>
    <w:p>
      <w:pPr>
        <w:ind w:right="80" w:firstLine="446"/>
        <w:spacing w:after="0" w:line="250"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or AnaptysBio Pty, to develop and commercialize our ANB019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77"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or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38"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6"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and other events beyond our control, which could harm our business.</w:t>
      </w:r>
    </w:p>
    <w:p>
      <w:pPr>
        <w:spacing w:after="0" w:line="50" w:lineRule="exact"/>
        <w:rPr>
          <w:sz w:val="20"/>
          <w:szCs w:val="20"/>
          <w:color w:val="auto"/>
        </w:rPr>
      </w:pPr>
    </w:p>
    <w:p>
      <w:pPr>
        <w:ind w:right="40" w:firstLine="446"/>
        <w:spacing w:after="0"/>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5"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67"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88"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Moreover, both TESARO and Celgene recently announced agreements to be acquired by large pharmaceutical companies. On December 3, 2018, GlaxoSmithKline plc announced an agreement to acquire TESARO, which closed on January 22, 2019, and on January 3, 2019, Bristol-Myers Squibb Co. announced an agreement to acquire Celgene Corp, which is expected to close by the end of 2019 or beginning of 2020.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89"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development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684" w:right="279" w:bottom="1440" w:gutter="0" w:footer="0" w:header="0"/>
        </w:sectPr>
      </w:pPr>
    </w:p>
    <w:bookmarkStart w:id="44" w:name="page45"/>
    <w:bookmarkEnd w:id="44"/>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6"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21" w:lineRule="exact"/>
        <w:rPr>
          <w:sz w:val="20"/>
          <w:szCs w:val="20"/>
          <w:color w:val="auto"/>
        </w:rPr>
      </w:pPr>
    </w:p>
    <w:p>
      <w:pPr>
        <w:ind w:right="40" w:firstLine="500"/>
        <w:spacing w:after="0" w:line="254"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7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72" w:right="239" w:bottom="1440" w:gutter="0" w:footer="0" w:header="0"/>
        </w:sectPr>
      </w:pPr>
    </w:p>
    <w:bookmarkStart w:id="45" w:name="page46"/>
    <w:bookmarkEnd w:id="45"/>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446"/>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91"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20" w:firstLine="446"/>
        <w:spacing w:after="0" w:line="282"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4" w:right="239" w:bottom="1440" w:gutter="0" w:footer="0" w:header="0"/>
        </w:sectPr>
      </w:pPr>
    </w:p>
    <w:bookmarkStart w:id="46" w:name="page47"/>
    <w:bookmarkEnd w:id="46"/>
    <w:p>
      <w:pPr>
        <w:ind w:right="120"/>
        <w:spacing w:after="0" w:line="266" w:lineRule="auto"/>
        <w:rPr>
          <w:sz w:val="20"/>
          <w:szCs w:val="20"/>
          <w:color w:val="auto"/>
        </w:rPr>
      </w:pPr>
      <w:r>
        <w:rPr>
          <w:rFonts w:ascii="Times New Roman" w:cs="Times New Roman" w:eastAsia="Times New Roman" w:hAnsi="Times New Roman"/>
          <w:sz w:val="18"/>
          <w:szCs w:val="18"/>
          <w:color w:val="auto"/>
        </w:rPr>
        <w:t>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160" w:firstLine="446"/>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8"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7" w:name="page48"/>
    <w:bookmarkEnd w:id="47"/>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80"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46"/>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89"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85"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48" w:name="page49"/>
    <w:bookmarkEnd w:id="48"/>
    <w:p>
      <w:pPr>
        <w:ind w:right="120"/>
        <w:spacing w:after="0" w:line="282" w:lineRule="auto"/>
        <w:rPr>
          <w:sz w:val="20"/>
          <w:szCs w:val="20"/>
          <w:color w:val="auto"/>
        </w:rPr>
      </w:pPr>
      <w:r>
        <w:rPr>
          <w:rFonts w:ascii="Times New Roman" w:cs="Times New Roman" w:eastAsia="Times New Roman" w:hAnsi="Times New Roman"/>
          <w:sz w:val="18"/>
          <w:szCs w:val="18"/>
          <w:color w:val="auto"/>
        </w:rPr>
        <w:t>candidates. Accordingly, in markets outside the United States, the reimbursement for our products may be reduced compared with the United States and may be insufficient to generate commercially reasonable revenue and profits.</w:t>
      </w:r>
    </w:p>
    <w:p>
      <w:pPr>
        <w:spacing w:after="0" w:line="162" w:lineRule="exact"/>
        <w:rPr>
          <w:sz w:val="20"/>
          <w:szCs w:val="20"/>
          <w:color w:val="auto"/>
        </w:rPr>
      </w:pPr>
    </w:p>
    <w:p>
      <w:pPr>
        <w:ind w:right="200" w:firstLine="446"/>
        <w:spacing w:after="0" w:line="24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84"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1" w:lineRule="exact"/>
        <w:rPr>
          <w:sz w:val="20"/>
          <w:szCs w:val="20"/>
          <w:color w:val="auto"/>
        </w:rPr>
      </w:pPr>
    </w:p>
    <w:p>
      <w:pPr>
        <w:ind w:right="40" w:firstLine="446"/>
        <w:spacing w:after="0" w:line="245" w:lineRule="auto"/>
        <w:rPr>
          <w:sz w:val="20"/>
          <w:szCs w:val="20"/>
          <w:color w:val="auto"/>
        </w:rPr>
      </w:pPr>
      <w:r>
        <w:rPr>
          <w:rFonts w:ascii="Times New Roman" w:cs="Times New Roman" w:eastAsia="Times New Roman" w:hAnsi="Times New Roman"/>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1" w:lineRule="exact"/>
        <w:rPr>
          <w:sz w:val="20"/>
          <w:szCs w:val="20"/>
          <w:color w:val="auto"/>
        </w:rPr>
      </w:pPr>
    </w:p>
    <w:p>
      <w:pPr>
        <w:ind w:right="20" w:firstLine="446"/>
        <w:spacing w:after="0" w:line="24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9" w:name="page50"/>
    <w:bookmarkEnd w:id="49"/>
    <w:p>
      <w:pPr>
        <w:ind w:right="20"/>
        <w:spacing w:after="0" w:line="255" w:lineRule="auto"/>
        <w:rPr>
          <w:sz w:val="20"/>
          <w:szCs w:val="20"/>
          <w:color w:val="auto"/>
        </w:rPr>
      </w:pPr>
      <w:r>
        <w:rPr>
          <w:rFonts w:ascii="Times New Roman" w:cs="Times New Roman" w:eastAsia="Times New Roman" w:hAnsi="Times New Roman"/>
          <w:sz w:val="18"/>
          <w:szCs w:val="18"/>
          <w:color w:val="auto"/>
        </w:rPr>
        <w:t>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85"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8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sanctions, civil penalties, contractual damages, reputational harm, administrative burdens and diminished profits and future earnings.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72" w:lineRule="exact"/>
        <w:rPr>
          <w:sz w:val="20"/>
          <w:szCs w:val="20"/>
          <w:color w:val="auto"/>
        </w:rPr>
      </w:pPr>
    </w:p>
    <w:p>
      <w:pPr>
        <w:ind w:left="900" w:right="80" w:hanging="487"/>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880" w:right="240" w:hanging="440"/>
        <w:spacing w:after="0" w:line="258"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62"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84" w:right="239" w:bottom="1440" w:gutter="0" w:footer="0" w:header="0"/>
        </w:sectPr>
      </w:pPr>
    </w:p>
    <w:bookmarkStart w:id="51" w:name="page52"/>
    <w:bookmarkEnd w:id="51"/>
    <w:p>
      <w:pPr>
        <w:ind w:right="180"/>
        <w:spacing w:after="0" w:line="261" w:lineRule="auto"/>
        <w:rPr>
          <w:sz w:val="20"/>
          <w:szCs w:val="20"/>
          <w:color w:val="auto"/>
        </w:rPr>
      </w:pPr>
      <w:r>
        <w:rPr>
          <w:rFonts w:ascii="Times New Roman" w:cs="Times New Roman" w:eastAsia="Times New Roman" w:hAnsi="Times New Roman"/>
          <w:sz w:val="18"/>
          <w:szCs w:val="18"/>
          <w:color w:val="auto"/>
        </w:rPr>
        <w:t>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364" w:right="259" w:bottom="1440" w:gutter="0" w:footer="0" w:header="0"/>
        </w:sectPr>
      </w:pPr>
    </w:p>
    <w:bookmarkStart w:id="52" w:name="page53"/>
    <w:bookmarkEnd w:id="52"/>
    <w:p>
      <w:pPr>
        <w:ind w:right="60" w:firstLine="446"/>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3" w:lineRule="exact"/>
        <w:rPr>
          <w:sz w:val="20"/>
          <w:szCs w:val="20"/>
          <w:color w:val="auto"/>
        </w:rPr>
      </w:pPr>
    </w:p>
    <w:p>
      <w:pPr>
        <w:ind w:right="40" w:firstLine="446"/>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sectPr>
      </w:pPr>
    </w:p>
    <w:bookmarkStart w:id="53" w:name="page54"/>
    <w:bookmarkEnd w:id="53"/>
    <w:p>
      <w:pPr>
        <w:ind w:right="40"/>
        <w:spacing w:after="0" w:line="266" w:lineRule="auto"/>
        <w:rPr>
          <w:sz w:val="20"/>
          <w:szCs w:val="20"/>
          <w:color w:val="auto"/>
        </w:rPr>
      </w:pPr>
      <w:r>
        <w:rPr>
          <w:rFonts w:ascii="Times New Roman" w:cs="Times New Roman" w:eastAsia="Times New Roman" w:hAnsi="Times New Roman"/>
          <w:sz w:val="18"/>
          <w:szCs w:val="18"/>
          <w:color w:val="auto"/>
        </w:rPr>
        <w:t>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6" w:lineRule="exact"/>
        <w:rPr>
          <w:sz w:val="20"/>
          <w:szCs w:val="20"/>
          <w:color w:val="auto"/>
        </w:rPr>
      </w:pPr>
    </w:p>
    <w:p>
      <w:pPr>
        <w:ind w:right="100" w:firstLine="446"/>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jc w:val="both"/>
        <w:ind w:right="220" w:firstLine="446"/>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472" w:right="299" w:bottom="1440" w:gutter="0" w:footer="0" w:header="0"/>
        </w:sectPr>
      </w:pPr>
    </w:p>
    <w:bookmarkStart w:id="54" w:name="page55"/>
    <w:bookmarkEnd w:id="54"/>
    <w:p>
      <w:pPr>
        <w:ind w:right="100"/>
        <w:spacing w:after="0" w:line="261" w:lineRule="auto"/>
        <w:rPr>
          <w:sz w:val="20"/>
          <w:szCs w:val="20"/>
          <w:color w:val="auto"/>
        </w:rPr>
      </w:pPr>
      <w:r>
        <w:rPr>
          <w:rFonts w:ascii="Times New Roman" w:cs="Times New Roman" w:eastAsia="Times New Roman" w:hAnsi="Times New Roman"/>
          <w:sz w:val="18"/>
          <w:szCs w:val="18"/>
          <w:color w:val="auto"/>
        </w:rPr>
        <w:t>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17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9" w:lineRule="exact"/>
        <w:rPr>
          <w:sz w:val="20"/>
          <w:szCs w:val="20"/>
          <w:color w:val="auto"/>
        </w:rPr>
      </w:pPr>
    </w:p>
    <w:p>
      <w:pPr>
        <w:ind w:right="80" w:firstLine="446"/>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right="220" w:firstLine="446"/>
        <w:spacing w:after="0" w:line="255"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5" w:name="page56"/>
    <w:bookmarkEnd w:id="55"/>
    <w:p>
      <w:pPr>
        <w:ind w:right="20"/>
        <w:spacing w:after="0" w:line="261" w:lineRule="auto"/>
        <w:rPr>
          <w:sz w:val="20"/>
          <w:szCs w:val="20"/>
          <w:color w:val="auto"/>
        </w:rPr>
      </w:pPr>
      <w:r>
        <w:rPr>
          <w:rFonts w:ascii="Times New Roman" w:cs="Times New Roman" w:eastAsia="Times New Roman" w:hAnsi="Times New Roman"/>
          <w:sz w:val="18"/>
          <w:szCs w:val="18"/>
          <w:color w:val="auto"/>
        </w:rPr>
        <w:t>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0"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89"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right="100" w:firstLine="446"/>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0" w:lineRule="exact"/>
        <w:rPr>
          <w:sz w:val="20"/>
          <w:szCs w:val="20"/>
          <w:color w:val="auto"/>
        </w:rPr>
      </w:pPr>
    </w:p>
    <w:p>
      <w:pPr>
        <w:ind w:right="80" w:firstLine="446"/>
        <w:spacing w:after="0" w:line="23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72" w:right="239" w:bottom="1440" w:gutter="0" w:footer="0" w:header="0"/>
        </w:sectPr>
      </w:pPr>
    </w:p>
    <w:bookmarkStart w:id="56" w:name="page57"/>
    <w:bookmarkEnd w:id="56"/>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880" w:right="540" w:hanging="440"/>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5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12"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5" w:lineRule="exact"/>
        <w:rPr>
          <w:sz w:val="20"/>
          <w:szCs w:val="20"/>
          <w:color w:val="auto"/>
        </w:rPr>
      </w:pPr>
    </w:p>
    <w:p>
      <w:pPr>
        <w:ind w:right="60" w:firstLine="446"/>
        <w:spacing w:after="0" w:line="241"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84"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80" w:firstLine="44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72" w:right="29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t>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880" w:right="104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72" w:right="239" w:bottom="1440" w:gutter="0" w:footer="0" w:header="0"/>
        </w:sectPr>
      </w:pPr>
    </w:p>
    <w:bookmarkStart w:id="58" w:name="page59"/>
    <w:bookmarkEnd w:id="58"/>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300" w:firstLine="44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have increased and will continue to increase.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72" w:right="259" w:bottom="1440" w:gutter="0" w:footer="0" w:header="0"/>
        </w:sectPr>
      </w:pPr>
    </w:p>
    <w:bookmarkStart w:id="59" w:name="page60"/>
    <w:bookmarkEnd w:id="59"/>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4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4"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44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684" w:right="279" w:bottom="1440" w:gutter="0" w:footer="0" w:header="0"/>
        </w:sectPr>
      </w:pPr>
    </w:p>
    <w:bookmarkStart w:id="60" w:name="page61"/>
    <w:bookmarkEnd w:id="60"/>
    <w:p>
      <w:pPr>
        <w:ind w:left="8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60" w:firstLine="446"/>
        <w:spacing w:after="0" w:line="282"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67" w:lineRule="exact"/>
        <w:rPr>
          <w:sz w:val="20"/>
          <w:szCs w:val="20"/>
          <w:color w:val="auto"/>
        </w:rPr>
      </w:pPr>
    </w:p>
    <w:p>
      <w:pPr>
        <w:ind w:right="60" w:firstLine="446"/>
        <w:spacing w:after="0" w:line="253"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8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2018, we have federal NOLs of approximately $145.3 million, which expire beginning December 31, 2028 through December 31, 2037, if not used to reduce income taxes payable in the future. The federal net operating loss carryover includes $85.2 million of net operating losses generated in 2018. Federal net operating losses generated in 2018 carryover indefinitely and may generally be used to offset up to 80% of future taxable income in the year it is utilized.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72"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40" w:type="dxa"/>
            <w:vAlign w:val="bottom"/>
            <w:gridSpan w:val="5"/>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49"/>
        </w:trPr>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40" w:type="dxa"/>
            <w:vAlign w:val="bottom"/>
            <w:gridSpan w:val="5"/>
          </w:tcPr>
          <w:p>
            <w:pPr>
              <w:ind w:left="43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303"/>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040" w:type="dxa"/>
            <w:vAlign w:val="bottom"/>
            <w:gridSpan w:val="5"/>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Certification of Principal Executive Officer, pursuant to Rule 13a-14(a)/15d-14(a), as adopted pursuant to Section 302 of the Sarbanes-Oxley Act of 2002.</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00" w:type="dxa"/>
            <w:vAlign w:val="bottom"/>
            <w:tcBorders>
              <w:top w:val="single" w:sz="8" w:color="0000FF"/>
            </w:tcBorders>
            <w:gridSpan w:val="4"/>
          </w:tcPr>
          <w:p>
            <w:pPr>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color w:val="0000FF"/>
                </w:rPr>
                <w:t>Certification of Principal Financial Officer, pursuant to Rule 13a-14(a)/15d-14(a), as adopted pursuant to Section 302 of the Sarbanes-Oxley Act of 2002.</w:t>
              </w:r>
            </w:hyperlink>
          </w:p>
        </w:tc>
        <w:tc>
          <w:tcPr>
            <w:tcW w:w="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6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80" w:type="dxa"/>
            <w:vAlign w:val="bottom"/>
            <w:gridSpan w:val="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40" w:type="dxa"/>
            <w:vAlign w:val="bottom"/>
            <w:gridSpan w:val="5"/>
          </w:tcPr>
          <w:p>
            <w:pPr>
              <w:spacing w:after="0"/>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hyperlink>
          </w:p>
        </w:tc>
      </w:tr>
      <w:tr>
        <w:trPr>
          <w:trHeight w:val="20"/>
        </w:trPr>
        <w:tc>
          <w:tcPr>
            <w:tcW w:w="114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44"/>
        </w:trPr>
        <w:tc>
          <w:tcPr>
            <w:tcW w:w="114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Report Instance Document - The Instance document does not appear in the Interactive Data File because its XBRL tags are embedded within</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Inline XBRL document</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30"/>
        </w:trPr>
        <w:tc>
          <w:tcPr>
            <w:tcW w:w="114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from the Registrant’s Quarterly Report on Form 10-Q for the quarter ended June 30, 2019 is formatted</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 Inline XBRL</w:t>
            </w:r>
          </w:p>
        </w:tc>
      </w:tr>
    </w:tbl>
    <w:p>
      <w:pPr>
        <w:spacing w:after="0" w:line="200" w:lineRule="exact"/>
        <w:rPr>
          <w:sz w:val="20"/>
          <w:szCs w:val="20"/>
          <w:color w:val="auto"/>
        </w:rPr>
      </w:pPr>
    </w:p>
    <w:p>
      <w:pPr>
        <w:spacing w:after="0" w:line="3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240" w:top="684" w:right="319" w:bottom="1440" w:gutter="0" w:footer="0" w:header="0"/>
        </w:sectPr>
      </w:pPr>
    </w:p>
    <w:bookmarkStart w:id="62" w:name="page63"/>
    <w:bookmarkEnd w:id="6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6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ANAPTYSBIO, INC.</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8, 2019</w:t>
            </w:r>
          </w:p>
        </w:tc>
        <w:tc>
          <w:tcPr>
            <w:tcW w:w="2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Hamza Suria</w:t>
            </w:r>
          </w:p>
        </w:tc>
      </w:tr>
      <w:tr>
        <w:trPr>
          <w:trHeight w:val="41"/>
        </w:trPr>
        <w:tc>
          <w:tcPr>
            <w:tcW w:w="5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Hamza Suria</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8, 2019</w:t>
            </w:r>
          </w:p>
        </w:tc>
        <w:tc>
          <w:tcPr>
            <w:tcW w:w="2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Dominic G. Piscitelli</w:t>
            </w:r>
          </w:p>
        </w:tc>
      </w:tr>
      <w:tr>
        <w:trPr>
          <w:trHeight w:val="41"/>
        </w:trPr>
        <w:tc>
          <w:tcPr>
            <w:tcW w:w="52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Dominic G. Piscitelli</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60</w:t>
            </w:r>
          </w:p>
        </w:tc>
        <w:tc>
          <w:tcPr>
            <w:tcW w:w="4580" w:type="dxa"/>
            <w:vAlign w:val="bottom"/>
          </w:tcPr>
          <w:p>
            <w:pPr>
              <w:spacing w:after="0"/>
              <w:rPr>
                <w:sz w:val="24"/>
                <w:szCs w:val="24"/>
                <w:color w:val="auto"/>
              </w:rPr>
            </w:pPr>
          </w:p>
        </w:tc>
      </w:tr>
    </w:tbl>
    <w:p>
      <w:pPr>
        <w:sectPr>
          <w:pgSz w:w="11900" w:h="16838" w:orient="portrait"/>
          <w:cols w:equalWidth="0" w:num="1">
            <w:col w:w="11320"/>
          </w:cols>
          <w:pgMar w:left="240" w:top="36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 G. Piscitelli, certify that:</w:t>
      </w:r>
    </w:p>
    <w:p>
      <w:pPr>
        <w:spacing w:after="0" w:line="212"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7" w:lineRule="exact"/>
        <w:rPr>
          <w:rFonts w:ascii="Times New Roman" w:cs="Times New Roman" w:eastAsia="Times New Roman" w:hAnsi="Times New Roman"/>
          <w:sz w:val="18"/>
          <w:szCs w:val="18"/>
          <w:color w:val="auto"/>
        </w:rPr>
      </w:pPr>
    </w:p>
    <w:p>
      <w:pPr>
        <w:ind w:left="180" w:right="280" w:hanging="172"/>
        <w:spacing w:after="0" w:line="313" w:lineRule="auto"/>
        <w:tabs>
          <w:tab w:leader="none" w:pos="19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180" w:right="60" w:hanging="172"/>
        <w:spacing w:after="0" w:line="282" w:lineRule="auto"/>
        <w:tabs>
          <w:tab w:leader="none" w:pos="1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60" w:hanging="169"/>
        <w:spacing w:after="0" w:line="266" w:lineRule="auto"/>
        <w:tabs>
          <w:tab w:leader="none" w:pos="4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100" w:hanging="169"/>
        <w:spacing w:after="0" w:line="282" w:lineRule="auto"/>
        <w:tabs>
          <w:tab w:leader="none" w:pos="4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180" w:hanging="169"/>
        <w:spacing w:after="0" w:line="266" w:lineRule="auto"/>
        <w:tabs>
          <w:tab w:leader="none" w:pos="4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80" w:right="640" w:hanging="172"/>
        <w:spacing w:after="0" w:line="282" w:lineRule="auto"/>
        <w:tabs>
          <w:tab w:leader="none" w:pos="1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260" w:hanging="169"/>
        <w:spacing w:after="0" w:line="282" w:lineRule="auto"/>
        <w:tabs>
          <w:tab w:leader="none" w:pos="4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Chief Executive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880" w:right="2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Hamza Suria</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420"/>
          </w:cols>
          <w:pgMar w:left="240" w:top="6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54" w:lineRule="exact"/>
        <w:rPr>
          <w:sz w:val="20"/>
          <w:szCs w:val="20"/>
          <w:color w:val="auto"/>
        </w:rPr>
      </w:pPr>
    </w:p>
    <w:p>
      <w:pPr>
        <w:ind w:left="880" w:right="2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2019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2019</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Dominic G. Piscitelli</w:t>
      </w:r>
    </w:p>
    <w:p>
      <w:pPr>
        <w:spacing w:after="0" w:line="6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6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lvl w:ilvl="1">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2019-12-28T07:40:46Z</dcterms:created>
  <dcterms:modified xsi:type="dcterms:W3CDTF">2019-12-28T07:40:46Z</dcterms:modified>
</cp:coreProperties>
</file>