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1"/>
          <w:szCs w:val="21"/>
          <w:color w:val="auto"/>
        </w:rPr>
        <w:t>SEC Form 4</w:t>
      </w:r>
    </w:p>
    <w:p>
      <w:pPr>
        <w:spacing w:after="0" w:line="41" w:lineRule="exact"/>
        <w:rPr>
          <w:sz w:val="24"/>
          <w:szCs w:val="24"/>
          <w:color w:val="auto"/>
        </w:rPr>
      </w:pPr>
    </w:p>
    <w:p>
      <w:pPr>
        <w:ind w:left="7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67" w:lineRule="exact"/>
        <w:rPr>
          <w:sz w:val="24"/>
          <w:szCs w:val="24"/>
          <w:color w:val="auto"/>
        </w:rPr>
      </w:pPr>
    </w:p>
    <w:p>
      <w:pPr>
        <w:ind w:left="380"/>
        <w:spacing w:after="0" w:line="238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38735</wp:posOffset>
            </wp:positionH>
            <wp:positionV relativeFrom="paragraph">
              <wp:posOffset>-243205</wp:posOffset>
            </wp:positionV>
            <wp:extent cx="136525" cy="13652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6525" cy="1365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4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3"/>
        </w:trPr>
        <w:tc>
          <w:tcPr>
            <w:tcW w:w="6540" w:type="dxa"/>
            <w:vAlign w:val="bottom"/>
          </w:tcPr>
          <w:p>
            <w:pPr>
              <w:jc w:val="center"/>
              <w:ind w:right="1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40" w:type="dxa"/>
            <w:vAlign w:val="bottom"/>
            <w:vMerge w:val="restart"/>
          </w:tcPr>
          <w:p>
            <w:pPr>
              <w:jc w:val="center"/>
              <w:ind w:right="173"/>
              <w:spacing w:after="0" w:line="14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0"/>
        </w:trPr>
        <w:tc>
          <w:tcPr>
            <w:tcW w:w="65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9"/>
        </w:trPr>
        <w:tc>
          <w:tcPr>
            <w:tcW w:w="65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"/>
        </w:trPr>
        <w:tc>
          <w:tcPr>
            <w:tcW w:w="6540" w:type="dxa"/>
            <w:vAlign w:val="bottom"/>
            <w:vMerge w:val="restart"/>
          </w:tcPr>
          <w:p>
            <w:pPr>
              <w:jc w:val="center"/>
              <w:ind w:right="1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0"/>
        </w:trPr>
        <w:tc>
          <w:tcPr>
            <w:tcW w:w="654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65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9"/>
        </w:trPr>
        <w:tc>
          <w:tcPr>
            <w:tcW w:w="65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8"/>
        </w:trPr>
        <w:tc>
          <w:tcPr>
            <w:tcW w:w="6540" w:type="dxa"/>
            <w:vAlign w:val="bottom"/>
            <w:vMerge w:val="restart"/>
          </w:tcPr>
          <w:p>
            <w:pPr>
              <w:jc w:val="center"/>
              <w:ind w:right="15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4"/>
        </w:trPr>
        <w:tc>
          <w:tcPr>
            <w:tcW w:w="654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54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5481955</wp:posOffset>
            </wp:positionH>
            <wp:positionV relativeFrom="paragraph">
              <wp:posOffset>-650875</wp:posOffset>
            </wp:positionV>
            <wp:extent cx="59690" cy="66421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421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4145280</wp:posOffset>
            </wp:positionH>
            <wp:positionV relativeFrom="paragraph">
              <wp:posOffset>-650875</wp:posOffset>
            </wp:positionV>
            <wp:extent cx="59690" cy="664210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421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-1696720</wp:posOffset>
            </wp:positionH>
            <wp:positionV relativeFrom="paragraph">
              <wp:posOffset>20320</wp:posOffset>
            </wp:positionV>
            <wp:extent cx="7323455" cy="502475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323455" cy="50247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41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60" w:space="300"/>
            <w:col w:w="8860"/>
          </w:cols>
          <w:pgMar w:left="240" w:top="225" w:right="139" w:bottom="1440" w:gutter="0" w:footer="0" w:header="0"/>
        </w:sect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53"/>
        </w:trPr>
        <w:tc>
          <w:tcPr>
            <w:tcW w:w="258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1. Name and Address of Reporting Person</w:t>
            </w:r>
            <w:r>
              <w:rPr>
                <w:rFonts w:ascii="Arial" w:cs="Arial" w:eastAsia="Arial" w:hAnsi="Arial"/>
                <w:sz w:val="22"/>
                <w:szCs w:val="22"/>
                <w:color w:val="auto"/>
                <w:vertAlign w:val="superscript"/>
              </w:rPr>
              <w:t>*</w:t>
            </w: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98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2. Issuer Name </w:t>
            </w: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Ticker or Trading Symbol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8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spacing w:after="0"/>
              <w:rPr>
                <w:rFonts w:ascii="Arial" w:cs="Arial" w:eastAsia="Arial" w:hAnsi="Arial"/>
                <w:sz w:val="21"/>
                <w:szCs w:val="21"/>
                <w:color w:val="0000EE"/>
                <w:w w:val="97"/>
              </w:rPr>
            </w:pPr>
            <w:hyperlink r:id="rId12">
              <w:r>
                <w:rPr>
                  <w:rFonts w:ascii="Arial" w:cs="Arial" w:eastAsia="Arial" w:hAnsi="Arial"/>
                  <w:sz w:val="21"/>
                  <w:szCs w:val="21"/>
                  <w:color w:val="0000EE"/>
                  <w:w w:val="97"/>
                </w:rPr>
                <w:t>Suria Hamza</w:t>
              </w:r>
            </w:hyperlink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980" w:type="dxa"/>
            <w:vAlign w:val="bottom"/>
            <w:gridSpan w:val="3"/>
          </w:tcPr>
          <w:p>
            <w:pPr>
              <w:ind w:left="80"/>
              <w:spacing w:after="0" w:line="188" w:lineRule="exact"/>
              <w:rPr>
                <w:rFonts w:ascii="Arial" w:cs="Arial" w:eastAsia="Arial" w:hAnsi="Arial"/>
                <w:sz w:val="21"/>
                <w:szCs w:val="21"/>
                <w:color w:val="0000EE"/>
              </w:rPr>
            </w:pPr>
            <w:hyperlink r:id="rId13">
              <w:r>
                <w:rPr>
                  <w:rFonts w:ascii="Arial" w:cs="Arial" w:eastAsia="Arial" w:hAnsi="Arial"/>
                  <w:sz w:val="21"/>
                  <w:szCs w:val="21"/>
                  <w:color w:val="0000EE"/>
                </w:rPr>
                <w:t xml:space="preserve">ANAPTYSBIO INC </w:t>
              </w:r>
            </w:hyperlink>
            <w:r>
              <w:rPr>
                <w:rFonts w:ascii="Arial" w:cs="Arial" w:eastAsia="Arial" w:hAnsi="Arial"/>
                <w:sz w:val="21"/>
                <w:szCs w:val="21"/>
                <w:color w:val="000000"/>
              </w:rPr>
              <w:t>[</w:t>
            </w:r>
            <w:r>
              <w:rPr>
                <w:rFonts w:ascii="Arial" w:cs="Arial" w:eastAsia="Arial" w:hAnsi="Arial"/>
                <w:sz w:val="21"/>
                <w:szCs w:val="21"/>
                <w:color w:val="0000EE"/>
              </w:rPr>
              <w:t xml:space="preserve"> 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ANAB</w:t>
            </w:r>
            <w:r>
              <w:rPr>
                <w:rFonts w:ascii="Arial" w:cs="Arial" w:eastAsia="Arial" w:hAnsi="Arial"/>
                <w:sz w:val="21"/>
                <w:szCs w:val="21"/>
                <w:color w:val="0000EE"/>
              </w:rPr>
              <w:t xml:space="preserve"> </w:t>
            </w:r>
            <w:r>
              <w:rPr>
                <w:rFonts w:ascii="Arial" w:cs="Arial" w:eastAsia="Arial" w:hAnsi="Arial"/>
                <w:sz w:val="21"/>
                <w:szCs w:val="21"/>
                <w:color w:val="000000"/>
              </w:rPr>
              <w:t>]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0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78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top w:val="single" w:sz="8" w:color="0000EE"/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4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3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(Last)</w:t>
            </w:r>
          </w:p>
        </w:tc>
        <w:tc>
          <w:tcPr>
            <w:tcW w:w="13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(First)</w:t>
            </w:r>
          </w:p>
        </w:tc>
        <w:tc>
          <w:tcPr>
            <w:tcW w:w="126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(Middle)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98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3. Date of Earliest Transaction (Month/Day/Year)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1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540" w:type="dxa"/>
            <w:vAlign w:val="bottom"/>
            <w:gridSpan w:val="3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C/O ANAPTYSBIO, INC.</w:t>
            </w: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940" w:type="dxa"/>
            <w:vAlign w:val="bottom"/>
            <w:gridSpan w:val="3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02/08/2019</w:t>
            </w:r>
          </w:p>
        </w:tc>
        <w:tc>
          <w:tcPr>
            <w:tcW w:w="21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5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7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47" w:lineRule="exact"/>
        <w:rPr>
          <w:sz w:val="20"/>
          <w:szCs w:val="20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10421 PACIFIC CENTER COURT, SUITE 200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br w:type="column"/>
      </w:r>
    </w:p>
    <w:p>
      <w:pPr>
        <w:spacing w:after="0" w:line="71" w:lineRule="exact"/>
        <w:rPr>
          <w:sz w:val="20"/>
          <w:szCs w:val="20"/>
          <w:color w:val="auto"/>
        </w:rPr>
      </w:pPr>
    </w:p>
    <w:p>
      <w:pPr>
        <w:ind w:left="6" w:right="640" w:hanging="6"/>
        <w:spacing w:after="0" w:line="255" w:lineRule="auto"/>
        <w:tabs>
          <w:tab w:leader="none" w:pos="155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spacing w:after="0" w:line="10" w:lineRule="exact"/>
        <w:rPr>
          <w:sz w:val="20"/>
          <w:szCs w:val="20"/>
          <w:color w:val="auto"/>
        </w:rPr>
      </w:pPr>
    </w:p>
    <w:tbl>
      <w:tblPr>
        <w:tblLayout w:type="fixed"/>
        <w:tblInd w:w="206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21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X</w:t>
            </w: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116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2"/>
        </w:trPr>
        <w:tc>
          <w:tcPr>
            <w:tcW w:w="2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X</w:t>
            </w: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16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6"/>
        </w:trPr>
        <w:tc>
          <w:tcPr>
            <w:tcW w:w="2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160" w:type="dxa"/>
            <w:vAlign w:val="bottom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5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6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2" w:lineRule="exact"/>
        <w:rPr>
          <w:sz w:val="20"/>
          <w:szCs w:val="20"/>
          <w:color w:val="auto"/>
        </w:rPr>
      </w:pPr>
    </w:p>
    <w:p>
      <w:pPr>
        <w:jc w:val="center"/>
        <w:ind w:right="174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President, CEO</w:t>
      </w:r>
    </w:p>
    <w:p>
      <w:pPr>
        <w:spacing w:after="0" w:line="427" w:lineRule="exact"/>
        <w:rPr>
          <w:sz w:val="20"/>
          <w:szCs w:val="20"/>
          <w:color w:val="auto"/>
        </w:rPr>
      </w:pPr>
    </w:p>
    <w:p>
      <w:pPr>
        <w:sectPr>
          <w:pgSz w:w="11900" w:h="16838" w:orient="portrait"/>
          <w:cols w:equalWidth="0" w:num="2">
            <w:col w:w="7980" w:space="74"/>
            <w:col w:w="3466"/>
          </w:cols>
          <w:pgMar w:left="240" w:top="225" w:right="139" w:bottom="1440" w:gutter="0" w:footer="0" w:header="0"/>
          <w:type w:val="continuous"/>
        </w:sectPr>
      </w:pPr>
    </w:p>
    <w:p>
      <w:pPr>
        <w:spacing w:after="0" w:line="217" w:lineRule="exact"/>
        <w:rPr>
          <w:sz w:val="20"/>
          <w:szCs w:val="20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11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</w:tr>
      <w:tr>
        <w:trPr>
          <w:trHeight w:val="240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SAN DIEGO</w:t>
            </w:r>
          </w:p>
        </w:tc>
        <w:tc>
          <w:tcPr>
            <w:tcW w:w="100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CA</w:t>
            </w:r>
          </w:p>
        </w:tc>
        <w:tc>
          <w:tcPr>
            <w:tcW w:w="1680" w:type="dxa"/>
            <w:vAlign w:val="bottom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92121</w:t>
            </w:r>
          </w:p>
        </w:tc>
      </w:tr>
      <w:tr>
        <w:trPr>
          <w:trHeight w:val="156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08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100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680" w:type="dxa"/>
            <w:vAlign w:val="bottom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br w:type="column"/>
      </w:r>
    </w:p>
    <w:p>
      <w:pPr>
        <w:spacing w:after="0"/>
        <w:tabs>
          <w:tab w:leader="none" w:pos="39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4. If Amendment, Date of Original Filed (Month/Day/Year)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6. Individual or Joint/Group Filing (Check Applicable</w:t>
      </w:r>
    </w:p>
    <w:p>
      <w:pPr>
        <w:ind w:left="39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ind w:left="4180"/>
        <w:spacing w:after="0" w:line="235" w:lineRule="auto"/>
        <w:tabs>
          <w:tab w:leader="none" w:pos="450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113" w:lineRule="exact"/>
        <w:rPr>
          <w:sz w:val="20"/>
          <w:szCs w:val="20"/>
          <w:color w:val="auto"/>
        </w:rPr>
      </w:pPr>
    </w:p>
    <w:p>
      <w:pPr>
        <w:ind w:left="45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ind w:left="45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368" w:lineRule="exact"/>
        <w:rPr>
          <w:sz w:val="20"/>
          <w:szCs w:val="20"/>
          <w:color w:val="auto"/>
        </w:rPr>
      </w:pPr>
    </w:p>
    <w:p>
      <w:pPr>
        <w:sectPr>
          <w:pgSz w:w="11900" w:h="16838" w:orient="portrait"/>
          <w:cols w:equalWidth="0" w:num="2">
            <w:col w:w="3920" w:space="160"/>
            <w:col w:w="7440"/>
          </w:cols>
          <w:pgMar w:left="240" w:top="225" w:right="13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30" w:lineRule="exact"/>
        <w:rPr>
          <w:sz w:val="20"/>
          <w:szCs w:val="20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900" w:type="dxa"/>
            <w:vAlign w:val="bottom"/>
          </w:tcPr>
          <w:p>
            <w:pPr>
              <w:ind w:left="8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200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1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8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4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900" w:type="dxa"/>
            <w:vAlign w:val="bottom"/>
          </w:tcPr>
          <w:p>
            <w:pPr>
              <w:ind w:left="84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2000" w:type="dxa"/>
            <w:vAlign w:val="bottom"/>
            <w:gridSpan w:val="3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160" w:type="dxa"/>
            <w:vAlign w:val="bottom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80" w:type="dxa"/>
            <w:vAlign w:val="bottom"/>
          </w:tcPr>
          <w:p>
            <w:pPr>
              <w:ind w:left="10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40" w:type="dxa"/>
            <w:vAlign w:val="bottom"/>
          </w:tcPr>
          <w:p>
            <w:pPr>
              <w:ind w:left="10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900" w:type="dxa"/>
            <w:vAlign w:val="bottom"/>
          </w:tcPr>
          <w:p>
            <w:pPr>
              <w:ind w:left="8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80" w:type="dxa"/>
            <w:vAlign w:val="bottom"/>
          </w:tcPr>
          <w:p>
            <w:pPr>
              <w:ind w:left="10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40" w:type="dxa"/>
            <w:vAlign w:val="bottom"/>
          </w:tcPr>
          <w:p>
            <w:pPr>
              <w:ind w:left="10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80" w:type="dxa"/>
            <w:vAlign w:val="bottom"/>
          </w:tcPr>
          <w:p>
            <w:pPr>
              <w:ind w:left="10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40" w:type="dxa"/>
            <w:vAlign w:val="bottom"/>
          </w:tcPr>
          <w:p>
            <w:pPr>
              <w:ind w:left="10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9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60" w:type="dxa"/>
            <w:vAlign w:val="bottom"/>
            <w:vMerge w:val="restart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  <w:vMerge w:val="restart"/>
          </w:tcPr>
          <w:p>
            <w:pPr>
              <w:ind w:left="10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9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6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72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20" w:type="dxa"/>
            <w:vAlign w:val="bottom"/>
          </w:tcPr>
          <w:p>
            <w:pPr>
              <w:ind w:left="20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6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16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9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6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9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1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60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90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5" w:lineRule="exact"/>
        <w:rPr>
          <w:sz w:val="20"/>
          <w:szCs w:val="20"/>
          <w:color w:val="auto"/>
        </w:rPr>
      </w:pPr>
    </w:p>
    <w:p>
      <w:pPr>
        <w:jc w:val="center"/>
        <w:ind w:right="-1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II - Derivative Securities Acquired, Disposed of, or Beneficially Owned</w:t>
      </w:r>
    </w:p>
    <w:p>
      <w:pPr>
        <w:spacing w:after="0" w:line="28" w:lineRule="exact"/>
        <w:rPr>
          <w:sz w:val="20"/>
          <w:szCs w:val="20"/>
          <w:color w:val="auto"/>
        </w:rPr>
      </w:pPr>
    </w:p>
    <w:p>
      <w:pPr>
        <w:jc w:val="center"/>
        <w:ind w:right="-1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(e.g., puts, calls, warrants, options, convertible securities)</w:t>
      </w:r>
    </w:p>
    <w:p>
      <w:pPr>
        <w:spacing w:after="0" w:line="117" w:lineRule="exact"/>
        <w:rPr>
          <w:sz w:val="20"/>
          <w:szCs w:val="20"/>
          <w:color w:val="auto"/>
        </w:rPr>
      </w:pPr>
    </w:p>
    <w:tbl>
      <w:tblPr>
        <w:tblLayout w:type="fixed"/>
        <w:tblInd w:w="2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38"/>
        </w:trPr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8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 Amount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9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72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4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80" w:type="dxa"/>
            <w:vAlign w:val="bottom"/>
            <w:gridSpan w:val="2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Securities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6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72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4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80" w:type="dxa"/>
            <w:vAlign w:val="bottom"/>
            <w:gridSpan w:val="2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Underlying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96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72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4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6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 (Instr.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3, 4 and 5)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2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(D)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0"/>
        </w:trPr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Employee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8"/>
        </w:trPr>
        <w:tc>
          <w:tcPr>
            <w:tcW w:w="720" w:type="dxa"/>
            <w:vAlign w:val="bottom"/>
          </w:tcPr>
          <w:p>
            <w:pPr>
              <w:ind w:left="60"/>
              <w:spacing w:after="0" w:line="14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2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56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94,000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1"/>
        </w:trPr>
        <w:tc>
          <w:tcPr>
            <w:tcW w:w="720" w:type="dxa"/>
            <w:vAlign w:val="bottom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Option</w:t>
            </w:r>
          </w:p>
        </w:tc>
        <w:tc>
          <w:tcPr>
            <w:tcW w:w="800" w:type="dxa"/>
            <w:vAlign w:val="bottom"/>
          </w:tcPr>
          <w:p>
            <w:pPr>
              <w:ind w:left="22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68.89</w:t>
            </w:r>
          </w:p>
        </w:tc>
        <w:tc>
          <w:tcPr>
            <w:tcW w:w="1140" w:type="dxa"/>
            <w:vAlign w:val="bottom"/>
          </w:tcPr>
          <w:p>
            <w:pPr>
              <w:jc w:val="right"/>
              <w:ind w:right="198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02/08/2019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1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A</w:t>
            </w:r>
          </w:p>
        </w:tc>
        <w:tc>
          <w:tcPr>
            <w:tcW w:w="820" w:type="dxa"/>
            <w:vAlign w:val="bottom"/>
          </w:tcPr>
          <w:p>
            <w:pPr>
              <w:ind w:left="3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94,000</w:t>
            </w:r>
          </w:p>
        </w:tc>
        <w:tc>
          <w:tcPr>
            <w:tcW w:w="82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02/07/2029</w:t>
            </w: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0.00</w:t>
            </w:r>
          </w:p>
        </w:tc>
        <w:tc>
          <w:tcPr>
            <w:tcW w:w="960" w:type="dxa"/>
            <w:vAlign w:val="bottom"/>
          </w:tcPr>
          <w:p>
            <w:pPr>
              <w:ind w:left="30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94,000</w:t>
            </w:r>
          </w:p>
        </w:tc>
        <w:tc>
          <w:tcPr>
            <w:tcW w:w="760" w:type="dxa"/>
            <w:vAlign w:val="bottom"/>
          </w:tcPr>
          <w:p>
            <w:pPr>
              <w:ind w:left="34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8"/>
        </w:trPr>
        <w:tc>
          <w:tcPr>
            <w:tcW w:w="7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(Right to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160"/>
              <w:spacing w:after="0" w:line="14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8"/>
        </w:trPr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0000FF"/>
        </w:rPr>
        <w:t>Buy)</w:t>
      </w:r>
    </w:p>
    <w:p>
      <w:pPr>
        <w:spacing w:after="0" w:line="101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8" w:lineRule="exact"/>
        <w:rPr>
          <w:sz w:val="20"/>
          <w:szCs w:val="20"/>
          <w:color w:val="auto"/>
        </w:rPr>
      </w:pPr>
    </w:p>
    <w:p>
      <w:pPr>
        <w:ind w:left="40" w:right="280" w:firstLine="8"/>
        <w:spacing w:after="0" w:line="272" w:lineRule="auto"/>
        <w:tabs>
          <w:tab w:leader="none" w:pos="174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The stock option vests and becomes exercisable as to 25% of the shares subject to the option on February 8, 2020, and thereafter vests as to 1/48th of the shares in equal monthly installments, until such time as the option is 100% vested, subject to the continuing employment of the Reporting Person on each vesting date.</w:t>
      </w:r>
    </w:p>
    <w:p>
      <w:pPr>
        <w:spacing w:after="0" w:line="2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Remarks:</w:t>
      </w:r>
    </w:p>
    <w:p>
      <w:pPr>
        <w:spacing w:after="0" w:line="138" w:lineRule="exact"/>
        <w:rPr>
          <w:sz w:val="20"/>
          <w:szCs w:val="20"/>
          <w:color w:val="auto"/>
        </w:rPr>
      </w:pPr>
    </w:p>
    <w:tbl>
      <w:tblPr>
        <w:tblLayout w:type="fixed"/>
        <w:tblInd w:w="686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95"/>
        </w:trPr>
        <w:tc>
          <w:tcPr>
            <w:tcW w:w="23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/s/Eric Loumeau, attorney-in-</w:t>
            </w:r>
          </w:p>
        </w:tc>
        <w:tc>
          <w:tcPr>
            <w:tcW w:w="78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9"/>
              </w:rPr>
              <w:t>02/11/2019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60" w:type="dxa"/>
            <w:vAlign w:val="bottom"/>
            <w:tcBorders>
              <w:top w:val="single" w:sz="8" w:color="auto"/>
              <w:bottom w:val="single" w:sz="8" w:color="auto"/>
            </w:tcBorders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fact</w:t>
            </w:r>
          </w:p>
        </w:tc>
        <w:tc>
          <w:tcPr>
            <w:tcW w:w="240" w:type="dxa"/>
            <w:vAlign w:val="bottom"/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auto"/>
            </w:tcBorders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7"/>
        </w:trPr>
        <w:tc>
          <w:tcPr>
            <w:tcW w:w="20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4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26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40" w:type="dxa"/>
            <w:vAlign w:val="bottom"/>
            <w:gridSpan w:val="2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5"/>
        </w:trPr>
        <w:tc>
          <w:tcPr>
            <w:tcW w:w="23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40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38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2" w:lineRule="exact"/>
        <w:rPr>
          <w:sz w:val="20"/>
          <w:szCs w:val="20"/>
          <w:color w:val="auto"/>
        </w:rPr>
      </w:pPr>
    </w:p>
    <w:p>
      <w:pPr>
        <w:jc w:val="both"/>
        <w:ind w:left="40" w:right="3740" w:firstLine="8"/>
        <w:spacing w:after="0" w:line="321" w:lineRule="auto"/>
        <w:tabs>
          <w:tab w:leader="none" w:pos="182" w:val="left"/>
        </w:tabs>
        <w:numPr>
          <w:ilvl w:val="0"/>
          <w:numId w:val="3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520"/>
      </w:cols>
      <w:pgMar w:left="240" w:top="225" w:right="1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6334873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74B0DC51"/>
    <w:multiLevelType w:val="hybridMultilevel"/>
    <w:lvl w:ilvl="0">
      <w:lvlJc w:val="left"/>
      <w:lvlText w:val="%1."/>
      <w:numFmt w:val="decimal"/>
      <w:start w:val="1"/>
    </w:lvl>
  </w:abstractNum>
  <w:abstractNum w:abstractNumId="2">
    <w:nsid w:val="19495CFF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hyperlink" Target="http://www.sec.gov/cgi-bin/browse-edgar?action=getcompany&amp;CIK=0001654495" TargetMode="External"/><Relationship Id="rId13" Type="http://schemas.openxmlformats.org/officeDocument/2006/relationships/hyperlink" Target="http://www.sec.gov/cgi-bin/browse-edgar?action=getcompany&amp;CIK=0001370053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2019-12-24T04:28:06Z</dcterms:created>
  <dcterms:modified xsi:type="dcterms:W3CDTF">2019-12-24T04:28:06Z</dcterms:modified>
</cp:coreProperties>
</file>