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17,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111760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TO</w:t>
      </w:r>
    </w:p>
    <w:p>
      <w:pPr>
        <w:jc w:val="center"/>
        <w:spacing w:after="0" w:line="236" w:lineRule="auto"/>
        <w:rPr>
          <w:sz w:val="20"/>
          <w:szCs w:val="20"/>
          <w:color w:val="auto"/>
        </w:rPr>
      </w:pPr>
      <w:r>
        <w:rPr>
          <w:rFonts w:ascii="Arial" w:cs="Arial" w:eastAsia="Arial" w:hAnsi="Arial"/>
          <w:sz w:val="31"/>
          <w:szCs w:val="31"/>
          <w:b w:val="1"/>
          <w:bCs w:val="1"/>
          <w:color w:val="auto"/>
        </w:rPr>
        <w:t>FORM S-1</w:t>
      </w:r>
    </w:p>
    <w:p>
      <w:pPr>
        <w:jc w:val="center"/>
        <w:spacing w:after="0" w:line="237" w:lineRule="auto"/>
        <w:rPr>
          <w:sz w:val="20"/>
          <w:szCs w:val="20"/>
          <w:color w:val="auto"/>
        </w:rPr>
      </w:pPr>
      <w:r>
        <w:rPr>
          <w:rFonts w:ascii="Arial" w:cs="Arial" w:eastAsia="Arial" w:hAnsi="Arial"/>
          <w:sz w:val="31"/>
          <w:szCs w:val="31"/>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111760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w:t>
      </w:r>
      <w:r>
        <w:rPr>
          <w:rFonts w:ascii="Arial" w:cs="Arial" w:eastAsia="Arial" w:hAnsi="Arial"/>
          <w:sz w:val="33"/>
          <w:szCs w:val="33"/>
          <w:b w:val="1"/>
          <w:bCs w:val="1"/>
          <w:color w:val="auto"/>
        </w:rPr>
        <w:t>NAPTYS</w:t>
      </w:r>
      <w:r>
        <w:rPr>
          <w:rFonts w:ascii="Arial" w:cs="Arial" w:eastAsia="Arial" w:hAnsi="Arial"/>
          <w:sz w:val="40"/>
          <w:szCs w:val="40"/>
          <w:b w:val="1"/>
          <w:bCs w:val="1"/>
          <w:color w:val="auto"/>
        </w:rPr>
        <w:t>B</w:t>
      </w:r>
      <w:r>
        <w:rPr>
          <w:rFonts w:ascii="Arial" w:cs="Arial" w:eastAsia="Arial" w:hAnsi="Arial"/>
          <w:sz w:val="33"/>
          <w:szCs w:val="33"/>
          <w:b w:val="1"/>
          <w:bCs w:val="1"/>
          <w:color w:val="auto"/>
        </w:rPr>
        <w:t>IO</w:t>
      </w:r>
      <w:r>
        <w:rPr>
          <w:rFonts w:ascii="Arial" w:cs="Arial" w:eastAsia="Arial" w:hAnsi="Arial"/>
          <w:sz w:val="40"/>
          <w:szCs w:val="40"/>
          <w:b w:val="1"/>
          <w:bCs w:val="1"/>
          <w:color w:val="auto"/>
        </w:rPr>
        <w:t>, I</w:t>
      </w:r>
      <w:r>
        <w:rPr>
          <w:rFonts w:ascii="Arial" w:cs="Arial" w:eastAsia="Arial" w:hAnsi="Arial"/>
          <w:sz w:val="33"/>
          <w:szCs w:val="33"/>
          <w:b w:val="1"/>
          <w:bCs w:val="1"/>
          <w:color w:val="auto"/>
        </w:rPr>
        <w:t>NC</w:t>
      </w:r>
      <w:r>
        <w:rPr>
          <w:rFonts w:ascii="Arial" w:cs="Arial" w:eastAsia="Arial" w:hAnsi="Arial"/>
          <w:sz w:val="40"/>
          <w:szCs w:val="40"/>
          <w:b w:val="1"/>
          <w:bCs w:val="1"/>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4"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65"/>
              <w:spacing w:after="0"/>
              <w:rPr>
                <w:sz w:val="20"/>
                <w:szCs w:val="20"/>
                <w:color w:val="auto"/>
              </w:rPr>
            </w:pPr>
            <w:r>
              <w:rPr>
                <w:rFonts w:ascii="Arial" w:cs="Arial" w:eastAsia="Arial" w:hAnsi="Arial"/>
                <w:sz w:val="16"/>
                <w:szCs w:val="16"/>
                <w:b w:val="1"/>
                <w:bCs w:val="1"/>
                <w:color w:val="auto"/>
                <w:w w:val="91"/>
              </w:rPr>
              <w:t>20-3828755</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10421 Pacific Center Court, Suite 200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Hamza Suria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AnaptysBio,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10421 Pacific Center Court, Suite 200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8" w:lineRule="exact"/>
        <w:rPr>
          <w:sz w:val="24"/>
          <w:szCs w:val="24"/>
          <w:color w:val="auto"/>
        </w:rPr>
      </w:pPr>
    </w:p>
    <w:tbl>
      <w:tblPr>
        <w:tblLayout w:type="fixed"/>
        <w:tblInd w:w="1960" w:type="dxa"/>
        <w:tblCellMar>
          <w:top w:w="0" w:type="dxa"/>
          <w:left w:w="0" w:type="dxa"/>
          <w:bottom w:w="0" w:type="dxa"/>
          <w:right w:w="0" w:type="dxa"/>
        </w:tblCellMar>
      </w:tblPr>
      <w:tr>
        <w:trPr>
          <w:trHeight w:val="206"/>
        </w:trPr>
        <w:tc>
          <w:tcPr>
            <w:tcW w:w="2620" w:type="dxa"/>
            <w:vAlign w:val="bottom"/>
          </w:tcPr>
          <w:p>
            <w:pPr>
              <w:spacing w:after="0"/>
              <w:rPr>
                <w:sz w:val="17"/>
                <w:szCs w:val="17"/>
                <w:color w:val="auto"/>
              </w:rPr>
            </w:pPr>
          </w:p>
        </w:tc>
        <w:tc>
          <w:tcPr>
            <w:tcW w:w="492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Copies to:</w:t>
            </w:r>
          </w:p>
        </w:tc>
      </w:tr>
      <w:tr>
        <w:trPr>
          <w:trHeight w:val="262"/>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89"/>
              </w:rPr>
              <w:t>Effie Toshav, Esq.</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2"/>
              </w:rPr>
              <w:t>Charles S. Kim, Esq.</w:t>
            </w:r>
          </w:p>
        </w:tc>
      </w:tr>
      <w:tr>
        <w:trPr>
          <w:trHeight w:val="203"/>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90"/>
              </w:rPr>
              <w:t>Matthew S. Rossiter, Esq.</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2"/>
              </w:rPr>
              <w:t>Robert W. Phillips, Esq.</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Robert A. Freedman, Esq.</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2"/>
              </w:rPr>
              <w:t>Sean M. Clayton, Esq.</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5"/>
              </w:rPr>
              <w:t>Fenwick &amp; West LLP</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5"/>
              </w:rPr>
              <w:t>Cooley LLP</w:t>
            </w:r>
          </w:p>
        </w:tc>
      </w:tr>
      <w:tr>
        <w:trPr>
          <w:trHeight w:val="203"/>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555 California Street</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2"/>
              </w:rPr>
              <w:t>4401 Eastgate Mall</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1"/>
              </w:rPr>
              <w:t>San Francisco, CA 94104</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1"/>
              </w:rPr>
              <w:t>San Diego, CA 92121</w:t>
            </w:r>
          </w:p>
        </w:tc>
      </w:tr>
      <w:tr>
        <w:trPr>
          <w:trHeight w:val="210"/>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(415) 875-2300</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1"/>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123825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9"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77" w:lineRule="exact"/>
        <w:rPr>
          <w:sz w:val="24"/>
          <w:szCs w:val="24"/>
          <w:color w:val="auto"/>
        </w:rPr>
      </w:pPr>
    </w:p>
    <w:p>
      <w:pPr>
        <w:ind w:right="26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2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1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firstLine="342"/>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460"/>
            <w:col w:w="6240" w:space="720"/>
            <w:col w:w="1680" w:space="72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144145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380" w:space="540"/>
            <w:col w:w="160" w:space="80"/>
            <w:col w:w="6000" w:space="720"/>
            <w:col w:w="1780" w:space="620"/>
            <w:col w:w="140"/>
          </w:cols>
          <w:pgMar w:left="240" w:top="230" w:right="239" w:bottom="1440" w:gutter="0" w:footer="0" w:header="0"/>
          <w:type w:val="continuous"/>
        </w:sectPr>
      </w:pPr>
    </w:p>
    <w:p>
      <w:pPr>
        <w:spacing w:after="0" w:line="81"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D1323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D13239"/>
        </w:rPr>
        <w:t>SUBJECT TO COMPLETION, DATED JANUARY 17, 2017</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5080</wp:posOffset>
            </wp:positionV>
            <wp:extent cx="214376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305435</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This is the initial public offering of shares of AnaptysBio, Inc. common stock. We are offering 4,000,000 shares of our common stock. We anticipate that the initial public offering price of our common stock will be between $14.00 and $16.00 per share.</w:t>
      </w:r>
    </w:p>
    <w:p>
      <w:pPr>
        <w:spacing w:after="0" w:line="197" w:lineRule="exact"/>
        <w:rPr>
          <w:sz w:val="20"/>
          <w:szCs w:val="20"/>
          <w:color w:val="auto"/>
        </w:rPr>
      </w:pPr>
    </w:p>
    <w:p>
      <w:pPr>
        <w:ind w:right="420" w:firstLine="456"/>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97"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The underwriters have the option for a 30-day period to purchase up to an additional 600,000 shares from us to cover over-allotments of shares.</w:t>
      </w:r>
    </w:p>
    <w:p>
      <w:pPr>
        <w:spacing w:after="0" w:line="197"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5" w:lineRule="exact"/>
        <w:rPr>
          <w:sz w:val="20"/>
          <w:szCs w:val="20"/>
          <w:color w:val="auto"/>
        </w:rPr>
      </w:pPr>
    </w:p>
    <w:p>
      <w:pPr>
        <w:jc w:val="center"/>
        <w:ind w:right="-3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of this prospectus.</w:t>
      </w:r>
    </w:p>
    <w:p>
      <w:pPr>
        <w:spacing w:after="0" w:line="248"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Underwriting</w:t>
            </w:r>
          </w:p>
        </w:tc>
        <w:tc>
          <w:tcPr>
            <w:tcW w:w="1320" w:type="dxa"/>
            <w:vAlign w:val="bottom"/>
          </w:tcPr>
          <w:p>
            <w:pPr>
              <w:jc w:val="center"/>
              <w:ind w:left="428"/>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1140" w:type="dxa"/>
            <w:vAlign w:val="bottom"/>
          </w:tcPr>
          <w:p>
            <w:pPr>
              <w:jc w:val="center"/>
              <w:ind w:right="548"/>
              <w:spacing w:after="0"/>
              <w:rPr>
                <w:sz w:val="20"/>
                <w:szCs w:val="20"/>
                <w:color w:val="auto"/>
              </w:rPr>
            </w:pPr>
            <w:r>
              <w:rPr>
                <w:rFonts w:ascii="Arial" w:cs="Arial" w:eastAsia="Arial" w:hAnsi="Arial"/>
                <w:sz w:val="14"/>
                <w:szCs w:val="14"/>
                <w:b w:val="1"/>
                <w:bCs w:val="1"/>
                <w:color w:val="auto"/>
              </w:rPr>
              <w:t>Price to</w:t>
            </w: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Discounts and</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rPr>
              <w:t>AnaptysBio,</w:t>
            </w:r>
          </w:p>
        </w:tc>
      </w:tr>
      <w:tr>
        <w:trPr>
          <w:trHeight w:val="188"/>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w w:val="99"/>
              </w:rPr>
              <w:t>Public</w:t>
            </w:r>
          </w:p>
        </w:tc>
        <w:tc>
          <w:tcPr>
            <w:tcW w:w="220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Commissions(1)</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9"/>
              </w:rPr>
              <w:t>Inc.</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tcPr>
          <w:p>
            <w:pPr>
              <w:jc w:val="right"/>
              <w:ind w:right="1170"/>
              <w:spacing w:after="0" w:line="196" w:lineRule="exact"/>
              <w:rPr>
                <w:sz w:val="20"/>
                <w:szCs w:val="20"/>
                <w:color w:val="auto"/>
              </w:rPr>
            </w:pPr>
            <w:r>
              <w:rPr>
                <w:rFonts w:ascii="Arial" w:cs="Arial" w:eastAsia="Arial" w:hAnsi="Arial"/>
                <w:sz w:val="18"/>
                <w:szCs w:val="18"/>
                <w:color w:val="auto"/>
              </w:rPr>
              <w:t>$</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1170"/>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580" w:type="dxa"/>
            <w:vAlign w:val="bottom"/>
            <w:tcBorders>
              <w:top w:val="single" w:sz="8" w:color="auto"/>
            </w:tcBorders>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600" w:type="dxa"/>
            <w:vAlign w:val="bottom"/>
            <w:tcBorders>
              <w:top w:val="single" w:sz="8" w:color="auto"/>
            </w:tcBorders>
          </w:tcPr>
          <w:p>
            <w:pPr>
              <w:jc w:val="right"/>
              <w:ind w:right="1050"/>
              <w:spacing w:after="0" w:line="196" w:lineRule="exact"/>
              <w:rPr>
                <w:sz w:val="20"/>
                <w:szCs w:val="20"/>
                <w:color w:val="auto"/>
              </w:rPr>
            </w:pPr>
            <w:r>
              <w:rPr>
                <w:rFonts w:ascii="Arial" w:cs="Arial" w:eastAsia="Arial" w:hAnsi="Arial"/>
                <w:sz w:val="18"/>
                <w:szCs w:val="18"/>
                <w:color w:val="auto"/>
              </w:rPr>
              <w:t>$</w:t>
            </w:r>
          </w:p>
        </w:tc>
      </w:tr>
      <w:tr>
        <w:trPr>
          <w:trHeight w:val="217"/>
        </w:trPr>
        <w:tc>
          <w:tcPr>
            <w:tcW w:w="15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473"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line="3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indicated an interest in purchasing up to an aggregate of approximately $30.0 million of shares of our common stock in this offering at the initial public offering price. However, because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 underwriters will receive the same underwriting discount on any shares purchased by these entities as they will on any other shares sold to the public in this offering.</w:t>
      </w:r>
    </w:p>
    <w:p>
      <w:pPr>
        <w:spacing w:after="0" w:line="183" w:lineRule="exact"/>
        <w:rPr>
          <w:sz w:val="20"/>
          <w:szCs w:val="20"/>
          <w:color w:val="auto"/>
        </w:rPr>
      </w:pPr>
    </w:p>
    <w:p>
      <w:pPr>
        <w:ind w:right="240" w:firstLine="456"/>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The underwriters expect to deliver the shares of common stock to the purchasers on or about</w:t>
            </w:r>
          </w:p>
        </w:tc>
        <w:tc>
          <w:tcPr>
            <w:tcW w:w="110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190" w:lineRule="exact"/>
        <w:rPr>
          <w:sz w:val="20"/>
          <w:szCs w:val="20"/>
          <w:color w:val="auto"/>
        </w:rPr>
      </w:pPr>
    </w:p>
    <w:p>
      <w:pPr>
        <w:spacing w:after="0"/>
        <w:tabs>
          <w:tab w:leader="none" w:pos="1058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Stifel</w:t>
      </w:r>
    </w:p>
    <w:p>
      <w:pPr>
        <w:spacing w:after="0" w:line="122" w:lineRule="exact"/>
        <w:rPr>
          <w:sz w:val="20"/>
          <w:szCs w:val="20"/>
          <w:color w:val="auto"/>
        </w:rPr>
      </w:pPr>
    </w:p>
    <w:p>
      <w:pPr>
        <w:spacing w:after="0"/>
        <w:tabs>
          <w:tab w:leader="none" w:pos="9000" w:val="left"/>
        </w:tabs>
        <w:rPr>
          <w:sz w:val="20"/>
          <w:szCs w:val="20"/>
          <w:color w:val="auto"/>
        </w:rPr>
      </w:pPr>
      <w:r>
        <w:rPr>
          <w:rFonts w:ascii="Arial" w:cs="Arial" w:eastAsia="Arial" w:hAnsi="Arial"/>
          <w:sz w:val="25"/>
          <w:szCs w:val="25"/>
          <w:b w:val="1"/>
          <w:bCs w:val="1"/>
          <w:color w:val="auto"/>
        </w:rPr>
        <w:t>JMP Securities</w:t>
      </w:r>
      <w:r>
        <w:rPr>
          <w:sz w:val="20"/>
          <w:szCs w:val="20"/>
          <w:color w:val="auto"/>
        </w:rPr>
        <w:tab/>
      </w:r>
      <w:r>
        <w:rPr>
          <w:rFonts w:ascii="Arial" w:cs="Arial" w:eastAsia="Arial" w:hAnsi="Arial"/>
          <w:sz w:val="25"/>
          <w:szCs w:val="25"/>
          <w:b w:val="1"/>
          <w:bCs w:val="1"/>
          <w:color w:val="auto"/>
        </w:rPr>
        <w:t>Wedbush PacGrow</w:t>
      </w:r>
    </w:p>
    <w:p>
      <w:pPr>
        <w:spacing w:after="0" w:line="255" w:lineRule="exact"/>
        <w:rPr>
          <w:sz w:val="20"/>
          <w:szCs w:val="20"/>
          <w:color w:val="auto"/>
        </w:rPr>
      </w:pPr>
    </w:p>
    <w:p>
      <w:pPr>
        <w:ind w:left="3760"/>
        <w:spacing w:after="0"/>
        <w:tabs>
          <w:tab w:leader="none" w:pos="710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7"/>
          <w:szCs w:val="17"/>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720" w:type="dxa"/>
            <w:vAlign w:val="bottom"/>
            <w:gridSpan w:val="2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20" w:type="dxa"/>
            <w:vAlign w:val="bottom"/>
            <w:gridSpan w:val="26"/>
            <w:vMerge w:val="continue"/>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660" w:type="dxa"/>
            <w:vAlign w:val="bottom"/>
            <w:tcBorders>
              <w:top w:val="single" w:sz="8" w:color="0000EE"/>
            </w:tcBorders>
            <w:gridSpan w:val="6"/>
          </w:tcPr>
          <w:p>
            <w:pPr>
              <w:spacing w:after="0"/>
              <w:rPr>
                <w:sz w:val="17"/>
                <w:szCs w:val="17"/>
                <w:color w:val="auto"/>
              </w:rPr>
            </w:pPr>
          </w:p>
        </w:tc>
        <w:tc>
          <w:tcPr>
            <w:tcW w:w="8940" w:type="dxa"/>
            <w:vAlign w:val="bottom"/>
            <w:gridSpan w:val="15"/>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M</w:t>
              </w:r>
              <w:r>
                <w:rPr>
                  <w:rFonts w:ascii="Arial" w:cs="Arial" w:eastAsia="Arial" w:hAnsi="Arial"/>
                  <w:sz w:val="15"/>
                  <w:szCs w:val="15"/>
                  <w:color w:val="0000EE"/>
                  <w:w w:val="98"/>
                </w:rPr>
                <w:t>ARKET AND</w:t>
              </w:r>
              <w:r>
                <w:rPr>
                  <w:rFonts w:ascii="Arial" w:cs="Arial" w:eastAsia="Arial" w:hAnsi="Arial"/>
                  <w:sz w:val="18"/>
                  <w:szCs w:val="18"/>
                  <w:color w:val="0000EE"/>
                  <w:w w:val="98"/>
                </w:rPr>
                <w:t xml:space="preserve"> I</w:t>
              </w:r>
              <w:r>
                <w:rPr>
                  <w:rFonts w:ascii="Arial" w:cs="Arial" w:eastAsia="Arial" w:hAnsi="Arial"/>
                  <w:sz w:val="15"/>
                  <w:szCs w:val="15"/>
                  <w:color w:val="0000EE"/>
                  <w:w w:val="98"/>
                </w:rPr>
                <w:t>NDUSTRY</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w:t>
              </w:r>
            </w:hyperlink>
          </w:p>
        </w:tc>
        <w:tc>
          <w:tcPr>
            <w:tcW w:w="2340" w:type="dxa"/>
            <w:vAlign w:val="bottom"/>
            <w:tcBorders>
              <w:top w:val="single" w:sz="8" w:color="0000EE"/>
            </w:tcBorders>
            <w:gridSpan w:val="5"/>
          </w:tcPr>
          <w:p>
            <w:pPr>
              <w:spacing w:after="0"/>
              <w:rPr>
                <w:sz w:val="17"/>
                <w:szCs w:val="17"/>
                <w:color w:val="auto"/>
              </w:rPr>
            </w:pPr>
          </w:p>
        </w:tc>
        <w:tc>
          <w:tcPr>
            <w:tcW w:w="6080" w:type="dxa"/>
            <w:vAlign w:val="bottom"/>
            <w:gridSpan w:val="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340" w:type="dxa"/>
            <w:vAlign w:val="bottom"/>
            <w:gridSpan w:val="1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360" w:type="dxa"/>
            <w:vAlign w:val="bottom"/>
            <w:gridSpan w:val="17"/>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480" w:type="dxa"/>
            <w:vAlign w:val="bottom"/>
            <w:tcBorders>
              <w:top w:val="single" w:sz="8" w:color="0000EE"/>
            </w:tcBorders>
            <w:gridSpan w:val="4"/>
          </w:tcPr>
          <w:p>
            <w:pPr>
              <w:spacing w:after="0"/>
              <w:rPr>
                <w:sz w:val="17"/>
                <w:szCs w:val="17"/>
                <w:color w:val="auto"/>
              </w:rPr>
            </w:pPr>
          </w:p>
        </w:tc>
        <w:tc>
          <w:tcPr>
            <w:tcW w:w="9480" w:type="dxa"/>
            <w:vAlign w:val="bottom"/>
            <w:gridSpan w:val="1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w:t>
              </w:r>
              <w:r>
                <w:rPr>
                  <w:rFonts w:ascii="Arial" w:cs="Arial" w:eastAsia="Arial" w:hAnsi="Arial"/>
                  <w:sz w:val="15"/>
                  <w:szCs w:val="15"/>
                  <w:color w:val="0000EE"/>
                </w:rPr>
                <w:t>ELECTED</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w:t>
              </w:r>
              <w:r>
                <w:rPr>
                  <w:rFonts w:ascii="Arial" w:cs="Arial" w:eastAsia="Arial" w:hAnsi="Arial"/>
                  <w:sz w:val="15"/>
                  <w:szCs w:val="15"/>
                  <w:color w:val="0000EE"/>
                </w:rPr>
                <w:t>ANAGEMENT</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ISCUSSION AND</w:t>
              </w:r>
              <w:r>
                <w:rPr>
                  <w:rFonts w:ascii="Arial" w:cs="Arial" w:eastAsia="Arial" w:hAnsi="Arial"/>
                  <w:sz w:val="18"/>
                  <w:szCs w:val="18"/>
                  <w:color w:val="0000EE"/>
                </w:rPr>
                <w:t xml:space="preserve"> A</w:t>
              </w:r>
              <w:r>
                <w:rPr>
                  <w:rFonts w:ascii="Arial" w:cs="Arial" w:eastAsia="Arial" w:hAnsi="Arial"/>
                  <w:sz w:val="15"/>
                  <w:szCs w:val="15"/>
                  <w:color w:val="0000EE"/>
                </w:rPr>
                <w:t>NALYSIS OF</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C</w:t>
              </w:r>
              <w:r>
                <w:rPr>
                  <w:rFonts w:ascii="Arial" w:cs="Arial" w:eastAsia="Arial" w:hAnsi="Arial"/>
                  <w:sz w:val="15"/>
                  <w:szCs w:val="15"/>
                  <w:color w:val="0000EE"/>
                </w:rPr>
                <w:t>ONDITION AND</w:t>
              </w:r>
              <w:r>
                <w:rPr>
                  <w:rFonts w:ascii="Arial" w:cs="Arial" w:eastAsia="Arial" w:hAnsi="Arial"/>
                  <w:sz w:val="18"/>
                  <w:szCs w:val="18"/>
                  <w:color w:val="0000EE"/>
                </w:rPr>
                <w:t xml:space="preserve"> 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B</w:t>
              </w:r>
              <w:r>
                <w:rPr>
                  <w:rFonts w:ascii="Arial" w:cs="Arial" w:eastAsia="Arial" w:hAnsi="Arial"/>
                  <w:sz w:val="15"/>
                  <w:szCs w:val="15"/>
                  <w:color w:val="0000EE"/>
                  <w:w w:val="92"/>
                </w:rPr>
                <w:t>USINESS</w:t>
              </w:r>
            </w:hyperlink>
          </w:p>
        </w:tc>
        <w:tc>
          <w:tcPr>
            <w:tcW w:w="6920" w:type="dxa"/>
            <w:vAlign w:val="bottom"/>
            <w:tcBorders>
              <w:top w:val="single" w:sz="8" w:color="0000EE"/>
            </w:tcBorders>
            <w:gridSpan w:val="23"/>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M</w:t>
              </w:r>
              <w:r>
                <w:rPr>
                  <w:rFonts w:ascii="Arial" w:cs="Arial" w:eastAsia="Arial" w:hAnsi="Arial"/>
                  <w:sz w:val="15"/>
                  <w:szCs w:val="15"/>
                  <w:color w:val="0000EE"/>
                  <w:w w:val="99"/>
                </w:rPr>
                <w:t>ANAGEMENT</w:t>
              </w:r>
            </w:hyperlink>
          </w:p>
        </w:tc>
        <w:tc>
          <w:tcPr>
            <w:tcW w:w="9600" w:type="dxa"/>
            <w:vAlign w:val="bottom"/>
            <w:gridSpan w:val="21"/>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C</w:t>
              </w:r>
              <w:r>
                <w:rPr>
                  <w:rFonts w:ascii="Arial" w:cs="Arial" w:eastAsia="Arial" w:hAnsi="Arial"/>
                  <w:sz w:val="15"/>
                  <w:szCs w:val="15"/>
                  <w:color w:val="0000EE"/>
                  <w:w w:val="96"/>
                </w:rPr>
                <w:t>OMPENSATION</w:t>
              </w:r>
            </w:hyperlink>
          </w:p>
        </w:tc>
        <w:tc>
          <w:tcPr>
            <w:tcW w:w="8620" w:type="dxa"/>
            <w:vAlign w:val="bottom"/>
            <w:gridSpan w:val="1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6020" w:type="dxa"/>
            <w:vAlign w:val="bottom"/>
            <w:gridSpan w:val="5"/>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240" w:type="dxa"/>
            <w:vAlign w:val="bottom"/>
            <w:gridSpan w:val="10"/>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w:t>
              </w:r>
              <w:r>
                <w:rPr>
                  <w:rFonts w:ascii="Arial" w:cs="Arial" w:eastAsia="Arial" w:hAnsi="Arial"/>
                  <w:sz w:val="15"/>
                  <w:szCs w:val="15"/>
                  <w:color w:val="0000EE"/>
                </w:rPr>
                <w:t>HARES</w:t>
              </w:r>
              <w:r>
                <w:rPr>
                  <w:rFonts w:ascii="Arial" w:cs="Arial" w:eastAsia="Arial" w:hAnsi="Arial"/>
                  <w:sz w:val="18"/>
                  <w:szCs w:val="18"/>
                  <w:color w:val="0000EE"/>
                </w:rPr>
                <w:t xml:space="preserve"> E</w:t>
              </w:r>
              <w:r>
                <w:rPr>
                  <w:rFonts w:ascii="Arial" w:cs="Arial" w:eastAsia="Arial" w:hAnsi="Arial"/>
                  <w:sz w:val="15"/>
                  <w:szCs w:val="15"/>
                  <w:color w:val="0000EE"/>
                </w:rPr>
                <w:t>LIGIBLE FOR</w:t>
              </w:r>
              <w:r>
                <w:rPr>
                  <w:rFonts w:ascii="Arial" w:cs="Arial" w:eastAsia="Arial" w:hAnsi="Arial"/>
                  <w:sz w:val="18"/>
                  <w:szCs w:val="18"/>
                  <w:color w:val="0000EE"/>
                </w:rPr>
                <w:t xml:space="preserve"> F</w:t>
              </w:r>
              <w:r>
                <w:rPr>
                  <w:rFonts w:ascii="Arial" w:cs="Arial" w:eastAsia="Arial" w:hAnsi="Arial"/>
                  <w:sz w:val="15"/>
                  <w:szCs w:val="15"/>
                  <w:color w:val="0000EE"/>
                </w:rPr>
                <w:t>UTURE</w:t>
              </w:r>
              <w:r>
                <w:rPr>
                  <w:rFonts w:ascii="Arial" w:cs="Arial" w:eastAsia="Arial" w:hAnsi="Arial"/>
                  <w:sz w:val="18"/>
                  <w:szCs w:val="18"/>
                  <w:color w:val="0000EE"/>
                </w:rPr>
                <w:t xml:space="preserve"> S</w:t>
              </w:r>
              <w:r>
                <w:rPr>
                  <w:rFonts w:ascii="Arial" w:cs="Arial" w:eastAsia="Arial" w:hAnsi="Arial"/>
                  <w:sz w:val="15"/>
                  <w:szCs w:val="15"/>
                  <w:color w:val="0000EE"/>
                </w:rPr>
                <w:t>ALE</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60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78">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440" w:type="dxa"/>
            <w:vAlign w:val="bottom"/>
            <w:gridSpan w:val="1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660" w:type="dxa"/>
            <w:vAlign w:val="bottom"/>
            <w:gridSpan w:val="1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ind w:left="28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3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2017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20" w:firstLine="443"/>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160" w:firstLine="443"/>
        <w:spacing w:after="0" w:line="297"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58" w:lineRule="exact"/>
        <w:rPr>
          <w:sz w:val="20"/>
          <w:szCs w:val="20"/>
          <w:color w:val="auto"/>
        </w:rPr>
      </w:pPr>
    </w:p>
    <w:p>
      <w:pPr>
        <w:ind w:left="200" w:firstLine="443"/>
        <w:spacing w:after="0" w:line="267"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with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90" w:lineRule="exact"/>
        <w:rPr>
          <w:sz w:val="20"/>
          <w:szCs w:val="20"/>
          <w:color w:val="auto"/>
        </w:rPr>
      </w:pPr>
    </w:p>
    <w:p>
      <w:pPr>
        <w:ind w:left="200" w:right="360" w:firstLine="443"/>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8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298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December 31, 2016, we have received $65.4 million in non-dilutive funding from our collaborators.</w:t>
      </w:r>
    </w:p>
    <w:p>
      <w:pPr>
        <w:spacing w:after="0" w:line="182"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December 31, 2016, we have raised approximately $104.1 million from investors, including Biotechnology Value Fund, Cormorant Asset Management, Frazier Healthcare, HBM Partners, Longwood Capital Partners and Novo A/S.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840" w:right="580" w:hanging="211"/>
        <w:spacing w:after="0" w:line="282"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ANB020 </w:t>
      </w:r>
      <w:r>
        <w:rPr>
          <w:rFonts w:ascii="Arial" w:cs="Arial" w:eastAsia="Arial" w:hAnsi="Arial"/>
          <w:sz w:val="18"/>
          <w:szCs w:val="18"/>
          <w:color w:val="auto"/>
        </w:rPr>
        <w:t>is a potentially first-in-class antibody that inhibits the activity of IL-33, a pro-inflammatory cytokine that multiple studies have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is a central mediator of atopic diseases, including atopic</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1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115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84" w:lineRule="auto"/>
        <w:rPr>
          <w:sz w:val="20"/>
          <w:szCs w:val="20"/>
          <w:color w:val="auto"/>
        </w:rPr>
      </w:pPr>
      <w:r>
        <w:rPr>
          <w:rFonts w:ascii="Arial" w:cs="Arial" w:eastAsia="Arial" w:hAnsi="Arial"/>
          <w:sz w:val="16"/>
          <w:szCs w:val="16"/>
          <w:color w:val="auto"/>
        </w:rPr>
        <w:t xml:space="preserve">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a cleared U.S. IND and a U.K. CTA to initiate Phase 2a trials of ANB020 for the treatment of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82" w:lineRule="exact"/>
        <w:rPr>
          <w:sz w:val="20"/>
          <w:szCs w:val="20"/>
          <w:color w:val="auto"/>
        </w:rPr>
      </w:pPr>
    </w:p>
    <w:p>
      <w:pPr>
        <w:ind w:left="840" w:right="80" w:hanging="211"/>
        <w:spacing w:after="0" w:line="287"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 and</w:t>
      </w:r>
      <w:r>
        <w:rPr>
          <w:rFonts w:ascii="Arial" w:cs="Arial" w:eastAsia="Arial" w:hAnsi="Arial"/>
          <w:sz w:val="16"/>
          <w:szCs w:val="16"/>
          <w:b w:val="1"/>
          <w:bCs w:val="1"/>
          <w:color w:val="auto"/>
        </w:rPr>
        <w:t xml:space="preserve"> </w:t>
      </w:r>
      <w:r>
        <w:rPr>
          <w:rFonts w:ascii="Arial" w:cs="Arial" w:eastAsia="Arial" w:hAnsi="Arial"/>
          <w:sz w:val="16"/>
          <w:szCs w:val="16"/>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have submitted an Australian CTN for ANB019 and, if cleared, we plan to initiate a Phase 1 clinical trial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09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609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40" w:hanging="211"/>
        <w:spacing w:after="0" w:line="27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840" w:right="36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840" w:right="740" w:hanging="211"/>
        <w:spacing w:after="0" w:line="347"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840" w:right="10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840" w:right="180" w:hanging="211"/>
        <w:spacing w:after="0" w:line="314"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840" w:right="20" w:hanging="211"/>
        <w:spacing w:after="0" w:line="282"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840" w:right="120" w:hanging="211"/>
        <w:spacing w:after="0" w:line="282"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 mechanisms</w:t>
      </w:r>
      <w:r>
        <w:rPr>
          <w:rFonts w:ascii="Arial" w:cs="Arial" w:eastAsia="Arial" w:hAnsi="Arial"/>
          <w:sz w:val="18"/>
          <w:szCs w:val="18"/>
          <w:b w:val="1"/>
          <w:bCs w:val="1"/>
          <w:color w:val="auto"/>
        </w:rPr>
        <w:t xml:space="preserve"> </w:t>
      </w:r>
      <w:r>
        <w:rPr>
          <w:rFonts w:ascii="Arial" w:cs="Arial" w:eastAsia="Arial" w:hAnsi="Arial"/>
          <w:sz w:val="18"/>
          <w:szCs w:val="18"/>
          <w:color w:val="auto"/>
        </w:rPr>
        <w:t>into a single natural antibody molecule.</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jc w:val="both"/>
        <w:ind w:left="200" w:right="460" w:firstLine="443"/>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$65.4 million in payments through December 31, 2016. Multiple antibodies, generated by us prior to or during a strategic collaboration, are currently being advanced through development by our collaborators. Our collaborations with TESARO and Celgene are described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840" w:right="360" w:hanging="211"/>
        <w:spacing w:after="0" w:line="308"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51" w:lineRule="exact"/>
        <w:rPr>
          <w:rFonts w:ascii="Arial" w:cs="Arial" w:eastAsia="Arial" w:hAnsi="Arial"/>
          <w:sz w:val="17"/>
          <w:szCs w:val="17"/>
          <w:color w:val="auto"/>
        </w:rPr>
      </w:pPr>
    </w:p>
    <w:p>
      <w:pPr>
        <w:ind w:left="840" w:right="24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 (TSR-022)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 (TSR-033)</w:t>
      </w:r>
      <w:r>
        <w:rPr>
          <w:rFonts w:ascii="Arial" w:cs="Arial" w:eastAsia="Arial" w:hAnsi="Arial"/>
          <w:sz w:val="18"/>
          <w:szCs w:val="18"/>
          <w:color w:val="auto"/>
        </w:rPr>
        <w:t>: currently in preclinical development, expect the initiation of a Phase 1 trial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15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815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16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916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describes milestones anticipated during 2017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40" w:hanging="211"/>
        <w:spacing w:after="0" w:line="261"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wholly-owned lead product candidates to clinical milestones. </w:t>
      </w:r>
      <w:r>
        <w:rPr>
          <w:rFonts w:ascii="Arial" w:cs="Arial" w:eastAsia="Arial" w:hAnsi="Arial"/>
          <w:sz w:val="18"/>
          <w:szCs w:val="18"/>
          <w:color w:val="auto"/>
        </w:rPr>
        <w:t>We are working to demonstrate the safety and efficacy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wholly-owned pipeline programs, and have completed a Phase 1 trial of ANB020 in healthy volunteers in Australia, which we believe has demonstrated favorable safety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pharmacodynamic properties. We have a cleared U.S. IND and U.K. CTA to initiate Phase 2a trials in patients with severe adult peanut allergy and moderate-to-severe adult atopic dermatitis,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69" w:lineRule="auto"/>
        <w:rPr>
          <w:sz w:val="20"/>
          <w:szCs w:val="20"/>
          <w:color w:val="auto"/>
        </w:rPr>
      </w:pPr>
      <w:r>
        <w:rPr>
          <w:rFonts w:ascii="Arial" w:cs="Arial" w:eastAsia="Arial" w:hAnsi="Arial"/>
          <w:sz w:val="17"/>
          <w:szCs w:val="17"/>
          <w:color w:val="auto"/>
        </w:rPr>
        <w:t>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4" w:lineRule="exact"/>
        <w:rPr>
          <w:sz w:val="20"/>
          <w:szCs w:val="20"/>
          <w:color w:val="auto"/>
        </w:rPr>
      </w:pPr>
    </w:p>
    <w:p>
      <w:pPr>
        <w:ind w:left="840" w:right="4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840" w:right="20" w:hanging="211"/>
        <w:spacing w:after="0" w:line="28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key 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While we have not finalized our full financial results for the year ended December 31, 2016, we expect to report that we had $51.2 million of cash and cash equivalents as of December 31, 2016. This amount is preliminary, has not been audited and is subject to change upon completion of our ongoing audit. Additional information and disclosures would be required for a more complete understanding of our financial position and results of operations as of December 31, 2016.</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229"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840" w:right="16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development of or commercialize our product candidates or experience significant delays in doing so, our business will be materially harmed.</w:t>
      </w:r>
    </w:p>
    <w:p>
      <w:pPr>
        <w:spacing w:after="0" w:line="154" w:lineRule="exact"/>
        <w:rPr>
          <w:sz w:val="20"/>
          <w:szCs w:val="20"/>
          <w:color w:val="auto"/>
        </w:rPr>
      </w:pPr>
    </w:p>
    <w:p>
      <w:pPr>
        <w:ind w:left="840" w:hanging="211"/>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0" w:lineRule="exact"/>
        <w:rPr>
          <w:rFonts w:ascii="Arial" w:cs="Arial" w:eastAsia="Arial" w:hAnsi="Arial"/>
          <w:sz w:val="17"/>
          <w:szCs w:val="17"/>
          <w:color w:val="auto"/>
        </w:rPr>
      </w:pPr>
    </w:p>
    <w:p>
      <w:pPr>
        <w:ind w:left="840" w:right="160" w:hanging="211"/>
        <w:spacing w:after="0" w:line="34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840" w:right="50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840" w:right="42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840" w:right="22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840" w:right="16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840" w:right="6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840" w:right="560" w:hanging="211"/>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840" w:hanging="211"/>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rFonts w:ascii="Arial" w:cs="Arial" w:eastAsia="Arial" w:hAnsi="Arial"/>
          <w:sz w:val="17"/>
          <w:szCs w:val="17"/>
          <w:color w:val="auto"/>
        </w:rPr>
      </w:pPr>
    </w:p>
    <w:p>
      <w:pPr>
        <w:ind w:left="840" w:right="340" w:hanging="211"/>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executive officers, directors, current 5% or greater stockholders and entities affiliated with any of them, together will beneficially own approximately 66.8% of our common stock after this offering based on the number of shares outstanding as of September 30, 2016; the concentration of our capital stock ownership will likely limit your ability to influence corporate matters.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74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974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840" w:right="12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840" w:right="24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38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3842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offered by us</w:t>
      </w:r>
    </w:p>
    <w:p>
      <w:pPr>
        <w:spacing w:after="0" w:line="266"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Option to purchase additional shares to be offered by us</w:t>
      </w:r>
    </w:p>
    <w:p>
      <w:pPr>
        <w:spacing w:after="0" w:line="200" w:lineRule="exact"/>
        <w:rPr>
          <w:sz w:val="20"/>
          <w:szCs w:val="20"/>
          <w:color w:val="auto"/>
        </w:rPr>
      </w:pPr>
    </w:p>
    <w:p>
      <w:pPr>
        <w:spacing w:after="0" w:line="291"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color w:val="auto"/>
        </w:rPr>
        <w:t>Shares of common stock to be outstanding immediately after this offering</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4,000,000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600,000 shares.</w:t>
      </w:r>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18,159,333 shares (18,759,333 shares if the underwriters exercise their option to purchase additional shares in full).</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closing of this offering, each outstanding share of our convertible preferred stock will automatically convert into one share of common stock. Each share of our common stock is entitled to one vote on all matters submitted to a vote of stockholders, including the election of directors. See “Description of Capital Stock.”</w:t>
      </w:r>
    </w:p>
    <w:p>
      <w:pPr>
        <w:spacing w:after="0" w:line="200" w:lineRule="exact"/>
        <w:rPr>
          <w:sz w:val="20"/>
          <w:szCs w:val="20"/>
          <w:color w:val="auto"/>
        </w:rPr>
      </w:pPr>
    </w:p>
    <w:p>
      <w:pPr>
        <w:sectPr>
          <w:pgSz w:w="11900" w:h="16838" w:orient="portrait"/>
          <w:cols w:equalWidth="0" w:num="2">
            <w:col w:w="4220" w:space="180"/>
            <w:col w:w="6860"/>
          </w:cols>
          <w:pgMar w:left="240" w:top="459" w:right="399" w:bottom="1440" w:gutter="0" w:footer="0" w:header="0"/>
          <w:type w:val="continuous"/>
        </w:sectPr>
      </w:pPr>
    </w:p>
    <w:p>
      <w:pPr>
        <w:spacing w:after="0" w:line="14"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from this offering will be approximately $51.8 million (or</w:t>
      </w:r>
    </w:p>
    <w:p>
      <w:pPr>
        <w:spacing w:after="0" w:line="23" w:lineRule="exact"/>
        <w:rPr>
          <w:sz w:val="20"/>
          <w:szCs w:val="20"/>
          <w:color w:val="auto"/>
        </w:rPr>
      </w:pPr>
    </w:p>
    <w:p>
      <w:pPr>
        <w:ind w:left="4400" w:right="160"/>
        <w:spacing w:after="0" w:line="253" w:lineRule="auto"/>
        <w:rPr>
          <w:sz w:val="20"/>
          <w:szCs w:val="20"/>
          <w:color w:val="auto"/>
        </w:rPr>
      </w:pPr>
      <w:r>
        <w:rPr>
          <w:rFonts w:ascii="Arial" w:cs="Arial" w:eastAsia="Arial" w:hAnsi="Arial"/>
          <w:sz w:val="18"/>
          <w:szCs w:val="18"/>
          <w:color w:val="auto"/>
        </w:rPr>
        <w:t>approximately $60.2 million if the underwriters exercise their option to purchase additional shares in full), based upon the assumed initial offering price of $15.00 per share, which is the midpoint of the estimated offering price range set forth on the cover page of this prospectus, after deducting estimated underwriting discounts and commissions and estimated offering expenses payable by us.</w:t>
      </w:r>
    </w:p>
    <w:p>
      <w:pPr>
        <w:spacing w:after="0" w:line="218" w:lineRule="exact"/>
        <w:rPr>
          <w:sz w:val="20"/>
          <w:szCs w:val="20"/>
          <w:color w:val="auto"/>
        </w:rPr>
      </w:pPr>
    </w:p>
    <w:p>
      <w:pPr>
        <w:ind w:left="4400" w:right="80"/>
        <w:spacing w:after="0" w:line="279" w:lineRule="auto"/>
        <w:rPr>
          <w:sz w:val="20"/>
          <w:szCs w:val="20"/>
          <w:color w:val="auto"/>
        </w:rPr>
      </w:pPr>
      <w:r>
        <w:rPr>
          <w:rFonts w:ascii="Arial" w:cs="Arial" w:eastAsia="Arial" w:hAnsi="Arial"/>
          <w:sz w:val="17"/>
          <w:szCs w:val="17"/>
          <w:color w:val="auto"/>
        </w:rPr>
        <w:t>We intend to use the net proceeds that we receive in this offering for product discovery and development and general corporate purposes. We may use a portion of the proceeds to acquire other complementary businesses or technologies. See “Use of Proceeds” for a more complete description of the intended use of proceeds from this offering.</w:t>
      </w:r>
    </w:p>
    <w:p>
      <w:pPr>
        <w:spacing w:after="0" w:line="19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for a discussion of factors to</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consider carefully before deciding to invest in shares of our common stock.</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“ANAB.”</w:t>
      </w:r>
    </w:p>
    <w:p>
      <w:pPr>
        <w:spacing w:after="0" w:line="23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14,159,333 shares of our common stock outstanding as of September 30, 2016, and excludes:</w:t>
      </w:r>
    </w:p>
    <w:p>
      <w:pPr>
        <w:spacing w:after="0" w:line="76" w:lineRule="exact"/>
        <w:rPr>
          <w:sz w:val="20"/>
          <w:szCs w:val="20"/>
          <w:color w:val="auto"/>
        </w:rPr>
      </w:pPr>
    </w:p>
    <w:p>
      <w:pPr>
        <w:ind w:left="840" w:right="58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75" w:lineRule="exact"/>
        <w:rPr>
          <w:rFonts w:ascii="Arial" w:cs="Arial" w:eastAsia="Arial" w:hAnsi="Arial"/>
          <w:sz w:val="18"/>
          <w:szCs w:val="18"/>
          <w:color w:val="auto"/>
        </w:rPr>
      </w:pPr>
    </w:p>
    <w:p>
      <w:pPr>
        <w:ind w:left="840" w:right="40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75" w:lineRule="exact"/>
        <w:rPr>
          <w:rFonts w:ascii="Arial" w:cs="Arial" w:eastAsia="Arial" w:hAnsi="Arial"/>
          <w:sz w:val="18"/>
          <w:szCs w:val="18"/>
          <w:color w:val="auto"/>
        </w:rPr>
      </w:pPr>
    </w:p>
    <w:p>
      <w:pPr>
        <w:ind w:left="840" w:right="180" w:hanging="211"/>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20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4420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100"/>
        <w:spacing w:after="0" w:line="255" w:lineRule="auto"/>
        <w:rPr>
          <w:sz w:val="20"/>
          <w:szCs w:val="20"/>
          <w:color w:val="auto"/>
        </w:rPr>
      </w:pPr>
      <w:r>
        <w:rPr>
          <w:rFonts w:ascii="Arial" w:cs="Arial" w:eastAsia="Arial" w:hAnsi="Arial"/>
          <w:sz w:val="18"/>
          <w:szCs w:val="18"/>
          <w:color w:val="auto"/>
        </w:rPr>
        <w:t>future issuance under our 2017 Equity Incentive Plan, which will become effective on the date immediately prior to the date of this prospectus and (c) 218,000 shares of common stock reserved for future issuance under our 2017 Employee Stock Purchase Plan, which will become effective on the date of this prospectus. Upon closing of this offering, any remaining shares available for issuance under our 2006 Equity Incentive Plan will be added to the shares reserved under our 2017 Equity Incentive Plan and we will cease granting awards under our 2006 Equity Incentive Plan. 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95" w:lineRule="exact"/>
        <w:rPr>
          <w:sz w:val="20"/>
          <w:szCs w:val="20"/>
          <w:color w:val="auto"/>
        </w:rPr>
      </w:pPr>
    </w:p>
    <w:p>
      <w:pPr>
        <w:ind w:left="840" w:right="120" w:hanging="211"/>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w:t>
      </w:r>
    </w:p>
    <w:p>
      <w:pPr>
        <w:spacing w:after="0" w:line="75" w:lineRule="exact"/>
        <w:rPr>
          <w:rFonts w:ascii="Arial" w:cs="Arial" w:eastAsia="Arial" w:hAnsi="Arial"/>
          <w:sz w:val="18"/>
          <w:szCs w:val="18"/>
          <w:color w:val="auto"/>
        </w:rPr>
      </w:pPr>
    </w:p>
    <w:p>
      <w:pPr>
        <w:ind w:left="840" w:right="60" w:hanging="211"/>
        <w:spacing w:after="0" w:line="34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our Series C convertible preferred stock that were outstanding as of September 30, 2016, with an exercise price of $4.55 per share, that do not expire upon the closing of this offering; and</w:t>
      </w:r>
    </w:p>
    <w:p>
      <w:pPr>
        <w:spacing w:after="0" w:line="29" w:lineRule="exact"/>
        <w:rPr>
          <w:rFonts w:ascii="Arial" w:cs="Arial" w:eastAsia="Arial" w:hAnsi="Arial"/>
          <w:sz w:val="16"/>
          <w:szCs w:val="16"/>
          <w:color w:val="auto"/>
        </w:rPr>
      </w:pPr>
    </w:p>
    <w:p>
      <w:pPr>
        <w:ind w:left="840" w:right="360" w:hanging="211"/>
        <w:spacing w:after="0" w:line="308"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840" w:right="140" w:hanging="211"/>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September 30, 2016 into an aggregate of 11,520,698 shares of common stock immediately prior to the closing of this offering;</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7-for-1 reverse stock split of our common stock and convertible preferred stock, which was effected on January 13, 2017;</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September 30, 2016;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25" w:lineRule="exact"/>
        <w:rPr>
          <w:sz w:val="20"/>
          <w:szCs w:val="20"/>
          <w:color w:val="auto"/>
        </w:rPr>
      </w:pPr>
    </w:p>
    <w:p>
      <w:pPr>
        <w:ind w:left="200" w:firstLine="443"/>
        <w:spacing w:after="0" w:line="302" w:lineRule="auto"/>
        <w:rPr>
          <w:sz w:val="20"/>
          <w:szCs w:val="20"/>
          <w:color w:val="auto"/>
        </w:rPr>
      </w:pPr>
      <w:r>
        <w:rPr>
          <w:rFonts w:ascii="Arial" w:cs="Arial" w:eastAsia="Arial" w:hAnsi="Arial"/>
          <w:sz w:val="16"/>
          <w:szCs w:val="16"/>
          <w:color w:val="auto"/>
        </w:rPr>
        <w:t>Certain of our existing stockholders and their affiliated entities, including stockholders affiliated with certain of our directors, have indicated an interest in purchasing an aggregate of up to approximately $30.0 million of shares of our common stock in this offering at the initial public offering price. However, because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64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864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nine months ended September 30, 2015 and 2016 and the summary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Collaboration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w w:val="85"/>
              </w:rPr>
              <w:t>15,838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17,571</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13,517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13,930</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8,614</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17,304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10,732</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10,403</w:t>
            </w:r>
          </w:p>
        </w:tc>
        <w:tc>
          <w:tcPr>
            <w:tcW w:w="0" w:type="dxa"/>
            <w:vAlign w:val="bottom"/>
          </w:tcPr>
          <w:p>
            <w:pPr>
              <w:spacing w:after="0"/>
              <w:rPr>
                <w:sz w:val="1"/>
                <w:szCs w:val="1"/>
                <w:color w:val="auto"/>
              </w:rPr>
            </w:pPr>
          </w:p>
        </w:tc>
      </w:tr>
      <w:tr>
        <w:trPr>
          <w:trHeight w:val="220"/>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2,354</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3,589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2,515</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9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10,770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w w:val="85"/>
              </w:rPr>
              <w:t>10,968</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20,893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13,247</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13,781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(5,287)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4,870</w:t>
            </w:r>
          </w:p>
        </w:tc>
        <w:tc>
          <w:tcPr>
            <w:tcW w:w="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(3,322)</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(886)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(1,281)</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Change in fair value of liability for preferred stock warrants</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(1,277)</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(1,338)</w:t>
            </w:r>
          </w:p>
        </w:tc>
        <w:tc>
          <w:tcPr>
            <w:tcW w:w="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(1,944)</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(2,113)</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3,532</w:t>
            </w:r>
          </w:p>
        </w:tc>
        <w:tc>
          <w:tcPr>
            <w:tcW w:w="80" w:type="dxa"/>
            <w:vAlign w:val="bottom"/>
          </w:tcPr>
          <w:p>
            <w:pPr>
              <w:spacing w:after="0"/>
              <w:rPr>
                <w:sz w:val="19"/>
                <w:szCs w:val="19"/>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(5,266)</w:t>
            </w:r>
          </w:p>
        </w:tc>
        <w:tc>
          <w:tcPr>
            <w:tcW w:w="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(1,843)</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6"/>
        </w:trPr>
        <w:tc>
          <w:tcPr>
            <w:tcW w:w="7100" w:type="dxa"/>
            <w:vAlign w:val="bottom"/>
            <w:gridSpan w:val="2"/>
          </w:tcPr>
          <w:p>
            <w:pPr>
              <w:ind w:left="980"/>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640"/>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3,532</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(5,405)</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(1,893)</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Net income attributed to participating securities</w:t>
            </w: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(3,300)</w:t>
            </w:r>
          </w:p>
        </w:tc>
        <w:tc>
          <w:tcPr>
            <w:tcW w:w="80" w:type="dxa"/>
            <w:vAlign w:val="bottom"/>
          </w:tcPr>
          <w:p>
            <w:pPr>
              <w:spacing w:after="0"/>
              <w:rPr>
                <w:sz w:val="17"/>
                <w:szCs w:val="17"/>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attributed to common stockholders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(5,405)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per common share:(1)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(4.98)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Weighted-average number of shares outstanding:(1)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Pro forma net income (loss) per common share (unaudited):(1)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 and diluted</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weighted-average number of shares outstanding (unaudited):(1)</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11,132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14,154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11,132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14,988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8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20" w:hanging="323"/>
        <w:spacing w:after="0" w:line="369"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2 to our audited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83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39833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ind w:right="254"/>
              <w:spacing w:after="0"/>
              <w:rPr>
                <w:sz w:val="20"/>
                <w:szCs w:val="20"/>
                <w:color w:val="auto"/>
              </w:rPr>
            </w:pPr>
            <w:r>
              <w:rPr>
                <w:rFonts w:ascii="Arial" w:cs="Arial" w:eastAsia="Arial" w:hAnsi="Arial"/>
                <w:sz w:val="14"/>
                <w:szCs w:val="14"/>
                <w:b w:val="1"/>
                <w:bCs w:val="1"/>
                <w:color w:val="auto"/>
                <w:w w:val="91"/>
              </w:rPr>
              <w:t>As of</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2"/>
          </w:tcPr>
          <w:p>
            <w:pPr>
              <w:jc w:val="center"/>
              <w:ind w:left="2"/>
              <w:spacing w:after="0" w:line="149" w:lineRule="exact"/>
              <w:rPr>
                <w:sz w:val="20"/>
                <w:szCs w:val="20"/>
                <w:color w:val="auto"/>
              </w:rPr>
            </w:pPr>
            <w:r>
              <w:rPr>
                <w:rFonts w:ascii="Arial" w:cs="Arial" w:eastAsia="Arial" w:hAnsi="Arial"/>
                <w:sz w:val="14"/>
                <w:szCs w:val="14"/>
                <w:b w:val="1"/>
                <w:bCs w:val="1"/>
                <w:color w:val="auto"/>
                <w:w w:val="91"/>
              </w:rPr>
              <w:t>September 30, 2016</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4"/>
              </w:rPr>
              <w:t>(unaudited)</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Actual</w:t>
            </w: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Pro Forma(1)</w:t>
            </w:r>
          </w:p>
        </w:tc>
        <w:tc>
          <w:tcPr>
            <w:tcW w:w="10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Adjusted(2)(3)</w:t>
            </w:r>
          </w:p>
        </w:tc>
        <w:tc>
          <w:tcPr>
            <w:tcW w:w="0" w:type="dxa"/>
            <w:vAlign w:val="bottom"/>
          </w:tcPr>
          <w:p>
            <w:pPr>
              <w:spacing w:after="0"/>
              <w:rPr>
                <w:sz w:val="1"/>
                <w:szCs w:val="1"/>
                <w:color w:val="auto"/>
              </w:rPr>
            </w:pPr>
          </w:p>
        </w:tc>
      </w:tr>
      <w:tr>
        <w:trPr>
          <w:trHeight w:val="182"/>
        </w:trPr>
        <w:tc>
          <w:tcPr>
            <w:tcW w:w="7340" w:type="dxa"/>
            <w:vAlign w:val="bottom"/>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w w:val="94"/>
              </w:rPr>
              <w:t>$ 47,134</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47,134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101,435</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55,837</w:t>
            </w:r>
          </w:p>
        </w:tc>
        <w:tc>
          <w:tcPr>
            <w:tcW w:w="420" w:type="dxa"/>
            <w:vAlign w:val="bottom"/>
          </w:tcPr>
          <w:p>
            <w:pPr>
              <w:spacing w:after="0"/>
              <w:rPr>
                <w:sz w:val="18"/>
                <w:szCs w:val="18"/>
                <w:color w:val="auto"/>
              </w:rPr>
            </w:pP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55,837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110,138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3,393</w:t>
            </w:r>
          </w:p>
        </w:tc>
        <w:tc>
          <w:tcPr>
            <w:tcW w:w="420" w:type="dxa"/>
            <w:vAlign w:val="bottom"/>
          </w:tcPr>
          <w:p>
            <w:pPr>
              <w:spacing w:after="0"/>
              <w:rPr>
                <w:sz w:val="18"/>
                <w:szCs w:val="18"/>
                <w:color w:val="auto"/>
              </w:rPr>
            </w:pP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3,393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1,214</w:t>
            </w:r>
          </w:p>
        </w:tc>
        <w:tc>
          <w:tcPr>
            <w:tcW w:w="42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77,516</w:t>
            </w:r>
          </w:p>
        </w:tc>
        <w:tc>
          <w:tcPr>
            <w:tcW w:w="42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(33,973)</w:t>
            </w:r>
          </w:p>
        </w:tc>
        <w:tc>
          <w:tcPr>
            <w:tcW w:w="420" w:type="dxa"/>
            <w:vAlign w:val="bottom"/>
          </w:tcPr>
          <w:p>
            <w:pPr>
              <w:spacing w:after="0"/>
              <w:rPr>
                <w:sz w:val="20"/>
                <w:szCs w:val="20"/>
                <w:color w:val="auto"/>
              </w:rPr>
            </w:pP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44,757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96,557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20" w:hanging="423"/>
        <w:spacing w:after="0" w:line="25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 effect to: (i) the automatic conversion of all outstanding shares of our convertible preferred stock as of September 30, 2016 into 11,520,698 shares of common stock immediately prior to the closing of this offering and (ii) the conversion of the preferred stock warrants into common stock warrants and the related reclassification of the preferred stock warrant liability to additional paid-in capital.</w:t>
      </w:r>
    </w:p>
    <w:p>
      <w:pPr>
        <w:spacing w:after="0" w:line="2" w:lineRule="exact"/>
        <w:rPr>
          <w:rFonts w:ascii="Arial" w:cs="Arial" w:eastAsia="Arial" w:hAnsi="Arial"/>
          <w:sz w:val="18"/>
          <w:szCs w:val="18"/>
          <w:color w:val="auto"/>
        </w:rPr>
      </w:pPr>
    </w:p>
    <w:p>
      <w:pPr>
        <w:ind w:left="620" w:hanging="423"/>
        <w:spacing w:after="0" w:line="250"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as adjusted balance sheet data give effect to the pro forma adjustments and the sale of 4,000,000 shares of common stock by us in this offering, based on an assumed initial public offering price of $15.00 per share, the midpoint of the estimated price range set forth on the cover page of this prospectus, after deducting estimated underwriting discounts and commissions and estimated offering expenses payable by us. The pro forma as adjusted cash and cash equivalent amount also reflects the prepayment of approximately $2.5 million of the estimated offering expenses prior to September 30, 2016.</w:t>
      </w:r>
    </w:p>
    <w:p>
      <w:pPr>
        <w:spacing w:after="0" w:line="2" w:lineRule="exact"/>
        <w:rPr>
          <w:rFonts w:ascii="Arial" w:cs="Arial" w:eastAsia="Arial" w:hAnsi="Arial"/>
          <w:sz w:val="18"/>
          <w:szCs w:val="18"/>
          <w:color w:val="auto"/>
        </w:rPr>
      </w:pPr>
    </w:p>
    <w:p>
      <w:pPr>
        <w:ind w:left="620" w:right="280" w:hanging="423"/>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$15.00 per share, the midpoint of the price range set forth on the cover page of this prospectus, would increase (decrease) each of our pro forma as adjusted cash and cash equivalents, total assets and total stockholders’ equity (deficit) by approximately $3.7 million, assuming that the number of shares offered by us, remains the same and after deducting estimated underwriting discounts and commissions. Similarly, each increase (decrease) of one million shares in the number of shares offered by us would increase (decrease) each of our pro forma as adjusted cash and cash equivalents, total assets and total stockholders’ equity (deficit) by approximately $14.0 million, assuming the assumed initial public offering price remains the same and after deducting estimated underwriting discounts and commissions.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We have recently initiated dosing of ANB020 in humans and have never dosed any of our other wholly-owned product candidates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recently initiated our Phase 1 clinical trial for ANB020 and have not yet initiated any clinical trials or dosed any of our other wholly-owned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our Phase 1 clinical trial of ANB020, the most common adverse events were upper respiratory tract infection and headache, and the most severe was a reduction of white blood cell counts.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submitting a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660" w:right="48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4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not be successful in our efforts to use and expand our technology platform to build a pipeline of product candidates and develop marketable products.</w:t>
      </w:r>
    </w:p>
    <w:p>
      <w:pPr>
        <w:spacing w:after="0" w:line="58"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or the United Kingdom and, as a company, we have no experience conducting clinical trials in any jurisdiction and have not had previous experience commercializing product candidates, including submitting an IND or a BLA to the FDA. We have only recently initiated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660" w:right="14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biotechnology industry is highly competitive and subject to rapid and significant technological change. Products we may develop in the future are also likely to face competition from other drugs and therapies, some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 ST2-binding antibody which Roche has in-licensed from Amgen (previously known as AMG 282) and plans to advance into Phase 2 clinical trials, and CNTO 7160, which is another ST2-binding antibody that GSK in-licensed from Janssen.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To date, only a handful of biosimilar products have been approved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660" w:right="12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during the nine months ended September 30, 2016. Our collaboration revenue was $15.8 million and our net income was $3.5 million for the year ended December 31, 2014 and our collaboration revenue was $17.6 million and our net loss was $5.4 million for the year ended December 31, 2015. For the nine months ended September 30, 2016, our collaboration revenue was $13.9 million and our net income was $0.3 million. As of September 30, 2016, we had an accumulated deficit of $50.3 million.</w:t>
      </w:r>
    </w:p>
    <w:p>
      <w:pPr>
        <w:spacing w:after="0" w:line="15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2"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660" w:right="10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any product candidates or cease operations altogether;</w:t>
      </w:r>
    </w:p>
    <w:p>
      <w:pPr>
        <w:spacing w:after="0" w:line="142" w:lineRule="exact"/>
        <w:rPr>
          <w:rFonts w:ascii="Arial" w:cs="Arial" w:eastAsia="Arial" w:hAnsi="Arial"/>
          <w:sz w:val="17"/>
          <w:szCs w:val="17"/>
          <w:color w:val="auto"/>
        </w:rPr>
      </w:pPr>
    </w:p>
    <w:p>
      <w:pPr>
        <w:ind w:left="660" w:right="280" w:hanging="20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660" w:right="8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42"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connection with licensing, preparing, filing, prosecution, defense and enforcement of any patents or other intellectual property rights;</w:t>
      </w:r>
    </w:p>
    <w:p>
      <w:pPr>
        <w:spacing w:after="0" w:line="131"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24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$65.4 million in non-dilutive funding through December 31, 2016.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6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future could delay development programs, create uncertainty as to ownership of intellectual property rights, distract management from other business activities and generate substantial expense.</w:t>
      </w:r>
    </w:p>
    <w:p>
      <w:pPr>
        <w:spacing w:after="0" w:line="2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have conducted our initial clinical trial for ANB020 in Australia and plan to conduct our initial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1100"/>
        <w:spacing w:after="0" w:line="347" w:lineRule="auto"/>
        <w:rPr>
          <w:sz w:val="20"/>
          <w:szCs w:val="20"/>
          <w:color w:val="auto"/>
        </w:rPr>
      </w:pPr>
      <w:r>
        <w:rPr>
          <w:rFonts w:ascii="Arial" w:cs="Arial" w:eastAsia="Arial" w:hAnsi="Arial"/>
          <w:sz w:val="16"/>
          <w:szCs w:val="16"/>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Affordability Reconciliation Act, or collectively the ACA,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660" w:right="68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More recently, President-elect, Donald Trump has made statements that suggest he plans to seek repeal of all or portions of the ACA, and has stated that he will ask Congress to replace the current legislation with new legislation. Once Mr. Trump becomes President, there is uncertainty with respect to the impact his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660" w:right="14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660" w:right="32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jc w:val="both"/>
        <w:ind w:left="660" w:right="22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660" w:right="20" w:hanging="206"/>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7" w:lineRule="exact"/>
        <w:rPr>
          <w:rFonts w:ascii="Arial" w:cs="Arial" w:eastAsia="Arial" w:hAnsi="Arial"/>
          <w:sz w:val="17"/>
          <w:szCs w:val="17"/>
          <w:color w:val="auto"/>
        </w:rPr>
      </w:pPr>
    </w:p>
    <w:p>
      <w:pPr>
        <w:ind w:left="660" w:right="24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2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9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or collaborators’ patent applications and the enforcement or defense of our or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660" w:right="80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may be volatile, and you could lose all or part of your investment.</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broad discretion in the use of the net proceeds from this offering and may not use them effectively.</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stock and will be able to exert significant control over matters subject to stockholder approval.</w:t>
      </w:r>
    </w:p>
    <w:p>
      <w:pPr>
        <w:spacing w:after="0" w:line="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this offering, our executive officers, directors, holders of 5% or more of our capital stock and their respective affiliates beneficially owned approximately 84.0% of our voting stock and, upon the closing of this offering, that same group will beneficially own approximately 66.8% of our outstanding voting stock (based on the number of shares of common stock outstanding as of September 30,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Certain of our existing stockholders and their affiliated entities, including stockholders affiliated with certain of our directors, have indicated an interest in purchasing up to an aggregate of approximately $30.0 million of shares of our common stock in this offering at the initial public offering price. The previously discussed ownership percentage upon the closing of this offering does not reflect the potential purchase of any shares in this offering by such shareholders.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$9.71 per share, based upon an assumed initial public offering price of $15.00 per share (the midpoint of the price range set forth on the cover page of this prospectus). Further, investors purchasing common stock in this offering will contribute approximately 39.9% of the total amount invested by stockholders since our inception, but will own only approximately 22.0% of the shares of common stock outstanding after giving effect to this offering.</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September 30, 2016, options to purchase 1,856,750 shares of our common stock at a weighted-average exercise price of $4.13 per share, warrants exercisable for 117,483 shares of our common stock at an exercise price of $4.55 per share and warrants exercisable for Series C convertible preferred stock convertible into 294,779 shares of our common stock at an exercise price of $4.55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will incur increased costs as a result of operating as a public company, and our management will devote substantial time to new compliance initiatives.</w:t>
      </w:r>
    </w:p>
    <w:p>
      <w:pPr>
        <w:spacing w:after="0" w:line="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 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 substantial number of shares of our common stock in the public market could cause our stock price to fall.</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18,159,333 shares of common stock based on the number of shares outstanding as of September 30, 2016, assuming: (i) no exercise of the underwriters’ option to purchase additional shares and (ii) the conversion of all outstanding shares of our convertible preferred stock into 11,520,698 shares of common stock immediately prior to the closing of this offering. This includes the shares that we sell in this offering, which may be resold in the public market immediately without restriction, unless purchased by our affiliates. Of the remaining shares, 14,159,333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14,571,595 shares of our common stock and shares underlying certain warrants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$0.2 million in both federal and state research tax credits. In October 2016, we extended the analysis period of the study through December 31, 2015, noting no ownership changes during fiscal 2015. Our use of federal NOL carryforwards could be limited further by the provisions of Section 382 of the Code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likelihood that the clinical data generated in Australia will be subsequently accepted by the FDA and its foreign equivalents outside of Australia;</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660" w:right="100" w:hanging="20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660" w:right="52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that the net proceeds from our sale of 4,000,000 shares of common stock in this offering at an assumed initial public offering price of $15.00 per share, the midpoint of the price range set forth on the cover page of this prospectus, after deducting estimated underwriting discounts and commissions and estimated offering expenses payable by us, will be approximately $51.8 million, or $60.2 million if the underwriters exercise their option to purchase additional shares in full.</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 $3.7 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 we receive from this offering by $14.0 million, assuming that the assumed initial public offering price remains the same and after deducting estimated underwriting discounts and commissions and estimated offering expenses payable by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660" w:right="60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$25.0 million to fund development of ANB020 and ANB019 through initial clinical trials intended to demonstrate efficacy in multiple indications;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$15.0 million to fund continued development of other wholly-owned product candidates, including our checkpoint receptor agonist antibodies, and discovery of new product candidates to further expand our proprietary pipeline;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 on:</w:t>
      </w:r>
    </w:p>
    <w:p>
      <w:pPr>
        <w:spacing w:after="0" w:line="131"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660" w:right="60" w:hanging="206"/>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September 30, 2016 into 11,520,698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pacing w:after="0" w:line="76" w:lineRule="exact"/>
        <w:rPr>
          <w:rFonts w:ascii="Arial" w:cs="Arial" w:eastAsia="Arial" w:hAnsi="Arial"/>
          <w:sz w:val="17"/>
          <w:szCs w:val="17"/>
          <w:color w:val="auto"/>
        </w:rPr>
      </w:pPr>
    </w:p>
    <w:p>
      <w:pPr>
        <w:ind w:left="660" w:right="140" w:hanging="206"/>
        <w:spacing w:after="0" w:line="286"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 forma as adjusted basis, giving effect to the pro forma adjustments and the sale of 4,000,000 shares of common stock by us in this offering, based on an assumed initial public offering price of $15.00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91"/>
              </w:rPr>
              <w:t>As of September 30, 2016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0"/>
                <w:szCs w:val="10"/>
                <w:color w:val="auto"/>
              </w:rPr>
            </w:pPr>
          </w:p>
        </w:tc>
        <w:tc>
          <w:tcPr>
            <w:tcW w:w="80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47,134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47,134</w:t>
            </w: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101,435</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1"/>
              </w:rPr>
              <w:t>(2)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Notes payable, net of current portion</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60" w:type="dxa"/>
            <w:vAlign w:val="bottom"/>
            <w:vMerge w:val="continue"/>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3,393</w:t>
            </w:r>
          </w:p>
        </w:tc>
        <w:tc>
          <w:tcPr>
            <w:tcW w:w="20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3,393</w:t>
            </w:r>
          </w:p>
        </w:tc>
        <w:tc>
          <w:tcPr>
            <w:tcW w:w="6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1,214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w w:val="97"/>
              </w:rPr>
              <w:t>Series B convertible preferred stock, $0.001 par value; 3,963,263 shares authorized, 3,963,263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28,220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w w:val="96"/>
              </w:rPr>
              <w:t>Series C convertible preferred stock, $0.001 par value; 1,887,250 shares authorized, 1,592,461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6,452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w w:val="98"/>
              </w:rPr>
              <w:t>Series C-1 convertible preferred stock, $0.001 par value; 474,001 shares authorized, 474,001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2,156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w w:val="96"/>
              </w:rPr>
              <w:t>Series D convertible preferred stock, $0.001 par value; 5,490,973 shares authorized, 5,490,973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40,688</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40"/>
              <w:spacing w:after="0"/>
              <w:rPr>
                <w:sz w:val="20"/>
                <w:szCs w:val="20"/>
                <w:color w:val="auto"/>
              </w:rPr>
            </w:pPr>
            <w:r>
              <w:rPr>
                <w:rFonts w:ascii="Arial" w:cs="Arial" w:eastAsia="Arial" w:hAnsi="Arial"/>
                <w:sz w:val="16"/>
                <w:szCs w:val="16"/>
                <w:color w:val="auto"/>
                <w:w w:val="99"/>
              </w:rPr>
              <w:t>Preferred Stock, $0.001 par value; no shares authorized, issued or outstanding, actual; 10,000,000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500"/>
              <w:spacing w:after="0"/>
              <w:rPr>
                <w:sz w:val="20"/>
                <w:szCs w:val="20"/>
                <w:color w:val="auto"/>
              </w:rPr>
            </w:pPr>
            <w:r>
              <w:rPr>
                <w:rFonts w:ascii="Arial" w:cs="Arial" w:eastAsia="Arial" w:hAnsi="Arial"/>
                <w:sz w:val="16"/>
                <w:szCs w:val="16"/>
                <w:color w:val="auto"/>
              </w:rPr>
              <w:t>authorized, no shares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340"/>
              <w:spacing w:after="0"/>
              <w:rPr>
                <w:sz w:val="20"/>
                <w:szCs w:val="20"/>
                <w:color w:val="auto"/>
              </w:rPr>
            </w:pPr>
            <w:r>
              <w:rPr>
                <w:rFonts w:ascii="Arial" w:cs="Arial" w:eastAsia="Arial" w:hAnsi="Arial"/>
                <w:sz w:val="16"/>
                <w:szCs w:val="16"/>
                <w:color w:val="auto"/>
                <w:w w:val="98"/>
              </w:rPr>
              <w:t>Common stock, $0.001 par value; 17,214,285 shares authorized, 2,638,635 shares issued and outstanding,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500"/>
              <w:spacing w:after="0"/>
              <w:rPr>
                <w:sz w:val="20"/>
                <w:szCs w:val="20"/>
                <w:color w:val="auto"/>
              </w:rPr>
            </w:pPr>
            <w:r>
              <w:rPr>
                <w:rFonts w:ascii="Arial" w:cs="Arial" w:eastAsia="Arial" w:hAnsi="Arial"/>
                <w:sz w:val="16"/>
                <w:szCs w:val="16"/>
                <w:color w:val="auto"/>
                <w:w w:val="96"/>
              </w:rPr>
              <w:t>actual; 500,000,000 shares authorized, 14,159,333 shares issued and outstanding, pro forma; 500,000,000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500"/>
              <w:spacing w:after="0"/>
              <w:rPr>
                <w:sz w:val="20"/>
                <w:szCs w:val="20"/>
                <w:color w:val="auto"/>
              </w:rPr>
            </w:pPr>
            <w:r>
              <w:rPr>
                <w:rFonts w:ascii="Arial" w:cs="Arial" w:eastAsia="Arial" w:hAnsi="Arial"/>
                <w:sz w:val="16"/>
                <w:szCs w:val="16"/>
                <w:color w:val="auto"/>
              </w:rPr>
              <w:t>shares authorized, 18,159,333 shares issued and outstanding,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7860" w:type="dxa"/>
            <w:vAlign w:val="bottom"/>
          </w:tcPr>
          <w:p>
            <w:pPr>
              <w:ind w:left="340"/>
              <w:spacing w:after="0"/>
              <w:rPr>
                <w:sz w:val="20"/>
                <w:szCs w:val="20"/>
                <w:color w:val="auto"/>
              </w:rPr>
            </w:pPr>
            <w:r>
              <w:rPr>
                <w:rFonts w:ascii="Arial" w:cs="Arial" w:eastAsia="Arial" w:hAnsi="Arial"/>
                <w:sz w:val="16"/>
                <w:szCs w:val="16"/>
                <w:color w:val="auto"/>
              </w:rPr>
              <w:t>Additional paid in 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16,369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95,088</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auto"/>
              </w:rPr>
              <w:t>146,884</w:t>
            </w:r>
          </w:p>
        </w:tc>
        <w:tc>
          <w:tcPr>
            <w:tcW w:w="0" w:type="dxa"/>
            <w:vAlign w:val="bottom"/>
          </w:tcPr>
          <w:p>
            <w:pPr>
              <w:spacing w:after="0"/>
              <w:rPr>
                <w:sz w:val="1"/>
                <w:szCs w:val="1"/>
                <w:color w:val="auto"/>
              </w:rPr>
            </w:pPr>
          </w:p>
        </w:tc>
      </w:tr>
      <w:tr>
        <w:trPr>
          <w:trHeight w:val="206"/>
        </w:trPr>
        <w:tc>
          <w:tcPr>
            <w:tcW w:w="786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6"/>
                <w:szCs w:val="16"/>
                <w:color w:val="auto"/>
              </w:rPr>
              <w:t>(50,345)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(50,345)</w:t>
            </w:r>
          </w:p>
        </w:tc>
        <w:tc>
          <w:tcPr>
            <w:tcW w:w="100" w:type="dxa"/>
            <w:vAlign w:val="bottom"/>
          </w:tcPr>
          <w:p>
            <w:pPr>
              <w:spacing w:after="0"/>
              <w:rPr>
                <w:sz w:val="17"/>
                <w:szCs w:val="17"/>
                <w:color w:val="auto"/>
              </w:rPr>
            </w:pPr>
          </w:p>
        </w:tc>
        <w:tc>
          <w:tcPr>
            <w:tcW w:w="960" w:type="dxa"/>
            <w:vAlign w:val="bottom"/>
            <w:gridSpan w:val="2"/>
          </w:tcPr>
          <w:p>
            <w:pPr>
              <w:jc w:val="right"/>
              <w:ind w:right="31"/>
              <w:spacing w:after="0"/>
              <w:rPr>
                <w:sz w:val="20"/>
                <w:szCs w:val="20"/>
                <w:color w:val="auto"/>
              </w:rPr>
            </w:pPr>
            <w:r>
              <w:rPr>
                <w:rFonts w:ascii="Arial" w:cs="Arial" w:eastAsia="Arial" w:hAnsi="Arial"/>
                <w:sz w:val="16"/>
                <w:szCs w:val="16"/>
                <w:color w:val="auto"/>
              </w:rPr>
              <w:t>(50,345)</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660"/>
              <w:spacing w:after="0"/>
              <w:rPr>
                <w:sz w:val="20"/>
                <w:szCs w:val="20"/>
                <w:color w:val="auto"/>
              </w:rPr>
            </w:pPr>
            <w:r>
              <w:rPr>
                <w:rFonts w:ascii="Arial" w:cs="Arial" w:eastAsia="Arial" w:hAnsi="Arial"/>
                <w:sz w:val="16"/>
                <w:szCs w:val="16"/>
                <w:color w:val="auto"/>
              </w:rPr>
              <w:t>Total stockholders’ equity (deficit)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6"/>
                <w:szCs w:val="16"/>
                <w:color w:val="auto"/>
              </w:rPr>
              <w:t>(33,973)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44,757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auto"/>
              </w:rPr>
              <w:t>96,557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980"/>
              <w:spacing w:after="0"/>
              <w:rPr>
                <w:sz w:val="20"/>
                <w:szCs w:val="20"/>
                <w:color w:val="auto"/>
              </w:rPr>
            </w:pPr>
            <w:r>
              <w:rPr>
                <w:rFonts w:ascii="Arial" w:cs="Arial" w:eastAsia="Arial" w:hAnsi="Arial"/>
                <w:sz w:val="16"/>
                <w:szCs w:val="16"/>
                <w:color w:val="auto"/>
              </w:rPr>
              <w:t>Total capitalization</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48,150</w:t>
            </w:r>
          </w:p>
        </w:tc>
        <w:tc>
          <w:tcPr>
            <w:tcW w:w="2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48,150</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auto"/>
              </w:rPr>
              <w:t>99,950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0" w:hanging="332"/>
        <w:spacing w:after="0" w:line="282"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$1.00 increase (decrease) in the assumed initial public offering price of $15.00 per share, the midpoint of the price range set forth on the cover page of this prospectus, would increase (decrease) each of our pro forma as adjusted cash and cash equivalents, additional paid-in capital, total stockholders’ equity (deficit) and total capitalization by approximately $3.7 million, assuming that the number of shares offered by us remains the 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 stockholders’ equity (deficit) and total capitalization by approximately $14.0 million, assuming the assumed initial public offering price remains the same and after deducting estimated underwriting discounts and commissions.</w:t>
      </w:r>
    </w:p>
    <w:p>
      <w:pPr>
        <w:spacing w:after="0" w:line="3" w:lineRule="exact"/>
        <w:rPr>
          <w:rFonts w:ascii="Arial" w:cs="Arial" w:eastAsia="Arial" w:hAnsi="Arial"/>
          <w:sz w:val="15"/>
          <w:szCs w:val="15"/>
          <w:color w:val="auto"/>
        </w:rPr>
      </w:pPr>
    </w:p>
    <w:p>
      <w:pPr>
        <w:ind w:left="340" w:right="520" w:hanging="332"/>
        <w:spacing w:after="0" w:line="288"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pro forma as adjusted cash and cash equivalents amount also reflects the prepayment of approximately $2.5 million of the estimated offering expenses prior to September 30,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14,159,333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660" w:right="28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75" w:lineRule="exact"/>
        <w:rPr>
          <w:rFonts w:ascii="Arial" w:cs="Arial" w:eastAsia="Arial" w:hAnsi="Arial"/>
          <w:sz w:val="18"/>
          <w:szCs w:val="18"/>
          <w:color w:val="auto"/>
        </w:rPr>
      </w:pPr>
    </w:p>
    <w:p>
      <w:pPr>
        <w:ind w:left="660" w:right="80" w:hanging="206"/>
        <w:spacing w:after="0" w:line="290"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 future issuance under our 2017 Equity Incentive Plan, which will become effective on the date immediately prior to the date of this prospectus and (c) 218,000 shares of common stock reserved for future issuance under our 2017 Employee Stock Purchase Plan, which will become effective on the date of this prospectus. Upon the closing of this offering, any remaining shares available for issuance under our 2006 Equity Incentive Plan will be added to the shares reserved under our 2017 Equity Incentive Plan and we will cease granting awards under our 2006 Equity Incentive Plan. 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71"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 and</w:t>
      </w:r>
    </w:p>
    <w:p>
      <w:pPr>
        <w:spacing w:after="0" w:line="75" w:lineRule="exact"/>
        <w:rPr>
          <w:rFonts w:ascii="Arial" w:cs="Arial" w:eastAsia="Arial" w:hAnsi="Arial"/>
          <w:sz w:val="18"/>
          <w:szCs w:val="18"/>
          <w:color w:val="auto"/>
        </w:rPr>
      </w:pPr>
    </w:p>
    <w:p>
      <w:pPr>
        <w:ind w:left="660" w:right="680" w:hanging="206"/>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Series C convertible preferred stock that were outstanding as of September 30, 2016, with an exercise price of $4.55 per share, that do not expire upon the closing of this offering; and</w:t>
      </w:r>
    </w:p>
    <w:p>
      <w:pPr>
        <w:spacing w:after="0" w:line="29" w:lineRule="exact"/>
        <w:rPr>
          <w:rFonts w:ascii="Arial" w:cs="Arial" w:eastAsia="Arial" w:hAnsi="Arial"/>
          <w:sz w:val="16"/>
          <w:szCs w:val="16"/>
          <w:color w:val="auto"/>
        </w:rPr>
      </w:pPr>
    </w:p>
    <w:p>
      <w:pPr>
        <w:ind w:left="660" w:right="320" w:hanging="206"/>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2016, our pro forma net tangible book value was approximately $41.8 million, or $2.95 per share of common stock. Our pro forma net tangible book value per share represents the amount of our total tangible assets reduced by the amount of our total liabilities and divided by the total number of shares of our common stock outstanding as of September 30, 2016, assuming (i) the automatic conversion of all outstanding shares of our convertible preferred stock as of September 30, 2016 into 11,520,698 shares of common stock as of immediately prior to the closing of this offering and</w:t>
      </w:r>
    </w:p>
    <w:p>
      <w:pPr>
        <w:spacing w:after="0" w:line="2" w:lineRule="exact"/>
        <w:rPr>
          <w:sz w:val="20"/>
          <w:szCs w:val="20"/>
          <w:color w:val="auto"/>
        </w:rPr>
      </w:pPr>
    </w:p>
    <w:p>
      <w:pPr>
        <w:ind w:right="520" w:firstLine="8"/>
        <w:spacing w:after="0" w:line="261"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After giving effect to our sale in this offering of 4,000,000 shares of our common stock at an assumed initial public offering price of $15.00 per share, the midpoint of the price range set forth on the cover page of this prospectus, and after deducting estimated underwriting discounts and commissions and estimated offering expenses payable by us, our pro forma net tangible book value as of September 30, 2016 would have been approximately $96.1 million, or $5.29 per share of our common stock. This represents an immediate increase in pro forma net tangible book value of $2.34 per share to our existing stockholders and an immediate dilution of $9.71 per share to investors purchasing shares in this offering,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Assumed initial public offering price per share</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20" w:type="dxa"/>
            <w:vAlign w:val="bottom"/>
          </w:tcPr>
          <w:p>
            <w:pPr>
              <w:spacing w:after="0"/>
              <w:rPr>
                <w:sz w:val="18"/>
                <w:szCs w:val="18"/>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September 30, 2016</w:t>
            </w:r>
          </w:p>
        </w:tc>
        <w:tc>
          <w:tcPr>
            <w:tcW w:w="2620" w:type="dxa"/>
            <w:vAlign w:val="bottom"/>
            <w:gridSpan w:val="3"/>
          </w:tcPr>
          <w:p>
            <w:pPr>
              <w:jc w:val="right"/>
              <w:ind w:right="3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2620" w:type="dxa"/>
            <w:vAlign w:val="bottom"/>
            <w:gridSpan w:val="3"/>
          </w:tcPr>
          <w:p>
            <w:pPr>
              <w:jc w:val="right"/>
              <w:ind w:right="33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7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Dilution per share to investors in this offering</w:t>
            </w:r>
          </w:p>
        </w:tc>
        <w:tc>
          <w:tcPr>
            <w:tcW w:w="26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auto"/>
            </w:tcBorders>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$1.00 increase (decrease) in the assumed initial public offering price of $15.00 per share, the midpoint of the price range set forth on the cover page of this prospectus, would increase (decrease) our pro forma net tangible book value, as adjusted to give effect to this offering, by $0.20 per share and the dilution in pro forma as adjusted net tangible book value per share to new investors in this offering by $0.80 per share, assuming the number of shares offered by us, as set forth on the cover page of this prospectus, remains the 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 the dilution per share to investors in this offering, by $(0.46) per share. Each decrease of one million shares in the number of shares offered by us would decrease our pro forma as adjusted net tangible book value per share, and increase the dilution per share to investors in this offering, by $0.50 per share.</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underwriters exercise their option in full to purchase additional shares, the pro forma net tangible book value per share of our common stock after giving effect to this offering would be $5.57 per share, and the dilution in net tangible book value per share to investors in this offering would be $9.43 per share.</w:t>
      </w:r>
    </w:p>
    <w:p>
      <w:pPr>
        <w:spacing w:after="0" w:line="18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2016 after giving effect to (i) the automatic conversion of all outstanding shares of our convertible preferred stock into 11,520,698 shares of common stock as of immediately prior to the closing of this offering and</w:t>
      </w:r>
    </w:p>
    <w:p>
      <w:pPr>
        <w:ind w:right="40" w:firstLine="8"/>
        <w:spacing w:after="0" w:line="255"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4,000,000 shares of common stock in this offering at an assumed initial public offering price of $15.00 per share, the midpoint of the price range set forth on the cover page of this prospectus, the difference between existing stockholders and new investors with respect to the number of shares of common stock purchased from us,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consideration paid to us, and the average price per share paid, before deducting underwriting discounts and commissions and estimated offering expenses payable by 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Shares Purchased</w:t>
            </w:r>
          </w:p>
        </w:tc>
        <w:tc>
          <w:tcPr>
            <w:tcW w:w="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77"/>
        </w:trPr>
        <w:tc>
          <w:tcPr>
            <w:tcW w:w="6120" w:type="dxa"/>
            <w:vAlign w:val="bottom"/>
          </w:tcPr>
          <w:p>
            <w:pPr>
              <w:spacing w:after="0"/>
              <w:rPr>
                <w:sz w:val="6"/>
                <w:szCs w:val="6"/>
                <w:color w:val="auto"/>
              </w:rPr>
            </w:pPr>
          </w:p>
        </w:tc>
        <w:tc>
          <w:tcPr>
            <w:tcW w:w="1760" w:type="dxa"/>
            <w:vAlign w:val="bottom"/>
            <w:tcBorders>
              <w:bottom w:val="single" w:sz="8" w:color="auto"/>
            </w:tcBorders>
            <w:gridSpan w:val="4"/>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20" w:type="dxa"/>
            <w:vAlign w:val="bottom"/>
          </w:tcPr>
          <w:p>
            <w:pPr>
              <w:spacing w:after="0"/>
              <w:rPr>
                <w:sz w:val="4"/>
                <w:szCs w:val="4"/>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w:t>
            </w:r>
          </w:p>
        </w:tc>
        <w:tc>
          <w:tcPr>
            <w:tcW w:w="400" w:type="dxa"/>
            <w:vAlign w:val="bottom"/>
            <w:gridSpan w:val="2"/>
            <w:vMerge w:val="restart"/>
          </w:tcPr>
          <w:p>
            <w:pPr>
              <w:spacing w:after="0"/>
              <w:rPr>
                <w:sz w:val="4"/>
                <w:szCs w:val="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Percent</w:t>
            </w:r>
          </w:p>
        </w:tc>
        <w:tc>
          <w:tcPr>
            <w:tcW w:w="4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420" w:type="dxa"/>
            <w:vAlign w:val="bottom"/>
            <w:vMerge w:val="restart"/>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3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spacing w:after="0"/>
              <w:rPr>
                <w:sz w:val="20"/>
                <w:szCs w:val="20"/>
                <w:color w:val="auto"/>
              </w:rPr>
            </w:pPr>
            <w:r>
              <w:rPr>
                <w:rFonts w:ascii="Arial" w:cs="Arial" w:eastAsia="Arial" w:hAnsi="Arial"/>
                <w:sz w:val="18"/>
                <w:szCs w:val="18"/>
                <w:color w:val="auto"/>
              </w:rPr>
              <w:t>Existing stockholders</w:t>
            </w:r>
          </w:p>
        </w:tc>
        <w:tc>
          <w:tcPr>
            <w:tcW w:w="880" w:type="dxa"/>
            <w:vAlign w:val="bottom"/>
            <w:tcBorders>
              <w:bottom w:val="single" w:sz="8" w:color="auto"/>
            </w:tcBorders>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14,159,333</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78.0%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7"/>
              </w:rPr>
              <w:t>90,434,670</w:t>
            </w:r>
          </w:p>
        </w:tc>
        <w:tc>
          <w:tcPr>
            <w:tcW w:w="420" w:type="dxa"/>
            <w:vAlign w:val="bottom"/>
          </w:tcPr>
          <w:p>
            <w:pPr>
              <w:spacing w:after="0"/>
              <w:rPr>
                <w:sz w:val="16"/>
                <w:szCs w:val="16"/>
                <w:color w:val="auto"/>
              </w:rPr>
            </w:pPr>
          </w:p>
        </w:tc>
        <w:tc>
          <w:tcPr>
            <w:tcW w:w="8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60.1%</w:t>
            </w:r>
          </w:p>
        </w:tc>
        <w:tc>
          <w:tcPr>
            <w:tcW w:w="1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New public investors</w:t>
            </w:r>
          </w:p>
        </w:tc>
        <w:tc>
          <w:tcPr>
            <w:tcW w:w="8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60,000,000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18,159,333</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150,434,670</w:t>
            </w:r>
          </w:p>
        </w:tc>
        <w:tc>
          <w:tcPr>
            <w:tcW w:w="4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 $1.00 increase (decrease) in the assumed initial public offering price of $15.00 per share, the midpoint of the price range set forth on the cover page of this prospectus, would increase (decrease) total consideration paid by new investors and total consideration paid by all stockholders by approximately $3.7 million, assuming that the number of shares offered by us, as set forth on the cover page of this prospectus, remains the same, and after deducting estimated underwriting discounts and commissions and estimated offering expenses payable by us.</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indicated an interest in purchasing up to an aggregate of $30.0 million of shares of our common stock in this offering at the initial public offering price. As these indications of interest are not binding, the foregoing discussion and table do not reflect any such potential purchases.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75.5% and our new investors would own 24.5% of the total number of shares of our common stock outstanding upon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14,159,333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89" w:lineRule="exact"/>
        <w:rPr>
          <w:sz w:val="20"/>
          <w:szCs w:val="20"/>
          <w:color w:val="auto"/>
        </w:rPr>
      </w:pPr>
    </w:p>
    <w:p>
      <w:pPr>
        <w:ind w:left="660" w:right="28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48"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48" w:lineRule="exact"/>
        <w:rPr>
          <w:rFonts w:ascii="Arial" w:cs="Arial" w:eastAsia="Arial" w:hAnsi="Arial"/>
          <w:sz w:val="18"/>
          <w:szCs w:val="18"/>
          <w:color w:val="auto"/>
        </w:rPr>
      </w:pPr>
    </w:p>
    <w:p>
      <w:pPr>
        <w:ind w:left="660" w:right="80" w:hanging="206"/>
        <w:spacing w:after="0" w:line="29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 future issuance under our 2017 Equity Incentive Plan, which will become effective on the date immediately prior to the date of this prospectus and (c) 218,000 shares of common stock reserved for future issuance under our 2017 Employee Stock Purchase Plan, which will become effective on the date of this prospectus. Upon the closing of this offering, any remaining shares available for issuance under our 2006 Equity Incentive Plan will be added to the shares reserved under our 2017 Equity Incentive Plan and we will cease granting awards under our 2006 Equity Incentive Plan. 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44"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w:t>
      </w:r>
    </w:p>
    <w:p>
      <w:pPr>
        <w:spacing w:after="0" w:line="48" w:lineRule="exact"/>
        <w:rPr>
          <w:rFonts w:ascii="Arial" w:cs="Arial" w:eastAsia="Arial" w:hAnsi="Arial"/>
          <w:sz w:val="18"/>
          <w:szCs w:val="18"/>
          <w:color w:val="auto"/>
        </w:rPr>
      </w:pPr>
    </w:p>
    <w:p>
      <w:pPr>
        <w:ind w:left="660" w:right="680" w:hanging="206"/>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Series C convertible preferred stock that were outstanding as of September 30, 2016, with an exercise price of $4.55 per share, that do not expire upon the closing of this offering; and</w:t>
      </w:r>
    </w:p>
    <w:p>
      <w:pPr>
        <w:spacing w:after="0" w:line="2" w:lineRule="exact"/>
        <w:rPr>
          <w:rFonts w:ascii="Arial" w:cs="Arial" w:eastAsia="Arial" w:hAnsi="Arial"/>
          <w:sz w:val="16"/>
          <w:szCs w:val="16"/>
          <w:color w:val="auto"/>
        </w:rPr>
      </w:pPr>
    </w:p>
    <w:p>
      <w:pPr>
        <w:ind w:left="660" w:right="320" w:hanging="206"/>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nine months ended September 30, 2015 and 2016 and the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16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Collaboration revenue</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13,517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13,930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17,304</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10,403</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23"/>
        </w:trPr>
        <w:tc>
          <w:tcPr>
            <w:tcW w:w="516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10,770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440"/>
              <w:spacing w:after="0"/>
              <w:rPr>
                <w:sz w:val="20"/>
                <w:szCs w:val="20"/>
                <w:color w:val="auto"/>
              </w:rPr>
            </w:pPr>
            <w:r>
              <w:rPr>
                <w:rFonts w:ascii="Arial" w:cs="Arial" w:eastAsia="Arial" w:hAnsi="Arial"/>
                <w:sz w:val="18"/>
                <w:szCs w:val="18"/>
                <w:color w:val="auto"/>
              </w:rPr>
              <w:t>Income (loss) from operations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(5,287)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(3,322)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5160" w:type="dxa"/>
            <w:vAlign w:val="bottom"/>
          </w:tcPr>
          <w:p>
            <w:pPr>
              <w:ind w:left="1440"/>
              <w:spacing w:after="0"/>
              <w:rPr>
                <w:sz w:val="20"/>
                <w:szCs w:val="20"/>
                <w:color w:val="auto"/>
              </w:rPr>
            </w:pPr>
            <w:r>
              <w:rPr>
                <w:rFonts w:ascii="Arial" w:cs="Arial" w:eastAsia="Arial" w:hAnsi="Arial"/>
                <w:sz w:val="18"/>
                <w:szCs w:val="18"/>
                <w:color w:val="auto"/>
              </w:rPr>
              <w:t>Total other income (expense), net</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1440"/>
              <w:spacing w:after="0"/>
              <w:rPr>
                <w:sz w:val="20"/>
                <w:szCs w:val="20"/>
                <w:color w:val="auto"/>
              </w:rPr>
            </w:pPr>
            <w:r>
              <w:rPr>
                <w:rFonts w:ascii="Arial" w:cs="Arial" w:eastAsia="Arial" w:hAnsi="Arial"/>
                <w:sz w:val="18"/>
                <w:szCs w:val="18"/>
                <w:color w:val="auto"/>
              </w:rPr>
              <w:t>Income (loss) before income taxes</w:t>
            </w: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(5,545)</w:t>
            </w:r>
          </w:p>
        </w:tc>
        <w:tc>
          <w:tcPr>
            <w:tcW w:w="1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(5,266)</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60" w:type="dxa"/>
            <w:vAlign w:val="bottom"/>
          </w:tcPr>
          <w:p>
            <w:pPr>
              <w:ind w:left="1080"/>
              <w:spacing w:after="0"/>
              <w:rPr>
                <w:sz w:val="20"/>
                <w:szCs w:val="20"/>
                <w:color w:val="auto"/>
              </w:rPr>
            </w:pPr>
            <w:r>
              <w:rPr>
                <w:rFonts w:ascii="Arial" w:cs="Arial" w:eastAsia="Arial" w:hAnsi="Arial"/>
                <w:sz w:val="18"/>
                <w:szCs w:val="18"/>
                <w:color w:val="auto"/>
              </w:rPr>
              <w:t>Provision for income taxes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720"/>
              <w:spacing w:after="0"/>
              <w:rPr>
                <w:sz w:val="20"/>
                <w:szCs w:val="20"/>
                <w:color w:val="auto"/>
              </w:rPr>
            </w:pPr>
            <w:r>
              <w:rPr>
                <w:rFonts w:ascii="Arial" w:cs="Arial" w:eastAsia="Arial" w:hAnsi="Arial"/>
                <w:sz w:val="18"/>
                <w:szCs w:val="18"/>
                <w:color w:val="auto"/>
              </w:rPr>
              <w:t>Net income (loss)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(5,545)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(5,405)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Arial" w:cs="Arial" w:eastAsia="Arial" w:hAnsi="Arial"/>
                <w:sz w:val="18"/>
                <w:szCs w:val="18"/>
                <w:color w:val="auto"/>
              </w:rPr>
              <w:t>Net income attributed to participating securities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21"/>
                <w:szCs w:val="2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income (loss) attributed to common stockholders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(5,545)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(5,405)</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share:(1)</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(4.98)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outstanding:(1)</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Pro forma net income (loss) per common share (unaudited):(1)</w:t>
            </w: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Pro forma weighted-average number of shares outstanding</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(unaudited):(1)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vMerge w:val="restart"/>
          </w:tcPr>
          <w:p>
            <w:pPr>
              <w:jc w:val="right"/>
              <w:ind w:right="11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60" w:right="14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94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9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20" w:type="dxa"/>
            <w:vAlign w:val="bottom"/>
            <w:vMerge w:val="continue"/>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$ 22,188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$ 51,684</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25,065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56,280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55,837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4,793</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569</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36,828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77,516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77,516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4680" w:type="dxa"/>
            <w:vAlign w:val="bottom"/>
            <w:gridSpan w:val="3"/>
          </w:tcPr>
          <w:p>
            <w:pPr>
              <w:jc w:val="right"/>
              <w:ind w:right="20"/>
              <w:spacing w:after="0"/>
              <w:rPr>
                <w:sz w:val="20"/>
                <w:szCs w:val="20"/>
                <w:color w:val="auto"/>
              </w:rPr>
            </w:pPr>
            <w:r>
              <w:rPr>
                <w:rFonts w:ascii="Arial" w:cs="Arial" w:eastAsia="Arial" w:hAnsi="Arial"/>
                <w:sz w:val="18"/>
                <w:szCs w:val="18"/>
                <w:color w:val="auto"/>
              </w:rPr>
              <w:t>(30,835)</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(35,179)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365"/>
        </w:trPr>
        <w:tc>
          <w:tcPr>
            <w:tcW w:w="4120" w:type="dxa"/>
            <w:vAlign w:val="bottom"/>
          </w:tcPr>
          <w:p>
            <w:pPr>
              <w:spacing w:after="0"/>
              <w:rPr>
                <w:sz w:val="24"/>
                <w:szCs w:val="24"/>
                <w:color w:val="auto"/>
              </w:rPr>
            </w:pPr>
          </w:p>
        </w:tc>
        <w:tc>
          <w:tcPr>
            <w:tcW w:w="3940" w:type="dxa"/>
            <w:vAlign w:val="bottom"/>
          </w:tcPr>
          <w:p>
            <w:pPr>
              <w:jc w:val="right"/>
              <w:ind w:right="2170"/>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Under our TESARO collaboration, a Phase 1 clinical trial was initiated during the first quarter of 2016 to study an AnaptysBio-generated anti-PD-1 antagonist antibody (TSR-042) in patients under an IND cleared by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December 31, 2016, we have received $65.4 million in non-dilutive funding from our collaborators.</w:t>
      </w:r>
    </w:p>
    <w:p>
      <w:pPr>
        <w:spacing w:after="0" w:line="178"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December 31, 2016, we have raised $104.1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have generated multiple antibodies by using our SHM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2016, we had an accumulated deficit of $50.3 million primarily as a result of losses incurred since our inception in 2005. Although we reported net income of $3.5 million during the year ended December 31, 2014 and $0.3 million during the nine months ended September 30, 2016,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development services, for which we are reimbursed, are performed, which was extended through December 31, 2016 by amendment of the agreement in February 2016. From inception of the agreement through September 30, 2016, we have recognized $42.5 million in total revenue from TESARO.</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anti-PD-1 antagonist antibody (TSR-042) resulting in us receiving a $1.0 million milestone in July 2015. In October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In September 2016,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anti-LAG-3 antagonist antibody (TSR-033) resulting in us receiving a $1.0 million milestone in September 2016. We expect to receive an additional aggregate of $4.0 million in IND-related milestone payments by the end of the first half of 2017.</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September 30, 2016, we have recognized $9.0 million in total revenue from Celgene.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receiving a $0.5 million milestone payment in June 2016. In December 2016, Celgene cleared a U.S. IND with the FDA and initiated a Phase 1 trial for one of the two programs being advanced by Celgene, resulting in us earning an additional $1.0 million Phase 1 trial initiation milestone payment, which was received in January 2017.</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660" w:right="14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for the foreseeable future as we advance our product candidates into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Liability for Preferred Stock Warrants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an IRC Section 382/383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In October 2016, we extended the analysis period of the study through December 31, 2015, noting no ownership changes during fiscal 2015. If a change in ownership occurs as a result of this offering, additional NOL and tax credits carryforwards could be eliminated or restricted.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660" w:right="40" w:hanging="206"/>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59" w:lineRule="exact"/>
        <w:rPr>
          <w:rFonts w:ascii="Arial" w:cs="Arial" w:eastAsia="Arial" w:hAnsi="Arial"/>
          <w:sz w:val="16"/>
          <w:szCs w:val="16"/>
          <w:color w:val="auto"/>
        </w:rPr>
      </w:pPr>
    </w:p>
    <w:p>
      <w:pPr>
        <w:ind w:left="660" w:hanging="206"/>
        <w:spacing w:after="0" w:line="29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660" w:right="220" w:hanging="206"/>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660" w:hanging="206"/>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fair value of the underlying common shares</w:t>
      </w:r>
      <w:r>
        <w:rPr>
          <w:rFonts w:ascii="Arial" w:cs="Arial" w:eastAsia="Arial" w:hAnsi="Arial"/>
          <w:sz w:val="17"/>
          <w:szCs w:val="17"/>
          <w:color w:val="auto"/>
        </w:rPr>
        <w:t>, as approved by our board of directors, which was determined using the option-pricing method, or OPM,</w:t>
      </w:r>
      <w:r>
        <w:rPr>
          <w:rFonts w:ascii="Arial" w:cs="Arial" w:eastAsia="Arial" w:hAnsi="Arial"/>
          <w:sz w:val="17"/>
          <w:szCs w:val="17"/>
          <w:i w:val="1"/>
          <w:iCs w:val="1"/>
          <w:color w:val="auto"/>
        </w:rPr>
        <w:t xml:space="preserve"> </w:t>
      </w:r>
      <w:r>
        <w:rPr>
          <w:rFonts w:ascii="Arial" w:cs="Arial" w:eastAsia="Arial" w:hAnsi="Arial"/>
          <w:sz w:val="17"/>
          <w:szCs w:val="17"/>
          <w:color w:val="auto"/>
        </w:rPr>
        <w:t>in periods through December 31, 2014, and the probability-weighted expected return method, or PWERM, beginning March 31, 2015;</w:t>
      </w:r>
    </w:p>
    <w:p>
      <w:pPr>
        <w:spacing w:after="0" w:line="51" w:lineRule="exact"/>
        <w:rPr>
          <w:rFonts w:ascii="Arial" w:cs="Arial" w:eastAsia="Arial" w:hAnsi="Arial"/>
          <w:sz w:val="17"/>
          <w:szCs w:val="17"/>
          <w:color w:val="auto"/>
        </w:rPr>
      </w:pPr>
    </w:p>
    <w:p>
      <w:pPr>
        <w:ind w:left="660" w:right="580" w:hanging="20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vesting period for all option tranches, as we have insufficient historical information regarding our stock options to provide a basis for an estimate.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weighted average assumptions:</w:t>
      </w:r>
    </w:p>
    <w:p>
      <w:pPr>
        <w:spacing w:after="0" w:line="244"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Nine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29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10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71.1%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40" w:type="dxa"/>
            <w:vAlign w:val="bottom"/>
            <w:gridSpan w:val="3"/>
          </w:tcPr>
          <w:p>
            <w:pPr>
              <w:jc w:val="right"/>
              <w:ind w:right="440"/>
              <w:spacing w:after="0"/>
              <w:rPr>
                <w:sz w:val="20"/>
                <w:szCs w:val="20"/>
                <w:color w:val="auto"/>
              </w:rPr>
            </w:pPr>
            <w:r>
              <w:rPr>
                <w:rFonts w:ascii="Arial" w:cs="Arial" w:eastAsia="Arial" w:hAnsi="Arial"/>
                <w:sz w:val="18"/>
                <w:szCs w:val="18"/>
                <w:color w:val="auto"/>
              </w:rPr>
              <w:t>6.10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3940" w:type="dxa"/>
            <w:vAlign w:val="bottom"/>
            <w:gridSpan w:val="3"/>
          </w:tcPr>
          <w:p>
            <w:pPr>
              <w:jc w:val="right"/>
              <w:ind w:right="440"/>
              <w:spacing w:after="0"/>
              <w:rPr>
                <w:sz w:val="20"/>
                <w:szCs w:val="20"/>
                <w:color w:val="auto"/>
              </w:rPr>
            </w:pPr>
            <w:r>
              <w:rPr>
                <w:rFonts w:ascii="Arial" w:cs="Arial" w:eastAsia="Arial" w:hAnsi="Arial"/>
                <w:sz w:val="18"/>
                <w:szCs w:val="18"/>
                <w:color w:val="auto"/>
              </w:rPr>
              <w:t>$  4.27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3.64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There were 861,375 and 278,910 stock options granted during the nine months ended September 30, 2015 and 2016, respectively. Subsequent to September 30, 2016, we granted 221,953 stock options.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September 30, 2016 was $2.8 million and the weighted average period over which these grants are expected to vest is 2.8 years. We expect to continue to grant stock options in the future, and to the extent we do, our actual stock-based compensation expense recognized in future periods will likely increase.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660" w:hanging="206"/>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660" w:right="60" w:hanging="206"/>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Similar Transaction Method. </w:t>
      </w:r>
      <w:r>
        <w:rPr>
          <w:rFonts w:ascii="Arial" w:cs="Arial" w:eastAsia="Arial" w:hAnsi="Arial"/>
          <w:sz w:val="18"/>
          <w:szCs w:val="18"/>
          <w:color w:val="auto"/>
        </w:rPr>
        <w:t>The similar transaction method, or ST method, relies on data of actual transactions, such as mergers and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660" w:right="20" w:hanging="206"/>
        <w:spacing w:after="0" w:line="347"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jc w:val="both"/>
        <w:ind w:left="660" w:right="20" w:hanging="206"/>
        <w:spacing w:after="0" w:line="26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6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determined, after consultation with the underwriters, that our initial public offering price range will be $14.00 to $16.00 per share. As of the dates of the stock option grants in 2016 and 2017 through the date of this prospectus, our board of directors had determined the fair value of our common stock to be $5.95 per share (for the April 22, 2016, July 22, 2016 and September 23, 2016 grants), $11.20 per share (for the December 20, 2016 grants) and $11.34 per share (for the January 9, 2017 grants). The determination was based upon the factors described above. We believe the difference between the fair value of our common stock for the stock option grants in 2016 and 2017 through the date of this prospectus, in each case as determined by our board of directors, and the initial offering price range is a result of the following factors:</w:t>
      </w:r>
    </w:p>
    <w:p>
      <w:pPr>
        <w:spacing w:after="0" w:line="84" w:lineRule="exact"/>
        <w:rPr>
          <w:sz w:val="20"/>
          <w:szCs w:val="20"/>
          <w:color w:val="auto"/>
        </w:rPr>
      </w:pPr>
    </w:p>
    <w:p>
      <w:pPr>
        <w:ind w:left="66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differences in the valuation methodologies, assumptions and inputs used by the underwriters in their valuation analysis discussed with our management and used to determine the price range, which assume a successful initial public offering with no weighting attributed to any other outcome for our business, such as remaining a privately held company, compared to the valuation methodologies, assumptions and inputs used in the valuations considered by our board of directors;</w:t>
      </w:r>
    </w:p>
    <w:p>
      <w:pPr>
        <w:spacing w:after="0" w:line="92" w:lineRule="exact"/>
        <w:rPr>
          <w:rFonts w:ascii="Arial" w:cs="Arial" w:eastAsia="Arial" w:hAnsi="Arial"/>
          <w:sz w:val="18"/>
          <w:szCs w:val="18"/>
          <w:color w:val="auto"/>
        </w:rPr>
      </w:pPr>
    </w:p>
    <w:p>
      <w:pPr>
        <w:ind w:left="660" w:right="400" w:hanging="20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range necessarily assumes that an initial public offering has occurred and a public market for our common stock has been created and, therefore, excludes any marketability or liquidity discount for our common stock, which was appropriately taken into account in our board of directors’ fair value determinations;</w:t>
      </w:r>
    </w:p>
    <w:p>
      <w:pPr>
        <w:spacing w:after="0" w:line="86"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us and the underwriters and used to determine the price range, as compared to the prior analysis applied and comparable companies used by our board of directors;</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consideration of various objective and subjective factors in the previous fair value determinations, as described above, that were not applicable to the determination of the price range; and</w:t>
      </w:r>
    </w:p>
    <w:p>
      <w:pPr>
        <w:spacing w:after="0" w:line="75" w:lineRule="exact"/>
        <w:rPr>
          <w:rFonts w:ascii="Arial" w:cs="Arial" w:eastAsia="Arial" w:hAnsi="Arial"/>
          <w:sz w:val="18"/>
          <w:szCs w:val="18"/>
          <w:color w:val="auto"/>
        </w:rPr>
      </w:pPr>
    </w:p>
    <w:p>
      <w:pPr>
        <w:ind w:left="660" w:right="380" w:hanging="20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advancements in the development of our product candidates, in particular the receipt of FDA clearance of an IND for a Phase 2a clinical trial of ANB020 in the United States and the receipt of MHRA clearance of a CTA for a Phase 2a clinical trial of ANB020 in the United Kingdom in December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Liabilities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the accounting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share-based payments including forfeiture rates, expected option terms, intrinsic value, income taxes as they relate to awards, and cash flow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ASU 2016-09 becomes effective for our annual reporting period beginning January 1, 2017, including interim periods thereafter; early adoption is permitted.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assessing the impact that this standard will have on our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660" w:right="22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660" w:right="54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2015 and 2016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Collaboration revenue was $13.5 million and $13.9 million during the nine months ended September 30, 2015 and 2016, respectively. A comparison of revenue by collaborator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ind w:left="6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r>
      <w:tr>
        <w:trPr>
          <w:trHeight w:val="195"/>
        </w:trPr>
        <w:tc>
          <w:tcPr>
            <w:tcW w:w="862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7,500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1,976</w:t>
            </w:r>
          </w:p>
        </w:tc>
        <w:tc>
          <w:tcPr>
            <w:tcW w:w="4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(5,524)</w:t>
            </w:r>
          </w:p>
        </w:tc>
        <w:tc>
          <w:tcPr>
            <w:tcW w:w="60" w:type="dxa"/>
            <w:vAlign w:val="bottom"/>
          </w:tcPr>
          <w:p>
            <w:pPr>
              <w:spacing w:after="0"/>
              <w:rPr>
                <w:sz w:val="16"/>
                <w:szCs w:val="16"/>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(2,250)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TESARO-milestone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8,437</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7,687</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Celgene-milestone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13,517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13,930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During the first and fourth quarter of 2014 we received $17.0 million and $2.0 million, respectively, in upfront fees under our collaboration and exclusive license agreement with TESARO. For the nine months 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September 30, 2015 and 2016, we recognized the amortized portion of these upfront fees in the amounts of $7.5 million and $2.0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$5.3 million and $3.0 million during the nine months ended September 30, 2015 and 2016, respectively, for research and development services performed under the agreement.</w:t>
      </w:r>
    </w:p>
    <w:p>
      <w:pPr>
        <w:spacing w:after="0" w:line="18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In June 2015, TESARO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GLPs for an AnaptysBio-generated anti-PD-1 antagonist antibody (TSR-042) resulting in us earning a $1.0 million milestone. We recognized revenue of $0.8 million and $0.1 million during the nine months ended September 30, 2015 and 2016, respectively. The remaining milestone is being recognized ratably through December 2016, and was received in July 2015.</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nine months ended September 30, 2016. The $0.5 million milestone payment was received in June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Celgene cleared a U.S. IND with the FDA and initiated a Phase 1 trial, resulting in us earning a $1.0 million milestone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$1.0 million milestone payment was received in January 2017.</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payments of $0.1 million at September 30, 2016 will be recognized ratably through December 31, 2016. The $1.0 million milestone payment was received in September 2016.</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Research and development expenses were $10.7 million and $10.4 million during the nine months ended September 30, 2015 and 2016, respectively, for a decrease of $0.3 million. The decrease was due primarily to the recognition of a tax incentive, which reduced our expenses by $6.2 million during the nine months ended September 30, 2016, upon our determination that the tax incentive was collectible. No tax incentive was recorded during the nine months ended September 30, 2015. The decrease was offset by a $3.4 million increase in outside service for preclinical trial work, a $1.7 million increase in clinical trial work, as well as a $1.0 million increase in salaries and related expenses including recruiting and relocation expense, resulting primarily from an increase in research and development personnel.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General and administrative expenses were $2.5 million and $3.4 million during the nine months ended September 30, 2015 and 2016, respectively, for an increase of $0.9 million. The increase was due primarily to a $0.7 million increase in salaries and related expenses for new senior level positions, and a $0.2 million increase in intellectual property related legal expenses, primarily those related to prosecuting and maintaining patent applications.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Interest expense was $0.3 million during each of the nine months ended September 30, 2015 and 2016. The interest expense represents effective interest of 9.25% and 9.29% during the nine months ended September 30, 2015 and 2016, respectively, on our outstanding Term A Loans, which had an outstanding principal balance of $5.0 million as of September 30, 2015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$1.5 million and income of $0.3 million during the nine months ended September 30, 2015 and 2016, respectively, due to changes in the valuation of our Series C convertible preferred stock which impacts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income (expense) was ($0.2) million during the nine months ended September 30, 2015 and primarily consisted of a foreign exchange loss of ($0.3) million related to our Australian subsidiary, which was established in March 2015. Other income (expense) was $0.2 million during the nine months ended September 30, 2016 and primarily consisted of interest income from our money market fund, as well as foreign exchange gains related to our Australian subsidiary.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December 31,</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(Decrease)</w:t>
            </w:r>
          </w:p>
        </w:tc>
      </w:tr>
      <w:tr>
        <w:trPr>
          <w:trHeight w:val="195"/>
        </w:trPr>
        <w:tc>
          <w:tcPr>
            <w:tcW w:w="862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4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9,386</w:t>
            </w: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2,406</w:t>
            </w:r>
          </w:p>
        </w:tc>
        <w:tc>
          <w:tcPr>
            <w:tcW w:w="60" w:type="dxa"/>
            <w:vAlign w:val="bottom"/>
          </w:tcPr>
          <w:p>
            <w:pPr>
              <w:spacing w:after="0"/>
              <w:rPr>
                <w:sz w:val="16"/>
                <w:szCs w:val="16"/>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6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TESARO-milestone</w:t>
            </w: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Momenta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(3,100)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17,571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022), each being advanced by TESARO. The remaining unrecognized milestone payments of $0.3 million at December 31, 2015 will be recognized ratably through December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4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Momenta</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Celgene Corporation</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3,746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(3,154)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1,737</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(1,139)</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5,483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180" w:type="dxa"/>
            <w:vAlign w:val="bottom"/>
            <w:vMerge w:val="restart"/>
          </w:tcPr>
          <w:p>
            <w:pPr>
              <w:jc w:val="right"/>
              <w:ind w:right="28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Stock Warrants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From our inception through September 30, 2016, we have received an aggregate of $158.8 million to fund our operations which included $84.9 million from the sale of equity securities, $64.5 million from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and $9.4 million from venture debt. As of September 30, 2016, we had $47.1 million in cash and cash equivalents.</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Under the Loan Agreement, we may borrow up to $15.0 million in three separate draws of $5.0 million each, of which, at September 30, 2016, $5.0 million of the Term A Loans were outstanding and $5.0 million of the Term B Loans and $5.0 million of the Term C Loans were undrawn.</w:t>
      </w:r>
    </w:p>
    <w:p>
      <w:pPr>
        <w:spacing w:after="0" w:line="124" w:lineRule="exact"/>
        <w:rPr>
          <w:sz w:val="20"/>
          <w:szCs w:val="20"/>
          <w:color w:val="auto"/>
        </w:rPr>
      </w:pPr>
    </w:p>
    <w:p>
      <w:pPr>
        <w:jc w:val="both"/>
        <w:ind w:right="360" w:firstLine="456"/>
        <w:spacing w:after="0" w:line="302" w:lineRule="auto"/>
        <w:rPr>
          <w:sz w:val="20"/>
          <w:szCs w:val="20"/>
          <w:color w:val="auto"/>
        </w:rPr>
      </w:pPr>
      <w:r>
        <w:rPr>
          <w:rFonts w:ascii="Arial" w:cs="Arial" w:eastAsia="Arial" w:hAnsi="Arial"/>
          <w:sz w:val="16"/>
          <w:szCs w:val="16"/>
          <w:color w:val="auto"/>
        </w:rPr>
        <w:t>In January 2016, we amended the Loan Agreement to combine Term B Loans and Term C Loans for a total of $10.0 million available for draw and delay the principal repayments for our Term A Loans from February 1, 2016 until February 1, 2017. In December 2016, the Loan Agreement was further amended to (i) allow for the Term B Loans and Term C Loans to be drawn on December 30, 2016, (ii) delay principal repayments of all Term Loans until February 1, 2018 and (iii) amend the interest rate for each Loan. The Term B Loans and the Term C Loans were drawn on December 30, 2016.</w:t>
      </w:r>
    </w:p>
    <w:p>
      <w:pPr>
        <w:spacing w:after="0" w:line="15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December 30, 2016, the Term B Loans and the Term C Loans were drawn in full and as of December 30, 2016, $5.0 million of the Term B Loans and $5.0 million of the Term C Loans were outstanding. Each Loan bears interest equal to 3-month U.S. LIBOR plus 6.37%, with principal payments beginning February 1, 2018 and final maturity in January 2020. As of December 31, 2016, the Loans are due in 13 monthly interest-only payments through January 2018, followed by 24 equal monthly principal and interest payments, with final maturity in January 2020. In conjunction with the December 30, 2016 draw we issued 82,416 Series C Preferred warrants to the lenders with an exercise price of $4.55 which expire December 30, 2026.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Net cash used in operating activities during the nine months ended September 30, 2015 of $7.0 million was primarily due to cash operating expenses of $13.2 million offset by cash received from our collaboration agreement with TESARO of $5.8 million. Net cash used in operating activities during the nine months ended September 30, 2016 of $3.5 million was primarily due to cash operating expenses of $16.4 million, offset by cash received from our collaboration agreement with TESARO of $12.4 million and cash received from our collaboration agreement with Celgene of $0.5 million.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2015 was $40.3 million. The cash proceeds primarily relate to the issuance of Series D Convertible Preferred Stock for net proceeds of $40.7 million in July 2015 offset by $0.5 million in payments related to deferred offering costs. The cash used in financing activities during the nine months ended September 30, 2016 was $1.0 million and was primarily related to payments made for our deferred offering costs.</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(1)</w:t>
            </w:r>
          </w:p>
        </w:tc>
        <w:tc>
          <w:tcPr>
            <w:tcW w:w="480" w:type="dxa"/>
            <w:vAlign w:val="bottom"/>
          </w:tcPr>
          <w:p>
            <w:pPr>
              <w:spacing w:after="0"/>
              <w:rPr>
                <w:sz w:val="10"/>
                <w:szCs w:val="10"/>
                <w:color w:val="auto"/>
              </w:rPr>
            </w:pPr>
          </w:p>
        </w:tc>
        <w:tc>
          <w:tcPr>
            <w:tcW w:w="11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3"/>
              </w:rPr>
              <w:t>Less Than</w:t>
            </w:r>
          </w:p>
        </w:tc>
        <w:tc>
          <w:tcPr>
            <w:tcW w:w="50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1-3</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4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5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line="157" w:lineRule="exact"/>
              <w:rPr>
                <w:sz w:val="20"/>
                <w:szCs w:val="20"/>
                <w:color w:val="auto"/>
              </w:rPr>
            </w:pPr>
            <w:r>
              <w:rPr>
                <w:rFonts w:ascii="Arial" w:cs="Arial" w:eastAsia="Arial" w:hAnsi="Arial"/>
                <w:sz w:val="14"/>
                <w:szCs w:val="14"/>
                <w:b w:val="1"/>
                <w:bCs w:val="1"/>
                <w:color w:val="auto"/>
                <w:w w:val="90"/>
              </w:rPr>
              <w:t>1 Year</w:t>
            </w: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Years</w:t>
            </w:r>
          </w:p>
        </w:tc>
        <w:tc>
          <w:tcPr>
            <w:tcW w:w="98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Notes payable, including interest and final payment fee</w:t>
            </w:r>
            <w:r>
              <w:rPr>
                <w:rFonts w:ascii="Arial" w:cs="Arial" w:eastAsia="Arial" w:hAnsi="Arial"/>
                <w:sz w:val="15"/>
                <w:szCs w:val="15"/>
                <w:color w:val="auto"/>
              </w:rPr>
              <w:t>(2)</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$5,999</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349</w:t>
            </w:r>
          </w:p>
        </w:tc>
        <w:tc>
          <w:tcPr>
            <w:tcW w:w="50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$5,176</w:t>
            </w:r>
          </w:p>
        </w:tc>
        <w:tc>
          <w:tcPr>
            <w:tcW w:w="4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474</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15"/>
                <w:szCs w:val="15"/>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3,152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512</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401</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6,257</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1,632</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jc w:val="both"/>
        <w:ind w:left="460" w:right="80" w:hanging="452"/>
        <w:spacing w:after="0" w:line="256"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ind w:left="460" w:right="120" w:hanging="452"/>
        <w:spacing w:after="0" w:line="25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and in December 2016, we amended the Loan Agreement to allow for the Term B Loans and Term C Loans to be drawn on December 30, 2016, delay principal repayments of all term loans until February 1, 2018 and amend the interest rate for each loan as described in “Liquidity and Capital Resources” above.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$84,000 during the nine months ended September 30, 2016.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expect that our collaborators will advance four AnaptysBio-generated antibodies to the clinic by the end of the first half of 2017. Through December 31, 2016, we have received $65.4 million in significant, non-dilutive funding from our collaborators.</w:t>
      </w:r>
    </w:p>
    <w:p>
      <w:pPr>
        <w:spacing w:after="0" w:line="170" w:lineRule="exact"/>
        <w:rPr>
          <w:sz w:val="20"/>
          <w:szCs w:val="20"/>
          <w:color w:val="auto"/>
        </w:rPr>
      </w:pPr>
    </w:p>
    <w:p>
      <w:pPr>
        <w:ind w:right="600" w:firstLine="456"/>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December 31, 2016, we have raised approximately $104.1 million from investors, including Biotechnology Value Fund, Cormorant Asset Management, Frazier Healthcare, HBM Partners, Longwood Capital Partners and Novo A/S.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104775</wp:posOffset>
            </wp:positionV>
            <wp:extent cx="4502150" cy="26670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0215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660" w:right="40" w:hanging="206"/>
        <w:spacing w:after="0" w:line="27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 potentially first-in-class antibody that inhibits the activity of IL-33, a pro-inflammatory cytokine that multiple studies have indicated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under an approved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a cleared U.S. IND and a U.K. CTA to initiate Phase 2a trials of ANB020 for the treatment of severe adult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68" w:lineRule="auto"/>
        <w:rPr>
          <w:sz w:val="20"/>
          <w:szCs w:val="20"/>
          <w:color w:val="auto"/>
        </w:rPr>
      </w:pPr>
      <w:r>
        <w:rPr>
          <w:rFonts w:ascii="Arial" w:cs="Arial" w:eastAsia="Arial" w:hAnsi="Arial"/>
          <w:sz w:val="17"/>
          <w:szCs w:val="17"/>
          <w:color w:val="auto"/>
        </w:rPr>
        <w:t>peanut allergy and moderate-to-severe adult atopic dermatitis, respectively, each of which are anticipated to be initiated during the first quarter of 2017. We anticipate top-line data from these trials to be announced in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89" w:lineRule="exact"/>
        <w:rPr>
          <w:sz w:val="20"/>
          <w:szCs w:val="20"/>
          <w:color w:val="auto"/>
        </w:rPr>
      </w:pPr>
    </w:p>
    <w:p>
      <w:pPr>
        <w:ind w:left="660" w:hanging="206"/>
        <w:spacing w:after="0" w:line="26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 PPP</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have submitted an Australian CTN for ANB019 and, if cleared, we plan to initiate Phase 1 trials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82" w:lineRule="exact"/>
        <w:rPr>
          <w:rFonts w:ascii="Arial" w:cs="Arial" w:eastAsia="Arial" w:hAnsi="Arial"/>
          <w:sz w:val="17"/>
          <w:szCs w:val="17"/>
          <w:color w:val="auto"/>
        </w:rPr>
      </w:pPr>
    </w:p>
    <w:p>
      <w:pPr>
        <w:ind w:left="660" w:right="40" w:hanging="206"/>
        <w:spacing w:after="0" w:line="25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AnaptysBio to multiple different immune checkpoint receptors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 is designed to replicate the natural process of SHM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Competing antibody discovery technologies include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mouse immunization methodologies, microbial antibody display and human B-cell screening. We believe our SHM platform overcomes several key limitations associated with these competing technologies and has the following competitive advantages:</w:t>
      </w:r>
    </w:p>
    <w:p>
      <w:pPr>
        <w:spacing w:after="0" w:line="72" w:lineRule="exact"/>
        <w:rPr>
          <w:sz w:val="20"/>
          <w:szCs w:val="20"/>
          <w:color w:val="auto"/>
        </w:rPr>
      </w:pPr>
    </w:p>
    <w:p>
      <w:pPr>
        <w:ind w:left="660" w:right="180" w:hanging="206"/>
        <w:spacing w:after="0" w:line="26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 unprecedented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660" w:right="280" w:hanging="206"/>
        <w:spacing w:after="0" w:line="31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60" w:right="140" w:hanging="206"/>
        <w:spacing w:after="0" w:line="26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660" w:right="20" w:hanging="206"/>
        <w:spacing w:after="0" w:line="28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Speed. </w:t>
      </w:r>
      <w:r>
        <w:rPr>
          <w:rFonts w:ascii="Arial" w:cs="Arial" w:eastAsia="Arial" w:hAnsi="Arial"/>
          <w:sz w:val="17"/>
          <w:szCs w:val="17"/>
          <w:color w:val="auto"/>
        </w:rPr>
        <w:t>Our platform technology has enabled us to generate therapeutic-grade antibodies and subsequently advance preclinical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63" w:lineRule="exact"/>
        <w:rPr>
          <w:rFonts w:ascii="Arial" w:cs="Arial" w:eastAsia="Arial" w:hAnsi="Arial"/>
          <w:sz w:val="17"/>
          <w:szCs w:val="17"/>
          <w:color w:val="auto"/>
        </w:rPr>
      </w:pPr>
    </w:p>
    <w:p>
      <w:pPr>
        <w:ind w:left="660" w:hanging="206"/>
        <w:spacing w:after="0" w:line="28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expression, formulation and stability during the antibody generation process.</w:t>
      </w:r>
    </w:p>
    <w:p>
      <w:pPr>
        <w:spacing w:after="0" w:line="67" w:lineRule="exact"/>
        <w:rPr>
          <w:rFonts w:ascii="Arial" w:cs="Arial" w:eastAsia="Arial" w:hAnsi="Arial"/>
          <w:sz w:val="18"/>
          <w:szCs w:val="18"/>
          <w:color w:val="auto"/>
        </w:rPr>
      </w:pPr>
    </w:p>
    <w:p>
      <w:pPr>
        <w:ind w:left="660" w:hanging="206"/>
        <w:spacing w:after="0" w:line="291"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660" w:right="60" w:hanging="206"/>
        <w:spacing w:after="0" w:line="27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Advancing our wholly-owned lead product candidates to clinical milestones. </w:t>
      </w:r>
      <w:r>
        <w:rPr>
          <w:rFonts w:ascii="Arial" w:cs="Arial" w:eastAsia="Arial" w:hAnsi="Arial"/>
          <w:sz w:val="17"/>
          <w:szCs w:val="17"/>
          <w:color w:val="auto"/>
        </w:rPr>
        <w:t>We are working to demonstrate the safety and efficacy of 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wholly-owned pipeline programs, and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a cleared U.S. IND and U.K. CTA to initiate Phase 2a trials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spacing w:after="0" w:line="284" w:lineRule="auto"/>
        <w:rPr>
          <w:sz w:val="20"/>
          <w:szCs w:val="20"/>
          <w:color w:val="auto"/>
        </w:rPr>
      </w:pPr>
      <w:r>
        <w:rPr>
          <w:rFonts w:ascii="Arial" w:cs="Arial" w:eastAsia="Arial" w:hAnsi="Arial"/>
          <w:sz w:val="16"/>
          <w:szCs w:val="16"/>
          <w:color w:val="auto"/>
        </w:rPr>
        <w:t>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w:t>
      </w:r>
    </w:p>
    <w:p>
      <w:pPr>
        <w:spacing w:after="0" w:line="5" w:lineRule="exact"/>
        <w:rPr>
          <w:sz w:val="20"/>
          <w:szCs w:val="20"/>
          <w:color w:val="auto"/>
        </w:rPr>
      </w:pPr>
    </w:p>
    <w:p>
      <w:pPr>
        <w:jc w:val="both"/>
        <w:ind w:left="680"/>
        <w:spacing w:after="0" w:line="261" w:lineRule="auto"/>
        <w:rPr>
          <w:sz w:val="20"/>
          <w:szCs w:val="20"/>
          <w:color w:val="auto"/>
        </w:rPr>
      </w:pPr>
      <w:r>
        <w:rPr>
          <w:rFonts w:ascii="Arial" w:cs="Arial" w:eastAsia="Arial" w:hAnsi="Arial"/>
          <w:sz w:val="18"/>
          <w:szCs w:val="18"/>
          <w:color w:val="auto"/>
        </w:rPr>
        <w:t>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5" w:lineRule="exact"/>
        <w:rPr>
          <w:sz w:val="20"/>
          <w:szCs w:val="20"/>
          <w:color w:val="auto"/>
        </w:rPr>
      </w:pPr>
    </w:p>
    <w:p>
      <w:pPr>
        <w:ind w:left="660" w:right="140" w:hanging="206"/>
        <w:spacing w:after="0" w:line="314"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47"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660" w:right="140" w:hanging="206"/>
        <w:spacing w:after="0" w:line="28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184150</wp:posOffset>
            </wp:positionV>
            <wp:extent cx="5213985" cy="40132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describes milestones anticipated during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184150</wp:posOffset>
            </wp:positionV>
            <wp:extent cx="5213985" cy="5008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December 31, 2016.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660" w:right="660" w:hanging="206"/>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51" w:lineRule="exact"/>
        <w:rPr>
          <w:rFonts w:ascii="Arial" w:cs="Arial" w:eastAsia="Arial" w:hAnsi="Arial"/>
          <w:sz w:val="17"/>
          <w:szCs w:val="17"/>
          <w:color w:val="auto"/>
        </w:rPr>
      </w:pPr>
    </w:p>
    <w:p>
      <w:pPr>
        <w:ind w:left="660" w:right="540" w:hanging="20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Anti-LAG-3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TSR-033</w:t>
      </w:r>
      <w:r>
        <w:rPr>
          <w:rFonts w:ascii="Arial" w:cs="Arial" w:eastAsia="Arial" w:hAnsi="Arial"/>
          <w:sz w:val="18"/>
          <w:szCs w:val="18"/>
          <w:color w:val="auto"/>
        </w:rPr>
        <w:t>): currently in preclinical development, expect the initiation of a Phase 1 trial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2017;</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Anti-IL-33 Antibody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are currently conducting a Phase 1 trial of ANB020 in healthy volunteers in Australia under an approved CTN.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5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65775" cy="3430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577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2919730</wp:posOffset>
            </wp:positionV>
            <wp:extent cx="18865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Description</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ANB020, which is a potential first-in-class therapeutic antibody, is our wholly-owned anti-IL-33 antibody product candidate generated using our SHM technology platform.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 D , and half-maximal inhibitory concentration values, or IC 50. ANB020 demonstrated highly potent K D values of approximately 1 pM and 37 pM for human and cynomolgus monkey IL-33, respectively. ANB020 inhibits secretion of IL-5 from primary basophils purified from peripheral blood of healthy human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2214880</wp:posOffset>
            </wp:positionV>
            <wp:extent cx="1886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139700</wp:posOffset>
            </wp:positionV>
            <wp:extent cx="3087370" cy="1835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8737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assay indicates that ANB020 has approximately 15-fold greater potency than soluble ST2 in inhibiting IL-5 release.</w:t>
      </w:r>
    </w:p>
    <w:p>
      <w:pPr>
        <w:spacing w:after="0" w:line="22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are utilizing in our Phase 1 trial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1983740</wp:posOffset>
            </wp:positionV>
            <wp:extent cx="1886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131445</wp:posOffset>
            </wp:positionV>
            <wp:extent cx="4888230" cy="1612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8823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Figure 4. ANB020 inhibits the activity of human and cynomolgus IL-33 as measured by interferongamma release from PBMCs treated overnight with 100 mg/ml IL-12, challenged with ten (human) or five (cynomolgus) nM IL-33 for 48 hours.</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We have completed a Phase 1 trial of ANB020 in healthy volunteers in Australia under an approved CTN. Our Phase 1 trial assessed,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have also been completed. In the double-blind, placebo-controlled Phase 1 trial, 96 healthy volunteer subjects were dosed with either a single subcutaneous or intravenous dose of ANB020 ranging between 10 mg and 750 mg, or four multiple doses of ANB020 ranging between 40 mg and 300 mg over a period of four consecutive weeks. In our Phase 1 clinical trial of ANB020, the most common adverse events were upper respiratory tract infection and headache, and the most severe was a reduction of white blood cell counts. There were no adverse events that were determined to be drug-related, and no dose-limiting toxicities were observed at any dose level. We have concurrently utilized a whole blood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 to evaluate pharmacodynamics, and we believe the results of this assay suggest that the pharmacodynamic activity of ANB020 can, at certain dose levels, extend to three months subsequent to a single administration.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a cleared U.S. IND and U.K. CTA to initiate Phase 2a trials for ANB020 in patients with severe adult peanut allergy and moderate-to-severe adult atopic dermatitis, respectively, each of which are anticipated to be initiated during the first quarter of 2017. We anticipate announcing top-line data from both of these trials during the second half of 2017. In addition, we plan to seek regulatory clearance during the first half of 2017 to initiate a Phase 2a trial in patients with severe adult eosinophilic asthma, and announce top-line data from the trial during the first half of 2018. Our planned Phase 2a trial in the U.K. in moderate-to-severe atopic dermatitis patients will assess the efficacy and safety of ANB020, as measured by clinical disease remission and mechanistic inflammatory cells and cytokines within lesions, among 12-20 moderate-to-severe adult atopic dermatitis patients treated with a single dose of ANB020. Our planned Phase 2a trial in severe adult peanut allergy in the United States will assess the efficacy and safety of ANB020, as measured by oral food challenge, among 20 severe adult peanut allergy patients treated with either a single dose of ANB020 or placebo. Our planned Phase 2a trial in severe adult eosinophilic asthma is intended to assess the efficacy and safety of ANB020 among 20 severe adult eosinophilic asthma patients treated with one or more doses of ANB020. Each of the aforementioned clinical trials are subject to regulatory review by the respective regulatory authority applicable to the jurisdiction of the trial.</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demonstrating initial efficacy in Phase 2a trials, we intend to conduct subsequent Phase 2 trials and Phase 3 registration trials for ANB020 in one or more of the aforementioned clinical indications. These later-stage trials may be conducted through collaboration with a leading pharmaceutical company with strong commercial infrastructure in respiratory and allergic therapeutic areas.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182995" cy="32759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8299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Anticipated ANB020 clinical development strategy.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Market Opportunity</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Asthma. </w:t>
      </w:r>
      <w:r>
        <w:rPr>
          <w:rFonts w:ascii="Arial" w:cs="Arial" w:eastAsia="Arial" w:hAnsi="Arial"/>
          <w:sz w:val="17"/>
          <w:szCs w:val="17"/>
          <w:color w:val="auto"/>
        </w:rPr>
        <w:t>We estimate, based on our analysis of publicly available data sources and interviews with physicians and key opinion leaders in the field, that</w:t>
      </w:r>
      <w:r>
        <w:rPr>
          <w:rFonts w:ascii="Arial" w:cs="Arial" w:eastAsia="Arial" w:hAnsi="Arial"/>
          <w:sz w:val="17"/>
          <w:szCs w:val="17"/>
          <w:i w:val="1"/>
          <w:iCs w:val="1"/>
          <w:color w:val="auto"/>
        </w:rPr>
        <w:t xml:space="preserve"> </w:t>
      </w:r>
      <w:r>
        <w:rPr>
          <w:rFonts w:ascii="Arial" w:cs="Arial" w:eastAsia="Arial" w:hAnsi="Arial"/>
          <w:sz w:val="17"/>
          <w:szCs w:val="17"/>
          <w:color w:val="auto"/>
        </w:rPr>
        <w:t>asthma 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benralizumab, tralokinumab, anrukinzumab, dupilumab, AMG 317 and CNTO 7160,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asthma patients defined by biomarkers. We believe that ANB020 may have therapeutic benefit across a broad range of ICS-refractory severe adult eosinophilic asthma patients, and plan to utilize biomarkers during development to differentiate ANB020 relative to competitors.</w:t>
      </w:r>
    </w:p>
    <w:p>
      <w:pPr>
        <w:spacing w:after="0" w:line="17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Peanuts are the most common cause of food-induced allergy in the United States. We estimate, based on our analysis of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7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15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is a chronic inflammatory skin disease that affects approximately 1.4 million adults in the United States. Human</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have demonstrated that IL-33 is highly expressed in atopic dermatitis lesions and leads to the recruitment of downstream cytokines (IL-4, IL-5 and IL-</w:t>
      </w:r>
    </w:p>
    <w:p>
      <w:pPr>
        <w:ind w:right="840" w:firstLine="8"/>
        <w:spacing w:after="0" w:line="290" w:lineRule="auto"/>
        <w:tabs>
          <w:tab w:leader="none" w:pos="2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Current therapies for atopic dermatitis are generally focused on the topical use of non-biologic small molecules. Dupilumab is currently in development for the treatment of atopic dermatitis, and has shown some benefit in disease remission, but requires the administration of a significantly large antibody dose (300 mg) every week or every other week, which we believe may not be convenient for atopic dermatitis patients.</w:t>
      </w:r>
    </w:p>
    <w:p>
      <w:pPr>
        <w:spacing w:after="0" w:line="166"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believe ANB019 is the most advanced antibody targeting the IL-36R in development.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submitted an Australian CTN for ANB019 in November 2016 and, if cleared, we plan to initiate a Phase 1 trial in Australia in the first half of 2017. We anticipate announcing top-line data from this trial in the second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5565775" cy="31730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57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Figure 6. IL-36 Receptor Signaling. Signaling is maintained in balance by the receptor antagonist. Mutations render the receptor antagonist dysfunctional and/or increased cytokine levels lead to uncontrolled signaling causing GPP. PPP is caused by excess cytokine signaling that overcomes a normal receptor antagonist.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human systems, which is measured as the IC 50 of inhibition of interleukin-8, or IL-8, release from human keratinocytes. 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2199640</wp:posOffset>
            </wp:positionV>
            <wp:extent cx="1886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141605</wp:posOffset>
            </wp:positionV>
            <wp:extent cx="3430270" cy="1818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3027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In November 2016, we submitted a CTN for ANB019 and, if cleared, we plan to commence a Phase 1 clinical trial in the first half of 2017. We anticipate announcing top-line data from this trial during the second half of 2017. This Phase 1 clinical trial will test single and multiple ascending doses of ANB019 in healthy volunteers, while also utilizing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assays to determine ANB019’s pharmacodynamic activity range. Following completion of this initial Phase 1 trial, we plan to submit a U.S. IND and/or a U.K. CTA to support further clinical testing of ANB019 in patients.</w:t>
      </w:r>
    </w:p>
    <w:p>
      <w:pPr>
        <w:spacing w:after="0" w:line="17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Our initial patient testing of ANB019 will focus primarily on GPP and PPP patients. We currently plan to conduct GPP efficacy testing of ANB019 in the United States and/or the United Kingdom using a Phase 2 clinical trial expected to be initiated in 2018 that enrolls GPP patients irrespective of mutation status. We believe a small trial, potentially with fewer than 100 patients, may be sufficient to demonstrate substantial evidence of efficacy and safety of ANB019 in GPP. We intend to obtain input from FDA on clinical trial design before conducting a pivotal clinical trial in patients with GPP.</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intend to develop ANB019 for PPP. We anticipate initiating a Phase 2 trial for PPP within the United States and/or United Kingdom during 2018,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080125" cy="3104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012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Anticipated ANB019 clinical development strategy.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equivalents are not required to accept Phase 1 data generated in Australia. If they do not accept any such data, we would likely be required to conduct additional Phase 1 clinical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 inflammatory</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strategy includes the discovery and development of therapeutic antibodies targeting emerging opportunities in inflammation. Checkpoint receptor agonist antibodies are being developed by AnaptysBio,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multiple different immune checkpoint receptors, for the treatment of certain autoimmune diseases where we believe checkpoint receptor function is insufficiently activated. Known human immune checkpoint receptors include CTLA-4, PD-1, LAG-3, BTLA and TIGIT. Certain checkpoint receptor agonist antibodies developed by AnaptysBio have demonstrated efficacy in a rodent model of graft-versus-host disease. We anticipate that, subsequent to regulatory clearance, one of our checkpoint receptor antibodies will initiate human testing during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1520190</wp:posOffset>
            </wp:positionV>
            <wp:extent cx="1886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148590</wp:posOffset>
            </wp:positionV>
            <wp:extent cx="1372235" cy="11322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223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660" w:hanging="206"/>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660" w:right="40" w:hanging="206"/>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 Full</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antibodies tend to exhibit serum half-lives of seven to 24 days in humans, leading to bi-weekly or monthly dosing as typical practice for therapeutic antibodies.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240" w:hanging="206"/>
        <w:spacing w:after="0" w:line="34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660" w:right="280" w:hanging="206"/>
        <w:spacing w:after="0" w:line="28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660" w:right="16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660" w:right="16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660" w:right="2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 unpredictable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1997075</wp:posOffset>
            </wp:positionV>
            <wp:extent cx="1886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135890</wp:posOffset>
            </wp:positionV>
            <wp:extent cx="3104515" cy="16205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0451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2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By coupling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mammalian cells to replicate the non-random mutagenesis SHM pattern observed within B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using our platform technology closely mimics the pattern observed among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generated antibodies, thereby increasing confidence that antibodies generated by our platform will be tolerated when used as therapeutic drugs in humans.</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2101215</wp:posOffset>
            </wp:positionV>
            <wp:extent cx="18865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146050</wp:posOffset>
            </wp:positionV>
            <wp:extent cx="3336290" cy="17151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362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Figure 11. SHM Antibody Generation Process. Our platform initiates antibody selection from starting libraries of human and non-human diversity, which is further optimized through iterative rounds of SHM and selection.</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660" w:hanging="206"/>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81" w:lineRule="exact"/>
        <w:rPr>
          <w:rFonts w:ascii="Arial" w:cs="Arial" w:eastAsia="Arial" w:hAnsi="Arial"/>
          <w:sz w:val="18"/>
          <w:szCs w:val="18"/>
          <w:color w:val="auto"/>
        </w:rPr>
      </w:pPr>
    </w:p>
    <w:p>
      <w:pPr>
        <w:ind w:left="660" w:right="280" w:hanging="206"/>
        <w:spacing w:after="0" w:line="313"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60" w:right="140" w:hanging="206"/>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hanging="206"/>
        <w:spacing w:after="0" w:line="26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jc w:val="both"/>
        <w:ind w:left="660" w:right="20" w:hanging="206"/>
        <w:spacing w:after="0" w:line="347"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Manufacturability. </w:t>
      </w:r>
      <w:r>
        <w:rPr>
          <w:rFonts w:ascii="Arial" w:cs="Arial" w:eastAsia="Arial" w:hAnsi="Arial"/>
          <w:sz w:val="16"/>
          <w:szCs w:val="16"/>
          <w:color w:val="auto"/>
        </w:rPr>
        <w:t>By utilizing our mammalian cell display system, we believe our approach increases the probability of success in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by mitigating the risks associated with antibody expression, formulation and stability during the antibody generation process.</w:t>
      </w:r>
    </w:p>
    <w:p>
      <w:pPr>
        <w:spacing w:after="0" w:line="21" w:lineRule="exact"/>
        <w:rPr>
          <w:rFonts w:ascii="Arial" w:cs="Arial" w:eastAsia="Arial" w:hAnsi="Arial"/>
          <w:sz w:val="16"/>
          <w:szCs w:val="16"/>
          <w:color w:val="auto"/>
        </w:rPr>
      </w:pPr>
    </w:p>
    <w:p>
      <w:pPr>
        <w:ind w:left="660" w:right="20" w:hanging="206"/>
        <w:spacing w:after="0" w:line="29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product-by-product basis, on worldwide annual net sales, and additional commercial milestone payments if specified levels of annual net sales of a product are attained.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to the clinic.</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MRC</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During the nine months ended September 30, 2016, we received and recognized as a reduction in research and development expense $3.0 million in refundable tax credits related to fiscal 2015 eligible expenditures. In September 2016, we determined that we would meet the criteria for eligibility for fiscal 2016, therefore we recognized a reduction to research and development expense of $3.2 million equal to 45% of our eligible expenditures for the nine-month period ended September 30, 2016, as collectability was considered reasonably assured. We recorded $3.3 million as a receivable as of September 30, 2016.</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38 issued patents and 43 pending patent applications as of November 30, 2016.</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As of December 31, 2016, we owned 15 patent applications in various countries directed to the antibody sequence of ANB020 and its variants, epitopes, methods of use and related matters. We intend to prosecute the pending applications and pursue patent issuance and protection in key commercial markets where significant product sales may occur. Patents that may issue from these pending applications would provide protection until January 2037.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5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receptor alpha chain such as dupilumab (Regeneron) and AMG 317 (Amgen) each in clinical testing; and an ST2-binding antibody which Roche has in-licensed from Amgen (previously known as AMG 282) and plans to advance into Phase 2 clinical trials.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88"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5" w:lineRule="exact"/>
        <w:rPr>
          <w:sz w:val="20"/>
          <w:szCs w:val="20"/>
          <w:color w:val="auto"/>
        </w:rPr>
      </w:pPr>
    </w:p>
    <w:p>
      <w:pPr>
        <w:jc w:val="both"/>
        <w:ind w:right="60" w:firstLine="8"/>
        <w:spacing w:after="0" w:line="254"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review process for both standard and priority review may be extended by the FDA for three additional months to consider certain late-submitted information, or information intended to clarify information already provided in the submission.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40" w:hanging="206"/>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will be evaluated on a case-by-case basis based on a cumulative review of all of its facts and circumstances. Our practices may not in all cases meet all of the criteria for protection under a statutory exception or regulatory safe harbor.</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privacy and security of health information in specified circumstances, many of which differ from each other in significant ways and may not have the same effect, thus complicating compliance efforts.</w:t>
      </w:r>
    </w:p>
    <w:p>
      <w:pPr>
        <w:spacing w:after="0" w:line="17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660" w:right="20" w:hanging="206"/>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51" w:lineRule="exact"/>
        <w:rPr>
          <w:rFonts w:ascii="Arial" w:cs="Arial" w:eastAsia="Arial" w:hAnsi="Arial"/>
          <w:sz w:val="17"/>
          <w:szCs w:val="17"/>
          <w:color w:val="auto"/>
        </w:rPr>
      </w:pPr>
    </w:p>
    <w:p>
      <w:pPr>
        <w:ind w:left="660" w:right="2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660" w:right="680" w:hanging="206"/>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660" w:right="18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clinical trial authorisation must be submitted to each country’s national health authority and an independent ethics committee, much like the FDA and IRB, respectively. Once the clinical trial authorisation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40" w:hanging="206"/>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30"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we had 49 full-time employees. Of these employees, 41 were primarily engaged in research and development activities and 14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00"/>
          </w:cols>
          <w:pgMar w:left="24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January 13,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6"/>
                <w:szCs w:val="16"/>
                <w:color w:val="auto"/>
              </w:rPr>
            </w:pPr>
          </w:p>
        </w:tc>
        <w:tc>
          <w:tcPr>
            <w:tcW w:w="600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0" w:type="dxa"/>
            <w:vAlign w:val="bottom"/>
          </w:tcPr>
          <w:p>
            <w:pPr>
              <w:spacing w:after="0"/>
              <w:rPr>
                <w:sz w:val="15"/>
                <w:szCs w:val="15"/>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Hamza Suria, M.B.A.</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Medical Officer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Matthew Moyle, Ph.D.</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Scientific Officer</w:t>
            </w:r>
          </w:p>
        </w:tc>
      </w:tr>
      <w:tr>
        <w:trPr>
          <w:trHeight w:val="212"/>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Dominic G. Piscitelli, M.B.A., C.P.A.</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r>
        <w:trPr>
          <w:trHeight w:val="22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Pharm.D.(1)(2)(3)</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FRS(2)</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Hollings Renton, M.B.A.(3)(4)</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John P. Schmid, M.B.A.(1)</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A. Schoeneck(1)(2)</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N. Topper, M.D., Ph.D.(3)(5)</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Dr. Aynechi has notified us that she will resign from our board of directors contingent upon and effective immediately prior to the effectiveness of the registration statement of which this prospectus forms a part.</w:t>
      </w:r>
    </w:p>
    <w:p>
      <w:pPr>
        <w:spacing w:after="0" w:line="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 xml:space="preserve">Hamza Suria, M.B.A., </w:t>
      </w:r>
      <w:r>
        <w:rPr>
          <w:rFonts w:ascii="Arial" w:cs="Arial" w:eastAsia="Arial" w:hAnsi="Arial"/>
          <w:sz w:val="17"/>
          <w:szCs w:val="17"/>
          <w:color w:val="auto"/>
        </w:rPr>
        <w:t>has served as our President and Chief Executive Officer and a member of our board of directors since July 2011.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2009 to 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University College London, Medical School UK, from July 2003 through September 2007. Dr. Londei received his M.D. from Università di Bologna.</w:t>
      </w:r>
    </w:p>
    <w:p>
      <w:pPr>
        <w:spacing w:after="0" w:line="2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Matthew Moyle, Ph.D. </w:t>
      </w:r>
      <w:r>
        <w:rPr>
          <w:rFonts w:ascii="Arial" w:cs="Arial" w:eastAsia="Arial" w:hAnsi="Arial"/>
          <w:sz w:val="16"/>
          <w:szCs w:val="16"/>
          <w:color w:val="auto"/>
        </w:rPr>
        <w:t>commenced serving as our Chief Scientific Officer in May 2016. Dr. Moyle has more than 25 years of industry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16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Dominic G. Piscitelli, M.B.A., C.P.A., </w:t>
      </w:r>
      <w:r>
        <w:rPr>
          <w:rFonts w:ascii="Arial" w:cs="Arial" w:eastAsia="Arial" w:hAnsi="Arial"/>
          <w:sz w:val="17"/>
          <w:szCs w:val="17"/>
          <w:color w:val="auto"/>
        </w:rPr>
        <w:t>commenced serving as our Chief Financial Officer in January 2017. Mr. Piscitelli has more than 15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pharmaceutical and biopharmaceutical industries, and more than 20 years of experience in finance. Before joining us, from September 2012 to January 2017, Mr. Piscitelli served as the Vice President of Finance at Medivation, Inc., a biopharmaceutical company. Prior to that, from January 2011 to September 2012, Mr. Piscitelli served as the Senior Director of Global Finance at Astellas Pharma US, Inc., a pharmaceutical company. From September 2001 to January 2011, Mr. Piscitelli held positions at OSI Pharmaceuticals, Inc., a biotechnology company that was acquired by Astellas Pharma US, Inc. in June 2010, serving as the Vice President of Treasury and Management Finance from 2009 to 2011, and previously as Senior Director, Oncology Finance &amp; Treasury, Director, Commercial Finance and Associate Director/Assistant Controller, SEC Reporting. Mr. Piscitelli earned both his B.A. in Business Administration and his M.B.A. from Hofstra University.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director at iRhythm Technologies, Inc., a public digital healthcare company, since May 2014. Dr. Aynechi has also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i w:val="1"/>
          <w:iCs w:val="1"/>
          <w:color w:val="auto"/>
        </w:rPr>
        <w:t xml:space="preserve">Carol G. Gallagher, Pharm.D. </w:t>
      </w:r>
      <w:r>
        <w:rPr>
          <w:rFonts w:ascii="Arial" w:cs="Arial" w:eastAsia="Arial" w:hAnsi="Arial"/>
          <w:sz w:val="18"/>
          <w:szCs w:val="18"/>
          <w:color w:val="auto"/>
        </w:rPr>
        <w:t>has served as a member of our board of directors since October 2011. Dr. Gallagher has been a partner at New</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Associates, a venture-capital firm, since October 2014. She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 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currently serves as a member of the board of directors of Cleave Biosciences, a private biopharmaceutical company. Dr. Gallagher attended Vanderbilt University and received her B.S. and Pharm.D. degrees from the University of Kentucky.</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Hollings Renton, M.B.A. </w:t>
      </w:r>
      <w:r>
        <w:rPr>
          <w:rFonts w:ascii="Arial" w:cs="Arial" w:eastAsia="Arial" w:hAnsi="Arial"/>
          <w:sz w:val="16"/>
          <w:szCs w:val="16"/>
          <w:color w:val="auto"/>
        </w:rPr>
        <w:t>has served as a member of our board of directors since June 2015. Mr. Renton previously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John P. Schmid, M.B.A.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as a director at ProNai Therapeutics, Inc., a public drug development company, since April 2014.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that applies to all of our employees, officers and directors, including our Chief Executive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660" w:hanging="206"/>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Class I directors will be Dr. Gallagher and Dr. Topper and their terms will expire at the annual meeting of stockholders to be held in 2018;</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Class II directors will be Mr. Suria and Dr. Lydon and their terms will expire at the annual meeting of stockholders to be held in 2019; and</w:t>
      </w:r>
    </w:p>
    <w:p>
      <w:pPr>
        <w:spacing w:after="0" w:line="142" w:lineRule="exact"/>
        <w:rPr>
          <w:rFonts w:ascii="Arial" w:cs="Arial" w:eastAsia="Arial" w:hAnsi="Arial"/>
          <w:sz w:val="17"/>
          <w:szCs w:val="17"/>
          <w:color w:val="auto"/>
        </w:rPr>
      </w:pPr>
    </w:p>
    <w:p>
      <w:pPr>
        <w:ind w:left="660" w:right="320" w:hanging="206"/>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2020.</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directors, that person does not have a relationship that would interfere with the exercise of independent judgment in carrying out the responsibilities of a director.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audit committee is comprised of Dr. Gallagher, Mr. Schoeneck and Mr. Schmid, with Mr. Schmid as the chairman of our audit committee. The composition of our audit committee meets the requirements for 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78"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jc w:val="center"/>
        <w:ind w:left="5580" w:right="320" w:hanging="5126"/>
        <w:spacing w:after="0" w:line="449" w:lineRule="auto"/>
        <w:tabs>
          <w:tab w:leader="none" w:pos="6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 132</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Code and meets the requirements for independence under the current Nasdaq listing standards and SEC rules and regulations. Our compensation committee is responsible for, among other things:</w:t>
      </w:r>
    </w:p>
    <w:p>
      <w:pPr>
        <w:spacing w:after="0" w:line="77"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incentive compensation and equity plans;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2016.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following table presents the total compensation earned or paid in the year ended December 31, 2016 for each member of our board of directors, except for our President and Chief Executive Officer, Mr. Suria, who receives no additional compensation for his service as a director. Other than as described below, none of our non-employee directors are expected to receive any fees or reimbursement of any expenses (other than customary expenses in connection with the attendance of meetings of our board of directors) or any equity or non-equity awards in the year ended December 31,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28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Total(2)</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Paid in</w:t>
            </w: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2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10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Cash(1)($)</w:t>
            </w:r>
          </w:p>
        </w:tc>
        <w:tc>
          <w:tcPr>
            <w:tcW w:w="900" w:type="dxa"/>
            <w:vAlign w:val="bottom"/>
            <w:gridSpan w:val="2"/>
          </w:tcPr>
          <w:p>
            <w:pPr>
              <w:jc w:val="center"/>
              <w:ind w:left="194"/>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Carol</w:t>
            </w:r>
          </w:p>
        </w:tc>
        <w:tc>
          <w:tcPr>
            <w:tcW w:w="5440" w:type="dxa"/>
            <w:vAlign w:val="bottom"/>
          </w:tcPr>
          <w:p>
            <w:pPr>
              <w:ind w:left="80"/>
              <w:spacing w:after="0" w:line="189" w:lineRule="exact"/>
              <w:rPr>
                <w:sz w:val="20"/>
                <w:szCs w:val="20"/>
                <w:color w:val="auto"/>
              </w:rPr>
            </w:pPr>
            <w:r>
              <w:rPr>
                <w:rFonts w:ascii="Arial" w:cs="Arial" w:eastAsia="Arial" w:hAnsi="Arial"/>
                <w:sz w:val="18"/>
                <w:szCs w:val="18"/>
                <w:color w:val="auto"/>
              </w:rPr>
              <w:t>G. Gallagher, Pharm.D.</w:t>
            </w:r>
          </w:p>
        </w:tc>
        <w:tc>
          <w:tcPr>
            <w:tcW w:w="3560" w:type="dxa"/>
            <w:vAlign w:val="bottom"/>
          </w:tcPr>
          <w:p>
            <w:pPr>
              <w:spacing w:after="0"/>
              <w:rPr>
                <w:sz w:val="16"/>
                <w:szCs w:val="16"/>
                <w:color w:val="auto"/>
              </w:rPr>
            </w:pPr>
          </w:p>
        </w:tc>
        <w:tc>
          <w:tcPr>
            <w:tcW w:w="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50,000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$ 50,000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$ 50,000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Hollings Renton, M.B.A.</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$ 50,000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John P. Schmid, M.B.A.</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$ 40,000</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James A. Schoeneck</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52,500</w:t>
            </w:r>
          </w:p>
        </w:tc>
        <w:tc>
          <w:tcPr>
            <w:tcW w:w="260" w:type="dxa"/>
            <w:vAlign w:val="bottom"/>
          </w:tcPr>
          <w:p>
            <w:pPr>
              <w:spacing w:after="0"/>
              <w:rPr>
                <w:sz w:val="20"/>
                <w:szCs w:val="20"/>
                <w:color w:val="auto"/>
              </w:rPr>
            </w:pPr>
          </w:p>
        </w:tc>
        <w:tc>
          <w:tcPr>
            <w:tcW w:w="900" w:type="dxa"/>
            <w:vAlign w:val="bottom"/>
            <w:gridSpan w:val="2"/>
          </w:tcPr>
          <w:p>
            <w:pPr>
              <w:jc w:val="center"/>
              <w:ind w:left="194"/>
              <w:spacing w:after="0"/>
              <w:rPr>
                <w:sz w:val="20"/>
                <w:szCs w:val="20"/>
                <w:color w:val="auto"/>
              </w:rPr>
            </w:pPr>
            <w:r>
              <w:rPr>
                <w:rFonts w:ascii="Arial" w:cs="Arial" w:eastAsia="Arial" w:hAnsi="Arial"/>
                <w:sz w:val="18"/>
                <w:szCs w:val="18"/>
                <w:color w:val="auto"/>
                <w:w w:val="88"/>
              </w:rPr>
              <w:t>$ 52,500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Gallagher, Dr. Lydon and Mr. Renton were each paid a $50,000 annual retainer fee in connection with their service on our board of directors. Mr. Schmid was paid an annual retainer fee of $35,000 and $5,000 in connection with his service on our board of directors and audit committee, respectively. Mr. Schoeneck was paid an annual retainer fee of $40,000, $7,500 and $5,000 in connection with his service on our board of directors, audit committee and compensation committee, respectively.</w:t>
      </w:r>
    </w:p>
    <w:p>
      <w:pPr>
        <w:spacing w:after="0" w:line="2"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table sets forth the expected aggregate number of shares of our common stock subject to outstanding stock options held by our non-employee directors as of 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10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Name</w:t>
            </w: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58"/>
        </w:trPr>
        <w:tc>
          <w:tcPr>
            <w:tcW w:w="1020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8"/>
                <w:szCs w:val="18"/>
                <w:color w:val="auto"/>
              </w:rPr>
              <w:t>Carol G. Gallagher, Pharm.D.</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97,722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31,012</w:t>
            </w: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Hollings Renton, M.B.A.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51,156</w:t>
            </w: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John P. Schmid, M.B.A.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42,337</w:t>
            </w:r>
          </w:p>
        </w:tc>
        <w:tc>
          <w:tcPr>
            <w:tcW w:w="0" w:type="dxa"/>
            <w:vAlign w:val="bottom"/>
          </w:tcPr>
          <w:p>
            <w:pPr>
              <w:spacing w:after="0"/>
              <w:rPr>
                <w:sz w:val="1"/>
                <w:szCs w:val="1"/>
                <w:color w:val="auto"/>
              </w:rPr>
            </w:pPr>
          </w:p>
        </w:tc>
      </w:tr>
      <w:tr>
        <w:trPr>
          <w:trHeight w:val="230"/>
        </w:trPr>
        <w:tc>
          <w:tcPr>
            <w:tcW w:w="10200" w:type="dxa"/>
            <w:vAlign w:val="bottom"/>
            <w:gridSpan w:val="2"/>
          </w:tcPr>
          <w:p>
            <w:pPr>
              <w:spacing w:after="0"/>
              <w:rPr>
                <w:sz w:val="20"/>
                <w:szCs w:val="20"/>
                <w:color w:val="auto"/>
              </w:rPr>
            </w:pPr>
            <w:r>
              <w:rPr>
                <w:rFonts w:ascii="Arial" w:cs="Arial" w:eastAsia="Arial" w:hAnsi="Arial"/>
                <w:sz w:val="18"/>
                <w:szCs w:val="18"/>
                <w:color w:val="auto"/>
              </w:rPr>
              <w:t>James A. Schoeneck</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completion of this offering, each of our non-employee directors will receive an annual option to purchase 14,258 shares of common stock, which vests in a single installment 12 months after the grant date, subject to the applicable director’s continuous service through such date. Additionally, each new non-employee director will receive upon election to our board of directors, an option to purchase 28,571 shares of common stock, which will vest in 36 equal monthly installments after the grant date, subject to the director’s continuous service through such date. The exercise price of such grants will be the fair market value of our common stock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following tables and accompanying narrative disclosure set forth information about the compensation provided to our executive officers during the years ended December 31, 2015 and 2016. These executive officers, who include our principal executive officer and the two most highly-compensated executive officers (other than our principal executive officer) serving as executive officers as of December 31, 2016, were:</w:t>
      </w:r>
    </w:p>
    <w:p>
      <w:pPr>
        <w:spacing w:after="0" w:line="71" w:lineRule="exact"/>
        <w:rPr>
          <w:sz w:val="20"/>
          <w:szCs w:val="20"/>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Matthew Moyle, Chief Scientific Officer;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Marco Londei, Chief Medical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2015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95"/>
              </w:rPr>
              <w:t>Fiscal</w:t>
            </w:r>
          </w:p>
        </w:tc>
        <w:tc>
          <w:tcPr>
            <w:tcW w:w="20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Bonus(1)</w:t>
            </w:r>
          </w:p>
        </w:tc>
        <w:tc>
          <w:tcPr>
            <w:tcW w:w="1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Awards(2)</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rPr>
              <w:t>Hamza Suria, M.B.A.</w:t>
            </w:r>
          </w:p>
        </w:tc>
        <w:tc>
          <w:tcPr>
            <w:tcW w:w="4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7"/>
              </w:rPr>
              <w:t>$425,000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600</w:t>
            </w:r>
          </w:p>
        </w:tc>
        <w:tc>
          <w:tcPr>
            <w:tcW w:w="3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425,600</w:t>
            </w:r>
          </w:p>
        </w:tc>
        <w:tc>
          <w:tcPr>
            <w:tcW w:w="0" w:type="dxa"/>
            <w:vAlign w:val="bottom"/>
          </w:tcPr>
          <w:p>
            <w:pPr>
              <w:spacing w:after="0"/>
              <w:rPr>
                <w:sz w:val="1"/>
                <w:szCs w:val="1"/>
                <w:color w:val="auto"/>
              </w:rPr>
            </w:pPr>
          </w:p>
        </w:tc>
      </w:tr>
      <w:tr>
        <w:trPr>
          <w:trHeight w:val="244"/>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$382,083</w:t>
            </w:r>
          </w:p>
        </w:tc>
        <w:tc>
          <w:tcPr>
            <w:tcW w:w="34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97,431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1,170,840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540(4)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1,650,894</w:t>
            </w:r>
          </w:p>
        </w:tc>
        <w:tc>
          <w:tcPr>
            <w:tcW w:w="0" w:type="dxa"/>
            <w:vAlign w:val="bottom"/>
          </w:tcPr>
          <w:p>
            <w:pPr>
              <w:spacing w:after="0"/>
              <w:rPr>
                <w:sz w:val="1"/>
                <w:szCs w:val="1"/>
                <w:color w:val="auto"/>
              </w:rPr>
            </w:pPr>
          </w:p>
        </w:tc>
      </w:tr>
      <w:tr>
        <w:trPr>
          <w:trHeight w:val="323"/>
        </w:trPr>
        <w:tc>
          <w:tcPr>
            <w:tcW w:w="5320" w:type="dxa"/>
            <w:vAlign w:val="bottom"/>
          </w:tcPr>
          <w:p>
            <w:pPr>
              <w:spacing w:after="0"/>
              <w:rPr>
                <w:sz w:val="20"/>
                <w:szCs w:val="20"/>
                <w:color w:val="auto"/>
              </w:rPr>
            </w:pPr>
            <w:r>
              <w:rPr>
                <w:rFonts w:ascii="Arial" w:cs="Arial" w:eastAsia="Arial" w:hAnsi="Arial"/>
                <w:sz w:val="18"/>
                <w:szCs w:val="18"/>
                <w:color w:val="auto"/>
              </w:rPr>
              <w:t>Matthew Moyle, Ph.D.</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$181,250(3)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614,546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37,726(5)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833,522</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320" w:type="dxa"/>
            <w:vAlign w:val="bottom"/>
          </w:tcPr>
          <w:p>
            <w:pPr>
              <w:spacing w:after="0"/>
              <w:rPr>
                <w:sz w:val="20"/>
                <w:szCs w:val="20"/>
                <w:color w:val="auto"/>
              </w:rPr>
            </w:pPr>
            <w:r>
              <w:rPr>
                <w:rFonts w:ascii="Arial" w:cs="Arial" w:eastAsia="Arial" w:hAnsi="Arial"/>
                <w:sz w:val="18"/>
                <w:szCs w:val="18"/>
                <w:color w:val="auto"/>
              </w:rPr>
              <w:t>Marco Londei, M.D.</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$380,000</w:t>
            </w:r>
          </w:p>
        </w:tc>
        <w:tc>
          <w:tcPr>
            <w:tcW w:w="3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11,944(6)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391,944</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$363,333</w:t>
            </w:r>
          </w:p>
        </w:tc>
        <w:tc>
          <w:tcPr>
            <w:tcW w:w="34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81,094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406,049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42,042(7)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892,518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56"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 Our board of directors has not yet determined the amounts of cash bonuses payable to our named executive officers earned in 2016. We anticipate that cash bonuses, if any, for 2016 will be determined by our board of directors by March 2017.</w:t>
      </w:r>
    </w:p>
    <w:p>
      <w:pPr>
        <w:ind w:left="460" w:right="22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2015 and 2016,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Dr. Moyle’s salary from the commencement of his employment on May 16, 2016, through December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ind w:left="460" w:right="12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2016, consisting of $7,984 for moving expenses and $3,960 for group term life insurance premiums paid by us on behalf of Dr. Londei.</w:t>
      </w:r>
    </w:p>
    <w:p>
      <w:pPr>
        <w:ind w:left="460" w:right="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Moyle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Suria’s Employment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214,239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97,721 shares of our common stock under our 2006 Equity Incentive Plan, all of which would vest immediately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or qualified initial public offering. These options were granted with an exercise price equal to the fair value of our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grant and vest over four years as described in more detail in “—Outstanding Equity Awards at Fiscal Year-End Table” below. Mr. Suria’s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at will and may be terminated at any time, with or without cause. However, pursuant to the terms of the Suria Employment Agreement, Mr. Suria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entitled to severance benefits upon a qualifying termination of employment as described in “—Potential Payments upon IPO, Termination or Change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Control”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Londei’s Employment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October 20, 2014, or the Londei Employment Agreement, Dr. Londei serves as our Chief Medical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Officer. The Londei Employment Agreement sets forth the principal terms and conditions of his employment, including his initial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and an annual target cash bonus opportunity of 25% of his base salary, which bonus is earned based on our achievement of specified milestones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objectives, as well as Dr. Londei’s performance relative to one or more performance objectives established by Dr. Londei, our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our board of directors, the achievement of which is evaluated by us. On August 14, 2015, our board of directors increased Mr. Londei’s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salary to $375,000, effective as of August 1, 2015. Likewise, the Londei Employment Agreement provides for additional discretionary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bonuses. The Londei Employment Agreement provides for the grant of a time-based stock option to purchase 160,965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2006 Equity Incentive Plan. This option was granted with an exercise price equal to the fair value of our common stock on the date of grant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vests over four years as described in more detail in “—Outstanding Equity Awards at Fiscal Year-End Table” below. Dr. Londei’s employment is at will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terminated at any time, with or without cause. However, pursuant to the terms of the Londei Employment Agreement, Dr. Londei will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benefits upon a qualifying termination of employment as described in “—Potential Payments upon IPO, Termination or Change in Control” below.</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Moyle’s Employment Agreement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an employment agreement effective as of March 22, 2016, or the Moyle Employment Agreement, Dr. Moyle serves as our Chief Scientific Officer. The Moyle Employment Agreement sets forth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principal terms and conditions of his employment, including his initial annual base salary of $290,000 and an annual discretionary cash bonus of up to 30% of his base salary, which bonus is earned based on achievement of certain performance goals established by our Chief Executive Officer, the final determination of which for any given year is made by our Chief Executive Officer and board of directors in their sole and absolute discretion. The Moyle Employment Agreement provides for reimbursement of actual and reasonable costs that Dr. Moyle may incur to relocate his household from Connecticut to the San Diego area no later than May 2017, up to $135,000 in the aggregate, and the Moyle Employment Agreement provides further that, in the interim, Dr. Moyle shall be reimbursed for actual and reasonable costs incurred by Dr. Moyle for him to spend at least three weeks per month in the San Diego area, up to a maximum of an additional $40,000 in the aggregate. The Moyle Employment Agreement provides for the grant, as soon as practicable following the effective date of the Moyle Employment Agreement, of a time-based stock option to purchase up to 169,417 shares of our common stock under our 2006 Equity Incentive Plan. This option was granted with an exercise price equal to the fair market value of our common stock on the date of grant and vests over four years, with 1/4 of the underlying shares vesting on the first calendar anniversary of the effective date of the Moyle Employment Agreement and, thereafter, an additional 1/48 of the underlying shares vesting on the same day of each succeeding calendar month. Dr. Moyle’s employment is at-will and may be terminated at any time, with or without cause. However, pursuant to the terms of the Moyle Employment Agreement, Dr. Moyle will be entitled to severance benefits upon a qualifying termination of employment as described in “—Potential Payments upon IPO, Termination or Change in Control”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Underlying</w:t>
            </w:r>
          </w:p>
        </w:tc>
        <w:tc>
          <w:tcPr>
            <w:tcW w:w="96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60" w:type="dxa"/>
            <w:vAlign w:val="bottom"/>
            <w:vMerge w:val="restart"/>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Grant Date</w:t>
            </w:r>
            <w:r>
              <w:rPr>
                <w:rFonts w:ascii="Arial" w:cs="Arial" w:eastAsia="Arial" w:hAnsi="Arial"/>
                <w:sz w:val="12"/>
                <w:szCs w:val="12"/>
                <w:b w:val="1"/>
                <w:bCs w:val="1"/>
                <w:color w:val="auto"/>
                <w:w w:val="97"/>
              </w:rPr>
              <w:t>(1)</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1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5"/>
                <w:szCs w:val="15"/>
                <w:color w:val="auto"/>
              </w:rPr>
            </w:pPr>
          </w:p>
        </w:tc>
        <w:tc>
          <w:tcPr>
            <w:tcW w:w="42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8"/>
                <w:szCs w:val="18"/>
                <w:color w:val="auto"/>
              </w:rPr>
              <w:t>Hamza Suria, M.B.A.</w:t>
            </w:r>
            <w:r>
              <w:rPr>
                <w:rFonts w:ascii="Arial" w:cs="Arial" w:eastAsia="Arial" w:hAnsi="Arial"/>
                <w:sz w:val="15"/>
                <w:szCs w:val="15"/>
                <w:color w:val="auto"/>
              </w:rPr>
              <w:t>(2)</w:t>
            </w:r>
          </w:p>
        </w:tc>
        <w:tc>
          <w:tcPr>
            <w:tcW w:w="1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Dec. 9, 2008</w:t>
            </w:r>
          </w:p>
        </w:tc>
        <w:tc>
          <w:tcPr>
            <w:tcW w:w="340" w:type="dxa"/>
            <w:vAlign w:val="bottom"/>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22,428</w:t>
            </w:r>
          </w:p>
        </w:tc>
        <w:tc>
          <w:tcPr>
            <w:tcW w:w="42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20"/>
              <w:spacing w:after="0" w:line="189" w:lineRule="exact"/>
              <w:rPr>
                <w:sz w:val="20"/>
                <w:szCs w:val="20"/>
                <w:color w:val="auto"/>
              </w:rPr>
            </w:pPr>
            <w:r>
              <w:rPr>
                <w:rFonts w:ascii="Arial" w:cs="Arial" w:eastAsia="Arial" w:hAnsi="Arial"/>
                <w:sz w:val="18"/>
                <w:szCs w:val="18"/>
                <w:color w:val="auto"/>
                <w:w w:val="79"/>
              </w:rPr>
              <w:t>2.59</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Feb. 10, 2010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1,428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2.24</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24, 2011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6,208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1.61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Dec. 9, 2011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140,948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1,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97,721</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1,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73,291</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 17,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19,425</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0.91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Sep. 16, 2014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51,840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0.70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Aug. 14, 2015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88,641</w:t>
            </w:r>
          </w:p>
        </w:tc>
        <w:tc>
          <w:tcPr>
            <w:tcW w:w="860" w:type="dxa"/>
            <w:vAlign w:val="bottom"/>
          </w:tcPr>
          <w:p>
            <w:pPr>
              <w:jc w:val="right"/>
              <w:spacing w:after="0"/>
              <w:rPr>
                <w:sz w:val="20"/>
                <w:szCs w:val="20"/>
                <w:color w:val="auto"/>
              </w:rPr>
            </w:pPr>
            <w:r>
              <w:rPr>
                <w:rFonts w:ascii="Arial" w:cs="Arial" w:eastAsia="Arial" w:hAnsi="Arial"/>
                <w:sz w:val="18"/>
                <w:szCs w:val="18"/>
                <w:color w:val="auto"/>
              </w:rPr>
              <w:t>177,287</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6.93</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(3)</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July 22, 2016</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169,417</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5.95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July 21, 2026</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Oct. 28, 2014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160,965</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0.70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Aug. 14, 2015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30,740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61,483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6.93</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vested as to their underlying shares as follows:</w:t>
      </w:r>
    </w:p>
    <w:p>
      <w:pPr>
        <w:spacing w:after="0" w:line="32" w:lineRule="exact"/>
        <w:rPr>
          <w:rFonts w:ascii="Arial" w:cs="Arial" w:eastAsia="Arial" w:hAnsi="Arial"/>
          <w:sz w:val="16"/>
          <w:szCs w:val="16"/>
          <w:color w:val="auto"/>
        </w:rPr>
      </w:pPr>
    </w:p>
    <w:p>
      <w:pPr>
        <w:ind w:left="460" w:right="300"/>
        <w:spacing w:after="0" w:line="261" w:lineRule="auto"/>
        <w:rPr>
          <w:rFonts w:ascii="Arial" w:cs="Arial" w:eastAsia="Arial" w:hAnsi="Arial"/>
          <w:sz w:val="16"/>
          <w:szCs w:val="16"/>
          <w:color w:val="auto"/>
        </w:rPr>
      </w:pPr>
      <w:r>
        <w:rPr>
          <w:rFonts w:ascii="Arial" w:cs="Arial" w:eastAsia="Arial" w:hAnsi="Arial"/>
          <w:sz w:val="18"/>
          <w:szCs w:val="18"/>
          <w:color w:val="auto"/>
        </w:rPr>
        <w:t>(i) the shares underlying the options granted on December 9, 2008, February 10, 2010, February 24, 2011, and December 9, 2011 and December 17, 2012, and 73,291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7" w:lineRule="auto"/>
        <w:rPr>
          <w:sz w:val="20"/>
          <w:szCs w:val="20"/>
          <w:color w:val="auto"/>
        </w:rPr>
      </w:pPr>
      <w:r>
        <w:rPr>
          <w:rFonts w:ascii="Arial" w:cs="Arial" w:eastAsia="Arial" w:hAnsi="Arial"/>
          <w:sz w:val="17"/>
          <w:szCs w:val="17"/>
          <w:color w:val="auto"/>
        </w:rPr>
        <w:t>shares underlying the options granted on February 1, 2012, have fully vested; (ii) of the 97,721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51,840 shares underlying the option granted on September 16, 2014, 1/4 vested on September 16, 2015, and thereafter 1/48 vest on the sixteenth day of each succeeding calendar month, starting October 16 2015; and (iv) of the 265,928 shares underlying the option granted on August 14, 2015, 1/4 vested on August 13, 2016, and 1/48 vest on the thirteenth day of each succeeding calendar month, starting September 13, 2016,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3" w:lineRule="exact"/>
        <w:rPr>
          <w:sz w:val="20"/>
          <w:szCs w:val="20"/>
          <w:color w:val="auto"/>
        </w:rPr>
      </w:pPr>
    </w:p>
    <w:p>
      <w:pPr>
        <w:ind w:left="460" w:right="60" w:hanging="452"/>
        <w:spacing w:after="0" w:line="28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options are not early-exercisable. The options vest as to their underlying shares as follows: (i) of the 169,417 shares underlying the option granted on July 22, 2016, 1/4 vest on May 16, 2017, and 1/48 vest on the 16th day of each succeeding calendar month, starting June 16, 2017, provided that if Mr. Moyle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Arial" w:cs="Arial" w:eastAsia="Arial" w:hAnsi="Arial"/>
          <w:sz w:val="16"/>
          <w:szCs w:val="16"/>
          <w:color w:val="auto"/>
        </w:rPr>
      </w:pPr>
    </w:p>
    <w:p>
      <w:pPr>
        <w:ind w:left="460" w:right="60" w:hanging="452"/>
        <w:spacing w:after="0" w:line="287"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160,965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92,223 shares underlying the option granted on August 14, 2015, 1/4 vested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the Suria Employment Agreement, the Londei Employment Agreement and the Moyle Employment Agreement, in the event that Mr. Suria, Dr. Londei or Dr. Moyle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each officer and his family, for 12 months, nine months and nine months, respectively, or such earlier date on which coverage with a new employer is obtained.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 In addition, Mr. Suria’s option granted on February 1, 2012, will vest in full upon a change in control, subject to Mr. Suria’s employment on such date.</w:t>
      </w:r>
    </w:p>
    <w:p>
      <w:pPr>
        <w:spacing w:after="0" w:line="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 (i) Dr. Londei will receive the severance payments and COBRA premiums described above for nine months and (ii) each of his currently outstanding stock options will vest in full.</w:t>
      </w:r>
    </w:p>
    <w:p>
      <w:pPr>
        <w:spacing w:after="0" w:line="19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Moyle Employment Agreement, if we experience a change in control and Dr. Moyle is terminated without “cause” or resigns for “good reason” (each as defined in the employment agreement or applicable option agreement) upon the occurrence of, or within 13 months following, such change in control, and provided that Dr. Moyle has permanently relocated his household to the San Diego area prior to such termination or resignation and delivers a signed settlement and general release in favor of us and satisfies all conditions to make such release effective (i) Dr. Moyle will receive the severance payments and COBRA premiums described above for nine months and (ii) the stock option granted to him pursuant to his employment agreement will vest in full.</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Londei, or Dr. Moyle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Equity Incentive Plan</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which was approved by our stockholders on January 13, 2017.</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September 30, 2016, we had reserved 2,695,896 shares of our common stock for issuance under our 2006 Equity Incentive Plan. As of September 30, 2016, options to purchase 362,910 of these shares had been exercised, options to purchase 1,856,750 of these shares remained outstanding and 513,407 of these shares remained available for grant. The options outstanding as of September 30, 2016 had a weighted-average exercise price of $4.13 per share. We will cease issuing awards under our 2006 Equity Incentive Plan upon the effective date of our 2017 Equity Incentive Plan. The remaining shares available for issuance under the 2006 Equity Plan will be rolled over into the 2017 Equity Incentive Plan. Our 2017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have adopted a 2017 Equity Incentive Plan that will become effective on the date immediately prior to the date of this prospectus and will serve as the successor to our 2006 Equity Incentive Plan. We reserved 1,647,163 shares of our common stock to be issued under our 2017 Equity Incentive Plan. The number of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reserved for issuance under our 2017 Equity Incentive Plan will increase automatically on January 1 of each of 2018 through 2027 by the number of shares equal to 4%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2017 Equity Incentive Plan:</w:t>
      </w:r>
    </w:p>
    <w:p>
      <w:pPr>
        <w:spacing w:after="0" w:line="92" w:lineRule="exact"/>
        <w:rPr>
          <w:sz w:val="20"/>
          <w:szCs w:val="20"/>
          <w:color w:val="auto"/>
        </w:rPr>
      </w:pPr>
    </w:p>
    <w:p>
      <w:pPr>
        <w:ind w:left="660" w:right="32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2017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awards granted under our 2017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awards granted under our 2017 Equity Incentive Plan that otherwise terminate without shares being issued;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2017 Equity Incentive Plan;</w:t>
      </w:r>
    </w:p>
    <w:p>
      <w:pPr>
        <w:spacing w:after="0" w:line="75" w:lineRule="exact"/>
        <w:rPr>
          <w:rFonts w:ascii="Arial" w:cs="Arial" w:eastAsia="Arial" w:hAnsi="Arial"/>
          <w:sz w:val="18"/>
          <w:szCs w:val="18"/>
          <w:color w:val="auto"/>
        </w:rPr>
      </w:pPr>
    </w:p>
    <w:p>
      <w:pPr>
        <w:jc w:val="both"/>
        <w:ind w:left="660" w:right="200" w:hanging="206"/>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2017 Equity Incentive Plan;</w:t>
      </w:r>
    </w:p>
    <w:p>
      <w:pPr>
        <w:spacing w:after="0" w:line="86"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at the original issue price after the date of this prospectus will be available for grant and issuance under our 2017 Equity Incentive Plan; and</w:t>
      </w:r>
    </w:p>
    <w:p>
      <w:pPr>
        <w:spacing w:after="0" w:line="75" w:lineRule="exact"/>
        <w:rPr>
          <w:rFonts w:ascii="Arial" w:cs="Arial" w:eastAsia="Arial" w:hAnsi="Arial"/>
          <w:sz w:val="18"/>
          <w:szCs w:val="18"/>
          <w:color w:val="auto"/>
        </w:rPr>
      </w:pPr>
    </w:p>
    <w:p>
      <w:pPr>
        <w:ind w:left="660" w:right="200" w:hanging="206"/>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2017 Equity Incentive Plan.</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2017 Equity Incentive Plan authorizes the award of stock options, restricted stock awards, or RSAs, stock appreciation rights, or SARs, restricted stock units, or RSUs, performance awards and stock bonuses. No person will be eligible to receive more than 1,000,000 shares in any calendar year under our 2017 Equity Incentive Plan other than a new employee of ours, who will be eligible to receive no more than 2,000,000 shares under the plan in the calendar year in which the employee commences employment. No more than 12,000,000 shares will be issued pursuant to the exercise of incentive stock options.</w:t>
      </w:r>
    </w:p>
    <w:p>
      <w:pPr>
        <w:spacing w:after="0" w:line="154"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2017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2017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2017 Equity Incentive Plan will provide for the grant of awards to our employees, directors, consultants, independent contractors and advisors, provided the consultants, independent contractors, directors and advisors are natural persons who render services to us. The aggregate number of shares granted to non-employee directors shall not exceed 100,000 shares in a calendar year. The exercise price of stock options must be at least equal to the fair market value of our common stock on the date of grant.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anticipate that in general, options will vest over a four-year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2017 Equity Incentive Plan is ten years.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 termination of service or failure to achieve the performance conditions. No participant will be eligible to receive more than $5,000,000 in performance awards in any calendar year.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2017 Equity Incentive Plan, the maximum number of shares that can be granted in a calendar year and the number of shares and exercise price, if applicable, of all outstanding awards under our 2017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2017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2017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the event of a corporate transaction (as defined in our 2017 Equity Incentive Plan), any and all outstanding awards may be assumed or replaced by the successor corporation. In the alternative, the successor corporation may substitute equivalent awards or provide substantially similar consideration to participants as was provided to stockholders. The successor corporation may also issue, in place of outstanding shares held by the participant, substantially similar shares or other property subject to repurchase restrictions no less favorable to the participant. If the outstanding awards are not assumed, converted, replaced or substituted by the successor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corporation, the awards will expire upon the closing of the corporate transaction in which case our compensation committee will notify the participant that the award will be exercisable for a period of time determined by the committee. Our compensation committee may accelerate the vesting of the awards in connection with the transaction. Awards need not be treated similarly in a corporate transaction. In the event of a corporate transaction, the vesting of all awards granted to non-employee directors shall accelerate and such awards shall become exercisable (as applicable) in full prior to the consummation of the transaction.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2017 Equity Incentive Plan will terminate ten years from the date our board of directors adopts the plan, unless it is terminated earlier by our board of directors. Our board of directors may amend or terminate our 2017 Equity Incentive Plan at any time. Our board of directors generally may amend our 2017 Equity Incentive Plan, without stockholder approval unless required by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adopted a 2017 Employee Stock Purchase Plan that will become effective on the date of this prospectus and will enable eligible employees to purchase shares of our common stock at a discount beginning on a date determined by our board of directors. Purchases will be accomplished through participation in discrete offering periods. We initially reserved 218,000 shares of our common stock for issuance under our 2017 Employee Stock Purchase Plan. The number of shares reserved for issuance under our 2017 Employee Stock Purchase Plan will increase automatically on January 1st of each of the first ten calendar years following the first offering date by the number of shares equal to the greater of 1% of the total outstanding shares of our common stock as of the immediately preceding December 31 (rounded to the nearest whole share). However, our board of directors or compensation committee may reduce the amount of the increase in any particular year. The aggregate number of shares issued over the term of our 2017 Employee Stock Purchase Plan will not exceed 2,180,000 shares of our common stock. Our 2017 Employee Stock Purchase Plan is intended to qualify as an employee stock purchase plan under Section 423 of the Code.</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compensation committee will administer our 2017 Employee Stock Purchase Plan. While our employees generally are eligible to participate in our 2017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2017 Employee Stock Purchase Plan, are ineligible to participate in our 2017 Employee Stock Purchase Plan. We may impose additional restrictions on eligibility within the limits permitted by the Code. Under our 2017 Employee Stock Purchase Plan, eligible employees will be able to acquire shares of our common stock by accumulating funds through payroll deductions. Our eligible employees will be able to select a rate of payroll deduction between 1% and 15% of their base cash compensation.</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an initial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subsequent offering periods. Each offering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first offering period will begin on a future date to be designated by our board of directors or compensation committee. Each subsequent offering period will be designated by our compensation committee, but will in no event be longer than 27 months.</w:t>
      </w:r>
    </w:p>
    <w:p>
      <w:pPr>
        <w:spacing w:after="0" w:line="170"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plans that are also in effect in the same calendar years, that has a fair market value of more than $25,000, determined as of the first day of the applicable purchase period, for each calendar year in which that right is outstanding. In addition, no participant will be permitted to purchase more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than 1,500 shares during any one purchase period or such lesser amount determined by our compensation committee. The purchase price for shares of our common stock purchased under our 2017 Employee Stock Purchase Plan will be 85% of the lesser of the fair market value of our common stock on (i) the first trading day of the applicable offering period or (ii) the last trading day of each purchase period in the applicable offering period.</w:t>
      </w:r>
    </w:p>
    <w:p>
      <w:pPr>
        <w:spacing w:after="0" w:line="14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If we experience a corporate transaction (as defined in the 2017 Employee Stock Purchase Plan), each outstanding right to purchase shares under our 2017 Employee Stock Purchase Plan will be assumed or an equivalent option substituted by the successor corporation. In the event that the successor corporation refuses to assume or substitute for the outstanding purchase rights, any offering period that commenced prior to the closing of the proposed corporate transaction will be shortened and terminated on a new purchase date. The new purchase date will occur on or prior to the closing of the corporate transaction and our 2017 Employee Stock Purchase Plan will then terminate on the closing of the corporate transaction.</w:t>
      </w:r>
    </w:p>
    <w:p>
      <w:pPr>
        <w:spacing w:after="0" w:line="15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2017 Employee Stock Purchase Plan at any time. Our 2016 Employee Stock Purchase Plan will terminate on the tenth anniversary of the last day of the first purchase period, unless it is terminated earlier by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C-1 Preferred Stock Financing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Series C-1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Purchase</w:t>
            </w:r>
          </w:p>
        </w:tc>
        <w:tc>
          <w:tcPr>
            <w:tcW w:w="0" w:type="dxa"/>
            <w:vAlign w:val="bottom"/>
          </w:tcPr>
          <w:p>
            <w:pPr>
              <w:spacing w:after="0"/>
              <w:rPr>
                <w:sz w:val="1"/>
                <w:szCs w:val="1"/>
                <w:color w:val="auto"/>
              </w:rPr>
            </w:pPr>
          </w:p>
        </w:tc>
      </w:tr>
      <w:tr>
        <w:trPr>
          <w:trHeight w:val="178"/>
        </w:trPr>
        <w:tc>
          <w:tcPr>
            <w:tcW w:w="9480" w:type="dxa"/>
            <w:vAlign w:val="bottom"/>
            <w:gridSpan w:val="2"/>
            <w:vMerge w:val="continue"/>
          </w:tcPr>
          <w:p>
            <w:pPr>
              <w:spacing w:after="0"/>
              <w:rPr>
                <w:sz w:val="15"/>
                <w:szCs w:val="15"/>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8180" w:type="dxa"/>
            <w:vAlign w:val="bottom"/>
          </w:tcPr>
          <w:p>
            <w:pPr>
              <w:spacing w:after="0" w:line="189" w:lineRule="exact"/>
              <w:rPr>
                <w:sz w:val="20"/>
                <w:szCs w:val="20"/>
                <w:color w:val="auto"/>
              </w:rPr>
            </w:pPr>
            <w:r>
              <w:rPr>
                <w:rFonts w:ascii="Arial" w:cs="Arial" w:eastAsia="Arial" w:hAnsi="Arial"/>
                <w:sz w:val="18"/>
                <w:szCs w:val="18"/>
                <w:color w:val="auto"/>
              </w:rPr>
              <w:t>with Frazier Healthcare(1)</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195,751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6"/>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195,751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Alloy Ventures 2005, L.P.</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77,320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351,810</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Hamza Suria(3)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4"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July 2015, we sold an aggregate of 5,490,973 shares of our Series D convertible preferred stock at a purchase price of $7.42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Series 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12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7940" w:type="dxa"/>
            <w:vAlign w:val="bottom"/>
          </w:tcPr>
          <w:p>
            <w:pPr>
              <w:spacing w:after="0" w:line="189" w:lineRule="exact"/>
              <w:rPr>
                <w:sz w:val="20"/>
                <w:szCs w:val="20"/>
                <w:color w:val="auto"/>
              </w:rPr>
            </w:pPr>
            <w:r>
              <w:rPr>
                <w:rFonts w:ascii="Arial" w:cs="Arial" w:eastAsia="Arial" w:hAnsi="Arial"/>
                <w:sz w:val="18"/>
                <w:szCs w:val="18"/>
                <w:color w:val="auto"/>
              </w:rPr>
              <w:t>with Biotechnology Value Fund, L.P</w:t>
            </w: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7"/>
              </w:rPr>
              <w:t>1,010,600</w:t>
            </w:r>
          </w:p>
        </w:tc>
        <w:tc>
          <w:tcPr>
            <w:tcW w:w="4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800" w:type="dxa"/>
            <w:vAlign w:val="bottom"/>
          </w:tcPr>
          <w:p>
            <w:pPr>
              <w:jc w:val="right"/>
              <w:spacing w:after="0"/>
              <w:rPr>
                <w:sz w:val="20"/>
                <w:szCs w:val="20"/>
                <w:color w:val="auto"/>
              </w:rPr>
            </w:pPr>
            <w:r>
              <w:rPr>
                <w:rFonts w:ascii="Arial" w:cs="Arial" w:eastAsia="Arial" w:hAnsi="Arial"/>
                <w:sz w:val="18"/>
                <w:szCs w:val="18"/>
                <w:color w:val="auto"/>
              </w:rPr>
              <w:t>942,835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800" w:type="dxa"/>
            <w:vAlign w:val="bottom"/>
          </w:tcPr>
          <w:p>
            <w:pPr>
              <w:jc w:val="right"/>
              <w:spacing w:after="0"/>
              <w:rPr>
                <w:sz w:val="20"/>
                <w:szCs w:val="20"/>
                <w:color w:val="auto"/>
              </w:rPr>
            </w:pPr>
            <w:r>
              <w:rPr>
                <w:rFonts w:ascii="Arial" w:cs="Arial" w:eastAsia="Arial" w:hAnsi="Arial"/>
                <w:sz w:val="18"/>
                <w:szCs w:val="18"/>
                <w:color w:val="auto"/>
              </w:rPr>
              <w:t>942,835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800" w:type="dxa"/>
            <w:vAlign w:val="bottom"/>
          </w:tcPr>
          <w:p>
            <w:pPr>
              <w:jc w:val="right"/>
              <w:spacing w:after="0"/>
              <w:rPr>
                <w:sz w:val="20"/>
                <w:szCs w:val="20"/>
                <w:color w:val="auto"/>
              </w:rPr>
            </w:pPr>
            <w:r>
              <w:rPr>
                <w:rFonts w:ascii="Arial" w:cs="Arial" w:eastAsia="Arial" w:hAnsi="Arial"/>
                <w:sz w:val="18"/>
                <w:szCs w:val="18"/>
                <w:color w:val="auto"/>
              </w:rPr>
              <w:t>673,454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Nicholas B. Lydon, Ph.D., FRS(3)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67,345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Carol G. Gallagher, Pharm.D.(4)</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21,439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E. Hoffman(5)</w:t>
            </w:r>
          </w:p>
        </w:tc>
        <w:tc>
          <w:tcPr>
            <w:tcW w:w="800" w:type="dxa"/>
            <w:vAlign w:val="bottom"/>
          </w:tcPr>
          <w:p>
            <w:pPr>
              <w:jc w:val="right"/>
              <w:spacing w:after="0"/>
              <w:rPr>
                <w:sz w:val="20"/>
                <w:szCs w:val="20"/>
                <w:color w:val="auto"/>
              </w:rPr>
            </w:pPr>
            <w:r>
              <w:rPr>
                <w:rFonts w:ascii="Arial" w:cs="Arial" w:eastAsia="Arial" w:hAnsi="Arial"/>
                <w:sz w:val="18"/>
                <w:szCs w:val="18"/>
                <w:color w:val="auto"/>
              </w:rPr>
              <w:t>6,734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Hamza Suria(6)</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Marco Londei, M.D.(7)</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8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of our existing stockholders and their affiliated entities, including stockholders affiliated with certain of our directors, have indicated an interest in purchasing up to an aggregate of approximately $30.0 million of shares of our common stock in this offering at the initial public offering price. However, because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December 31, 2016, and as adjusted to reflect the sale of common stock in this offering, for:</w:t>
      </w:r>
    </w:p>
    <w:p>
      <w:pPr>
        <w:spacing w:after="0" w:line="76"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Applicable percentage ownership is based on 14,171,984 shares of common stock outstanding as of December 31, 2016 and assumes the automatic conversion of all outstanding shares of our convertible preferred stock into 11,520,698 shares of common stock as of immediately prior to the closing of this offering. For purposes of the table below, we have assumed that 4,000,000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December 31,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9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Certain of our existing stockholders and their affiliated entities, including stockholders affiliated with certain of our directors, have indicated an interest in purchasing up to an aggregate of approximately $30.0 million of shares of our common stock in this offering at the initial public offering price. The information set forth in the table below does not reflect the potential purchase of any shares in this offering by these stockholders.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Beneficial Ownership</w:t>
            </w:r>
          </w:p>
        </w:tc>
        <w:tc>
          <w:tcPr>
            <w:tcW w:w="1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4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Prior to this Offering</w:t>
            </w: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510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3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3,288,447</w:t>
            </w:r>
          </w:p>
        </w:tc>
        <w:tc>
          <w:tcPr>
            <w:tcW w:w="4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3,288,447</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3,019,066</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3,019,066</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Avalon Ventures VII, L.P.(3)</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2,154,415</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2,154,415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Alloy Ventures 2005, L.P.(4)</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1,282,485</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1,282,485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L.P.(5)</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1,010,600</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1,010,600</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Ltd.(6)</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942,835</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942,835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Hamza Suria(7)</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518,008</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518,008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Marco Londei, M.D.(8)</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197,568</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197,568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Matthew Moyle Ph.D.</w:t>
            </w:r>
          </w:p>
        </w:tc>
        <w:tc>
          <w:tcPr>
            <w:tcW w:w="22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22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Carol G. Gallagher, Pharm.D.(9)</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162,018</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162,018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Nicholas B. Lydon, Ph.D., FRS(10)</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318,452</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318,452</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Hollings Renton(11)</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51,156</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51,156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Schmid(12)</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A. Schoeneck(13)</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N. Topper, M.D., Ph.D.(1)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3,288,447</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3,288,447</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persons)(14)</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4,620,323</w:t>
            </w:r>
          </w:p>
        </w:tc>
        <w:tc>
          <w:tcPr>
            <w:tcW w:w="42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30.2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4,620,323</w:t>
            </w:r>
          </w:p>
        </w:tc>
        <w:tc>
          <w:tcPr>
            <w:tcW w:w="42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40" w:type="dxa"/>
            <w:vAlign w:val="bottom"/>
          </w:tcPr>
          <w:p>
            <w:pPr>
              <w:jc w:val="right"/>
              <w:ind w:right="1410"/>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(a) 2,228,377 shares of common stock following conversion of convertible preferred stock held directly by Frazier Healthcare V, L.P.,</w:t>
      </w:r>
    </w:p>
    <w:p>
      <w:pPr>
        <w:spacing w:after="0" w:line="20" w:lineRule="exact"/>
        <w:rPr>
          <w:rFonts w:ascii="Arial" w:cs="Arial" w:eastAsia="Arial" w:hAnsi="Arial"/>
          <w:sz w:val="17"/>
          <w:szCs w:val="17"/>
          <w:color w:val="auto"/>
        </w:rPr>
      </w:pPr>
    </w:p>
    <w:p>
      <w:pPr>
        <w:ind w:left="700" w:hanging="246"/>
        <w:spacing w:after="0"/>
        <w:tabs>
          <w:tab w:leader="none" w:pos="7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733,740 shares of common stock following conversion of convertible preferred stock held directly by Frazier Healthcare VII, L.P., (c) 209,095</w:t>
      </w:r>
    </w:p>
    <w:p>
      <w:pPr>
        <w:spacing w:after="0" w:line="20" w:lineRule="exact"/>
        <w:rPr>
          <w:rFonts w:ascii="Arial" w:cs="Arial" w:eastAsia="Arial" w:hAnsi="Arial"/>
          <w:sz w:val="17"/>
          <w:szCs w:val="17"/>
          <w:color w:val="auto"/>
        </w:rPr>
      </w:pPr>
    </w:p>
    <w:p>
      <w:pPr>
        <w:ind w:left="460" w:right="40"/>
        <w:spacing w:after="0" w:line="250" w:lineRule="auto"/>
        <w:rPr>
          <w:rFonts w:ascii="Arial" w:cs="Arial" w:eastAsia="Arial" w:hAnsi="Arial"/>
          <w:sz w:val="17"/>
          <w:szCs w:val="17"/>
          <w:color w:val="auto"/>
        </w:rPr>
      </w:pPr>
      <w:r>
        <w:rPr>
          <w:rFonts w:ascii="Arial" w:cs="Arial" w:eastAsia="Arial" w:hAnsi="Arial"/>
          <w:sz w:val="18"/>
          <w:szCs w:val="18"/>
          <w:color w:val="auto"/>
        </w:rPr>
        <w:t>shares of common stock following conversion of convertible preferred stock held directly by Frazier Healthcare VII-A, L.P. and (d) 117,235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3" w:lineRule="exact"/>
        <w:rPr>
          <w:rFonts w:ascii="Arial" w:cs="Arial" w:eastAsia="Arial" w:hAnsi="Arial"/>
          <w:sz w:val="17"/>
          <w:szCs w:val="17"/>
          <w:color w:val="auto"/>
        </w:rPr>
      </w:pPr>
    </w:p>
    <w:p>
      <w:pPr>
        <w:ind w:left="460" w:right="100" w:hanging="452"/>
        <w:spacing w:after="0" w:line="265"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(a) 2,901,831 shares of common stock following conversion of convertible preferred stock held directly by Novo A/S and (b) 117,235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2,036,932 shares of common stock held directly by Avalon Ventures VII, L.P. and (b) 117,483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38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1,282,485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(a) 492,743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jc w:val="both"/>
        <w:ind w:left="460" w:right="40" w:hanging="6"/>
        <w:spacing w:after="0" w:line="250" w:lineRule="auto"/>
        <w:tabs>
          <w:tab w:leader="none" w:pos="7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282,000 shares of common stock following conversion of convertible preferred stock held directly by Biotechnology Value Fund II, L.P., (c) 91,000 shares of common stock following conversion of convertible preferred stock held directly by Investment 10, L.L.C. and (d) 144,857 shares of common stock following conversion of convertible preferred stock held directly by MSI BVF SPV, L.L.C.</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942,835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12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4,998 shares of common stock following conversion of convertible preferred stock held directly by Mr. Suria and (b) 513,010 shares of common stock issuable to Mr. Suria upon the exercise of stock options that are exercisable within 60 days of December 31, 2016, of which 118,241 shares were unvested but were early exercisable, as of 60 days after December 31, 2016.</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2,020 shares of common stock following conversion of convertible preferred stock held directly by Dr. Londei and (b) 195,548 shares of common stock issuable to Dr. Londei upon the exercise of stock options that are exercisable within 60 days of December 31, 2016, of which 67,069 shares were unvested but were early exercisable, as of 60 days after December 31, 2016.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4"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(a) 64,296 shares of common stock following conversion of convertible preferred stock held directly by Dr. Gallagher and (b) 97,722 shares of common stock issuable to Dr. Gallagher upon the exercise of stock options that are exercisable within 60 days of December 31, 2016.</w:t>
      </w:r>
    </w:p>
    <w:p>
      <w:pPr>
        <w:ind w:left="460" w:right="18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67,332 shares of common stock held directly by Dr. Lydon, (b) 203,625 shares of common stock following conversion of convertible preferred stock held directly by Dr. Lydon, (c) 16,483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60" w:hanging="6"/>
        <w:spacing w:after="0" w:line="250" w:lineRule="auto"/>
        <w:tabs>
          <w:tab w:leader="none" w:pos="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31,012 shares of common stock issuable to Dr. Lydon upon the exercise of stock options that are exercisable within 60 days of December 31, 2016, of which 7,113 shares were unvested but were early exercisable, as of 60 days after December 31, 2016.</w:t>
      </w:r>
    </w:p>
    <w:p>
      <w:pPr>
        <w:ind w:left="460" w:right="12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December 31, 2016, of which 23,020 shares were unvested but were early exercisable, as of 60 days after December 31, 2016.</w:t>
      </w:r>
    </w:p>
    <w:p>
      <w:pPr>
        <w:ind w:left="460" w:right="8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December 31, 2016, of which 21,684 shares were unvested but were early exercisable, as of 60 days after December 31, 2016.</w:t>
      </w:r>
    </w:p>
    <w:p>
      <w:pPr>
        <w:ind w:left="460" w:right="640" w:hanging="452"/>
        <w:spacing w:after="0" w:line="265"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December 31, 2016, of which 24,697 shares were unvested but were early exercisable, as of 60 days after December 31, 2016.</w:t>
      </w:r>
    </w:p>
    <w:p>
      <w:pPr>
        <w:jc w:val="both"/>
        <w:ind w:left="460" w:right="30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67,332 shares of common stock, (b) 3,446,151 shares of common stock following conversion of convertible preferred stock, (c) 133,718 shares of common stock issuable upon the exercise of warrants and</w:t>
      </w:r>
    </w:p>
    <w:p>
      <w:pPr>
        <w:spacing w:after="0" w:line="1" w:lineRule="exact"/>
        <w:rPr>
          <w:rFonts w:ascii="Arial" w:cs="Arial" w:eastAsia="Arial" w:hAnsi="Arial"/>
          <w:sz w:val="16"/>
          <w:szCs w:val="16"/>
          <w:color w:val="auto"/>
        </w:rPr>
      </w:pPr>
    </w:p>
    <w:p>
      <w:pPr>
        <w:ind w:left="460" w:right="260" w:hanging="6"/>
        <w:spacing w:after="0" w:line="261" w:lineRule="auto"/>
        <w:tabs>
          <w:tab w:leader="none" w:pos="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973,122 shares of common stock issuable upon the exercise of stock options that are exercisable within 60 days of December 31, 2016, of which 261,824 shares were unvested but early exercisable, as of 60 days after December 31, 2016.</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above table does not include Dominic G. Piscitelli, who commenced his employment with us as our Chief Financial Officer in January 2017. In connection with his employment, Mr. Piscitelli was granted an option to purchase 170,241 shares of our common stock, none of which are exercisable within 60 days of December 31,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September 30, 2016, there were 14,159,333 shares of our common stock issued, held by approximately 78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we had outstanding the following warrants to purchase shares of our capital stock: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 Number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Per</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8"/>
        </w:trPr>
        <w:tc>
          <w:tcPr>
            <w:tcW w:w="7840" w:type="dxa"/>
            <w:vAlign w:val="bottom"/>
            <w:gridSpan w:val="2"/>
            <w:vMerge w:val="continue"/>
          </w:tcPr>
          <w:p>
            <w:pPr>
              <w:spacing w:after="0"/>
              <w:rPr>
                <w:sz w:val="15"/>
                <w:szCs w:val="15"/>
                <w:color w:val="auto"/>
              </w:rPr>
            </w:pP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Common Stock</w:t>
            </w:r>
          </w:p>
        </w:tc>
        <w:tc>
          <w:tcPr>
            <w:tcW w:w="650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117,483</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4.55</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November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253,571</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November 2018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41,208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December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Subsequent to September 30, 2016, we issued warrants to purchase 82,416 shares of our Series C convertible preferred stock with an exercise price of $4.55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September 30, 2016, we had outstanding options to purchase an aggregate 1,856,750 shares of our common stock, with a weighted-average exercise price of $4.13. Subsequent to September 30, 2016, we granted stock options to purchase 221,953 shares of common stock, with a weighted-average exercise price of $11.31 per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11,932,960 shares of our common stock will be entitled to rights with respect to the registration of these shares under the Securities Act, as described below. We refer to these shares collectively as registrable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Registration Rights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20" w:hanging="20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40" w:hanging="206"/>
        <w:spacing w:after="0" w:line="30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59" w:lineRule="exact"/>
        <w:rPr>
          <w:rFonts w:ascii="Arial" w:cs="Arial" w:eastAsia="Arial" w:hAnsi="Arial"/>
          <w:sz w:val="16"/>
          <w:szCs w:val="16"/>
          <w:color w:val="auto"/>
        </w:rPr>
      </w:pPr>
    </w:p>
    <w:p>
      <w:pPr>
        <w:ind w:left="660" w:hanging="206"/>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660" w:right="140" w:hanging="206"/>
        <w:spacing w:after="0" w:line="27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jc w:val="both"/>
        <w:ind w:left="660" w:right="2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 Board Composition.”</w:t>
      </w:r>
    </w:p>
    <w:p>
      <w:pPr>
        <w:spacing w:after="0" w:line="9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will provide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60"/>
        <w:spacing w:after="0" w:line="259" w:lineRule="auto"/>
        <w:rPr>
          <w:sz w:val="20"/>
          <w:szCs w:val="20"/>
          <w:color w:val="auto"/>
        </w:rPr>
      </w:pPr>
      <w:r>
        <w:rPr>
          <w:rFonts w:ascii="Arial" w:cs="Arial" w:eastAsia="Arial" w:hAnsi="Arial"/>
          <w:sz w:val="18"/>
          <w:szCs w:val="18"/>
          <w:color w:val="auto"/>
        </w:rPr>
        <w:t>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ind w:left="660" w:right="40" w:hanging="206"/>
        <w:spacing w:after="0" w:line="255"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660" w:right="440" w:hanging="206"/>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660" w:right="40" w:hanging="206"/>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660" w:right="160" w:hanging="206"/>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closing of this offering, we will have a total of 18,159,333 shares of our common stock outstanding, based on the 14,159,333 shares of our capital stock outstanding as of September 30, 2016, assuming the automatic conversion of all outstanding shares of our convertible preferred stock into 11,520,698 shares of common stock as of immediately prior to the closing of this offering. Of these outstanding shares, all of the 4,000,000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 701, 18,159,333 shares will be available for sale in the public market as follows:</w:t>
      </w:r>
    </w:p>
    <w:p>
      <w:pPr>
        <w:spacing w:after="0" w:line="83"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pacing w:after="0" w:line="142" w:lineRule="exact"/>
        <w:rPr>
          <w:rFonts w:ascii="Arial" w:cs="Arial" w:eastAsia="Arial" w:hAnsi="Arial"/>
          <w:sz w:val="17"/>
          <w:szCs w:val="17"/>
          <w:color w:val="auto"/>
        </w:rPr>
      </w:pPr>
    </w:p>
    <w:p>
      <w:pPr>
        <w:ind w:left="660" w:right="520" w:hanging="206"/>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14,159,133 additional shares will become eligible for sale in the public market, of which 11,688,156 shares will be held by affiliates and subject to the volume and other restrictions of Rule 144, as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29" w:lineRule="exact"/>
        <w:rPr>
          <w:sz w:val="20"/>
          <w:szCs w:val="20"/>
          <w:color w:val="auto"/>
        </w:rPr>
      </w:pPr>
    </w:p>
    <w:p>
      <w:pPr>
        <w:ind w:left="660" w:right="14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shares 181,593 immediately after this offering; or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1,856,750 shares of our common stock that were subject to stock options outstanding as of September 30, 2016, options to purchase 868,017 shares of common stock were vested as of September 30,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60" w:hanging="206"/>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jc w:val="both"/>
        <w:ind w:left="660" w:right="120" w:hanging="206"/>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6"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2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280" w:type="dxa"/>
            <w:vAlign w:val="bottom"/>
            <w:gridSpan w:val="2"/>
          </w:tcPr>
          <w:p>
            <w:pPr>
              <w:ind w:left="460"/>
              <w:spacing w:after="0"/>
              <w:rPr>
                <w:sz w:val="20"/>
                <w:szCs w:val="20"/>
                <w:color w:val="auto"/>
              </w:rPr>
            </w:pPr>
            <w:r>
              <w:rPr>
                <w:rFonts w:ascii="Arial" w:cs="Arial" w:eastAsia="Arial" w:hAnsi="Arial"/>
                <w:sz w:val="18"/>
                <w:szCs w:val="18"/>
                <w:color w:val="auto"/>
                <w:w w:val="93"/>
              </w:rPr>
              <w:t>We and the underwriters named below have entered into an underwriting agreement, dated</w:t>
            </w:r>
          </w:p>
        </w:tc>
        <w:tc>
          <w:tcPr>
            <w:tcW w:w="3700" w:type="dxa"/>
            <w:vAlign w:val="bottom"/>
          </w:tcPr>
          <w:p>
            <w:pPr>
              <w:ind w:left="280"/>
              <w:spacing w:after="0"/>
              <w:rPr>
                <w:sz w:val="20"/>
                <w:szCs w:val="20"/>
                <w:color w:val="auto"/>
              </w:rPr>
            </w:pPr>
            <w:r>
              <w:rPr>
                <w:rFonts w:ascii="Arial" w:cs="Arial" w:eastAsia="Arial" w:hAnsi="Arial"/>
                <w:sz w:val="18"/>
                <w:szCs w:val="18"/>
                <w:color w:val="auto"/>
                <w:w w:val="89"/>
              </w:rPr>
              <w:t>, 2017, with respect to the shares being offered.</w:t>
            </w:r>
          </w:p>
        </w:tc>
      </w:tr>
    </w:tbl>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Underwriters</w:t>
            </w:r>
          </w:p>
        </w:tc>
        <w:tc>
          <w:tcPr>
            <w:tcW w:w="93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175"/>
        </w:trPr>
        <w:tc>
          <w:tcPr>
            <w:tcW w:w="10200" w:type="dxa"/>
            <w:vAlign w:val="bottom"/>
            <w:gridSpan w:val="2"/>
          </w:tcPr>
          <w:p>
            <w:pPr>
              <w:spacing w:after="0" w:line="176" w:lineRule="exact"/>
              <w:rPr>
                <w:sz w:val="20"/>
                <w:szCs w:val="20"/>
                <w:color w:val="auto"/>
              </w:rPr>
            </w:pPr>
            <w:r>
              <w:rPr>
                <w:rFonts w:ascii="Arial" w:cs="Arial" w:eastAsia="Arial" w:hAnsi="Arial"/>
                <w:sz w:val="18"/>
                <w:szCs w:val="18"/>
                <w:color w:val="auto"/>
              </w:rPr>
              <w:t>Credit Suisse Securities (USA) LLC</w:t>
            </w:r>
          </w:p>
        </w:tc>
        <w:tc>
          <w:tcPr>
            <w:tcW w:w="1120" w:type="dxa"/>
            <w:vAlign w:val="bottom"/>
          </w:tcPr>
          <w:p>
            <w:pPr>
              <w:spacing w:after="0"/>
              <w:rPr>
                <w:sz w:val="15"/>
                <w:szCs w:val="15"/>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120" w:type="dxa"/>
            <w:vAlign w:val="bottom"/>
          </w:tcPr>
          <w:p>
            <w:pPr>
              <w:spacing w:after="0"/>
              <w:rPr>
                <w:sz w:val="18"/>
                <w:szCs w:val="18"/>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120" w:type="dxa"/>
            <w:vAlign w:val="bottom"/>
          </w:tcPr>
          <w:p>
            <w:pPr>
              <w:spacing w:after="0"/>
              <w:rPr>
                <w:sz w:val="18"/>
                <w:szCs w:val="18"/>
                <w:color w:val="auto"/>
              </w:rPr>
            </w:pPr>
          </w:p>
        </w:tc>
      </w:tr>
      <w:tr>
        <w:trPr>
          <w:trHeight w:val="230"/>
        </w:trPr>
        <w:tc>
          <w:tcPr>
            <w:tcW w:w="1020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120" w:type="dxa"/>
            <w:vAlign w:val="bottom"/>
            <w:tcBorders>
              <w:bottom w:val="single" w:sz="8" w:color="auto"/>
            </w:tcBorders>
          </w:tcPr>
          <w:p>
            <w:pPr>
              <w:spacing w:after="0"/>
              <w:rPr>
                <w:sz w:val="20"/>
                <w:szCs w:val="20"/>
                <w:color w:val="auto"/>
              </w:rPr>
            </w:pPr>
          </w:p>
        </w:tc>
      </w:tr>
      <w:tr>
        <w:trPr>
          <w:trHeight w:val="223"/>
        </w:trPr>
        <w:tc>
          <w:tcPr>
            <w:tcW w:w="10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r>
      <w:tr>
        <w:trPr>
          <w:trHeight w:val="20"/>
        </w:trPr>
        <w:tc>
          <w:tcPr>
            <w:tcW w:w="8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600,000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vMerge w:val="restart"/>
          </w:tcPr>
          <w:p>
            <w:pPr>
              <w:spacing w:after="0"/>
              <w:rPr>
                <w:sz w:val="20"/>
                <w:szCs w:val="20"/>
                <w:color w:val="auto"/>
              </w:rPr>
            </w:pPr>
            <w:r>
              <w:rPr>
                <w:rFonts w:ascii="Arial" w:cs="Arial" w:eastAsia="Arial" w:hAnsi="Arial"/>
                <w:sz w:val="18"/>
                <w:szCs w:val="18"/>
                <w:color w:val="auto"/>
              </w:rPr>
              <w:t>Per Share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00" w:type="dxa"/>
            <w:vAlign w:val="bottom"/>
          </w:tcPr>
          <w:p>
            <w:pPr>
              <w:spacing w:after="0"/>
              <w:rPr>
                <w:sz w:val="20"/>
                <w:szCs w:val="20"/>
                <w:color w:val="auto"/>
              </w:rPr>
            </w:pPr>
            <w:r>
              <w:rPr>
                <w:rFonts w:ascii="Arial" w:cs="Arial" w:eastAsia="Arial" w:hAnsi="Arial"/>
                <w:sz w:val="14"/>
                <w:szCs w:val="14"/>
                <w:b w:val="1"/>
                <w:bCs w:val="1"/>
                <w:color w:val="auto"/>
                <w:w w:val="90"/>
              </w:rPr>
              <w:t>Full Exercise</w:t>
            </w:r>
          </w:p>
        </w:tc>
        <w:tc>
          <w:tcPr>
            <w:tcW w:w="0" w:type="dxa"/>
            <w:vAlign w:val="bottom"/>
          </w:tcPr>
          <w:p>
            <w:pPr>
              <w:spacing w:after="0"/>
              <w:rPr>
                <w:sz w:val="1"/>
                <w:szCs w:val="1"/>
                <w:color w:val="auto"/>
              </w:rPr>
            </w:pPr>
          </w:p>
        </w:tc>
      </w:tr>
      <w:tr>
        <w:trPr>
          <w:trHeight w:val="195"/>
        </w:trPr>
        <w:tc>
          <w:tcPr>
            <w:tcW w:w="9140" w:type="dxa"/>
            <w:vAlign w:val="bottom"/>
            <w:vMerge w:val="continue"/>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6"/>
                <w:szCs w:val="16"/>
                <w:color w:val="auto"/>
              </w:rPr>
            </w:pPr>
          </w:p>
        </w:tc>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$4,000,000,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46"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660" w:right="360" w:hanging="206"/>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660" w:right="34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660" w:right="140" w:hanging="206"/>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purchaser is entitled under applicable provincial securities laws to purchase the shares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660" w:right="300" w:hanging="206"/>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660" w:right="480" w:hanging="206"/>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206"/>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70" w:lineRule="auto"/>
        <w:tabs>
          <w:tab w:leader="none" w:pos="2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Warning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660" w:right="220" w:hanging="206"/>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900" w:right="480" w:hanging="217"/>
        <w:spacing w:after="0" w:line="277"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80" w:firstLine="8"/>
        <w:spacing w:after="0" w:line="261"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Malaysia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invitation for subscription or purchase, whether directly or indirectly, to persons in Malaysia other than (i) a closed end fund approved by the Commission;</w:t>
      </w:r>
    </w:p>
    <w:p>
      <w:pPr>
        <w:spacing w:after="0" w:line="46" w:lineRule="exact"/>
        <w:rPr>
          <w:sz w:val="20"/>
          <w:szCs w:val="20"/>
          <w:color w:val="auto"/>
        </w:rPr>
      </w:pPr>
    </w:p>
    <w:p>
      <w:pPr>
        <w:ind w:right="20" w:firstLine="8"/>
        <w:spacing w:after="0" w:line="285" w:lineRule="auto"/>
        <w:tabs>
          <w:tab w:leader="none" w:pos="2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660" w:hanging="206"/>
        <w:spacing w:after="0" w:line="25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contemplated acquisition cost of the securities, for any single addressee acting as principal is equal to or greater than R1,000,000.</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80">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Consolidated Statements of Operations for the Years ended December 31, 2014 and 2015</w:t>
              </w:r>
            </w:hyperlink>
          </w:p>
        </w:tc>
        <w:tc>
          <w:tcPr>
            <w:tcW w:w="4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84">
              <w:r>
                <w:rPr>
                  <w:rFonts w:ascii="Arial" w:cs="Arial" w:eastAsia="Arial" w:hAnsi="Arial"/>
                  <w:sz w:val="18"/>
                  <w:szCs w:val="18"/>
                  <w:color w:val="0000EE"/>
                  <w:w w:val="89"/>
                </w:rPr>
                <w:t>Consolidated Statements of Cash Flows for the Years ended December 31, 2014 and 2015</w:t>
              </w:r>
            </w:hyperlink>
          </w:p>
        </w:tc>
        <w:tc>
          <w:tcPr>
            <w:tcW w:w="3000" w:type="dxa"/>
            <w:vAlign w:val="bottom"/>
            <w:tcBorders>
              <w:top w:val="single" w:sz="8" w:color="0000EE"/>
            </w:tcBorders>
            <w:gridSpan w:val="4"/>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204">
              <w:r>
                <w:rPr>
                  <w:rFonts w:ascii="Arial" w:cs="Arial" w:eastAsia="Arial" w:hAnsi="Arial"/>
                  <w:sz w:val="18"/>
                  <w:szCs w:val="18"/>
                  <w:color w:val="0000EE"/>
                </w:rPr>
                <w:t>Consolidated Balance Sheets as of December 31, 2015 and September 30,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Unaudited Consolidated Statements of Operations for the Nine Months Ended September 30, 2015 and 2016</w:t>
              </w:r>
            </w:hyperlink>
          </w:p>
        </w:tc>
        <w:tc>
          <w:tcPr>
            <w:tcW w:w="30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Unaudited Consolidated Statements of Cash Flows for the Nine Months Ended September 30, 2015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Notes to Unaudited Consolidated Financial Statements</w:t>
              </w:r>
            </w:hyperlink>
          </w:p>
        </w:tc>
        <w:tc>
          <w:tcPr>
            <w:tcW w:w="3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2016, except for the reverse stock split described in Note 12, which is dated January 13,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22,188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51,684</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9"/>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60" w:type="dxa"/>
            <w:vAlign w:val="bottom"/>
          </w:tcPr>
          <w:p>
            <w:pPr>
              <w:jc w:val="center"/>
              <w:ind w:right="230"/>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4"/>
              </w:rPr>
              <w:t>Series B convertible preferred stock, $0.001 par value, 3,963 shares authorized, issued and outstanding at December 31, 2014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and 2015; aggregate liquidation preference at December 31, 2015 of $24,991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28,220</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9"/>
              </w:rPr>
              <w:t>Series C convertible preferred stock, $0.001 par value, 1,887 shares authorized, 1,593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4"/>
              </w:rPr>
              <w:t>Series C-1 convertible preferred stock, $0.001 par value, 474 shares authorized, issued and outstanding at December 31, 2014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9"/>
              </w:rPr>
              <w:t>Series D convertible preferred stock, $0.001 par value, 5,491 shares authorized, no shares and 5,491 shares issued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w w:val="93"/>
              </w:rPr>
              <w:t>outstanding at December 31, 2014 and 2015, respectively; aggregate liquidation preference at December 31, 2015 of $40,767</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Common stock, $0.001 par value, 17,214 shares authorized, 2,481 shares and 2,630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14,422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15,482</w:t>
            </w: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(45,259)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(50,664)</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(30,835)</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Year Ended</w:t>
      </w:r>
    </w:p>
    <w:p>
      <w:pPr>
        <w:jc w:val="center"/>
        <w:ind w:left="9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2,354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10,968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(1,270)</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(1,338)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0"/>
                <w:szCs w:val="20"/>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2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Series C-1</w:t>
            </w:r>
          </w:p>
        </w:tc>
        <w:tc>
          <w:tcPr>
            <w:tcW w:w="128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Series 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Preferred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28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Convertible</w:t>
            </w:r>
          </w:p>
        </w:tc>
        <w:tc>
          <w:tcPr>
            <w:tcW w:w="1280" w:type="dxa"/>
            <w:vAlign w:val="bottom"/>
            <w:gridSpan w:val="6"/>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Preferred Stock</w:t>
            </w:r>
          </w:p>
        </w:tc>
        <w:tc>
          <w:tcPr>
            <w:tcW w:w="1280" w:type="dxa"/>
            <w:vAlign w:val="bottom"/>
            <w:gridSpan w:val="6"/>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Preferred Stock</w:t>
            </w: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36"/>
        </w:trPr>
        <w:tc>
          <w:tcPr>
            <w:tcW w:w="19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Balance, January 1, 2014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gridSpan w:val="2"/>
          </w:tcPr>
          <w:p>
            <w:pPr>
              <w:spacing w:after="0"/>
              <w:rPr>
                <w:sz w:val="11"/>
                <w:szCs w:val="11"/>
                <w:color w:val="auto"/>
              </w:rPr>
            </w:pPr>
          </w:p>
        </w:tc>
        <w:tc>
          <w:tcPr>
            <w:tcW w:w="500" w:type="dxa"/>
            <w:vAlign w:val="bottom"/>
          </w:tcPr>
          <w:p>
            <w:pPr>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5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5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520" w:type="dxa"/>
            <w:vAlign w:val="bottom"/>
            <w:tcBorders>
              <w:top w:val="single" w:sz="8" w:color="auto"/>
            </w:tcBorders>
            <w:gridSpan w:val="2"/>
          </w:tcPr>
          <w:p>
            <w:pPr>
              <w:jc w:val="right"/>
              <w:ind w:right="100"/>
              <w:spacing w:after="0" w:line="136"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6"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800" w:type="dxa"/>
            <w:vAlign w:val="bottom"/>
            <w:gridSpan w:val="2"/>
          </w:tcPr>
          <w:p>
            <w:pPr>
              <w:jc w:val="right"/>
              <w:ind w:right="320"/>
              <w:spacing w:after="0" w:line="136"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23"/>
        </w:trPr>
        <w:tc>
          <w:tcPr>
            <w:tcW w:w="1900" w:type="dxa"/>
            <w:vAlign w:val="bottom"/>
            <w:tcBorders>
              <w:top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jc w:val="center"/>
              <w:ind w:left="328"/>
              <w:spacing w:after="0" w:line="123" w:lineRule="exact"/>
              <w:rPr>
                <w:sz w:val="20"/>
                <w:szCs w:val="20"/>
                <w:color w:val="auto"/>
              </w:rPr>
            </w:pPr>
            <w:r>
              <w:rPr>
                <w:rFonts w:ascii="Arial" w:cs="Arial" w:eastAsia="Arial" w:hAnsi="Arial"/>
                <w:sz w:val="14"/>
                <w:szCs w:val="14"/>
                <w:color w:val="auto"/>
                <w:w w:val="91"/>
              </w:rPr>
              <w:t>3,963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$ 28,220</w:t>
            </w:r>
          </w:p>
        </w:tc>
        <w:tc>
          <w:tcPr>
            <w:tcW w:w="160" w:type="dxa"/>
            <w:vAlign w:val="bottom"/>
          </w:tcPr>
          <w:p>
            <w:pPr>
              <w:spacing w:after="0"/>
              <w:rPr>
                <w:sz w:val="10"/>
                <w:szCs w:val="10"/>
                <w:color w:val="auto"/>
              </w:rPr>
            </w:pPr>
          </w:p>
        </w:tc>
        <w:tc>
          <w:tcPr>
            <w:tcW w:w="4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0"/>
                <w:szCs w:val="10"/>
                <w:color w:val="auto"/>
              </w:rPr>
            </w:pPr>
          </w:p>
        </w:tc>
        <w:tc>
          <w:tcPr>
            <w:tcW w:w="42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20" w:type="dxa"/>
            <w:vAlign w:val="bottom"/>
            <w:tcBorders>
              <w:top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2,481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14,262</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(48,791)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(34,527)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5"/>
              </w:rPr>
              <w:t>Conversion of promissory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3"/>
              </w:rPr>
              <w:t>payable to related parties into</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0"/>
              </w:rPr>
              <w:t>shares of Series C-1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2,156</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00" w:type="dxa"/>
            <w:vAlign w:val="bottom"/>
            <w:gridSpan w:val="3"/>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3,532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137"/>
        </w:trPr>
        <w:tc>
          <w:tcPr>
            <w:tcW w:w="1900" w:type="dxa"/>
            <w:vAlign w:val="bottom"/>
          </w:tcPr>
          <w:p>
            <w:pPr>
              <w:spacing w:after="0" w:line="137" w:lineRule="exact"/>
              <w:rPr>
                <w:sz w:val="20"/>
                <w:szCs w:val="20"/>
                <w:color w:val="auto"/>
              </w:rPr>
            </w:pPr>
            <w:r>
              <w:rPr>
                <w:rFonts w:ascii="Arial" w:cs="Arial" w:eastAsia="Arial" w:hAnsi="Arial"/>
                <w:sz w:val="14"/>
                <w:szCs w:val="14"/>
                <w:b w:val="1"/>
                <w:bCs w:val="1"/>
                <w:color w:val="auto"/>
              </w:rPr>
              <w:t>Balance, December 31, 2014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ind w:left="328"/>
              <w:spacing w:after="0" w:line="137" w:lineRule="exact"/>
              <w:rPr>
                <w:sz w:val="20"/>
                <w:szCs w:val="20"/>
                <w:color w:val="auto"/>
              </w:rPr>
            </w:pPr>
            <w:r>
              <w:rPr>
                <w:rFonts w:ascii="Arial" w:cs="Arial" w:eastAsia="Arial" w:hAnsi="Arial"/>
                <w:sz w:val="14"/>
                <w:szCs w:val="14"/>
                <w:color w:val="auto"/>
                <w:w w:val="91"/>
              </w:rPr>
              <w:t>3,963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28,220</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center"/>
              <w:ind w:left="28"/>
              <w:spacing w:after="0" w:line="137"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1"/>
                <w:szCs w:val="11"/>
                <w:color w:val="auto"/>
              </w:rPr>
            </w:pPr>
          </w:p>
        </w:tc>
        <w:tc>
          <w:tcPr>
            <w:tcW w:w="420" w:type="dxa"/>
            <w:vAlign w:val="bottom"/>
            <w:tcBorders>
              <w:top w:val="single" w:sz="8" w:color="auto"/>
            </w:tcBorders>
          </w:tcPr>
          <w:p>
            <w:pPr>
              <w:ind w:left="200"/>
              <w:spacing w:after="0" w:line="137"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color w:val="auto"/>
                <w:w w:val="85"/>
              </w:rPr>
              <w:t>2,156</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center"/>
              <w:ind w:left="68"/>
              <w:spacing w:after="0" w:line="13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2,481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14,422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(45,259)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(30,835)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8"/>
              </w:rPr>
              <w:t>Issuance of Series D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Reclassification of warrants</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297</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7"/>
              </w:rPr>
              <w:t>Shares issued under employee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 plans</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149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604</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4"/>
                <w:szCs w:val="14"/>
                <w:color w:val="auto"/>
              </w:rPr>
            </w:pPr>
          </w:p>
        </w:tc>
        <w:tc>
          <w:tcPr>
            <w:tcW w:w="900" w:type="dxa"/>
            <w:vAlign w:val="bottom"/>
            <w:gridSpan w:val="3"/>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(5,405)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156"/>
        </w:trPr>
        <w:tc>
          <w:tcPr>
            <w:tcW w:w="19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2015</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Arial" w:cs="Arial" w:eastAsia="Arial" w:hAnsi="Arial"/>
                <w:sz w:val="14"/>
                <w:szCs w:val="14"/>
                <w:color w:val="auto"/>
                <w:w w:val="91"/>
              </w:rPr>
              <w:t>3,963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$ 28,220</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5"/>
              </w:rPr>
              <w:t>2,156</w:t>
            </w: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1"/>
              </w:rPr>
              <w:t>5,491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40,688</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15,482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Receivable from collaborative partners</w:t>
            </w:r>
          </w:p>
        </w:tc>
        <w:tc>
          <w:tcPr>
            <w:tcW w:w="14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3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14,603</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0"/>
                <w:szCs w:val="20"/>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6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Payments for deferred financing costs</w:t>
            </w:r>
          </w:p>
        </w:tc>
        <w:tc>
          <w:tcPr>
            <w:tcW w:w="140" w:type="dxa"/>
            <w:vAlign w:val="bottom"/>
          </w:tcPr>
          <w:p>
            <w:pPr>
              <w:spacing w:after="0"/>
              <w:rPr>
                <w:sz w:val="20"/>
                <w:szCs w:val="20"/>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ind w:left="1440"/>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19,378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22,188</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22,188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w w:val="97"/>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Reclassification of warrants to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Amounts accrued for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9340" w:type="dxa"/>
            <w:vAlign w:val="bottom"/>
          </w:tcPr>
          <w:p>
            <w:pPr>
              <w:ind w:left="720"/>
              <w:spacing w:after="0"/>
              <w:rPr>
                <w:sz w:val="20"/>
                <w:szCs w:val="20"/>
                <w:color w:val="auto"/>
              </w:rPr>
            </w:pPr>
            <w:r>
              <w:rPr>
                <w:rFonts w:ascii="Arial" w:cs="Arial" w:eastAsia="Arial" w:hAnsi="Arial"/>
                <w:sz w:val="18"/>
                <w:szCs w:val="18"/>
                <w:color w:val="auto"/>
              </w:rPr>
              <w:t>Amounts accrued for deferred financing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ind w:left="240" w:right="8840" w:hanging="232"/>
        <w:spacing w:after="0" w:line="378" w:lineRule="auto"/>
        <w:tabs>
          <w:tab w:leader="none" w:pos="19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Use of Estimates</w:t>
      </w: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660" w:right="20" w:hanging="206"/>
        <w:spacing w:after="0" w:line="303"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License arrangements</w:t>
      </w:r>
      <w:r>
        <w:rPr>
          <w:rFonts w:ascii="Arial" w:cs="Arial" w:eastAsia="Arial" w:hAnsi="Arial"/>
          <w:sz w:val="16"/>
          <w:szCs w:val="16"/>
          <w:color w:val="auto"/>
        </w:rPr>
        <w:t>. The deliverables under our collaboration and license agreements generally include exclusive or nonexclusive licenses to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56" w:lineRule="exact"/>
        <w:rPr>
          <w:rFonts w:ascii="Arial" w:cs="Arial" w:eastAsia="Arial" w:hAnsi="Arial"/>
          <w:sz w:val="16"/>
          <w:szCs w:val="16"/>
          <w:color w:val="auto"/>
        </w:rPr>
      </w:pPr>
    </w:p>
    <w:p>
      <w:pPr>
        <w:ind w:left="660" w:right="40" w:hanging="206"/>
        <w:spacing w:after="0" w:line="298"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Net Income</w:t>
            </w:r>
          </w:p>
        </w:tc>
        <w:tc>
          <w:tcPr>
            <w:tcW w:w="15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5"/>
              </w:rPr>
              <w:t>(Loss)</w:t>
            </w:r>
          </w:p>
        </w:tc>
        <w:tc>
          <w:tcPr>
            <w:tcW w:w="1540" w:type="dxa"/>
            <w:vAlign w:val="bottom"/>
            <w:gridSpan w:val="2"/>
            <w:vMerge w:val="continue"/>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(Denominator)</w:t>
            </w: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60" w:type="dxa"/>
            <w:vAlign w:val="bottom"/>
          </w:tcPr>
          <w:p>
            <w:pPr>
              <w:spacing w:after="0" w:line="182" w:lineRule="exact"/>
              <w:rPr>
                <w:sz w:val="20"/>
                <w:szCs w:val="20"/>
                <w:color w:val="auto"/>
              </w:rPr>
            </w:pPr>
            <w:r>
              <w:rPr>
                <w:rFonts w:ascii="Arial" w:cs="Arial" w:eastAsia="Arial" w:hAnsi="Arial"/>
                <w:sz w:val="18"/>
                <w:szCs w:val="18"/>
                <w:b w:val="1"/>
                <w:bCs w:val="1"/>
                <w:color w:val="auto"/>
              </w:rPr>
              <w:t>Year Ended December 31, 2014</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(5,405)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(5,405)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11,132</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80" w:type="dxa"/>
            <w:vAlign w:val="bottom"/>
          </w:tcPr>
          <w:p>
            <w:pPr>
              <w:spacing w:after="0" w:line="195" w:lineRule="exact"/>
              <w:rPr>
                <w:sz w:val="20"/>
                <w:szCs w:val="20"/>
                <w:color w:val="auto"/>
              </w:rPr>
            </w:pPr>
            <w:r>
              <w:rPr>
                <w:rFonts w:ascii="Arial" w:cs="Arial" w:eastAsia="Arial" w:hAnsi="Arial"/>
                <w:sz w:val="18"/>
                <w:szCs w:val="18"/>
                <w:color w:val="auto"/>
              </w:rPr>
              <w:t>Convertible preferred stock</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8,581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6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Warrants to purchase preferred stock</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263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1,459</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ind w:left="240" w:right="7040" w:hanging="232"/>
        <w:spacing w:after="0" w:line="378" w:lineRule="auto"/>
        <w:tabs>
          <w:tab w:leader="none" w:pos="1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8"/>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Laboratory equipment</w:t>
            </w:r>
          </w:p>
        </w:tc>
        <w:tc>
          <w:tcPr>
            <w:tcW w:w="2900" w:type="dxa"/>
            <w:vAlign w:val="bottom"/>
          </w:tcPr>
          <w:p>
            <w:pPr>
              <w:spacing w:after="0"/>
              <w:rPr>
                <w:sz w:val="16"/>
                <w:szCs w:val="16"/>
                <w:color w:val="auto"/>
              </w:rPr>
            </w:pPr>
          </w:p>
        </w:tc>
        <w:tc>
          <w:tcPr>
            <w:tcW w:w="56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89"/>
              </w:rPr>
              <w:t>$ 3,031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89"/>
              </w:rPr>
              <w:t>$ 3,243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540" w:type="dxa"/>
            <w:vAlign w:val="bottom"/>
            <w:gridSpan w:val="6"/>
          </w:tcPr>
          <w:p>
            <w:pPr>
              <w:jc w:val="right"/>
              <w:ind w:right="20"/>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Accrued Expenses</w:t>
            </w: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Accrued compensation and related expenses</w:t>
            </w:r>
          </w:p>
        </w:tc>
        <w:tc>
          <w:tcPr>
            <w:tcW w:w="3060" w:type="dxa"/>
            <w:vAlign w:val="bottom"/>
            <w:gridSpan w:val="3"/>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588</w:t>
            </w:r>
          </w:p>
        </w:tc>
        <w:tc>
          <w:tcPr>
            <w:tcW w:w="2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30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1,052</w:t>
            </w:r>
          </w:p>
        </w:tc>
        <w:tc>
          <w:tcPr>
            <w:tcW w:w="4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right="7080" w:hanging="232"/>
        <w:spacing w:after="0" w:line="378" w:lineRule="auto"/>
        <w:tabs>
          <w:tab w:leader="none" w:pos="19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toxicology studies, under the principles of good laboratory practice, using the AnaptysBio-generated anti-PD-1 antagonist antibody (TSR-042)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91" w:lineRule="exact"/>
        <w:rPr>
          <w:sz w:val="20"/>
          <w:szCs w:val="20"/>
          <w:color w:val="auto"/>
        </w:rPr>
      </w:pPr>
    </w:p>
    <w:p>
      <w:pPr>
        <w:ind w:left="240" w:right="7460" w:hanging="232"/>
        <w:spacing w:after="0" w:line="378" w:lineRule="auto"/>
        <w:tabs>
          <w:tab w:leader="none" w:pos="19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and Convertible Promissory Notes </w:t>
      </w:r>
      <w:r>
        <w:rPr>
          <w:rFonts w:ascii="Arial" w:cs="Arial" w:eastAsia="Arial" w:hAnsi="Arial"/>
          <w:sz w:val="18"/>
          <w:szCs w:val="18"/>
          <w:b w:val="1"/>
          <w:bCs w:val="1"/>
          <w:i w:val="1"/>
          <w:iCs w:val="1"/>
          <w:color w:val="auto"/>
        </w:rPr>
        <w:t>Notes Payable</w:t>
      </w: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21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100" w:firstLine="8"/>
        <w:spacing w:after="0" w:line="302" w:lineRule="auto"/>
        <w:tabs>
          <w:tab w:leader="none" w:pos="26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$4.55 per share.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476,190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380" w:type="dxa"/>
            <w:vAlign w:val="bottom"/>
          </w:tcPr>
          <w:p>
            <w:pPr>
              <w:spacing w:after="0"/>
              <w:rPr>
                <w:sz w:val="10"/>
                <w:szCs w:val="10"/>
                <w:color w:val="auto"/>
              </w:rPr>
            </w:pPr>
          </w:p>
        </w:tc>
        <w:tc>
          <w:tcPr>
            <w:tcW w:w="150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38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90"/>
              </w:rPr>
              <w:t>At December 31, 2014</w:t>
            </w:r>
          </w:p>
        </w:tc>
        <w:tc>
          <w:tcPr>
            <w:tcW w:w="4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14,736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7,227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569</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0"/>
              </w:rPr>
              <w:t>At December 31, 2015</w:t>
            </w: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6,755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44,077</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44,077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60" w:right="3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restart"/>
          </w:tcPr>
          <w:p>
            <w:pPr>
              <w:spacing w:after="0"/>
              <w:rPr>
                <w:sz w:val="20"/>
                <w:szCs w:val="20"/>
                <w:color w:val="auto"/>
              </w:rPr>
            </w:pPr>
            <w:r>
              <w:rPr>
                <w:rFonts w:ascii="Arial" w:cs="Arial" w:eastAsia="Arial" w:hAnsi="Arial"/>
                <w:sz w:val="18"/>
                <w:szCs w:val="18"/>
                <w:color w:val="auto"/>
              </w:rPr>
              <w:t>Fair value of preferred stock</w:t>
            </w:r>
          </w:p>
        </w:tc>
        <w:tc>
          <w:tcPr>
            <w:tcW w:w="2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4.06</w:t>
            </w:r>
          </w:p>
        </w:tc>
        <w:tc>
          <w:tcPr>
            <w:tcW w:w="9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9.10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Exercise price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4.55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Volatility</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1.96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9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900" w:type="dxa"/>
            <w:vAlign w:val="bottom"/>
          </w:tcPr>
          <w:p>
            <w:pPr>
              <w:spacing w:after="0" w:line="182"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w w:val="88"/>
              </w:rPr>
              <w:t>$(386)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Issuances</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(1,277)</w:t>
            </w: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tcPr>
          <w:p>
            <w:pPr>
              <w:spacing w:after="0"/>
              <w:rPr>
                <w:sz w:val="20"/>
                <w:szCs w:val="20"/>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(569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(1,549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2015, the Company reclassified 41,208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79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8"/>
                <w:szCs w:val="18"/>
                <w:color w:val="auto"/>
              </w:rPr>
              <w:t>Notes Payable</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$ 4,793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$4,793</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$ 4,903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$4,686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5,490,973 shares of Series D Convertible Preferred Stock at $7.42 per share for net proceeds of $40.7 million.</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20,215,271 shares to 29,029,772 shares. Of these shares, 17,214,285 shares are designated as common stock and 11,815,487 shares are designated as preferred stock, which are designated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A</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w:t>
            </w:r>
          </w:p>
        </w:tc>
        <w:tc>
          <w:tcPr>
            <w:tcW w:w="940" w:type="dxa"/>
            <w:vAlign w:val="bottom"/>
          </w:tcPr>
          <w:p>
            <w:pPr>
              <w:jc w:val="right"/>
              <w:spacing w:after="0"/>
              <w:rPr>
                <w:sz w:val="20"/>
                <w:szCs w:val="20"/>
                <w:color w:val="auto"/>
              </w:rPr>
            </w:pPr>
            <w:r>
              <w:rPr>
                <w:rFonts w:ascii="Arial" w:cs="Arial" w:eastAsia="Arial" w:hAnsi="Arial"/>
                <w:sz w:val="18"/>
                <w:szCs w:val="18"/>
                <w:color w:val="auto"/>
              </w:rPr>
              <w:t>3,646,356</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B-1</w:t>
            </w:r>
          </w:p>
        </w:tc>
        <w:tc>
          <w:tcPr>
            <w:tcW w:w="940" w:type="dxa"/>
            <w:vAlign w:val="bottom"/>
          </w:tcPr>
          <w:p>
            <w:pPr>
              <w:jc w:val="right"/>
              <w:spacing w:after="0"/>
              <w:rPr>
                <w:sz w:val="20"/>
                <w:szCs w:val="20"/>
                <w:color w:val="auto"/>
              </w:rPr>
            </w:pPr>
            <w:r>
              <w:rPr>
                <w:rFonts w:ascii="Arial" w:cs="Arial" w:eastAsia="Arial" w:hAnsi="Arial"/>
                <w:sz w:val="18"/>
                <w:szCs w:val="18"/>
                <w:color w:val="auto"/>
              </w:rPr>
              <w:t>285,163</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B-2</w:t>
            </w:r>
          </w:p>
        </w:tc>
        <w:tc>
          <w:tcPr>
            <w:tcW w:w="940" w:type="dxa"/>
            <w:vAlign w:val="bottom"/>
          </w:tcPr>
          <w:p>
            <w:pPr>
              <w:jc w:val="right"/>
              <w:spacing w:after="0"/>
              <w:rPr>
                <w:sz w:val="20"/>
                <w:szCs w:val="20"/>
                <w:color w:val="auto"/>
              </w:rPr>
            </w:pPr>
            <w:r>
              <w:rPr>
                <w:rFonts w:ascii="Arial" w:cs="Arial" w:eastAsia="Arial" w:hAnsi="Arial"/>
                <w:sz w:val="18"/>
                <w:szCs w:val="18"/>
                <w:color w:val="auto"/>
              </w:rPr>
              <w:t>31,744</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C</w:t>
            </w:r>
          </w:p>
        </w:tc>
        <w:tc>
          <w:tcPr>
            <w:tcW w:w="940" w:type="dxa"/>
            <w:vAlign w:val="bottom"/>
          </w:tcPr>
          <w:p>
            <w:pPr>
              <w:jc w:val="right"/>
              <w:spacing w:after="0"/>
              <w:rPr>
                <w:sz w:val="20"/>
                <w:szCs w:val="20"/>
                <w:color w:val="auto"/>
              </w:rPr>
            </w:pPr>
            <w:r>
              <w:rPr>
                <w:rFonts w:ascii="Arial" w:cs="Arial" w:eastAsia="Arial" w:hAnsi="Arial"/>
                <w:sz w:val="18"/>
                <w:szCs w:val="18"/>
                <w:color w:val="auto"/>
              </w:rPr>
              <w:t>1,887,250</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C-1</w:t>
            </w:r>
          </w:p>
        </w:tc>
        <w:tc>
          <w:tcPr>
            <w:tcW w:w="940" w:type="dxa"/>
            <w:vAlign w:val="bottom"/>
          </w:tcPr>
          <w:p>
            <w:pPr>
              <w:jc w:val="right"/>
              <w:spacing w:after="0"/>
              <w:rPr>
                <w:sz w:val="20"/>
                <w:szCs w:val="20"/>
                <w:color w:val="auto"/>
              </w:rPr>
            </w:pPr>
            <w:r>
              <w:rPr>
                <w:rFonts w:ascii="Arial" w:cs="Arial" w:eastAsia="Arial" w:hAnsi="Arial"/>
                <w:sz w:val="18"/>
                <w:szCs w:val="18"/>
                <w:color w:val="auto"/>
              </w:rPr>
              <w:t>474,001</w:t>
            </w:r>
          </w:p>
        </w:tc>
        <w:tc>
          <w:tcPr>
            <w:tcW w:w="20" w:type="dxa"/>
            <w:vAlign w:val="bottom"/>
          </w:tcPr>
          <w:p>
            <w:pPr>
              <w:spacing w:after="0"/>
              <w:rPr>
                <w:sz w:val="18"/>
                <w:szCs w:val="18"/>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Series 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5,490,973</w:t>
            </w:r>
          </w:p>
        </w:tc>
        <w:tc>
          <w:tcPr>
            <w:tcW w:w="20" w:type="dxa"/>
            <w:vAlign w:val="bottom"/>
          </w:tcPr>
          <w:p>
            <w:pPr>
              <w:spacing w:after="0"/>
              <w:rPr>
                <w:sz w:val="20"/>
                <w:szCs w:val="20"/>
                <w:color w:val="auto"/>
              </w:rPr>
            </w:pPr>
          </w:p>
        </w:tc>
      </w:tr>
      <w:tr>
        <w:trPr>
          <w:trHeight w:val="223"/>
        </w:trPr>
        <w:tc>
          <w:tcPr>
            <w:tcW w:w="1038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11,815,487</w:t>
            </w:r>
          </w:p>
        </w:tc>
        <w:tc>
          <w:tcPr>
            <w:tcW w:w="20" w:type="dxa"/>
            <w:vAlign w:val="bottom"/>
            <w:tcBorders>
              <w:bottom w:val="single" w:sz="8" w:color="auto"/>
            </w:tcBorders>
          </w:tcPr>
          <w:p>
            <w:pPr>
              <w:spacing w:after="0"/>
              <w:rPr>
                <w:sz w:val="19"/>
                <w:szCs w:val="19"/>
                <w:color w:val="auto"/>
              </w:rPr>
            </w:pPr>
          </w:p>
        </w:tc>
      </w:tr>
      <w:tr>
        <w:trPr>
          <w:trHeight w:val="20"/>
        </w:trPr>
        <w:tc>
          <w:tcPr>
            <w:tcW w:w="10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4"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$7.42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$4.55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$4.55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$6.30 per share plus all declared and unpaid dividends and the holders of Series A and Series B-2 Preferred Stock are entitled to receive liquidation preferences at the rate of $7.00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$6.30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have authorized 17,214,285 shares of common stock, of which 2,629,544 shares were issued and outstanding at December 31, 2015. Common shares reserved for future issuance upon the exercise, issuance or conversion of the respective equity instruments at December 31, 2015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11,520,698</w:t>
            </w: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Stock options</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2,050,196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412,262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Shares reserved for future award grants</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328,962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14,312,118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240"/>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gridSpan w:val="5"/>
          </w:tcPr>
          <w:p>
            <w:pPr>
              <w:ind w:left="460"/>
              <w:spacing w:after="0"/>
              <w:rPr>
                <w:sz w:val="20"/>
                <w:szCs w:val="20"/>
                <w:color w:val="auto"/>
              </w:rPr>
            </w:pPr>
            <w:r>
              <w:rPr>
                <w:rFonts w:ascii="Arial" w:cs="Arial" w:eastAsia="Arial" w:hAnsi="Arial"/>
                <w:sz w:val="18"/>
                <w:szCs w:val="18"/>
                <w:color w:val="auto"/>
                <w:w w:val="91"/>
              </w:rPr>
              <w:t>A summary of the activity related to our warrants during the year ended December 31, 2015 is as follows: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320" w:type="dxa"/>
            <w:vAlign w:val="bottom"/>
          </w:tcPr>
          <w:p>
            <w:pPr>
              <w:spacing w:after="0"/>
              <w:rPr>
                <w:sz w:val="24"/>
                <w:szCs w:val="24"/>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Subject</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Warrant</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to</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Price per</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460" w:type="dxa"/>
            <w:vAlign w:val="bottom"/>
            <w:vMerge w:val="restart"/>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auto"/>
            </w:tcBorders>
            <w:gridSpan w:val="2"/>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86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294,779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Warrants to Purchase Shares of Common Stock</w:t>
            </w: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117,483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544,285 and on July 9, 2015, we amended our 2006 Equity Incentive Plan to increase the number of shares reserved for issuance under the plan by 680,978 shares. As of December 31, 2015, awards for up to 2,379,158 shares of common stock are reserved for issuance under the Plan, of which 2,050,196 are reserved for issuance upon exercise of granted and outstanding options and 328,962 shares are available for future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 per</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Term</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8"/>
                <w:szCs w:val="18"/>
                <w:color w:val="auto"/>
              </w:rPr>
              <w:t>Outstanding at January 1, 2015</w:t>
            </w:r>
          </w:p>
        </w:tc>
        <w:tc>
          <w:tcPr>
            <w:tcW w:w="13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 years)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696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1,244,837</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w:t>
            </w:r>
          </w:p>
        </w:tc>
        <w:tc>
          <w:tcPr>
            <w:tcW w:w="5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1,040,093</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7.03</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Exercises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(148,395)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(86,339)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3.87</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2,050,196</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3.99</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$ 9,900.2</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3.84</w:t>
            </w: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7.9</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$ 9,400.8</w:t>
            </w: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1,885,856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900" w:type="dxa"/>
            <w:vAlign w:val="bottom"/>
            <w:vMerge w:val="continue"/>
          </w:tcPr>
          <w:p>
            <w:pPr>
              <w:spacing w:after="0"/>
              <w:rPr>
                <w:sz w:val="16"/>
                <w:szCs w:val="16"/>
                <w:color w:val="auto"/>
              </w:rPr>
            </w:pPr>
          </w:p>
        </w:tc>
        <w:tc>
          <w:tcPr>
            <w:tcW w:w="1660" w:type="dxa"/>
            <w:vAlign w:val="bottom"/>
            <w:gridSpan w:val="2"/>
          </w:tcPr>
          <w:p>
            <w:pPr>
              <w:jc w:val="right"/>
              <w:ind w:right="840"/>
              <w:spacing w:after="0" w:line="195"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6"/>
                <w:szCs w:val="16"/>
                <w:color w:val="auto"/>
              </w:rPr>
            </w:pPr>
          </w:p>
        </w:tc>
        <w:tc>
          <w:tcPr>
            <w:tcW w:w="6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Weighted-average grant date fair value per share</w:t>
            </w: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   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100" w:type="dxa"/>
            <w:vAlign w:val="bottom"/>
          </w:tcPr>
          <w:p>
            <w:pPr>
              <w:spacing w:after="0" w:line="195"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6"/>
                <w:szCs w:val="16"/>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108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23"/>
        </w:trPr>
        <w:tc>
          <w:tcPr>
            <w:tcW w:w="10820" w:type="dxa"/>
            <w:vAlign w:val="bottom"/>
          </w:tcPr>
          <w:p>
            <w:pPr>
              <w:spacing w:after="0"/>
              <w:rPr>
                <w:sz w:val="20"/>
                <w:szCs w:val="20"/>
                <w:color w:val="auto"/>
              </w:rPr>
            </w:pPr>
            <w:r>
              <w:rPr>
                <w:rFonts w:ascii="Arial" w:cs="Arial" w:eastAsia="Arial" w:hAnsi="Arial"/>
                <w:sz w:val="18"/>
                <w:szCs w:val="18"/>
                <w:color w:val="auto"/>
              </w:rPr>
              <w:t>Total minimum payments required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3,154</w:t>
            </w:r>
          </w:p>
        </w:tc>
      </w:tr>
      <w:tr>
        <w:trPr>
          <w:trHeight w:val="20"/>
        </w:trPr>
        <w:tc>
          <w:tcPr>
            <w:tcW w:w="10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560" w:type="dxa"/>
            <w:vAlign w:val="bottom"/>
          </w:tcPr>
          <w:p>
            <w:pPr>
              <w:spacing w:after="0" w:line="182" w:lineRule="exact"/>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16,480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16,251</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Convertible promissory note</w:t>
            </w:r>
          </w:p>
        </w:tc>
        <w:tc>
          <w:tcPr>
            <w:tcW w:w="10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60" w:type="dxa"/>
            <w:vAlign w:val="bottom"/>
          </w:tcPr>
          <w:p>
            <w:pPr>
              <w:ind w:left="108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ind w:left="108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(18,836)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(20,090)</w:t>
            </w:r>
          </w:p>
        </w:tc>
        <w:tc>
          <w:tcPr>
            <w:tcW w:w="0" w:type="dxa"/>
            <w:vAlign w:val="bottom"/>
          </w:tcPr>
          <w:p>
            <w:pPr>
              <w:spacing w:after="0"/>
              <w:rPr>
                <w:sz w:val="1"/>
                <w:szCs w:val="1"/>
                <w:color w:val="auto"/>
              </w:rPr>
            </w:pPr>
          </w:p>
        </w:tc>
      </w:tr>
      <w:tr>
        <w:trPr>
          <w:trHeight w:val="223"/>
        </w:trPr>
        <w:tc>
          <w:tcPr>
            <w:tcW w:w="9560" w:type="dxa"/>
            <w:vAlign w:val="bottom"/>
          </w:tcPr>
          <w:p>
            <w:pPr>
              <w:ind w:left="1440"/>
              <w:spacing w:after="0"/>
              <w:rPr>
                <w:sz w:val="20"/>
                <w:szCs w:val="20"/>
                <w:color w:val="auto"/>
              </w:rPr>
            </w:pPr>
            <w:r>
              <w:rPr>
                <w:rFonts w:ascii="Arial" w:cs="Arial" w:eastAsia="Arial" w:hAnsi="Arial"/>
                <w:sz w:val="18"/>
                <w:szCs w:val="18"/>
                <w:color w:val="auto"/>
              </w:rPr>
              <w:t>Deferred tax assets, net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40" w:type="dxa"/>
            <w:vAlign w:val="bottom"/>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40" w:type="dxa"/>
            <w:vAlign w:val="bottom"/>
          </w:tcPr>
          <w:p>
            <w:pPr>
              <w:spacing w:after="0" w:line="195" w:lineRule="exact"/>
              <w:rPr>
                <w:sz w:val="20"/>
                <w:szCs w:val="20"/>
                <w:color w:val="auto"/>
              </w:rPr>
            </w:pPr>
            <w:r>
              <w:rPr>
                <w:rFonts w:ascii="Arial" w:cs="Arial" w:eastAsia="Arial" w:hAnsi="Arial"/>
                <w:sz w:val="18"/>
                <w:szCs w:val="18"/>
                <w:color w:val="auto"/>
              </w:rPr>
              <w:t>Expected income tax expense (benefit) at federal statutory tax rate</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1,201</w:t>
            </w:r>
          </w:p>
        </w:tc>
        <w:tc>
          <w:tcPr>
            <w:tcW w:w="6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(1,790)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Permanent items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Return to provision adjustment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Rate differential</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Research credits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(314)</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Change in the valuation allowance</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(1,235)</w:t>
            </w:r>
          </w:p>
        </w:tc>
        <w:tc>
          <w:tcPr>
            <w:tcW w:w="720" w:type="dxa"/>
            <w:vAlign w:val="bottom"/>
          </w:tcPr>
          <w:p>
            <w:pPr>
              <w:jc w:val="right"/>
              <w:spacing w:after="0"/>
              <w:rPr>
                <w:sz w:val="20"/>
                <w:szCs w:val="20"/>
                <w:color w:val="auto"/>
              </w:rPr>
            </w:pPr>
            <w:r>
              <w:rPr>
                <w:rFonts w:ascii="Arial" w:cs="Arial" w:eastAsia="Arial" w:hAnsi="Arial"/>
                <w:sz w:val="18"/>
                <w:szCs w:val="18"/>
                <w:color w:val="auto"/>
              </w:rPr>
              <w:t>1,253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8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Balance at the beginning of the year</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4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 except for the reverse stock split discussed below.</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seven-to-one reverse stock split of every outstanding share of our preferred and common stock. The financial statements and accompanying footnotes have been retroactively restated to reflect the reverse stock split.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60" w:right="2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ASSETS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51,684</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47,134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Receivable from collaborative partner</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Australian tax incentive receivable</w:t>
            </w:r>
          </w:p>
        </w:tc>
        <w:tc>
          <w:tcPr>
            <w:tcW w:w="18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53,464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52,352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56,280</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55,837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LIABILITIES, CONVERTIBLE PREFERRED STOCK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60" w:type="dxa"/>
            <w:vAlign w:val="bottom"/>
          </w:tcPr>
          <w:p>
            <w:pPr>
              <w:jc w:val="center"/>
              <w:spacing w:after="0"/>
              <w:rPr>
                <w:sz w:val="20"/>
                <w:szCs w:val="20"/>
                <w:color w:val="auto"/>
              </w:rPr>
            </w:pPr>
            <w:r>
              <w:rPr>
                <w:rFonts w:ascii="Arial" w:cs="Arial" w:eastAsia="Arial" w:hAnsi="Arial"/>
                <w:sz w:val="16"/>
                <w:szCs w:val="16"/>
                <w:b w:val="1"/>
                <w:bCs w:val="1"/>
                <w:color w:val="auto"/>
              </w:rPr>
              <w:t>STOCKHOLDERS’ 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18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7,376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4,903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B convertible preferred stock, $0.001 par value, 3,963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aggregate liquidation preference at September 30, 2016 of $24,991</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28,220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28,220</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7"/>
              </w:rPr>
              <w:t>Series C convertible preferred stock, $0.001 par value, 1,887 shares authorized, 1,593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December 31, 2015 and September 30, 2016; aggregate liquidation preference at September 30, 2016 of $7,246</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C-1 convertible preferred stock, $0.001 par value, 474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respectively; aggregate liquidation preference at September 30, 2016 of $6,470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D convertible preferred stock, $0.001 par value, 5,491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respectively; aggregate liquidation preference at September 30, 2016 of $40,767</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40,688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40,688</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9"/>
              </w:rPr>
              <w:t>Common stock, $0.001 par value, 17,214 shares authorized, 2,630 shares and 2,639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w w:val="91"/>
              </w:rPr>
              <w:t>December 31, 2015 and September 30, 2016, respectively; 14,159 issued and outstanding, pro forma, at September 30, 2016</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15,482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16,369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(50,664)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(50,345)</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(50,345)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40"/>
              <w:spacing w:after="0"/>
              <w:rPr>
                <w:sz w:val="20"/>
                <w:szCs w:val="20"/>
                <w:color w:val="auto"/>
              </w:rPr>
            </w:pPr>
            <w:r>
              <w:rPr>
                <w:rFonts w:ascii="Arial" w:cs="Arial" w:eastAsia="Arial" w:hAnsi="Arial"/>
                <w:sz w:val="16"/>
                <w:szCs w:val="16"/>
                <w:color w:val="auto"/>
              </w:rPr>
              <w:t>Total stockholders’ (deficit) equity</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(35,179)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(33,973)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66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36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56,280</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55,837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13,517</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10,732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13,247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other (expense) income, net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(1,843)</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net loss per common share:</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weighted-average number of shares outstanding:</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14,154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(1,893)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Australian tax incentive receivable</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(3,293)</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(7,250)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(1,413)</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Payments for repurchase of common stock</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(1,056)</w:t>
            </w: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Proceeds from the issuance of preferred stock, net</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40,688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40,295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44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33,057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22,188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51,684</w:t>
            </w:r>
          </w:p>
        </w:tc>
        <w:tc>
          <w:tcPr>
            <w:tcW w:w="0" w:type="dxa"/>
            <w:vAlign w:val="bottom"/>
          </w:tcPr>
          <w:p>
            <w:pPr>
              <w:spacing w:after="0"/>
              <w:rPr>
                <w:sz w:val="1"/>
                <w:szCs w:val="1"/>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55,245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natural process of antibody generation. We currently generate revenue from our collaborative research and development arrangements.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nine months ended September 30,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September 30, 2016, have an accumulated deficit of $50.3 million. Through September 30,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unaudited consolidated financial statements do not include any adjustments that might be necessary if we are unable to continue as a going concern.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September 30, 2016.</w:t>
      </w:r>
    </w:p>
    <w:p>
      <w:pPr>
        <w:spacing w:after="0" w:line="285" w:lineRule="exact"/>
        <w:rPr>
          <w:sz w:val="20"/>
          <w:szCs w:val="20"/>
          <w:color w:val="auto"/>
        </w:rPr>
      </w:pPr>
    </w:p>
    <w:p>
      <w:pPr>
        <w:ind w:left="240" w:right="8840" w:hanging="232"/>
        <w:spacing w:after="0" w:line="378" w:lineRule="auto"/>
        <w:tabs>
          <w:tab w:leader="none" w:pos="19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Use of Estimates</w:t>
      </w:r>
    </w:p>
    <w:p>
      <w:pPr>
        <w:ind w:right="700" w:firstLine="456"/>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GAAP. The preparation of consolidated financial statements in conformity with GAAP requires management to make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six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held restricted cash of $60,000 at December 31, 2015 and September 30, 2016, respectively, which we used to secure a letter of credit provided as security for our operating lease for our facility.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2016, we have incurred an aggregate of $3.0 million in direct costs related to our anticipated public offering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deferred and recorded as a long-term asset at September 30, 2016.</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660" w:right="20" w:hanging="206"/>
        <w:spacing w:after="0" w:line="303"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License arrangements</w:t>
      </w:r>
      <w:r>
        <w:rPr>
          <w:rFonts w:ascii="Arial" w:cs="Arial" w:eastAsia="Arial" w:hAnsi="Arial"/>
          <w:sz w:val="16"/>
          <w:szCs w:val="16"/>
          <w:color w:val="auto"/>
        </w:rPr>
        <w:t>. The deliverables under our collaboration and license agreements generally include exclusive or nonexclusive licenses to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56" w:lineRule="exact"/>
        <w:rPr>
          <w:rFonts w:ascii="Arial" w:cs="Arial" w:eastAsia="Arial" w:hAnsi="Arial"/>
          <w:sz w:val="16"/>
          <w:szCs w:val="16"/>
          <w:color w:val="auto"/>
        </w:rPr>
      </w:pPr>
    </w:p>
    <w:p>
      <w:pPr>
        <w:ind w:left="660" w:right="40" w:hanging="206"/>
        <w:spacing w:after="0" w:line="298"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and $84,000 during the nine months ended September 30, 2015 and 2016.</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6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0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0" w:type="dxa"/>
            <w:vAlign w:val="bottom"/>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(1,893)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9"/>
        </w:trPr>
        <w:tc>
          <w:tcPr>
            <w:tcW w:w="9600" w:type="dxa"/>
            <w:vAlign w:val="bottom"/>
          </w:tcPr>
          <w:p>
            <w:pPr>
              <w:ind w:left="36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(1,893)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share, basic and diluted</w:t>
            </w: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11,521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Pro forma basic weighted-average common shares outstanding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14,154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Pro forma diluted weighted average common shares outstanding</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Pro forma net income per share, basic and diluted</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6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4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5"/>
        </w:trPr>
        <w:tc>
          <w:tcPr>
            <w:tcW w:w="9640" w:type="dxa"/>
            <w:vAlign w:val="bottom"/>
          </w:tcPr>
          <w:p>
            <w:pPr>
              <w:spacing w:after="0" w:line="195" w:lineRule="exact"/>
              <w:rPr>
                <w:sz w:val="20"/>
                <w:szCs w:val="20"/>
                <w:color w:val="auto"/>
              </w:rPr>
            </w:pPr>
            <w:r>
              <w:rPr>
                <w:rFonts w:ascii="Arial" w:cs="Arial" w:eastAsia="Arial" w:hAnsi="Arial"/>
                <w:sz w:val="18"/>
                <w:szCs w:val="18"/>
                <w:color w:val="auto"/>
              </w:rPr>
              <w:t>Convertible preferred stock</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7,601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ind w:left="3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1,352</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Warrants to purchase preferred stock</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294</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117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9,364</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outlines a single comprehensive model for entities to use in accounting for revenue from contracts with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most current revenue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ind w:left="240" w:right="7040" w:hanging="232"/>
        <w:spacing w:after="0" w:line="378" w:lineRule="auto"/>
        <w:tabs>
          <w:tab w:leader="none" w:pos="19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Laboratory equipment</w:t>
            </w:r>
          </w:p>
        </w:tc>
        <w:tc>
          <w:tcPr>
            <w:tcW w:w="42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3,243</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3,279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(3,583)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4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380" w:type="dxa"/>
            <w:vAlign w:val="bottom"/>
            <w:gridSpan w:val="2"/>
          </w:tcPr>
          <w:p>
            <w:pPr>
              <w:ind w:left="100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820" w:type="dxa"/>
            <w:vAlign w:val="bottom"/>
          </w:tcPr>
          <w:p>
            <w:pPr>
              <w:spacing w:after="0" w:line="195" w:lineRule="exact"/>
              <w:rPr>
                <w:sz w:val="20"/>
                <w:szCs w:val="20"/>
                <w:color w:val="auto"/>
              </w:rPr>
            </w:pPr>
            <w:r>
              <w:rPr>
                <w:rFonts w:ascii="Arial" w:cs="Arial" w:eastAsia="Arial" w:hAnsi="Arial"/>
                <w:sz w:val="18"/>
                <w:szCs w:val="18"/>
                <w:color w:val="auto"/>
              </w:rPr>
              <w:t>Accrued compensation and related expenses</w:t>
            </w:r>
          </w:p>
        </w:tc>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772</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w:t>
            </w: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2,753</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right="7080" w:hanging="232"/>
        <w:spacing w:after="0" w:line="378" w:lineRule="auto"/>
        <w:tabs>
          <w:tab w:leader="none" w:pos="19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60" w:firstLine="45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payments of $0.3 million at December 31, 2015 will be recognized ratably through December 2016, for which $0.2 million was recognized during the nine months ended September 30, 2016.</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 of $0.1 million at September 30, 2016 will be recognized ratably through December 2016. The $1.0 million milestone payment was received in September 2016.</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recognized under this agreement aggregated $13.5 million during the nine months ended September 30, 2015, which primarily includes $8.2 million for the amortization of the upfront fee and $5.3 million in funding for research and development services. Revenue recognized under this agreement aggregated $13.4 million during the nine months ended September 30, 2016, which includes $8.4 million related to five milestones for which we are recognizing revenue pro rata over the collaboration term, $3.0 million in funding for research and development services, and $2.0 million for the amortization of the upfront fee, of which $0.9 million was receivable at September 30, 2016. Deferred revenue under this agreement totaled $1.5 million at September 30, 2016.</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for an AnaptysBio-generated antibody resulting in us earning a $0.5 million milestone payment in June 2016, which we recognized in full as revenue in June 2016. The $0.5 million milestone payment was received in June 2016.</w:t>
      </w:r>
    </w:p>
    <w:p>
      <w:pPr>
        <w:spacing w:after="0" w:line="285" w:lineRule="exact"/>
        <w:rPr>
          <w:sz w:val="20"/>
          <w:szCs w:val="20"/>
          <w:color w:val="auto"/>
        </w:rPr>
      </w:pPr>
    </w:p>
    <w:p>
      <w:pPr>
        <w:ind w:left="240" w:right="7420" w:hanging="232"/>
        <w:spacing w:after="0" w:line="378" w:lineRule="auto"/>
        <w:tabs>
          <w:tab w:leader="none" w:pos="19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and Convertible Promissory Notes </w:t>
      </w:r>
      <w:r>
        <w:rPr>
          <w:rFonts w:ascii="Arial" w:cs="Arial" w:eastAsia="Arial" w:hAnsi="Arial"/>
          <w:sz w:val="18"/>
          <w:szCs w:val="18"/>
          <w:b w:val="1"/>
          <w:bCs w:val="1"/>
          <w:i w:val="1"/>
          <w:iCs w:val="1"/>
          <w:color w:val="auto"/>
        </w:rPr>
        <w:t>Notes Payable</w:t>
      </w: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dose PK/toxicology studies on at least two development programs and the Term C Loans for an aggregate of $5.0 million are available for draw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w:t>
      </w:r>
    </w:p>
    <w:p>
      <w:pPr>
        <w:spacing w:after="0" w:line="2" w:lineRule="exact"/>
        <w:rPr>
          <w:sz w:val="20"/>
          <w:szCs w:val="20"/>
          <w:color w:val="auto"/>
        </w:rPr>
      </w:pPr>
    </w:p>
    <w:p>
      <w:pPr>
        <w:ind w:firstLine="8"/>
        <w:spacing w:after="0" w:line="254"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event of default as defined in the LSA Agreement and (ii) December 31, 2016. If the Term B Loans and Term C Loans are issued, they will bear interest at the greater of 6.95% or the 3-month LIBOR plus 6.72%, with principal payments beginning February 1, 2017 and with final maturity in January 2019. At September 30, 2016, the Term A Loans are due in 4 monthly interest-only payments through January 2017, followed by 24 equal monthly principal and interest payments, with final maturity in January 2019.</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2016, the carrying amount of the Term A Loans was $5.0 million, which is net of discounts of $17,000, of which $1.6 million is classified as current liabilities, and $3.4 million is classified as noncurrent liabilities at September 30, 2016. The effective interest rate on the Term A Loans at September 30, 2016 was 9.29%. As of September 30, 2016, future principal maturities of the Term A Loans were $2.2 million, $2.6 million and $0.2 million in 2017, 2018 and 2019, respectively.</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September 30, 2016, we were in compliance with the covenants contained in the Loan and Security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6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9"/>
              </w:rPr>
              <w:t>Prices for</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7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90"/>
              </w:rPr>
              <w:t>At December 31, 2015</w:t>
            </w:r>
          </w:p>
        </w:tc>
        <w:tc>
          <w:tcPr>
            <w:tcW w:w="412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6,755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44,077</w:t>
            </w: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44,077</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1,549</w:t>
            </w:r>
          </w:p>
        </w:tc>
        <w:tc>
          <w:tcPr>
            <w:tcW w:w="0" w:type="dxa"/>
            <w:vAlign w:val="bottom"/>
          </w:tcPr>
          <w:p>
            <w:pPr>
              <w:spacing w:after="0"/>
              <w:rPr>
                <w:sz w:val="1"/>
                <w:szCs w:val="1"/>
                <w:color w:val="auto"/>
              </w:rPr>
            </w:pPr>
          </w:p>
        </w:tc>
      </w:tr>
      <w:tr>
        <w:trPr>
          <w:trHeight w:val="28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At September 30, 2016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Money market funds(1)</w:t>
            </w: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31,872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31,872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Mutual funds(2)</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13,139</w:t>
            </w: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13,139</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1,214</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8"/>
                <w:szCs w:val="18"/>
                <w:color w:val="auto"/>
              </w:rPr>
              <w:t>Fair value of preferred stock</w:t>
            </w: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9.10</w:t>
            </w:r>
          </w:p>
        </w:tc>
        <w:tc>
          <w:tcPr>
            <w:tcW w:w="116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Exercise price</w:t>
            </w:r>
          </w:p>
        </w:tc>
        <w:tc>
          <w:tcPr>
            <w:tcW w:w="370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Volatility</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 Yield</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370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65"/>
        </w:trPr>
        <w:tc>
          <w:tcPr>
            <w:tcW w:w="4820" w:type="dxa"/>
            <w:vAlign w:val="bottom"/>
          </w:tcPr>
          <w:p>
            <w:pPr>
              <w:spacing w:after="0"/>
              <w:rPr>
                <w:sz w:val="24"/>
                <w:szCs w:val="24"/>
                <w:color w:val="auto"/>
              </w:rPr>
            </w:pPr>
          </w:p>
        </w:tc>
        <w:tc>
          <w:tcPr>
            <w:tcW w:w="3700" w:type="dxa"/>
            <w:vAlign w:val="bottom"/>
            <w:gridSpan w:val="2"/>
          </w:tcPr>
          <w:p>
            <w:pPr>
              <w:ind w:left="720"/>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2015 and September 30, 2016 would each result in increases in the estimated fair values of the preferred stock warrant liabilities of $0.2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line="182" w:lineRule="exact"/>
              <w:rPr>
                <w:sz w:val="20"/>
                <w:szCs w:val="20"/>
                <w:color w:val="auto"/>
              </w:rPr>
            </w:pPr>
            <w:r>
              <w:rPr>
                <w:rFonts w:ascii="Arial" w:cs="Arial" w:eastAsia="Arial" w:hAnsi="Arial"/>
                <w:sz w:val="18"/>
                <w:szCs w:val="18"/>
                <w:b w:val="1"/>
                <w:bCs w:val="1"/>
                <w:color w:val="auto"/>
              </w:rPr>
              <w:t>Preferred Stock Warrant Liabilities: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Beginning balance</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(569)</w:t>
            </w: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Unrealized net (losses) income included in other income (expense), net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(1,214</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Fair Value of Other Financial Instruments</w:t>
            </w: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580" w:type="dxa"/>
            <w:vAlign w:val="bottom"/>
            <w:gridSpan w:val="5"/>
          </w:tcPr>
          <w:p>
            <w:pPr>
              <w:ind w:left="460"/>
              <w:spacing w:after="0"/>
              <w:rPr>
                <w:sz w:val="20"/>
                <w:szCs w:val="20"/>
                <w:color w:val="auto"/>
              </w:rPr>
            </w:pPr>
            <w:r>
              <w:rPr>
                <w:rFonts w:ascii="Arial" w:cs="Arial" w:eastAsia="Arial" w:hAnsi="Arial"/>
                <w:sz w:val="18"/>
                <w:szCs w:val="18"/>
                <w:color w:val="auto"/>
                <w:w w:val="91"/>
              </w:rPr>
              <w:t>The fair value of our financial instruments estimated as of December 31, 2015 and September 30, 2016 are presented below:</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00" w:type="dxa"/>
            <w:vAlign w:val="bottom"/>
          </w:tcPr>
          <w:p>
            <w:pPr>
              <w:spacing w:after="0"/>
              <w:rPr>
                <w:sz w:val="24"/>
                <w:szCs w:val="24"/>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19"/>
        </w:trPr>
        <w:tc>
          <w:tcPr>
            <w:tcW w:w="79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8"/>
                <w:szCs w:val="18"/>
                <w:color w:val="auto"/>
              </w:rPr>
              <w:t>Notes Payable</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$ 4,903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$4,686</w:t>
            </w: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$ 4,983</w:t>
            </w: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$4,752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1" w:lineRule="exact"/>
        <w:rPr>
          <w:sz w:val="20"/>
          <w:szCs w:val="20"/>
          <w:color w:val="auto"/>
        </w:rPr>
      </w:pPr>
    </w:p>
    <w:p>
      <w:pPr>
        <w:ind w:left="240" w:right="8920" w:hanging="232"/>
        <w:spacing w:after="0" w:line="453" w:lineRule="auto"/>
        <w:tabs>
          <w:tab w:leader="none" w:pos="192"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Repurchase of Common Stock</w:t>
      </w:r>
    </w:p>
    <w:p>
      <w:pPr>
        <w:spacing w:after="0" w:line="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nine months ended September 30, 2016, we repurchased 1,457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common stock at an exercise price equal to no less than the estimated fair market value of such stock on the date of grant. The maximum term of options granted under the Plan is ten years. As of September 30, 2016, awards for up to 2,370,157 shares of common stock are reserved for issuance under the Plan, of which 1,856,750 are reserved for issuance upon exercise of granted and outstanding options and 513,407 shares are available for future grants.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nine months ended September 30, 2016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Weighted-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Remaining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Price per</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Term</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Outstanding at January 1, 2016</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years)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2,050,196</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w w:val="79"/>
              </w:rPr>
              <w:t>3.99</w:t>
            </w:r>
          </w:p>
        </w:tc>
        <w:tc>
          <w:tcPr>
            <w:tcW w:w="5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278,910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5.95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Exercises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(10,548)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1.55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(461,808)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4.69</w:t>
            </w: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Outstanding and exercisable at September 30, 2016</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1,856,750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4.13</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7.37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$ 4,440.7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September 30, 2016</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4.04</w:t>
            </w: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7.29</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$ 4,324.2</w:t>
            </w:r>
          </w:p>
        </w:tc>
        <w:tc>
          <w:tcPr>
            <w:tcW w:w="0" w:type="dxa"/>
            <w:vAlign w:val="bottom"/>
          </w:tcPr>
          <w:p>
            <w:pPr>
              <w:spacing w:after="0" w:line="20" w:lineRule="exact"/>
              <w:rPr>
                <w:sz w:val="1"/>
                <w:szCs w:val="1"/>
                <w:color w:val="auto"/>
              </w:rPr>
            </w:pPr>
          </w:p>
        </w:tc>
      </w:tr>
      <w:tr>
        <w:trPr>
          <w:trHeight w:val="211"/>
        </w:trPr>
        <w:tc>
          <w:tcPr>
            <w:tcW w:w="694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1,748,907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$16,000 during the nine months ended September 30, 2016.</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8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Nine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6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10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71.1%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6.1</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  4.27</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  3.64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60"/>
          </w:cols>
          <w:pgMar w:left="240" w:top="460" w:right="2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stock-based compensation expense for all stock awards that was recognized in the consolidated statements of operations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9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520" w:type="dxa"/>
            <w:vAlign w:val="bottom"/>
          </w:tcPr>
          <w:p>
            <w:pPr>
              <w:spacing w:after="0" w:line="195"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200"/>
              <w:spacing w:after="0" w:line="195" w:lineRule="exact"/>
              <w:rPr>
                <w:sz w:val="20"/>
                <w:szCs w:val="20"/>
                <w:color w:val="auto"/>
              </w:rPr>
            </w:pPr>
            <w:r>
              <w:rPr>
                <w:rFonts w:ascii="Arial" w:cs="Arial" w:eastAsia="Arial" w:hAnsi="Arial"/>
                <w:sz w:val="18"/>
                <w:szCs w:val="18"/>
                <w:color w:val="auto"/>
                <w:w w:val="79"/>
              </w:rPr>
              <w:t>212</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136</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9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348</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At September 30, 2016, there was $2.8 million of unrecognized compensation cost related to unvested stock option awards, which is expected to be recognized over a remaining weighted average vesting period of 2.8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45% refundable tax incentive for qualified research and development activities. For the nine months ended September 30, 2016, $6.2 million was recorded as a reduction to research and development expenses in the consolidated statements of operations, of which $3.0 million related to fiscal 2015. We received the $3.0 million in cash during the nine months ended September 30, 2016. In September 2016, we determined that we would meet the criteria for eligibility for fiscal 2016, therefore we recorded a reduction to research and development expenses of $3.2 million equal to 45% of our eligible expenditures for the nine-month period ended September 30, 2016, as collectability was considered reasonably assured.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November 10, 2016, the date at which the consolidated financial statements were issued, except for the items discussed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seven to one reverse stock split of every outstanding share of our preferred and common stock. The financial statements and accompanying footnotes have been retroactively restated to reflect the reverse stock split.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Amendment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the Loan Agreement was further amended to (i) allow for the Term B Loans and Term C Loans to be drawn on December 30, 2016,</w:t>
      </w:r>
    </w:p>
    <w:p>
      <w:pPr>
        <w:spacing w:after="0" w:line="46"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delay principal repayments of all Term Loans until February 1, 2018 and (iii) amend the interest rate for each Loan. The Term B Loans and the Term C</w:t>
      </w:r>
    </w:p>
    <w:p>
      <w:pPr>
        <w:spacing w:after="0" w:line="32" w:lineRule="exact"/>
        <w:rPr>
          <w:rFonts w:ascii="Arial" w:cs="Arial" w:eastAsia="Arial" w:hAnsi="Arial"/>
          <w:sz w:val="16"/>
          <w:szCs w:val="16"/>
          <w:color w:val="auto"/>
        </w:rPr>
      </w:pPr>
    </w:p>
    <w:p>
      <w:pPr>
        <w:spacing w:after="0" w:line="273" w:lineRule="auto"/>
        <w:rPr>
          <w:rFonts w:ascii="Arial" w:cs="Arial" w:eastAsia="Arial" w:hAnsi="Arial"/>
          <w:sz w:val="16"/>
          <w:szCs w:val="16"/>
          <w:color w:val="auto"/>
        </w:rPr>
      </w:pPr>
      <w:r>
        <w:rPr>
          <w:rFonts w:ascii="Arial" w:cs="Arial" w:eastAsia="Arial" w:hAnsi="Arial"/>
          <w:sz w:val="17"/>
          <w:szCs w:val="17"/>
          <w:color w:val="auto"/>
        </w:rPr>
        <w:t>Loans were drawn on December 30, 2016. As of December 31, 2016, the Loans are due in 13 monthly interest-only payments through January 2018, followed by 24 equal monthly principal and interest payments, with final maturity in January 2020. Each Loan bears interest equal to 3-month U.S. LIBOR plus 6.37%, with principal payments beginning February 1, 2018 and final maturity in January 2020. In conjunction with the December 30, 2016 draw, we issued 82,416 Series C Preferred warrants to the lenders with an exercise price of $4.55 which expire December 30, 2026.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259715</wp:posOffset>
            </wp:positionV>
            <wp:extent cx="2143760" cy="5829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437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Arial" w:cs="Arial" w:eastAsia="Arial" w:hAnsi="Arial"/>
          <w:sz w:val="43"/>
          <w:szCs w:val="43"/>
          <w:b w:val="1"/>
          <w:bCs w:val="1"/>
          <w:color w:val="auto"/>
        </w:rPr>
        <w:t>AnaptysBio,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411480</wp:posOffset>
            </wp:positionV>
            <wp:extent cx="10890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263525</wp:posOffset>
            </wp:positionV>
            <wp:extent cx="10890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JMP Securities</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10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Paid or</w:t>
            </w:r>
          </w:p>
        </w:tc>
        <w:tc>
          <w:tcPr>
            <w:tcW w:w="0" w:type="dxa"/>
            <w:vAlign w:val="bottom"/>
          </w:tcPr>
          <w:p>
            <w:pPr>
              <w:spacing w:after="0"/>
              <w:rPr>
                <w:sz w:val="1"/>
                <w:szCs w:val="1"/>
                <w:color w:val="auto"/>
              </w:rPr>
            </w:pPr>
          </w:p>
        </w:tc>
      </w:tr>
      <w:tr>
        <w:trPr>
          <w:trHeight w:val="171"/>
        </w:trPr>
        <w:tc>
          <w:tcPr>
            <w:tcW w:w="10480" w:type="dxa"/>
            <w:vAlign w:val="bottom"/>
            <w:vMerge w:val="restart"/>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be Paid</w:t>
            </w: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2,150,000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163,039</w:t>
            </w:r>
          </w:p>
        </w:tc>
        <w:tc>
          <w:tcPr>
            <w:tcW w:w="0" w:type="dxa"/>
            <w:vAlign w:val="bottom"/>
          </w:tcPr>
          <w:p>
            <w:pPr>
              <w:spacing w:after="0"/>
              <w:rPr>
                <w:sz w:val="1"/>
                <w:szCs w:val="1"/>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4,000,000</w:t>
            </w:r>
          </w:p>
        </w:tc>
        <w:tc>
          <w:tcPr>
            <w:tcW w:w="0" w:type="dxa"/>
            <w:vAlign w:val="bottom"/>
          </w:tcPr>
          <w:p>
            <w:pPr>
              <w:spacing w:after="0"/>
              <w:rPr>
                <w:sz w:val="1"/>
                <w:szCs w:val="1"/>
                <w:color w:val="auto"/>
              </w:rPr>
            </w:pPr>
          </w:p>
        </w:tc>
      </w:tr>
      <w:tr>
        <w:trPr>
          <w:trHeight w:val="20"/>
        </w:trPr>
        <w:tc>
          <w:tcPr>
            <w:tcW w:w="10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660" w:hanging="20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660" w:right="60" w:hanging="206"/>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206"/>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Document</w:t>
            </w:r>
          </w:p>
        </w:tc>
        <w:tc>
          <w:tcPr>
            <w:tcW w:w="96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189"/>
        </w:trPr>
        <w:tc>
          <w:tcPr>
            <w:tcW w:w="10820" w:type="dxa"/>
            <w:vAlign w:val="bottom"/>
            <w:gridSpan w:val="2"/>
          </w:tcPr>
          <w:p>
            <w:pPr>
              <w:spacing w:after="0" w:line="189" w:lineRule="exact"/>
              <w:rPr>
                <w:sz w:val="20"/>
                <w:szCs w:val="20"/>
                <w:color w:val="auto"/>
              </w:rPr>
            </w:pPr>
            <w:r>
              <w:rPr>
                <w:rFonts w:ascii="Arial" w:cs="Arial" w:eastAsia="Arial" w:hAnsi="Arial"/>
                <w:sz w:val="18"/>
                <w:szCs w:val="18"/>
                <w:color w:val="auto"/>
              </w:rPr>
              <w:t>Form of Underwriting Agreement.</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6"/>
              </w:rPr>
              <w:t>Amended and Restated Investors’ Rights Agreement dated July 13, 2015 among the Registrant and certain of its stockholders, as amended.</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Form of Indemnification Agreement.</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Between January 13, 2014 and January 13, 2017, the Registrant granted options to purchase 1,826,184 shares of common stock under its 2006 Equity Incentive Plan to its directors, officers, employees, consultants, and other service providers with per share exercise prices ranging from $0.70 to $11.34. In this same period, the Registrant issued 171,594 shares of common stock upon exercise of stock options previously issued under the 2006 Equity Incentive Plan to its directors, officers, employees, consultants, and other service providers for cash consideration in the aggregate amount of $190,760.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Warrants to Purchase Preferred Stock</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41,208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December 2016, the Registrant issued warrants to accredited investors to purchase an aggregate of 82,416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274" w:lineRule="exact"/>
        <w:rPr>
          <w:sz w:val="20"/>
          <w:szCs w:val="20"/>
          <w:color w:val="auto"/>
        </w:rPr>
      </w:pPr>
    </w:p>
    <w:p>
      <w:pPr>
        <w:ind w:left="480" w:hanging="244"/>
        <w:spacing w:after="0"/>
        <w:tabs>
          <w:tab w:leader="none" w:pos="48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of Preferred Stock</w:t>
      </w:r>
    </w:p>
    <w:p>
      <w:pPr>
        <w:spacing w:after="0" w:line="117" w:lineRule="exact"/>
        <w:rPr>
          <w:rFonts w:ascii="Arial" w:cs="Arial" w:eastAsia="Arial" w:hAnsi="Arial"/>
          <w:sz w:val="18"/>
          <w:szCs w:val="18"/>
          <w:b w:val="1"/>
          <w:bCs w:val="1"/>
          <w:i w:val="1"/>
          <w:iCs w:val="1"/>
          <w:color w:val="auto"/>
        </w:rPr>
      </w:pPr>
    </w:p>
    <w:p>
      <w:pPr>
        <w:jc w:val="both"/>
        <w:ind w:firstLine="464"/>
        <w:spacing w:after="0" w:line="259" w:lineRule="auto"/>
        <w:tabs>
          <w:tab w:leader="none" w:pos="63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474,001 shares of the Registrant’s Series C-1 convertible preferred stock at a purchase price of $4.55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July 2015, the Registrant issued an aggregate of 5,490,973 shares of the Registrant’s Series D convertible preferred stock at a purchase price of</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$7.42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9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60"/>
          </w:cols>
          <w:pgMar w:left="240" w:top="460" w:right="2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80" w:firstLine="464"/>
        <w:spacing w:after="0" w:line="264"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60" w:right="2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17th day of January, 2017.</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9"/>
              </w:rPr>
              <w:t>Signature</w:t>
            </w:r>
          </w:p>
        </w:tc>
        <w:tc>
          <w:tcPr>
            <w:tcW w:w="920" w:type="dxa"/>
            <w:vAlign w:val="bottom"/>
          </w:tcPr>
          <w:p>
            <w:pPr>
              <w:spacing w:after="0"/>
              <w:rPr>
                <w:sz w:val="16"/>
                <w:szCs w:val="16"/>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7"/>
              </w:rPr>
              <w:t>Title</w:t>
            </w:r>
          </w:p>
        </w:tc>
        <w:tc>
          <w:tcPr>
            <w:tcW w:w="1380" w:type="dxa"/>
            <w:vAlign w:val="bottom"/>
          </w:tcPr>
          <w:p>
            <w:pPr>
              <w:spacing w:after="0"/>
              <w:rPr>
                <w:sz w:val="16"/>
                <w:szCs w:val="16"/>
                <w:color w:val="auto"/>
              </w:rPr>
            </w:pPr>
          </w:p>
        </w:tc>
        <w:tc>
          <w:tcPr>
            <w:tcW w:w="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88"/>
              </w:rPr>
              <w:t>/s/ Hamza Suria</w:t>
            </w: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President, Chief Executive Officer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182"/>
        </w:trPr>
        <w:tc>
          <w:tcPr>
            <w:tcW w:w="380" w:type="dxa"/>
            <w:vAlign w:val="bottom"/>
          </w:tcPr>
          <w:p>
            <w:pPr>
              <w:spacing w:after="0"/>
              <w:rPr>
                <w:sz w:val="15"/>
                <w:szCs w:val="15"/>
                <w:color w:val="auto"/>
              </w:rPr>
            </w:pPr>
          </w:p>
        </w:tc>
        <w:tc>
          <w:tcPr>
            <w:tcW w:w="3280" w:type="dxa"/>
            <w:vAlign w:val="bottom"/>
            <w:gridSpan w:val="3"/>
          </w:tcPr>
          <w:p>
            <w:pPr>
              <w:jc w:val="center"/>
              <w:ind w:right="380"/>
              <w:spacing w:after="0" w:line="182" w:lineRule="exact"/>
              <w:rPr>
                <w:sz w:val="20"/>
                <w:szCs w:val="20"/>
                <w:color w:val="auto"/>
              </w:rPr>
            </w:pPr>
            <w:r>
              <w:rPr>
                <w:rFonts w:ascii="Arial" w:cs="Arial" w:eastAsia="Arial" w:hAnsi="Arial"/>
                <w:sz w:val="18"/>
                <w:szCs w:val="18"/>
                <w:color w:val="auto"/>
                <w:w w:val="90"/>
              </w:rPr>
              <w:t>Hamza Suria</w:t>
            </w:r>
          </w:p>
        </w:tc>
        <w:tc>
          <w:tcPr>
            <w:tcW w:w="920" w:type="dxa"/>
            <w:vAlign w:val="bottom"/>
          </w:tcPr>
          <w:p>
            <w:pPr>
              <w:spacing w:after="0"/>
              <w:rPr>
                <w:sz w:val="15"/>
                <w:szCs w:val="15"/>
                <w:color w:val="auto"/>
              </w:rPr>
            </w:pPr>
          </w:p>
        </w:tc>
        <w:tc>
          <w:tcPr>
            <w:tcW w:w="4280" w:type="dxa"/>
            <w:vAlign w:val="bottom"/>
            <w:gridSpan w:val="3"/>
          </w:tcPr>
          <w:p>
            <w:pPr>
              <w:jc w:val="center"/>
              <w:ind w:right="800"/>
              <w:spacing w:after="0" w:line="182" w:lineRule="exact"/>
              <w:rPr>
                <w:sz w:val="20"/>
                <w:szCs w:val="20"/>
                <w:color w:val="auto"/>
              </w:rPr>
            </w:pPr>
            <w:r>
              <w:rPr>
                <w:rFonts w:ascii="Arial" w:cs="Arial" w:eastAsia="Arial" w:hAnsi="Arial"/>
                <w:sz w:val="18"/>
                <w:szCs w:val="18"/>
                <w:color w:val="auto"/>
                <w:w w:val="93"/>
              </w:rPr>
              <w:t>and Director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(Principal Executive Officer)</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6"/>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5"/>
              </w:rPr>
              <w:t>/s/ Dominic G. Piscitelli</w:t>
            </w: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Chief Financial Officer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Dominic G. Piscitelli</w:t>
            </w:r>
          </w:p>
        </w:tc>
        <w:tc>
          <w:tcPr>
            <w:tcW w:w="920" w:type="dxa"/>
            <w:vAlign w:val="bottom"/>
          </w:tcPr>
          <w:p>
            <w:pPr>
              <w:spacing w:after="0"/>
              <w:rPr>
                <w:sz w:val="19"/>
                <w:szCs w:val="19"/>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(Principal Accounting and Financial Officer)</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Tiba Aynechi, Ph.D.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Carol G. Gallagher, Pharm.D.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Nicholas B. Lydon, Ph.D., FRS</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Hollings Renton</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John Schmid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James A. Schoeneck</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17, 2017</w:t>
            </w:r>
          </w:p>
        </w:tc>
      </w:tr>
      <w:tr>
        <w:trPr>
          <w:trHeight w:val="224"/>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James N. Topper, M.D., Ph.D.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8"/>
        </w:trPr>
        <w:tc>
          <w:tcPr>
            <w:tcW w:w="3660" w:type="dxa"/>
            <w:vAlign w:val="bottom"/>
            <w:gridSpan w:val="4"/>
          </w:tcPr>
          <w:p>
            <w:pPr>
              <w:spacing w:after="0"/>
              <w:rPr>
                <w:sz w:val="20"/>
                <w:szCs w:val="20"/>
                <w:color w:val="auto"/>
              </w:rPr>
            </w:pPr>
            <w:r>
              <w:rPr>
                <w:rFonts w:ascii="Arial" w:cs="Arial" w:eastAsia="Arial" w:hAnsi="Arial"/>
                <w:sz w:val="18"/>
                <w:szCs w:val="18"/>
                <w:color w:val="auto"/>
              </w:rPr>
              <w:t>*  Pursuant to Power of Attorney</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3660" w:type="dxa"/>
            <w:vAlign w:val="bottom"/>
            <w:gridSpan w:val="4"/>
          </w:tcPr>
          <w:p>
            <w:pPr>
              <w:spacing w:after="0"/>
              <w:rPr>
                <w:sz w:val="20"/>
                <w:szCs w:val="20"/>
                <w:color w:val="auto"/>
              </w:rPr>
            </w:pPr>
            <w:r>
              <w:rPr>
                <w:rFonts w:ascii="Arial" w:cs="Arial" w:eastAsia="Arial" w:hAnsi="Arial"/>
                <w:sz w:val="18"/>
                <w:szCs w:val="18"/>
                <w:color w:val="auto"/>
              </w:rPr>
              <w:t>By:  /s/ Hamza Suria</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3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Hamza Suria</w:t>
            </w:r>
          </w:p>
        </w:tc>
        <w:tc>
          <w:tcPr>
            <w:tcW w:w="920" w:type="dxa"/>
            <w:vAlign w:val="bottom"/>
            <w:tcBorders>
              <w:top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020"/>
          </w:cols>
          <w:pgMar w:left="240" w:top="460" w:right="6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43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78"/>
        </w:trPr>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49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200" w:type="dxa"/>
            <w:vAlign w:val="bottom"/>
          </w:tcPr>
          <w:p>
            <w:pPr>
              <w:spacing w:after="0"/>
              <w:rPr>
                <w:sz w:val="15"/>
                <w:szCs w:val="15"/>
                <w:color w:val="auto"/>
              </w:rPr>
            </w:pP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Amended and Restated Certificate of Incorporation, as currently in effect.</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3.3*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Bylaws, as currently in effect.</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3.4*</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Common Stock Certificate.</w:t>
            </w:r>
          </w:p>
        </w:tc>
      </w:tr>
      <w:tr>
        <w:trPr>
          <w:trHeight w:val="269"/>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8"/>
              </w:rPr>
              <w:t>Fourth Amended and Restated Investors’ Rights Agreement, dated July 13, 2015, by and among the Registrant and certain of its</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stockholders.</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Opinion of Fenwick &amp; West LLP.</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Indemnity Agreement.</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w w:val="85"/>
              </w:rPr>
              <w:t>10.2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Amended and Restated 2006 Equity Incentive Plan and forms of award agreements.</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w w:val="85"/>
              </w:rPr>
              <w:t>10.3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89"/>
              </w:rPr>
              <w:t>2017 Equity Incentive Plan, to become effective on the date the registration statement is declared effective, and forms of award agreements.</w:t>
            </w:r>
          </w:p>
        </w:tc>
      </w:tr>
      <w:tr>
        <w:trPr>
          <w:trHeight w:val="269"/>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w w:val="85"/>
              </w:rPr>
              <w:t>10.4</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1"/>
              </w:rPr>
              <w:t>2017 Employee Stock Purchase Plan, to become effective on the date the registration statement is declared effective, and forms of award</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agreements.</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10.5*</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10.6*</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March 22, 2016, by and between the Registrant and Matthew Moyle.</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10.7*</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10.8*</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Office Lease, dated April 19, 2011, by and between the Registrant and Kilroy Realty, L.P., as amended.</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10.9*</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6"/>
              </w:rPr>
              <w:t>Antibody Generation Agreement, dated December 22, 2011, by and between the Registrant and Celgene Corporation, as modified.</w:t>
            </w:r>
          </w:p>
        </w:tc>
      </w:tr>
      <w:tr>
        <w:trPr>
          <w:trHeight w:val="269"/>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6"/>
              </w:rPr>
              <w:t>Collaboration and Exclusive License Agreement, dated March 10, 2014, by and among the Registrant, TESARO, Inc. and TESARO</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Development, Ltd., as amended.</w:t>
            </w:r>
          </w:p>
        </w:tc>
      </w:tr>
      <w:tr>
        <w:trPr>
          <w:trHeight w:val="284"/>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269"/>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8"/>
              </w:rPr>
              <w:t>Non-Exclusive Research and Commercial License Agreement, dated May 15, 2009, by and between the Registrant and Millipore</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Corporation.</w:t>
            </w:r>
          </w:p>
        </w:tc>
      </w:tr>
      <w:tr>
        <w:trPr>
          <w:trHeight w:val="269"/>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2"/>
              </w:rPr>
              <w:t>Loan and Security Agreement, dated December 24, 2014, by and among the Registrant, Oxford Finance LLC and Silicon Valley Bank, as</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amended.</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21.1*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w w:val="85"/>
              </w:rPr>
              <w:t>23.1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28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w w:val="85"/>
              </w:rPr>
              <w:t>23.2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284"/>
        </w:trPr>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w w:val="95"/>
              </w:rPr>
              <w:t>24.1*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220" w:right="100" w:hanging="212"/>
        <w:spacing w:after="0" w:line="261" w:lineRule="auto"/>
        <w:tabs>
          <w:tab w:leader="none" w:pos="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320"/>
          </w:cols>
          <w:pgMar w:left="240" w:top="459"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AnaptysBio,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subject to the terms and conditions stated herein, to issue and sell an aggregate of [●] shares (the “</w:t>
      </w:r>
      <w:r>
        <w:rPr>
          <w:rFonts w:ascii="Arial" w:cs="Arial" w:eastAsia="Arial" w:hAnsi="Arial"/>
          <w:sz w:val="17"/>
          <w:szCs w:val="17"/>
          <w:u w:val="single" w:color="auto"/>
          <w:color w:val="auto"/>
        </w:rPr>
        <w:t>Firm Shares</w:t>
      </w:r>
      <w:r>
        <w:rPr>
          <w:rFonts w:ascii="Arial" w:cs="Arial" w:eastAsia="Arial" w:hAnsi="Arial"/>
          <w:sz w:val="17"/>
          <w:szCs w:val="17"/>
          <w:color w:val="auto"/>
        </w:rPr>
        <w:t>”)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the several underwriters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xml:space="preserve">”)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for whom Credit Suisse Securities (USA) LLC and Stifel, Nicolaus &amp; Company, Incorporated are acting as representatives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The Company has also agreed to grant to the Underwriters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up to an additional [●] shares of Common Stock (the “</w:t>
      </w:r>
      <w:r>
        <w:rPr>
          <w:rFonts w:ascii="Arial" w:cs="Arial" w:eastAsia="Arial" w:hAnsi="Arial"/>
          <w:sz w:val="17"/>
          <w:szCs w:val="17"/>
          <w:u w:val="single" w:color="auto"/>
          <w:color w:val="auto"/>
        </w:rPr>
        <w:t>Option Shares</w:t>
      </w:r>
      <w:r>
        <w:rPr>
          <w:rFonts w:ascii="Arial" w:cs="Arial" w:eastAsia="Arial" w:hAnsi="Arial"/>
          <w:sz w:val="17"/>
          <w:szCs w:val="17"/>
          <w:color w:val="auto"/>
        </w:rPr>
        <w:t>”) on the terms set forth in Section 1(b) hereof. The Firm Shares and the Option Shares are hereinafter collectively referred to as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confirms as follows its agreement with the Representatives and the several other Underwriters:</w:t>
      </w:r>
    </w:p>
    <w:p>
      <w:pPr>
        <w:spacing w:after="0" w:line="333" w:lineRule="exact"/>
        <w:rPr>
          <w:sz w:val="20"/>
          <w:szCs w:val="20"/>
          <w:color w:val="auto"/>
        </w:rPr>
      </w:pPr>
    </w:p>
    <w:p>
      <w:pPr>
        <w:ind w:left="180" w:hanging="176"/>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Agreement to Sell and 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921"/>
        <w:spacing w:after="0" w:line="257" w:lineRule="auto"/>
        <w:tabs>
          <w:tab w:leader="none" w:pos="697"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Purchase of Firm Shares. </w:t>
      </w:r>
      <w:r>
        <w:rPr>
          <w:rFonts w:ascii="Arial" w:cs="Arial" w:eastAsia="Arial" w:hAnsi="Arial"/>
          <w:sz w:val="18"/>
          <w:szCs w:val="18"/>
          <w:color w:val="auto"/>
        </w:rPr>
        <w:t>On the basis of the representations, warranties and agreements of the Company contained herein and subject to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this Agreement, the Company agrees to sell to the several Underwriters and each of the several Underwriters, severally and not jointly, agrees to purchase from the Company, at a purchase price per share of $[●]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number of Firm Shares set forth opposite the name of such Underwriter in </w:t>
      </w:r>
      <w:r>
        <w:rPr>
          <w:rFonts w:ascii="Arial" w:cs="Arial" w:eastAsia="Arial" w:hAnsi="Arial"/>
          <w:sz w:val="18"/>
          <w:szCs w:val="18"/>
          <w:u w:val="single" w:color="auto"/>
          <w:color w:val="auto"/>
        </w:rPr>
        <w:t>Schedule I</w:t>
      </w:r>
      <w:r>
        <w:rPr>
          <w:rFonts w:ascii="Arial" w:cs="Arial" w:eastAsia="Arial" w:hAnsi="Arial"/>
          <w:sz w:val="18"/>
          <w:szCs w:val="18"/>
          <w:color w:val="auto"/>
        </w:rPr>
        <w:t>, plus such additional number of Firm Shares which such Underwriter may become obligated to purchase pursuant to Section 8 hereof.</w:t>
      </w:r>
    </w:p>
    <w:p>
      <w:pPr>
        <w:spacing w:after="0" w:line="188" w:lineRule="exact"/>
        <w:rPr>
          <w:rFonts w:ascii="Arial" w:cs="Arial" w:eastAsia="Arial" w:hAnsi="Arial"/>
          <w:sz w:val="18"/>
          <w:szCs w:val="18"/>
          <w:color w:val="auto"/>
        </w:rPr>
      </w:pPr>
    </w:p>
    <w:p>
      <w:pPr>
        <w:ind w:left="-460" w:firstLine="921"/>
        <w:spacing w:after="0" w:line="289" w:lineRule="auto"/>
        <w:tabs>
          <w:tab w:leader="none" w:pos="708" w:val="left"/>
        </w:tabs>
        <w:numPr>
          <w:ilvl w:val="1"/>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Purchase of Option Shares. </w:t>
      </w:r>
      <w:r>
        <w:rPr>
          <w:rFonts w:ascii="Arial" w:cs="Arial" w:eastAsia="Arial" w:hAnsi="Arial"/>
          <w:sz w:val="16"/>
          <w:szCs w:val="16"/>
          <w:color w:val="auto"/>
        </w:rPr>
        <w:t>Subject to all the terms and conditions of this Agreement, the Company grants the Option to the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to purchase, severally and not jointly, the Option Shares at the Purchase Price less an amount per share equal to any dividends or distributions declared by the Company and payable on the Firm Shares but not payable on the Option Shares. The Option may be exercised in whole or in part at any time on or before the 30th day after the date of this Agreement, upon written notice (the “</w:t>
      </w:r>
      <w:r>
        <w:rPr>
          <w:rFonts w:ascii="Arial" w:cs="Arial" w:eastAsia="Arial" w:hAnsi="Arial"/>
          <w:sz w:val="16"/>
          <w:szCs w:val="16"/>
          <w:u w:val="single" w:color="auto"/>
          <w:color w:val="auto"/>
        </w:rPr>
        <w:t>Option Shares Notice</w:t>
      </w:r>
      <w:r>
        <w:rPr>
          <w:rFonts w:ascii="Arial" w:cs="Arial" w:eastAsia="Arial" w:hAnsi="Arial"/>
          <w:sz w:val="16"/>
          <w:szCs w:val="16"/>
          <w:color w:val="auto"/>
        </w:rPr>
        <w:t>”) by the Representatives to the Company no later than 12:00 noon, New York City time, at least two and no more than five business days before the date specified for closing in the Option Shares Notice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setting forth the aggregate number of Option Shares to be purchased and the time and date for such purchase. On the Option Closing Date, the Company shall issue and sell to the Underwriters the number of Option Shares set forth in the Option Shares Notice and each Underwriter shall purchase from the Company such percentage of the Option Shares as is equal to the percentage of Firm Shares that such Underwriter is purchasing, as adjusted by the Representatives in such manner as they deem advisable to avoid fractional shares.</w:t>
      </w:r>
    </w:p>
    <w:p>
      <w:pPr>
        <w:spacing w:after="0" w:line="274" w:lineRule="exact"/>
        <w:rPr>
          <w:rFonts w:ascii="Arial" w:cs="Arial" w:eastAsia="Arial" w:hAnsi="Arial"/>
          <w:sz w:val="16"/>
          <w:szCs w:val="16"/>
          <w:color w:val="auto"/>
        </w:rPr>
      </w:pPr>
    </w:p>
    <w:p>
      <w:pPr>
        <w:ind w:left="180" w:hanging="176"/>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921"/>
        <w:spacing w:after="0" w:line="255" w:lineRule="auto"/>
        <w:tabs>
          <w:tab w:leader="none" w:pos="697"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Delivery of the Firm Shares shall be made to the Representatives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respective accounts of the Underwriters against payment of the Purchase Price by wire transfer of immediately available funds to the Company. Such payment shall be made at 10:00 a.m., New York City time, on the third business day (the fourth business day, should the offering be priced after 4:00 p.m., Eastern Time) after the date on which the first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of the Firm Shares to the public is made by the Underwriters or at such time on such other date, not later than ten business days after such date, as may be agreed upon by the Company and the Representatives (such date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460" w:right="120" w:firstLine="921"/>
        <w:spacing w:after="0" w:line="264" w:lineRule="auto"/>
        <w:tabs>
          <w:tab w:leader="none" w:pos="708"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Option Closing. </w:t>
      </w:r>
      <w:r>
        <w:rPr>
          <w:rFonts w:ascii="Arial" w:cs="Arial" w:eastAsia="Arial" w:hAnsi="Arial"/>
          <w:sz w:val="18"/>
          <w:szCs w:val="18"/>
          <w:color w:val="auto"/>
        </w:rPr>
        <w:t>To the extent the Option is exercised, delivery of the Option Shares against payment by the Representatives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and at the location specified above) shall take place at the time and date (which may be the Closing Date, but not earlier than the Closing Date) specified in the Option Shares Notice.</w:t>
      </w:r>
    </w:p>
    <w:p>
      <w:pPr>
        <w:spacing w:after="0" w:line="181" w:lineRule="exact"/>
        <w:rPr>
          <w:rFonts w:ascii="Arial" w:cs="Arial" w:eastAsia="Arial" w:hAnsi="Arial"/>
          <w:sz w:val="18"/>
          <w:szCs w:val="18"/>
          <w:color w:val="auto"/>
        </w:rPr>
      </w:pPr>
    </w:p>
    <w:p>
      <w:pPr>
        <w:ind w:left="-460" w:right="420" w:firstLine="921"/>
        <w:spacing w:after="0" w:line="277" w:lineRule="auto"/>
        <w:tabs>
          <w:tab w:leader="none" w:pos="697"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Electronic Transfer. </w:t>
      </w:r>
      <w:r>
        <w:rPr>
          <w:rFonts w:ascii="Arial" w:cs="Arial" w:eastAsia="Arial" w:hAnsi="Arial"/>
          <w:sz w:val="18"/>
          <w:szCs w:val="18"/>
          <w:color w:val="auto"/>
        </w:rPr>
        <w:t>Electronic transfer of Shares shall be made at the time of purchase in such names and in such denominations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shall specify.</w:t>
      </w:r>
    </w:p>
    <w:p>
      <w:pPr>
        <w:spacing w:after="0" w:line="102" w:lineRule="exact"/>
        <w:rPr>
          <w:rFonts w:ascii="Arial" w:cs="Arial" w:eastAsia="Arial" w:hAnsi="Arial"/>
          <w:sz w:val="18"/>
          <w:szCs w:val="18"/>
          <w:color w:val="auto"/>
        </w:rPr>
      </w:pPr>
    </w:p>
    <w:p>
      <w:pPr>
        <w:ind w:left="5200" w:hanging="96"/>
        <w:spacing w:after="0"/>
        <w:tabs>
          <w:tab w:leader="none" w:pos="5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60"/>
          </w:cols>
          <w:pgMar w:left="700" w:top="274" w:right="339" w:bottom="1440" w:gutter="0" w:footer="0" w:header="0"/>
        </w:sectPr>
      </w:pPr>
    </w:p>
    <w:bookmarkStart w:id="228" w:name="page229"/>
    <w:bookmarkEnd w:id="228"/>
    <w:p>
      <w:pPr>
        <w:ind w:left="-464" w:firstLine="921"/>
        <w:spacing w:after="0" w:line="279" w:lineRule="auto"/>
        <w:tabs>
          <w:tab w:leader="none" w:pos="703" w:val="left"/>
        </w:tabs>
        <w:numPr>
          <w:ilvl w:val="1"/>
          <w:numId w:val="14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 Stamps. </w:t>
      </w:r>
      <w:r>
        <w:rPr>
          <w:rFonts w:ascii="Arial" w:cs="Arial" w:eastAsia="Arial" w:hAnsi="Arial"/>
          <w:sz w:val="17"/>
          <w:szCs w:val="17"/>
          <w:color w:val="auto"/>
        </w:rPr>
        <w:t>The cost of original issue tax stamps, if any, in connection with the issuance and delivery of the Shares by the Company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Underwriters shall be borne by the Company. The Company shall pay and hold each Underwriter and any subsequent holder of the Shares harmless from any and all liabilities with respect to or resulting from any failure or delay in paying Federal and state stamp and other transfer taxes, if any, which may be payable or determined to be payable in connection with the original issuance or sale to such Underwriter of the Shares.</w:t>
      </w:r>
    </w:p>
    <w:p>
      <w:pPr>
        <w:spacing w:after="0" w:line="171" w:lineRule="exact"/>
        <w:rPr>
          <w:rFonts w:ascii="Arial" w:cs="Arial" w:eastAsia="Arial" w:hAnsi="Arial"/>
          <w:sz w:val="17"/>
          <w:szCs w:val="17"/>
          <w:color w:val="auto"/>
        </w:rPr>
      </w:pPr>
    </w:p>
    <w:p>
      <w:pPr>
        <w:ind w:left="176" w:hanging="176"/>
        <w:spacing w:after="0"/>
        <w:tabs>
          <w:tab w:leader="none" w:pos="17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covenants with, each Underwriter as follows:</w:t>
      </w:r>
    </w:p>
    <w:p>
      <w:pPr>
        <w:spacing w:after="0" w:line="236" w:lineRule="exact"/>
        <w:rPr>
          <w:rFonts w:ascii="Arial" w:cs="Arial" w:eastAsia="Arial" w:hAnsi="Arial"/>
          <w:sz w:val="17"/>
          <w:szCs w:val="17"/>
          <w:color w:val="auto"/>
        </w:rPr>
      </w:pPr>
    </w:p>
    <w:p>
      <w:pPr>
        <w:ind w:left="-464" w:firstLine="921"/>
        <w:spacing w:after="0" w:line="285" w:lineRule="auto"/>
        <w:tabs>
          <w:tab w:leader="none" w:pos="693"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Registration Requirements. </w:t>
      </w:r>
      <w:r>
        <w:rPr>
          <w:rFonts w:ascii="Arial" w:cs="Arial" w:eastAsia="Arial" w:hAnsi="Arial"/>
          <w:sz w:val="16"/>
          <w:szCs w:val="16"/>
          <w:color w:val="auto"/>
        </w:rPr>
        <w:t>A registration statement on Form S-1 (Registration No. 333-206849) relating to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preliminary prospectus and such amendments to such registration statement as may have been required to the date of this Agreement, has been prepared by the Company under the provisions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(collectively referred to as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thereunder, and has been filed with the Commission. Copies of such registration statement and of each amendment thereto, if any, including the related preliminary prospectuses, heretofore filed by the Company with the Commission have been delivered to the Representatives. The term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as amended at the time it becomes or became effective, including financial statements and all exhibits and any information deemed to be included therein by Rule 430A, Rule 430B or Rule 430C of the Rules and Regulations, as applicable. If the Company files a registration statement to register a portion of the Shares and relies on Rule 462(b) of the Rules and Regulations for such registration statement to become effective upon filing with the Commission (the “</w:t>
      </w:r>
      <w:r>
        <w:rPr>
          <w:rFonts w:ascii="Arial" w:cs="Arial" w:eastAsia="Arial" w:hAnsi="Arial"/>
          <w:sz w:val="16"/>
          <w:szCs w:val="16"/>
          <w:u w:val="single" w:color="auto"/>
          <w:color w:val="auto"/>
        </w:rPr>
        <w:t>Rule 462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then any reference to the “Registration Statement” shall be deemed to include the Rule 462 Registration Statement, as amended from time to time.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as used herein means a preliminary prospectus as contemplated by Rule 430, Rule 430A or Rule 430B of the Rules and Regulations included at any time as part of, or deemed to be part of or included in, the registration statement. The term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final prospectus in connection with this offering as first filed with the Commission pursuant to Rule 424(b) of the Rules and Regulations or, if no such filing is required, the form of final prospectus included in the Registration Statement at the effective date. The term “</w:t>
      </w:r>
      <w:r>
        <w:rPr>
          <w:rFonts w:ascii="Arial" w:cs="Arial" w:eastAsia="Arial" w:hAnsi="Arial"/>
          <w:sz w:val="16"/>
          <w:szCs w:val="16"/>
          <w:u w:val="single" w:color="auto"/>
          <w:color w:val="auto"/>
        </w:rPr>
        <w:t>Testing-the-Waters Communication</w:t>
      </w:r>
      <w:r>
        <w:rPr>
          <w:rFonts w:ascii="Arial" w:cs="Arial" w:eastAsia="Arial" w:hAnsi="Arial"/>
          <w:sz w:val="16"/>
          <w:szCs w:val="16"/>
          <w:color w:val="auto"/>
        </w:rPr>
        <w:t>” means any oral or written communication with potential investors in reliance on Section 5(d) of the Act. The term “</w:t>
      </w:r>
      <w:r>
        <w:rPr>
          <w:rFonts w:ascii="Arial" w:cs="Arial" w:eastAsia="Arial" w:hAnsi="Arial"/>
          <w:sz w:val="16"/>
          <w:szCs w:val="16"/>
          <w:u w:val="single" w:color="auto"/>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of the Rules and Regulations.</w:t>
      </w:r>
    </w:p>
    <w:p>
      <w:pPr>
        <w:spacing w:after="0" w:line="177" w:lineRule="exact"/>
        <w:rPr>
          <w:rFonts w:ascii="Arial" w:cs="Arial" w:eastAsia="Arial" w:hAnsi="Arial"/>
          <w:sz w:val="16"/>
          <w:szCs w:val="16"/>
          <w:color w:val="auto"/>
        </w:rPr>
      </w:pPr>
    </w:p>
    <w:p>
      <w:pPr>
        <w:ind w:left="-464" w:right="140" w:firstLine="921"/>
        <w:spacing w:after="0" w:line="257" w:lineRule="auto"/>
        <w:tabs>
          <w:tab w:leader="none" w:pos="703"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Registration. </w:t>
      </w:r>
      <w:r>
        <w:rPr>
          <w:rFonts w:ascii="Arial" w:cs="Arial" w:eastAsia="Arial" w:hAnsi="Arial"/>
          <w:sz w:val="18"/>
          <w:szCs w:val="18"/>
          <w:color w:val="auto"/>
        </w:rPr>
        <w:t>The Registration Statement, any Rule 462 Registration Statement and any post-effective amendment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declared effective by the Commission under the Act or have become effective pursuant to Rule 462 of the Rules and Regulations. The Company has responded to all requests, if any, of the Commission for additional or supplemental information. No stop order suspending the effectiveness of the Registration Statement or any Rule 462 Registration Statement is in effect and no proceedings for such purpose have been instituted or are pending or, to the knowledge of the Company, are threatened by the Commission.</w:t>
      </w:r>
    </w:p>
    <w:p>
      <w:pPr>
        <w:spacing w:after="0" w:line="120" w:lineRule="exact"/>
        <w:rPr>
          <w:rFonts w:ascii="Arial" w:cs="Arial" w:eastAsia="Arial" w:hAnsi="Arial"/>
          <w:sz w:val="18"/>
          <w:szCs w:val="18"/>
          <w:color w:val="auto"/>
        </w:rPr>
      </w:pPr>
    </w:p>
    <w:p>
      <w:pPr>
        <w:ind w:left="5196" w:hanging="96"/>
        <w:spacing w:after="0"/>
        <w:tabs>
          <w:tab w:leader="none" w:pos="5196" w:val="left"/>
        </w:tabs>
        <w:numPr>
          <w:ilvl w:val="2"/>
          <w:numId w:val="14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74" w:right="239" w:bottom="1440" w:gutter="0" w:footer="0" w:header="0"/>
        </w:sectPr>
      </w:pPr>
    </w:p>
    <w:bookmarkStart w:id="229" w:name="page230"/>
    <w:bookmarkEnd w:id="229"/>
    <w:p>
      <w:pPr>
        <w:ind w:left="-921" w:firstLine="921"/>
        <w:spacing w:after="0" w:line="268" w:lineRule="auto"/>
        <w:tabs>
          <w:tab w:leader="none" w:pos="236"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Accuracy of Registration Statement. </w:t>
      </w:r>
      <w:r>
        <w:rPr>
          <w:rFonts w:ascii="Arial" w:cs="Arial" w:eastAsia="Arial" w:hAnsi="Arial"/>
          <w:sz w:val="17"/>
          <w:szCs w:val="17"/>
          <w:color w:val="auto"/>
        </w:rPr>
        <w:t>Each of the Registration Statement, any Rule 462 Registration Statement and any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at the time it became effective and at the Closing Date and the Option Closing Date, complied and will comply in all material respects with the Act and the Rules and Regulations, and did not and will not contain any untrue statement of a material fact or omit to state a material fact required to be stated therein or necessary in order to make the statements therein not misleading. The Prospectus, as amended or supplemented, as of its date and at the Closing Date and the Option Closing Date, complied and will comply in all material respects with the Act and the Rules and Regulations, and did not or will not contain any untrue statement of a material fact or omit to state a material fact necessary to make the statements therein not misleading, in the light of the circumstances under which they were made. Each preliminary prospectus (including the preliminary prospectus or prospectuses filed as part of the Registration Statement or any amendment thereto) complied when so filed in all material respects with the Rules and Regulations, and each preliminary prospectus and the Prospectus delivered to the Underwriters for use in connection with this offering is identical to the electronically transmitted copies thereof filed with the Commission on EDGAR, except to the extent permitted by Regulation S-T. The foregoing representations and warranties in this Section 3(c) do not apply to any statements or omissions made in reliance on and in conformity with information relating to any Underwriter furnished in writing to the Company by the Representatives specifically for inclusion in the Registration Statement or Prospectus or any amendment or supplement thereto. For all purposes of this Agreement, the amounts of the selling concession set forth in the Prospectus constitute the only information (the “</w:t>
      </w:r>
      <w:r>
        <w:rPr>
          <w:rFonts w:ascii="Arial" w:cs="Arial" w:eastAsia="Arial" w:hAnsi="Arial"/>
          <w:sz w:val="17"/>
          <w:szCs w:val="17"/>
          <w:u w:val="single" w:color="auto"/>
          <w:color w:val="auto"/>
        </w:rPr>
        <w:t>Underwriters’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relating to any Underwriter furnished in writing to the Company by the Representatives specifically for inclusion in the preliminary prospectus, the Registration Statement or the Prospectus.</w:t>
      </w:r>
    </w:p>
    <w:p>
      <w:pPr>
        <w:spacing w:after="0" w:line="183" w:lineRule="exact"/>
        <w:rPr>
          <w:rFonts w:ascii="Arial" w:cs="Arial" w:eastAsia="Arial" w:hAnsi="Arial"/>
          <w:sz w:val="17"/>
          <w:szCs w:val="17"/>
          <w:color w:val="auto"/>
        </w:rPr>
      </w:pPr>
    </w:p>
    <w:p>
      <w:pPr>
        <w:ind w:left="-921" w:right="200" w:firstLine="921"/>
        <w:spacing w:after="0" w:line="264" w:lineRule="auto"/>
        <w:tabs>
          <w:tab w:leader="none" w:pos="247"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Company Not Ineligible Issuer</w:t>
      </w:r>
      <w:r>
        <w:rPr>
          <w:rFonts w:ascii="Arial" w:cs="Arial" w:eastAsia="Arial" w:hAnsi="Arial"/>
          <w:sz w:val="18"/>
          <w:szCs w:val="18"/>
          <w:color w:val="auto"/>
        </w:rPr>
        <w:t>. (i) At the time of filing the Registration Statement relating to the Shares and (ii) as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and delivery of this Agreement (with such date being used as the determination date for purposes of this clause (ii)), the Company was not and is not an “ineligible issuer” (as defined in Rule 405 of the Rules and Regulations).</w:t>
      </w:r>
    </w:p>
    <w:p>
      <w:pPr>
        <w:spacing w:after="0" w:line="181" w:lineRule="exact"/>
        <w:rPr>
          <w:rFonts w:ascii="Arial" w:cs="Arial" w:eastAsia="Arial" w:hAnsi="Arial"/>
          <w:sz w:val="18"/>
          <w:szCs w:val="18"/>
          <w:color w:val="auto"/>
        </w:rPr>
      </w:pPr>
    </w:p>
    <w:p>
      <w:pPr>
        <w:ind w:left="-921" w:right="20" w:firstLine="921"/>
        <w:spacing w:after="0" w:line="270" w:lineRule="auto"/>
        <w:tabs>
          <w:tab w:leader="none" w:pos="236"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Disclosure at the Time of Sale. </w:t>
      </w:r>
      <w:r>
        <w:rPr>
          <w:rFonts w:ascii="Arial" w:cs="Arial" w:eastAsia="Arial" w:hAnsi="Arial"/>
          <w:sz w:val="17"/>
          <w:szCs w:val="17"/>
          <w:color w:val="auto"/>
        </w:rPr>
        <w:t>As of the Applicable Time (as defined below), neither (i) the Issuer General Use Free Writing Prospectus(es)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defined below) issued at or prior to the Applicable Time, the most recent preliminary prospectus related to this offering, and the information included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all considered together (collectively,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nor (ii) any individual Issuer Limited Use Free Writing Prospectus (as defined below), when considered together with the General Disclosure Package, nor (iii) any Written Testing-the-Waters Communication,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Underwriters’ Information.</w:t>
      </w:r>
    </w:p>
    <w:p>
      <w:pPr>
        <w:spacing w:after="0" w:line="114" w:lineRule="exact"/>
        <w:rPr>
          <w:rFonts w:ascii="Arial" w:cs="Arial" w:eastAsia="Arial" w:hAnsi="Arial"/>
          <w:sz w:val="17"/>
          <w:szCs w:val="17"/>
          <w:color w:val="auto"/>
        </w:rPr>
      </w:pPr>
    </w:p>
    <w:p>
      <w:pPr>
        <w:ind w:left="4739" w:hanging="96"/>
        <w:spacing w:after="0"/>
        <w:tabs>
          <w:tab w:leader="none" w:pos="473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79"/>
          </w:cols>
          <w:pgMar w:left="1161" w:top="274" w:right="259" w:bottom="1440" w:gutter="0" w:footer="0" w:header="0"/>
        </w:sectPr>
      </w:pPr>
    </w:p>
    <w:bookmarkStart w:id="230" w:name="page231"/>
    <w:bookmarkEnd w:id="2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subsection and elsewhere in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 [a.m.][p.m.](Eastern Time) on [●], 2017 or such other time as agreed by the Company and the Representative(s).</w:t>
      </w:r>
    </w:p>
    <w:p>
      <w:pPr>
        <w:spacing w:after="0" w:line="24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means any “issuer free writing prospectus,” as defined in Rule 433 of the Rules and Regulations, relating to the Shares that (i) is required to be filed with the Commission by the Company, (ii) is a “a written communication that is a road show” within the meaning of Rule 433(d)(8)(i), whether or not required to be filed with the Commission or (iii) is exempt from filing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Written Testing-the-Waters Communication shall be deemed not to be an Issuer Free Writing Prospectus.</w:t>
      </w:r>
    </w:p>
    <w:p>
      <w:pPr>
        <w:spacing w:after="0" w:line="193"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General Use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Limited Use Free Writing Prospectus</w:t>
      </w:r>
      <w:r>
        <w:rPr>
          <w:rFonts w:ascii="Arial" w:cs="Arial" w:eastAsia="Arial" w:hAnsi="Arial"/>
          <w:sz w:val="17"/>
          <w:szCs w:val="17"/>
          <w:color w:val="auto"/>
        </w:rPr>
        <w:t>” means any Issuer Free Writing Prospectus that is not an Issuer General Use Free Writing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ind w:right="60" w:firstLine="921"/>
        <w:spacing w:after="0" w:line="270" w:lineRule="auto"/>
        <w:tabs>
          <w:tab w:leader="none" w:pos="1138"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Prospectuses. </w:t>
      </w:r>
      <w:r>
        <w:rPr>
          <w:rFonts w:ascii="Arial" w:cs="Arial" w:eastAsia="Arial" w:hAnsi="Arial"/>
          <w:sz w:val="17"/>
          <w:szCs w:val="17"/>
          <w:color w:val="auto"/>
        </w:rPr>
        <w:t>Each Issuer Free Writing Prospectus, as of its issue date and at all subsequent times through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Period (defined below), does not include any information that conflicts with the information contained in the Registration Statement. The foregoing sentence does not apply to statements in or omissions from any Issuer Free Writing Prospectus based upon and in conformity with the Underwriters’ Information. If at any time following the issuance of an Issuer Free Writing Prospectus there occurred or occurs an event or development as a result of which such Issuer Free Writing Prospectus conflicted or would conflict with the information contained in the Registration Statement relating to the Shares or included or would include an untrue statement of material fact or omitted or would omit to state a material fact necessary in order to make the statements therein, in light of the circumstances prevailing at that subsequent time, not misleading, the Company has promptly notified or will promptly notify the Representatives and has promptly amended or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7"/>
          <w:szCs w:val="17"/>
          <w:color w:val="auto"/>
        </w:rPr>
      </w:pPr>
    </w:p>
    <w:p>
      <w:pPr>
        <w:ind w:right="60" w:firstLine="921"/>
        <w:spacing w:after="0" w:line="302" w:lineRule="auto"/>
        <w:tabs>
          <w:tab w:leader="none" w:pos="1168"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Offering Material by the Company. </w:t>
      </w:r>
      <w:r>
        <w:rPr>
          <w:rFonts w:ascii="Arial" w:cs="Arial" w:eastAsia="Arial" w:hAnsi="Arial"/>
          <w:sz w:val="16"/>
          <w:szCs w:val="16"/>
          <w:color w:val="auto"/>
        </w:rPr>
        <w:t>The Company has not distributed and will not distribute, prior to the later of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and the completion of the Underwriters’ distribution of the Shares, any offering material in connection with the offering or sale of the Shares other than any Testing-the-Waters Communication made in compliance with Section 3(xx) hereof, the Registration Statement, the preliminary prospectus, the Permitted Free Writing Prospectuses reviewed and consented to by the Representatives and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the Prospectus.</w:t>
      </w:r>
    </w:p>
    <w:p>
      <w:pPr>
        <w:spacing w:after="0" w:line="329" w:lineRule="exact"/>
        <w:rPr>
          <w:rFonts w:ascii="Arial" w:cs="Arial" w:eastAsia="Arial" w:hAnsi="Arial"/>
          <w:sz w:val="16"/>
          <w:szCs w:val="16"/>
          <w:color w:val="auto"/>
        </w:rPr>
      </w:pPr>
    </w:p>
    <w:p>
      <w:pPr>
        <w:ind w:left="5660" w:hanging="96"/>
        <w:spacing w:after="0"/>
        <w:tabs>
          <w:tab w:leader="none" w:pos="5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80"/>
          </w:cols>
          <w:pgMar w:left="240" w:top="274" w:right="279" w:bottom="1440" w:gutter="0" w:footer="0" w:header="0"/>
        </w:sectPr>
      </w:pPr>
    </w:p>
    <w:bookmarkStart w:id="231" w:name="page232"/>
    <w:bookmarkEnd w:id="231"/>
    <w:p>
      <w:pPr>
        <w:ind w:left="259" w:hanging="259"/>
        <w:spacing w:after="0"/>
        <w:tabs>
          <w:tab w:leader="none" w:pos="259"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Incorporation; Subsidiary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1" w:right="20" w:firstLine="1492"/>
        <w:spacing w:after="0" w:line="270" w:lineRule="auto"/>
        <w:tabs>
          <w:tab w:leader="none" w:pos="77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Company is, and at the Closing Date will be, a corporation duly organized, validly existing and in good standing under the laws of its jurisdiction of incorporation. The Company has, and at the Closing Date will have, full power and authority to conduct all the activities conducted by it, to own or lease all the assets owned or leased by it and to conduct its business as described in the Registration Statement, the General Disclosure Package and the Prospectus. The Company is, and at the Closing Date will be, duly licensed or qualified to do business in and in good standing as a foreign corporation in all jurisdictions in which the nature of the activities conducted by it or the character of the assets owned or leased by it makes such licensing or 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subsidiary, taken as a whole, or (ii) prevent or materially interfere with the consummation of the transactions contemplated by this Agreement or the performance by the Company of its obligations hereunder (any such effect, prevention or interference, a “Material Adverse Effect”).</w:t>
      </w:r>
    </w:p>
    <w:p>
      <w:pPr>
        <w:spacing w:after="0" w:line="181" w:lineRule="exact"/>
        <w:rPr>
          <w:rFonts w:ascii="Arial" w:cs="Arial" w:eastAsia="Arial" w:hAnsi="Arial"/>
          <w:sz w:val="17"/>
          <w:szCs w:val="17"/>
          <w:color w:val="auto"/>
        </w:rPr>
      </w:pPr>
    </w:p>
    <w:p>
      <w:pPr>
        <w:ind w:left="-921" w:right="40" w:firstLine="1492"/>
        <w:spacing w:after="0" w:line="291" w:lineRule="auto"/>
        <w:tabs>
          <w:tab w:leader="none" w:pos="82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AnaptysBio Pty Ltd. is the only subsidiary of the Company (as defined in Rule 405 of the Rules and Regulations), and has been duly incorporated, is validly existing as a corporation in good standing under the laws of the jurisdiction of its incorporation, has the corporate power and authority to own its property and to conduct its business as described in the Registration Statement, the General Disclosure Package and Prospectus and is duly qualified to transact business and is in good standing, if applicable, in each jurisdiction in which such qualification is required, except to the extent that the failure to be so qualified or be in good standing would not have a Material Adverse Effect; all of the issued share capital or other equity interests of AnaptysBio Pty Ltd.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167" w:lineRule="exact"/>
        <w:rPr>
          <w:rFonts w:ascii="Arial" w:cs="Arial" w:eastAsia="Arial" w:hAnsi="Arial"/>
          <w:sz w:val="16"/>
          <w:szCs w:val="16"/>
          <w:color w:val="auto"/>
        </w:rPr>
      </w:pPr>
    </w:p>
    <w:p>
      <w:pPr>
        <w:ind w:left="-921" w:firstLine="921"/>
        <w:spacing w:after="0" w:line="270" w:lineRule="auto"/>
        <w:tabs>
          <w:tab w:leader="none" w:pos="207"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authorized, issued and outstanding capital stock of the Company is as set forth in the Registration Statement,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under the caption “Capitalization.” The outstanding shares of Common Stock and any other outstanding capital stock of the Company have been, and the Shares will be, duly authorized, validly issued, fully paid and non-assessable and will not be subject to any preemptive, first refusal, or similar right. The description of the Common Stock included in the Registration Statement, the General Disclosure Package and the Prospectus is now, and at the Closing Date will be, complete and accurate in all material respects. Except as set forth in the Registration Statement, the General Disclosure Package and the Prospectus, the Company does not have outstanding, and at the Closing Date will not have outstanding, any options to purchase, or any rights or warrants to subscribe for, or any securities or obligations convertible into, or any contracts or commitments to issue or sell, any shares of capital stock of the Company or any such warrants, convertible securities or obligations. Upon the issuance and delivery pursuant to the terms of this Agreement, the Underwriters will acquire good and marketable title to the Shares, free and clear of any lien, charge, claim, encumbrance, pledge, security interest, defect or other restriction or equity of any kind whatsoever.</w:t>
      </w:r>
    </w:p>
    <w:p>
      <w:pPr>
        <w:spacing w:after="0" w:line="110" w:lineRule="exact"/>
        <w:rPr>
          <w:rFonts w:ascii="Arial" w:cs="Arial" w:eastAsia="Arial" w:hAnsi="Arial"/>
          <w:sz w:val="17"/>
          <w:szCs w:val="17"/>
          <w:color w:val="auto"/>
        </w:rPr>
      </w:pPr>
    </w:p>
    <w:p>
      <w:pPr>
        <w:ind w:left="4739" w:hanging="96"/>
        <w:spacing w:after="0"/>
        <w:tabs>
          <w:tab w:leader="none" w:pos="4739" w:val="left"/>
        </w:tabs>
        <w:numPr>
          <w:ilvl w:val="2"/>
          <w:numId w:val="1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99"/>
          </w:cols>
          <w:pgMar w:left="1161" w:top="274" w:right="239" w:bottom="1440" w:gutter="0" w:footer="0" w:header="0"/>
        </w:sectPr>
      </w:pPr>
    </w:p>
    <w:bookmarkStart w:id="232" w:name="page233"/>
    <w:bookmarkEnd w:id="232"/>
    <w:p>
      <w:pPr>
        <w:ind w:left="-8" w:firstLine="921"/>
        <w:spacing w:after="0" w:line="286" w:lineRule="auto"/>
        <w:tabs>
          <w:tab w:leader="none" w:pos="1120"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Statements. </w:t>
      </w:r>
      <w:r>
        <w:rPr>
          <w:rFonts w:ascii="Arial" w:cs="Arial" w:eastAsia="Arial" w:hAnsi="Arial"/>
          <w:sz w:val="16"/>
          <w:szCs w:val="16"/>
          <w:color w:val="auto"/>
        </w:rPr>
        <w:t>The financial statements (including the related notes thereto) and schedules included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Disclosure Package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financial statements included therein and the books and records of the Company and its consolidated subsidiary. The pro forma financial statements, if any, and the other pro forma financial information included in the Registration Statement, the General Disclosure Package and the Prospectus present fairly, in all material respects, the information shown therein, have been prepared in accordance with the Commission’s rules and guidelines with respect to pro forma financial statements and have been properly computed on the bases described therein. The assumptions used in the preparation of the pro forma financial statements, if any, and other pro forma financial information included in the Registration Statement, the General Disclosure Package and the Prospectus are reasonable and the adjustments used therein are appropriate to give effect to the transactions or circumstances referred to therein. No other financial statements, schedules or reconciliations of “non-GAAP financial measures” (as such term is defined by the rules and regulations of the Commission) of the Company are required by the Act or the Rules and Regulations to be included in the Registration Statement, the General Disclosure Package and the Prospectus.</w:t>
      </w:r>
    </w:p>
    <w:p>
      <w:pPr>
        <w:spacing w:after="0" w:line="171" w:lineRule="exact"/>
        <w:rPr>
          <w:rFonts w:ascii="Arial" w:cs="Arial" w:eastAsia="Arial" w:hAnsi="Arial"/>
          <w:sz w:val="16"/>
          <w:szCs w:val="16"/>
          <w:color w:val="auto"/>
        </w:rPr>
      </w:pPr>
    </w:p>
    <w:p>
      <w:pPr>
        <w:jc w:val="both"/>
        <w:ind w:left="-8" w:right="60" w:firstLine="921"/>
        <w:spacing w:after="0" w:line="288" w:lineRule="auto"/>
        <w:tabs>
          <w:tab w:leader="none" w:pos="1160"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KPMG LLP (the “</w:t>
      </w:r>
      <w:r>
        <w:rPr>
          <w:rFonts w:ascii="Arial" w:cs="Arial" w:eastAsia="Arial" w:hAnsi="Arial"/>
          <w:sz w:val="16"/>
          <w:szCs w:val="16"/>
          <w:u w:val="single" w:color="auto"/>
          <w:color w:val="auto"/>
        </w:rPr>
        <w:t>Accountants</w:t>
      </w:r>
      <w:r>
        <w:rPr>
          <w:rFonts w:ascii="Arial" w:cs="Arial" w:eastAsia="Arial" w:hAnsi="Arial"/>
          <w:sz w:val="16"/>
          <w:szCs w:val="16"/>
          <w:color w:val="auto"/>
        </w:rPr>
        <w:t>”), who certified the financial statements and supporting schedules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consolidated subsidiary included in the Registration Statement, the General Disclosure Package and the Prospectus, are (i) independent accountants as required by the Act and the Rules and Regulations and by the rules of the Public Company Accounting Oversight Board (United States) (the “</w:t>
      </w:r>
      <w:r>
        <w:rPr>
          <w:rFonts w:ascii="Arial" w:cs="Arial" w:eastAsia="Arial" w:hAnsi="Arial"/>
          <w:sz w:val="16"/>
          <w:szCs w:val="16"/>
          <w:u w:val="single" w:color="auto"/>
          <w:color w:val="auto"/>
        </w:rPr>
        <w:t>PCAOB</w:t>
      </w:r>
      <w:r>
        <w:rPr>
          <w:rFonts w:ascii="Arial" w:cs="Arial" w:eastAsia="Arial" w:hAnsi="Arial"/>
          <w:sz w:val="16"/>
          <w:szCs w:val="16"/>
          <w:color w:val="auto"/>
        </w:rPr>
        <w:t>”),</w:t>
      </w:r>
    </w:p>
    <w:p>
      <w:pPr>
        <w:ind w:left="-8" w:right="240" w:firstLine="8"/>
        <w:spacing w:after="0" w:line="255" w:lineRule="auto"/>
        <w:tabs>
          <w:tab w:leader="none" w:pos="2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compliance with the applicable requirements relating to the qualification of accountants under Rule 2-01 of Regulation S-X under the Act, and (iii) a registered public accounting firm as defined by the PCAOB whose registration has not been suspended or revoked and who has not requested such registration to be withdrawn.</w:t>
      </w:r>
    </w:p>
    <w:p>
      <w:pPr>
        <w:spacing w:after="0" w:line="190" w:lineRule="exact"/>
        <w:rPr>
          <w:rFonts w:ascii="Arial" w:cs="Arial" w:eastAsia="Arial" w:hAnsi="Arial"/>
          <w:sz w:val="18"/>
          <w:szCs w:val="18"/>
          <w:color w:val="auto"/>
        </w:rPr>
      </w:pPr>
    </w:p>
    <w:p>
      <w:pPr>
        <w:ind w:left="-8" w:firstLine="921"/>
        <w:spacing w:after="0" w:line="271" w:lineRule="auto"/>
        <w:tabs>
          <w:tab w:leader="none" w:pos="1120" w:val="left"/>
        </w:tabs>
        <w:numPr>
          <w:ilvl w:val="1"/>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Changes. </w:t>
      </w:r>
      <w:r>
        <w:rPr>
          <w:rFonts w:ascii="Arial" w:cs="Arial" w:eastAsia="Arial" w:hAnsi="Arial"/>
          <w:sz w:val="17"/>
          <w:szCs w:val="17"/>
          <w:color w:val="auto"/>
        </w:rPr>
        <w:t>Since the respective dates as of which information is given in the Registration Statement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 to the Closing Date and any Option Closing Date, except as set forth in the Registration Statement, the General Disclosure Package and the Prospectus, (i) there has not been a material adverse change, or any development that would be expected to result in a material adverse change, in the business, properties, assets, business prospects, financial condition, results of operations or capitalization of the Company and its subsidiary, taken as a whole, arising for any reason whatsoever (a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(ii) the Company has not incurred, nor will it incur, any material liabilities or obligations, direct or contingent, nor has it entered into, nor will it enter into, any material transactions not in the ordinary course of business, other than pursuant to this Agreement and the transactions referred to herein, and (iii) the Company has not and will not have paid or declared any dividends or other distributions of any kind on any class of its capital stock.</w:t>
      </w:r>
    </w:p>
    <w:p>
      <w:pPr>
        <w:spacing w:after="0" w:line="111" w:lineRule="exact"/>
        <w:rPr>
          <w:rFonts w:ascii="Arial" w:cs="Arial" w:eastAsia="Arial" w:hAnsi="Arial"/>
          <w:sz w:val="17"/>
          <w:szCs w:val="17"/>
          <w:color w:val="auto"/>
        </w:rPr>
      </w:pPr>
    </w:p>
    <w:p>
      <w:pPr>
        <w:ind w:left="5652" w:hanging="96"/>
        <w:spacing w:after="0"/>
        <w:tabs>
          <w:tab w:leader="none" w:pos="565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92"/>
          </w:cols>
          <w:pgMar w:left="248" w:top="274" w:right="259" w:bottom="1440" w:gutter="0" w:footer="0" w:header="0"/>
        </w:sectPr>
      </w:pPr>
    </w:p>
    <w:bookmarkStart w:id="233" w:name="page234"/>
    <w:bookmarkEnd w:id="233"/>
    <w:p>
      <w:pPr>
        <w:ind w:left="-921" w:right="60" w:firstLine="921"/>
        <w:spacing w:after="0" w:line="259" w:lineRule="auto"/>
        <w:tabs>
          <w:tab w:leader="none" w:pos="297"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 Company. </w:t>
      </w:r>
      <w:r>
        <w:rPr>
          <w:rFonts w:ascii="Arial" w:cs="Arial" w:eastAsia="Arial" w:hAnsi="Arial"/>
          <w:sz w:val="18"/>
          <w:szCs w:val="18"/>
          <w:color w:val="auto"/>
        </w:rPr>
        <w:t>The Company is not, and, after giving effect to the issuance and sale of the Shares and the use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as described in the General Disclosure Package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w:t>
      </w:r>
    </w:p>
    <w:p>
      <w:pPr>
        <w:spacing w:after="0" w:line="186" w:lineRule="exact"/>
        <w:rPr>
          <w:rFonts w:ascii="Arial" w:cs="Arial" w:eastAsia="Arial" w:hAnsi="Arial"/>
          <w:sz w:val="18"/>
          <w:szCs w:val="18"/>
          <w:color w:val="auto"/>
        </w:rPr>
      </w:pPr>
    </w:p>
    <w:p>
      <w:pPr>
        <w:ind w:left="-921" w:right="40" w:firstLine="921"/>
        <w:spacing w:after="0" w:line="272" w:lineRule="auto"/>
        <w:tabs>
          <w:tab w:leader="none" w:pos="247"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Except as set forth in the Registration Statement, the General Disclosure Package and the Prospectus, there are no actions, suits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pending, or to the Company’s knowledge, threatened against or affecting, the Company or its subsidiary or any of its officers in their capacity as such, before or by any federal or state court, commission, regulatory body, including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and the Nasdaq Stock Market LLC,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77" w:lineRule="exact"/>
        <w:rPr>
          <w:rFonts w:ascii="Arial" w:cs="Arial" w:eastAsia="Arial" w:hAnsi="Arial"/>
          <w:sz w:val="17"/>
          <w:szCs w:val="17"/>
          <w:color w:val="auto"/>
        </w:rPr>
      </w:pPr>
    </w:p>
    <w:p>
      <w:pPr>
        <w:ind w:left="-921" w:firstLine="921"/>
        <w:spacing w:after="0" w:line="270" w:lineRule="auto"/>
        <w:tabs>
          <w:tab w:leader="none" w:pos="247"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Laws and Regulations and Performance of Obligations and Contracts. </w:t>
      </w:r>
      <w:r>
        <w:rPr>
          <w:rFonts w:ascii="Arial" w:cs="Arial" w:eastAsia="Arial" w:hAnsi="Arial"/>
          <w:sz w:val="17"/>
          <w:szCs w:val="17"/>
          <w:color w:val="auto"/>
        </w:rPr>
        <w:t>The Company and its subsidiary have, and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will have, (i) complied in all material respects with all laws, regulations and orders applicable to it or its business and (ii) performed in all material respects the obligations required to be performed by it, and is not, and at the Closing Date will not be, in default under any indenture, mortgage, deed of trust, voting trust agreement, loan agreement, bond, debenture, note agreement, lease or other agreement or instrument (individually, a “</w:t>
      </w:r>
      <w:r>
        <w:rPr>
          <w:rFonts w:ascii="Arial" w:cs="Arial" w:eastAsia="Arial" w:hAnsi="Arial"/>
          <w:sz w:val="17"/>
          <w:szCs w:val="17"/>
          <w:u w:val="single" w:color="auto"/>
          <w:color w:val="auto"/>
        </w:rPr>
        <w:t>Contract</w:t>
      </w:r>
      <w:r>
        <w:rPr>
          <w:rFonts w:ascii="Arial" w:cs="Arial" w:eastAsia="Arial" w:hAnsi="Arial"/>
          <w:sz w:val="17"/>
          <w:szCs w:val="17"/>
          <w:color w:val="auto"/>
        </w:rPr>
        <w:t>” and collectively, “</w:t>
      </w:r>
      <w:r>
        <w:rPr>
          <w:rFonts w:ascii="Arial" w:cs="Arial" w:eastAsia="Arial" w:hAnsi="Arial"/>
          <w:sz w:val="17"/>
          <w:szCs w:val="17"/>
          <w:u w:val="single" w:color="auto"/>
          <w:color w:val="auto"/>
        </w:rPr>
        <w:t>Contracts</w:t>
      </w:r>
      <w:r>
        <w:rPr>
          <w:rFonts w:ascii="Arial" w:cs="Arial" w:eastAsia="Arial" w:hAnsi="Arial"/>
          <w:sz w:val="17"/>
          <w:szCs w:val="17"/>
          <w:color w:val="auto"/>
        </w:rPr>
        <w:t>”) to which it is a party or by which its property is bound or affected. To the knowledge of the Company, no other party under any Contract to which it is a party is in default in any respect thereunder or has given written or oral notice to the Company or any of its officers or directors of such other party’s intention to terminate, cancel or refuse to renew any Contract. The Company is not now, and at the Closing Date will not be, in violation of any provision of its certificate of incorporation or by-laws. The disclosures included in the Registration Statement, the General Disclosure Package and the Prospectus concerning the effects of Federal, state, local and foreign laws, rules and regulations on the business of the Company as currently conducted and as proposed to be conducted are correct in all material respects.</w:t>
      </w:r>
    </w:p>
    <w:p>
      <w:pPr>
        <w:spacing w:after="0" w:line="177" w:lineRule="exact"/>
        <w:rPr>
          <w:rFonts w:ascii="Arial" w:cs="Arial" w:eastAsia="Arial" w:hAnsi="Arial"/>
          <w:sz w:val="17"/>
          <w:szCs w:val="17"/>
          <w:color w:val="auto"/>
        </w:rPr>
      </w:pPr>
    </w:p>
    <w:p>
      <w:pPr>
        <w:ind w:left="-921" w:right="80" w:firstLine="921"/>
        <w:spacing w:after="0" w:line="255" w:lineRule="auto"/>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No Consent of Governmental Body Needed. </w:t>
      </w:r>
      <w:r>
        <w:rPr>
          <w:rFonts w:ascii="Arial" w:cs="Arial" w:eastAsia="Arial" w:hAnsi="Arial"/>
          <w:sz w:val="18"/>
          <w:szCs w:val="18"/>
          <w:color w:val="auto"/>
        </w:rPr>
        <w:t>No consent, approval, authorization, license, registration, qualification or order of, or any filing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declaration with, any court or arbitrator or governmental or regulatory authority, agency or body is required in connection with the authorization, issuance, transfer, sale or delivery of the Shares by the Company, in connection with the execution, delivery and performance of this Agreement by the Company or in connection with the taking by the Company of any action contemplated hereby, except as have been obtained under the Act and such as may be required under state securities or Blue Sky laws or the by-laws and rules of FINRA in connection with the purchase and distribution by the Underwriters of the Shares to be sold by the Company.</w:t>
      </w:r>
    </w:p>
    <w:p>
      <w:pPr>
        <w:spacing w:after="0" w:line="125" w:lineRule="exact"/>
        <w:rPr>
          <w:rFonts w:ascii="Arial" w:cs="Arial" w:eastAsia="Arial" w:hAnsi="Arial"/>
          <w:sz w:val="18"/>
          <w:szCs w:val="18"/>
          <w:color w:val="auto"/>
        </w:rPr>
      </w:pPr>
    </w:p>
    <w:p>
      <w:pPr>
        <w:ind w:left="4739" w:hanging="96"/>
        <w:spacing w:after="0"/>
        <w:tabs>
          <w:tab w:leader="none" w:pos="473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499"/>
          </w:cols>
          <w:pgMar w:left="1161" w:top="274" w:right="239" w:bottom="1440" w:gutter="0" w:footer="0" w:header="0"/>
        </w:sectPr>
      </w:pPr>
    </w:p>
    <w:bookmarkStart w:id="234" w:name="page235"/>
    <w:bookmarkEnd w:id="234"/>
    <w:p>
      <w:pPr>
        <w:ind w:left="-921" w:firstLine="921"/>
        <w:spacing w:after="0" w:line="259" w:lineRule="auto"/>
        <w:tabs>
          <w:tab w:leader="none" w:pos="247"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Duly Authorized. </w:t>
      </w:r>
      <w:r>
        <w:rPr>
          <w:rFonts w:ascii="Arial" w:cs="Arial" w:eastAsia="Arial" w:hAnsi="Arial"/>
          <w:sz w:val="18"/>
          <w:szCs w:val="18"/>
          <w:color w:val="auto"/>
        </w:rPr>
        <w:t>The Company has full corporate power and authority to enter into this Agreement. This Agreement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duly 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186" w:lineRule="exact"/>
        <w:rPr>
          <w:rFonts w:ascii="Arial" w:cs="Arial" w:eastAsia="Arial" w:hAnsi="Arial"/>
          <w:sz w:val="18"/>
          <w:szCs w:val="18"/>
          <w:color w:val="auto"/>
        </w:rPr>
      </w:pPr>
    </w:p>
    <w:p>
      <w:pPr>
        <w:ind w:left="-921" w:right="60" w:firstLine="921"/>
        <w:spacing w:after="0" w:line="289" w:lineRule="auto"/>
        <w:tabs>
          <w:tab w:leader="none" w:pos="217"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and delivery by the Company of this Agreement and the performance of this Agreement, the consummation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and the application of the net proceeds from the offering and sale of the Shares to be sold by the Company in the manner set forth in the General Disclosure Package and the Prospectus under “Use of Proceeds” do not and will not (i) violate the certificate of incorporation or by-laws of the Company or (ii) result in the creation or imposition of any lien, charge or encumbrance upon any of the assets of the Company or its subsidiary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 or its subsidiary is a party or by which the Company or its subsidiary or any of its properties is bound or affected, or violate or conflict with any judgment, ruling, decree, order, law, statute, rule or regulation of any court or other governmental agency or body applicable to the business or properties of the Company or its subsidiary, except, in the case of clause (ii) above, as would not be expected to have a Material Adverse Effect.</w:t>
      </w:r>
    </w:p>
    <w:p>
      <w:pPr>
        <w:spacing w:after="0" w:line="166" w:lineRule="exact"/>
        <w:rPr>
          <w:rFonts w:ascii="Arial" w:cs="Arial" w:eastAsia="Arial" w:hAnsi="Arial"/>
          <w:sz w:val="16"/>
          <w:szCs w:val="16"/>
          <w:color w:val="auto"/>
        </w:rPr>
      </w:pPr>
    </w:p>
    <w:p>
      <w:pPr>
        <w:ind w:left="-921" w:right="120" w:firstLine="921"/>
        <w:spacing w:after="0" w:line="273" w:lineRule="auto"/>
        <w:tabs>
          <w:tab w:leader="none" w:pos="227"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The Company and its subsidiary have good and marketable title to all properties and assets described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the General Disclosure Package and the Prospectus as being owned respectively by it, free and clear of all liens, charges, encumbrances or restrictions, except as set forth in the Registration Statement, the General Disclosure Package and the Prospectus or are not material to the business of the Company or its subsidiary. The Company and its subsidiary have valid, subsisting and enforceable leases for the properties described in the General Disclosure Package and the Prospectus as leased by them, with such exceptions as are not material and do not materially interfere with the use made and proposed to be made of such properties by the Company and its subsidiary.</w:t>
      </w:r>
    </w:p>
    <w:p>
      <w:pPr>
        <w:spacing w:after="0" w:line="178" w:lineRule="exact"/>
        <w:rPr>
          <w:rFonts w:ascii="Arial" w:cs="Arial" w:eastAsia="Arial" w:hAnsi="Arial"/>
          <w:sz w:val="17"/>
          <w:szCs w:val="17"/>
          <w:color w:val="auto"/>
        </w:rPr>
      </w:pPr>
    </w:p>
    <w:p>
      <w:pPr>
        <w:ind w:left="-921" w:right="80" w:firstLine="921"/>
        <w:spacing w:after="0" w:line="257" w:lineRule="auto"/>
        <w:tabs>
          <w:tab w:leader="none" w:pos="207"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Documents Described in Registration Statement. </w:t>
      </w:r>
      <w:r>
        <w:rPr>
          <w:rFonts w:ascii="Arial" w:cs="Arial" w:eastAsia="Arial" w:hAnsi="Arial"/>
          <w:sz w:val="18"/>
          <w:szCs w:val="18"/>
          <w:color w:val="auto"/>
        </w:rPr>
        <w:t>There is no document or Contract required to be described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Disclosure Package and the Prospectus or to be filed as an exhibit to the Registration Statement that is not described or filed as required. All such documents and Contracts described in the Registration Statement, General Disclosure Package and the Prospectus or filed as an exhibit to the Registration Statement were duly authorized, executed and delivered by the Company, constitute valid and binding agreements of the Company and are enforceable against the Company in accordance with the terms thereof.</w:t>
      </w:r>
    </w:p>
    <w:p>
      <w:pPr>
        <w:spacing w:after="0" w:line="188" w:lineRule="exact"/>
        <w:rPr>
          <w:rFonts w:ascii="Arial" w:cs="Arial" w:eastAsia="Arial" w:hAnsi="Arial"/>
          <w:sz w:val="18"/>
          <w:szCs w:val="18"/>
          <w:color w:val="auto"/>
        </w:rPr>
      </w:pPr>
    </w:p>
    <w:p>
      <w:pPr>
        <w:ind w:left="-921" w:right="420" w:firstLine="921"/>
        <w:spacing w:after="0" w:line="264" w:lineRule="auto"/>
        <w:tabs>
          <w:tab w:leader="none" w:pos="247"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No Untrue Statement; Statistical and Market Data. </w:t>
      </w:r>
      <w:r>
        <w:rPr>
          <w:rFonts w:ascii="Arial" w:cs="Arial" w:eastAsia="Arial" w:hAnsi="Arial"/>
          <w:sz w:val="18"/>
          <w:szCs w:val="18"/>
          <w:color w:val="auto"/>
        </w:rPr>
        <w:t>No statement, representation, warranty or covenant made by the Company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made in any certificate or document required by this Agreement to be delivered to Representatives was or will be, when made, inaccurate, untrue or incorrect. All statistical or market-related data included in</w:t>
      </w:r>
    </w:p>
    <w:p>
      <w:pPr>
        <w:spacing w:after="0" w:line="113" w:lineRule="exact"/>
        <w:rPr>
          <w:rFonts w:ascii="Arial" w:cs="Arial" w:eastAsia="Arial" w:hAnsi="Arial"/>
          <w:sz w:val="18"/>
          <w:szCs w:val="18"/>
          <w:color w:val="auto"/>
        </w:rPr>
      </w:pPr>
    </w:p>
    <w:p>
      <w:pPr>
        <w:ind w:left="4739" w:hanging="96"/>
        <w:spacing w:after="0"/>
        <w:tabs>
          <w:tab w:leader="none" w:pos="473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99"/>
          </w:cols>
          <w:pgMar w:left="1161" w:top="274" w:right="239" w:bottom="1440" w:gutter="0" w:footer="0" w:header="0"/>
        </w:sectPr>
      </w:pPr>
    </w:p>
    <w:bookmarkStart w:id="235" w:name="page236"/>
    <w:bookmarkEnd w:id="235"/>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the General Disclosure Package and the Prospectus are based on or derived from sources that the Company believes to be reliable and accurate, and the Company has obtained the written consent to the use of such data from such sources to the extent required.</w:t>
      </w:r>
    </w:p>
    <w:p>
      <w:pPr>
        <w:spacing w:after="0" w:line="147" w:lineRule="exact"/>
        <w:rPr>
          <w:sz w:val="20"/>
          <w:szCs w:val="20"/>
          <w:color w:val="auto"/>
        </w:rPr>
      </w:pPr>
    </w:p>
    <w:p>
      <w:pPr>
        <w:ind w:right="260" w:firstLine="921"/>
        <w:spacing w:after="0" w:line="286" w:lineRule="auto"/>
        <w:tabs>
          <w:tab w:leader="none" w:pos="1168"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 xml:space="preserve">No Price Stabilization or Manipulation. </w:t>
      </w:r>
      <w:r>
        <w:rPr>
          <w:rFonts w:ascii="Arial" w:cs="Arial" w:eastAsia="Arial" w:hAnsi="Arial"/>
          <w:sz w:val="17"/>
          <w:szCs w:val="17"/>
          <w:color w:val="auto"/>
        </w:rPr>
        <w:t>Neither the Company nor any of its directors, officers or controlling persons has taken,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any action intended to cause or result in, or which might reasonably be expected to cause or result in, or which has constituted, stabilization or manipulation, under the Act or otherwise, of the price of any security of the Company to facilitate the sale or resale of the Shares.</w:t>
      </w:r>
    </w:p>
    <w:p>
      <w:pPr>
        <w:spacing w:after="0" w:line="165" w:lineRule="exact"/>
        <w:rPr>
          <w:rFonts w:ascii="Arial" w:cs="Arial" w:eastAsia="Arial" w:hAnsi="Arial"/>
          <w:sz w:val="17"/>
          <w:szCs w:val="17"/>
          <w:color w:val="auto"/>
        </w:rPr>
      </w:pPr>
    </w:p>
    <w:p>
      <w:pPr>
        <w:ind w:firstLine="921"/>
        <w:spacing w:after="0" w:line="264" w:lineRule="auto"/>
        <w:tabs>
          <w:tab w:leader="none" w:pos="1208"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No Registration Rights. </w:t>
      </w:r>
      <w:r>
        <w:rPr>
          <w:rFonts w:ascii="Arial" w:cs="Arial" w:eastAsia="Arial" w:hAnsi="Arial"/>
          <w:sz w:val="18"/>
          <w:szCs w:val="18"/>
          <w:color w:val="auto"/>
        </w:rPr>
        <w:t>No holder of securities of the Company has rights to register any securities of the Company because of the filing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Prospectus or the offering of the Shares, except for rights that have been duly waived with respect to such holder, have expired or have been fulfilled by registration prior to the date of this Agreement.</w:t>
      </w:r>
    </w:p>
    <w:p>
      <w:pPr>
        <w:spacing w:after="0" w:line="181"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Prior to the Closing Date, the Shares have been authorized for listing on the NASDAQ Global Market,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notice of issuance.</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Labor Matters. </w:t>
      </w:r>
      <w:r>
        <w:rPr>
          <w:rFonts w:ascii="Arial" w:cs="Arial" w:eastAsia="Arial" w:hAnsi="Arial"/>
          <w:sz w:val="18"/>
          <w:szCs w:val="18"/>
          <w:color w:val="auto"/>
        </w:rPr>
        <w:t>Neither the Company nor its subsidiary is involved in any labor dispute except, where the dispute would not,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have a Material Adverse Effect, nor, to the knowledge of the Company, is any such dispute threatened.</w:t>
      </w:r>
    </w:p>
    <w:p>
      <w:pPr>
        <w:spacing w:after="0" w:line="170" w:lineRule="exact"/>
        <w:rPr>
          <w:rFonts w:ascii="Arial" w:cs="Arial" w:eastAsia="Arial" w:hAnsi="Arial"/>
          <w:sz w:val="18"/>
          <w:szCs w:val="18"/>
          <w:color w:val="auto"/>
        </w:rPr>
      </w:pPr>
    </w:p>
    <w:p>
      <w:pPr>
        <w:ind w:right="20" w:firstLine="921"/>
        <w:spacing w:after="0" w:line="287" w:lineRule="auto"/>
        <w:tabs>
          <w:tab w:leader="none" w:pos="1157"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Neither the Company nor its subsidiary, nor any director or officer of the Company or its subsidiary, nor,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any agent, employee or representative of the Company or its subsidiary,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 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169" w:lineRule="exact"/>
        <w:rPr>
          <w:sz w:val="20"/>
          <w:szCs w:val="20"/>
          <w:color w:val="auto"/>
        </w:rPr>
      </w:pPr>
    </w:p>
    <w:p>
      <w:pPr>
        <w:ind w:right="100" w:firstLine="921"/>
        <w:spacing w:after="0" w:line="308" w:lineRule="auto"/>
        <w:tabs>
          <w:tab w:leader="none" w:pos="1237"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subsidiary are and have been conducted at all times</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applicable financial recordkeeping and reporting requirements, including those of the Currency</w:t>
      </w:r>
    </w:p>
    <w:p>
      <w:pPr>
        <w:spacing w:after="0" w:line="79" w:lineRule="exact"/>
        <w:rPr>
          <w:rFonts w:ascii="Arial" w:cs="Arial" w:eastAsia="Arial" w:hAnsi="Arial"/>
          <w:sz w:val="17"/>
          <w:szCs w:val="17"/>
          <w:color w:val="auto"/>
        </w:rPr>
      </w:pPr>
    </w:p>
    <w:p>
      <w:pPr>
        <w:ind w:left="5620" w:hanging="101"/>
        <w:spacing w:after="0"/>
        <w:tabs>
          <w:tab w:leader="none" w:pos="5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236" w:name="page237"/>
    <w:bookmarkEnd w:id="236"/>
    <w:p>
      <w:pPr>
        <w:ind w:right="2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Company and its subsidiary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6"/>
          <w:szCs w:val="16"/>
          <w:u w:val="single" w:color="auto"/>
          <w:color w:val="auto"/>
        </w:rPr>
        <w:t>Money Laundering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65" w:lineRule="exact"/>
        <w:rPr>
          <w:sz w:val="20"/>
          <w:szCs w:val="20"/>
          <w:color w:val="auto"/>
        </w:rPr>
      </w:pPr>
    </w:p>
    <w:p>
      <w:pPr>
        <w:ind w:firstLine="921"/>
        <w:spacing w:after="0" w:line="283" w:lineRule="auto"/>
        <w:tabs>
          <w:tab w:leader="none" w:pos="1258" w:val="left"/>
        </w:tabs>
        <w:numPr>
          <w:ilvl w:val="1"/>
          <w:numId w:val="151"/>
        </w:numPr>
        <w:rPr>
          <w:rFonts w:ascii="Arial" w:cs="Arial" w:eastAsia="Arial" w:hAnsi="Arial"/>
          <w:sz w:val="16"/>
          <w:szCs w:val="16"/>
          <w:color w:val="auto"/>
        </w:rPr>
      </w:pPr>
      <w:r>
        <w:rPr>
          <w:rFonts w:ascii="Arial" w:cs="Arial" w:eastAsia="Arial" w:hAnsi="Arial"/>
          <w:sz w:val="16"/>
          <w:szCs w:val="16"/>
          <w:i w:val="1"/>
          <w:iCs w:val="1"/>
          <w:color w:val="auto"/>
        </w:rPr>
        <w:t>No Conflicts with Sanctions Laws</w:t>
      </w:r>
      <w:r>
        <w:rPr>
          <w:rFonts w:ascii="Arial" w:cs="Arial" w:eastAsia="Arial" w:hAnsi="Arial"/>
          <w:sz w:val="16"/>
          <w:szCs w:val="16"/>
          <w:color w:val="auto"/>
        </w:rPr>
        <w:t>. Neither the Company nor its subsidiary, nor any director or officer of the Company or its subsidiary, nor,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knowledge of the Company, any agent, employee or representative of the Company or its subsidiary,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w:t>
      </w:r>
      <w:r>
        <w:rPr>
          <w:rFonts w:ascii="Arial" w:cs="Arial" w:eastAsia="Arial" w:hAnsi="Arial"/>
          <w:sz w:val="16"/>
          <w:szCs w:val="16"/>
          <w:u w:val="single" w:color="auto"/>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its subsidiary located, organized or resident in a country or territory that is the subject or the target of Sanctions, including, without limitation, Cuba, Iran, North Korea, Sudan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its subsidiary, any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w:t>
      </w:r>
    </w:p>
    <w:p>
      <w:pPr>
        <w:spacing w:after="0" w:line="5" w:lineRule="exact"/>
        <w:rPr>
          <w:rFonts w:ascii="Arial" w:cs="Arial" w:eastAsia="Arial" w:hAnsi="Arial"/>
          <w:sz w:val="16"/>
          <w:szCs w:val="16"/>
          <w:color w:val="auto"/>
        </w:rPr>
      </w:pPr>
    </w:p>
    <w:p>
      <w:pPr>
        <w:ind w:right="120" w:firstLine="8"/>
        <w:spacing w:after="0" w:line="254" w:lineRule="auto"/>
        <w:tabs>
          <w:tab w:leader="none" w:pos="3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by any person (including any person participating in the transaction, whether as underwriter, advisor, investor or otherwise) of Sanctions. For the past five years, the Company and its subsidiary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89" w:lineRule="exact"/>
        <w:rPr>
          <w:rFonts w:ascii="Arial" w:cs="Arial" w:eastAsia="Arial" w:hAnsi="Arial"/>
          <w:sz w:val="18"/>
          <w:szCs w:val="18"/>
          <w:color w:val="auto"/>
        </w:rPr>
      </w:pPr>
    </w:p>
    <w:p>
      <w:pPr>
        <w:ind w:right="240" w:firstLine="921"/>
        <w:spacing w:after="0" w:line="302" w:lineRule="auto"/>
        <w:tabs>
          <w:tab w:leader="none" w:pos="1237"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subsidiary have filed all federal, state and foreign income and franchise tax returns and have paid all taxes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filed or paid by them and, if due and payable, any related or similar assessment, fine or penalty levied against them. The Company has made adequate charges, accruals and reserves in the applicable financial statements referred to in Section 3(j) hereof in respect of all material federal, state and foreign income and franchise taxes for all periods as to which the tax liability of the Company has not been finally determined.</w:t>
      </w:r>
    </w:p>
    <w:p>
      <w:pPr>
        <w:spacing w:after="0" w:line="154" w:lineRule="exact"/>
        <w:rPr>
          <w:rFonts w:ascii="Arial" w:cs="Arial" w:eastAsia="Arial" w:hAnsi="Arial"/>
          <w:sz w:val="16"/>
          <w:szCs w:val="16"/>
          <w:color w:val="auto"/>
        </w:rPr>
      </w:pPr>
    </w:p>
    <w:p>
      <w:pPr>
        <w:ind w:right="120" w:firstLine="921"/>
        <w:spacing w:after="0" w:line="264" w:lineRule="auto"/>
        <w:tabs>
          <w:tab w:leader="none" w:pos="1258" w:val="left"/>
        </w:tabs>
        <w:numPr>
          <w:ilvl w:val="1"/>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its subsidiary carry, or are covered by, insurance in such amounts and covering such risks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are adequate for the conduct of their business and the value of their properties and is customary for companies engaged in similar industries, and all such insurance is in full force and effect. The Company</w:t>
      </w:r>
    </w:p>
    <w:p>
      <w:pPr>
        <w:spacing w:after="0" w:line="113" w:lineRule="exact"/>
        <w:rPr>
          <w:rFonts w:ascii="Arial" w:cs="Arial" w:eastAsia="Arial" w:hAnsi="Arial"/>
          <w:sz w:val="18"/>
          <w:szCs w:val="18"/>
          <w:color w:val="auto"/>
        </w:rPr>
      </w:pPr>
    </w:p>
    <w:p>
      <w:pPr>
        <w:ind w:left="5620" w:hanging="98"/>
        <w:spacing w:after="0"/>
        <w:tabs>
          <w:tab w:leader="none" w:pos="56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74" w:right="259" w:bottom="1440" w:gutter="0" w:footer="0" w:header="0"/>
        </w:sectPr>
      </w:pPr>
    </w:p>
    <w:bookmarkStart w:id="237" w:name="page238"/>
    <w:bookmarkEnd w:id="23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no reason to believe that it and its subsidiary.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subsidiary has been denied any insurance coverage which it has sought or for which it has applied.</w:t>
      </w:r>
    </w:p>
    <w:p>
      <w:pPr>
        <w:spacing w:after="0" w:line="187" w:lineRule="exact"/>
        <w:rPr>
          <w:sz w:val="20"/>
          <w:szCs w:val="20"/>
          <w:color w:val="auto"/>
        </w:rPr>
      </w:pPr>
    </w:p>
    <w:p>
      <w:pPr>
        <w:ind w:firstLine="921"/>
        <w:spacing w:after="0" w:line="268" w:lineRule="auto"/>
        <w:tabs>
          <w:tab w:leader="none" w:pos="1237"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Benefit Plans. </w:t>
      </w:r>
      <w:r>
        <w:rPr>
          <w:rFonts w:ascii="Arial" w:cs="Arial" w:eastAsia="Arial" w:hAnsi="Arial"/>
          <w:sz w:val="17"/>
          <w:szCs w:val="17"/>
          <w:color w:val="auto"/>
        </w:rPr>
        <w:t>The Company has not maintained or contributed to a defined benefit plan as defined in Section 3(35) of the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No plan maintained or contributed to by the Company that is subject to ERISA (an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(or any trust created thereunder) has engaged in a “prohibited transaction” within the meaning of Section 406 of ERISA or Section 4975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187" w:lineRule="exact"/>
        <w:rPr>
          <w:rFonts w:ascii="Arial" w:cs="Arial" w:eastAsia="Arial" w:hAnsi="Arial"/>
          <w:sz w:val="17"/>
          <w:szCs w:val="17"/>
          <w:color w:val="auto"/>
        </w:rPr>
      </w:pPr>
    </w:p>
    <w:p>
      <w:pPr>
        <w:ind w:right="60" w:firstLine="921"/>
        <w:spacing w:after="0" w:line="287" w:lineRule="auto"/>
        <w:tabs>
          <w:tab w:leader="none" w:pos="1194"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Title to Intellectual Property. </w:t>
      </w:r>
      <w:r>
        <w:rPr>
          <w:rFonts w:ascii="Arial" w:cs="Arial" w:eastAsia="Arial" w:hAnsi="Arial"/>
          <w:sz w:val="16"/>
          <w:szCs w:val="16"/>
          <w:color w:val="auto"/>
        </w:rPr>
        <w:t>Except as set forth in the Registration Statement, the General Disclosure Package and the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subsidiary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 trade secrets, trade names, know how, copyrights and other works of authorship, computer programs, technical data and information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that are or would reasonably be expected to be material to their business as currently conducted or as currently proposed to be conducted (including upon the commercialization of products or services described in the Registration Statement, the General Disclosure Package or the Prospectus as under development) or to the development, manufacture, operation and sale of any products and services sold or proposed to be sold by any of the Company or its subsidiary. The Company’s Intellectual Property has not been adjudged by a court of competent jurisdiction invalid or unenforceable in whole or in part. Except as disclosed in the Registration Statement, the General Disclosure Package and the Prospectus, (i) to the knowledge of the Company, there are no third parties who have or, or who will be able to establish rights to any Intellectual Property owned by, or licensed to, the Company or its</w:t>
      </w:r>
    </w:p>
    <w:p>
      <w:pPr>
        <w:spacing w:after="0" w:line="105" w:lineRule="exact"/>
        <w:rPr>
          <w:rFonts w:ascii="Arial" w:cs="Arial" w:eastAsia="Arial" w:hAnsi="Arial"/>
          <w:sz w:val="16"/>
          <w:szCs w:val="16"/>
          <w:color w:val="auto"/>
        </w:rPr>
      </w:pPr>
    </w:p>
    <w:p>
      <w:pPr>
        <w:ind w:left="5620" w:hanging="101"/>
        <w:spacing w:after="0"/>
        <w:tabs>
          <w:tab w:leader="none" w:pos="5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238" w:name="page239"/>
    <w:bookmarkEnd w:id="23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except for, and to the extent of, the ownership rights of the owners of the Intellectual Property which the Registration Statement, the General Disclosure Package and the Prospectus disclose is licensed to the Company; (ii) to the knowledge of the Company, there is no infringement by third parties of any Intellectual Property owned by, or licensed to, the Company or its subsidiary; (iii) there is no pending or, to the knowledge of the Company, threatened action, suit, proceeding or claim by others challenging the Company’s rights in or to any Intellectual Property owned by, or licensed to, the Company or its subsidiary, and the Company is unaware of any facts which could form a reasonable basis for any such action, suit, proceeding or claim; (iv) there is no pending or, to the knowledge of the Company, threatened action, suit, proceeding or claim by others challenging the validity, enforceability or scope of any Intellectual Property owned by, or licensed to, the Company and its subsidiary, and the Company is unaware of any facts which could form a reasonable basis for any such action, suit, proceeding or claim; (v) there is no pending or, to the knowledge of the Company, threatened action, suit, proceeding or claim by others that (nor has the Company received any claim from a third party that) the Company or its subsidiary infringe or otherwise violate, or would, upon the commercialization of any product or service as described in the Registration Statement, the General Disclosure Package or the Prospectus, infringe or otherwise violate, any patent, trademark, tradename, service name, copyright, trade secret or other proprietary rights of another, and the Company and its subsidiary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subsidiary have complied with the terms of each agreement pursuant to which Intellectual Property has been licensed to the Company and its subsidiary,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 as set forth in the Registration Statement, the General Disclosure Package and the Prospectus, the Company and its subsidiary are not obligated or under any liability whatsoever to make any material payment by way of royalties, fees or otherwise to any owner or licensee of, or other claimant to, any Intellectual Property, with respect to the use thereof or in connection with the conduct of their respective businesses or otherwise.</w:t>
      </w:r>
    </w:p>
    <w:p>
      <w:pPr>
        <w:spacing w:after="0" w:line="180" w:lineRule="exact"/>
        <w:rPr>
          <w:sz w:val="20"/>
          <w:szCs w:val="20"/>
          <w:color w:val="auto"/>
        </w:rPr>
      </w:pPr>
    </w:p>
    <w:p>
      <w:pPr>
        <w:ind w:right="140" w:firstLine="921"/>
        <w:spacing w:after="0" w:line="255" w:lineRule="auto"/>
        <w:tabs>
          <w:tab w:leader="none" w:pos="1258"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Trademarks. </w:t>
      </w:r>
      <w:r>
        <w:rPr>
          <w:rFonts w:ascii="Arial" w:cs="Arial" w:eastAsia="Arial" w:hAnsi="Arial"/>
          <w:sz w:val="18"/>
          <w:szCs w:val="18"/>
          <w:color w:val="auto"/>
        </w:rPr>
        <w:t>The Company and its subsidiary own, or are licensed or otherwise have the full exclusive right to use, all material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subsidiary of such trademarks and trade names does not, to the Company’s knowledge, infringe on the rights of any person. Except as set forth in the Registration Statement, the General Disclosure Package and the Prospectus, the Company and its subsidiary are not obligated or under any liability whatsoever to make any payment by</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239" w:name="page240"/>
    <w:bookmarkEnd w:id="23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way of royalties, fees or otherwise to any owner or licensee of, or other claimant to, any trademark, service mark or trade name with respect to the use thereof or in connection with the conduct of their business or otherwise.</w:t>
      </w:r>
    </w:p>
    <w:p>
      <w:pPr>
        <w:spacing w:after="0" w:line="170" w:lineRule="exact"/>
        <w:rPr>
          <w:sz w:val="20"/>
          <w:szCs w:val="20"/>
          <w:color w:val="auto"/>
        </w:rPr>
      </w:pPr>
    </w:p>
    <w:p>
      <w:pPr>
        <w:ind w:right="500" w:firstLine="921"/>
        <w:spacing w:after="0" w:line="302" w:lineRule="auto"/>
        <w:tabs>
          <w:tab w:leader="none" w:pos="1258"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Protection of Intellectual Property. </w:t>
      </w:r>
      <w:r>
        <w:rPr>
          <w:rFonts w:ascii="Arial" w:cs="Arial" w:eastAsia="Arial" w:hAnsi="Arial"/>
          <w:sz w:val="16"/>
          <w:szCs w:val="16"/>
          <w:color w:val="auto"/>
        </w:rPr>
        <w:t>The Company and its subsidiary have taken reasonable security measures to protect the secrecy,</w:t>
      </w:r>
      <w:r>
        <w:rPr>
          <w:rFonts w:ascii="Arial" w:cs="Arial" w:eastAsia="Arial" w:hAnsi="Arial"/>
          <w:sz w:val="16"/>
          <w:szCs w:val="16"/>
          <w:i w:val="1"/>
          <w:iCs w:val="1"/>
          <w:color w:val="auto"/>
        </w:rPr>
        <w:t xml:space="preserve"> </w:t>
      </w:r>
      <w:r>
        <w:rPr>
          <w:rFonts w:ascii="Arial" w:cs="Arial" w:eastAsia="Arial" w:hAnsi="Arial"/>
          <w:sz w:val="16"/>
          <w:szCs w:val="16"/>
          <w:color w:val="auto"/>
        </w:rPr>
        <w:t>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154" w:lineRule="exact"/>
        <w:rPr>
          <w:rFonts w:ascii="Arial" w:cs="Arial" w:eastAsia="Arial" w:hAnsi="Arial"/>
          <w:sz w:val="16"/>
          <w:szCs w:val="16"/>
          <w:color w:val="auto"/>
        </w:rPr>
      </w:pPr>
    </w:p>
    <w:p>
      <w:pPr>
        <w:ind w:right="20" w:firstLine="921"/>
        <w:spacing w:after="0" w:line="254" w:lineRule="auto"/>
        <w:tabs>
          <w:tab w:leader="none" w:pos="1178"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There are no business relationships or related party transactions involving the Company or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described in the General Disclosure Package and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General Disclosure Package and the Prospectus and that is not so described. Since inception, the 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60" w:firstLine="921"/>
        <w:spacing w:after="0" w:line="279" w:lineRule="auto"/>
        <w:tabs>
          <w:tab w:leader="none" w:pos="1178"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Each of the Company and its subsidiary (i) is in compliance with any and all applicable federal, state, local and non-U.S.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279" w:lineRule="exact"/>
        <w:rPr>
          <w:rFonts w:ascii="Arial" w:cs="Arial" w:eastAsia="Arial" w:hAnsi="Arial"/>
          <w:sz w:val="17"/>
          <w:szCs w:val="17"/>
          <w:color w:val="auto"/>
        </w:rPr>
      </w:pPr>
    </w:p>
    <w:p>
      <w:pPr>
        <w:ind w:left="1260" w:hanging="339"/>
        <w:spacing w:after="0"/>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Controls and Procedures.</w:t>
      </w:r>
    </w:p>
    <w:p>
      <w:pPr>
        <w:spacing w:after="0" w:line="117" w:lineRule="exact"/>
        <w:rPr>
          <w:rFonts w:ascii="Arial" w:cs="Arial" w:eastAsia="Arial" w:hAnsi="Arial"/>
          <w:sz w:val="18"/>
          <w:szCs w:val="18"/>
          <w:color w:val="auto"/>
        </w:rPr>
      </w:pPr>
    </w:p>
    <w:p>
      <w:pPr>
        <w:ind w:right="60" w:firstLine="1492"/>
        <w:spacing w:after="0" w:line="273" w:lineRule="auto"/>
        <w:tabs>
          <w:tab w:leader="none" w:pos="1698" w:val="left"/>
        </w:tabs>
        <w:numPr>
          <w:ilvl w:val="1"/>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 has established and maintains disclosure controls and procedures (as such 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Rules 13a-15 and 15d-15 under the Exchange Act) that (A) are designed to ensure that material information relating to the Company and its subsidiary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274" w:right="279" w:bottom="1440" w:gutter="0" w:footer="0" w:header="0"/>
        </w:sectPr>
      </w:pPr>
    </w:p>
    <w:bookmarkStart w:id="240" w:name="page241"/>
    <w:bookmarkEnd w:id="240"/>
    <w:p>
      <w:pPr>
        <w:ind w:left="-8" w:right="100" w:firstLine="1492"/>
        <w:spacing w:after="0" w:line="288" w:lineRule="auto"/>
        <w:tabs>
          <w:tab w:leader="none" w:pos="1740" w:val="left"/>
        </w:tabs>
        <w:numPr>
          <w:ilvl w:val="2"/>
          <w:numId w:val="15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Control Over Financial Reporting and Internal Accounting Controls</w:t>
      </w:r>
      <w:r>
        <w:rPr>
          <w:rFonts w:ascii="Arial" w:cs="Arial" w:eastAsia="Arial" w:hAnsi="Arial"/>
          <w:sz w:val="16"/>
          <w:szCs w:val="16"/>
          <w:color w:val="auto"/>
        </w:rPr>
        <w:t>. The Company maintains (i) effective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w:t>
      </w:r>
    </w:p>
    <w:p>
      <w:pPr>
        <w:ind w:left="-8" w:right="100" w:firstLine="8"/>
        <w:spacing w:after="0" w:line="302" w:lineRule="auto"/>
        <w:tabs>
          <w:tab w:leader="none" w:pos="27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55" w:lineRule="exact"/>
        <w:rPr>
          <w:rFonts w:ascii="Arial" w:cs="Arial" w:eastAsia="Arial" w:hAnsi="Arial"/>
          <w:sz w:val="16"/>
          <w:szCs w:val="16"/>
          <w:color w:val="auto"/>
        </w:rPr>
      </w:pPr>
    </w:p>
    <w:p>
      <w:pPr>
        <w:ind w:left="-8" w:right="40" w:firstLine="1492"/>
        <w:spacing w:after="0" w:line="271" w:lineRule="auto"/>
        <w:tabs>
          <w:tab w:leader="none" w:pos="1790" w:val="left"/>
        </w:tabs>
        <w:numPr>
          <w:ilvl w:val="2"/>
          <w:numId w:val="157"/>
        </w:numPr>
        <w:rPr>
          <w:rFonts w:ascii="Arial" w:cs="Arial" w:eastAsia="Arial" w:hAnsi="Arial"/>
          <w:sz w:val="17"/>
          <w:szCs w:val="17"/>
          <w:color w:val="auto"/>
        </w:rPr>
      </w:pPr>
      <w:r>
        <w:rPr>
          <w:rFonts w:ascii="Arial" w:cs="Arial" w:eastAsia="Arial" w:hAnsi="Arial"/>
          <w:sz w:val="17"/>
          <w:szCs w:val="17"/>
          <w:i w:val="1"/>
          <w:iCs w:val="1"/>
          <w:color w:val="auto"/>
        </w:rPr>
        <w:t>No Material Weakness in Internal Controls</w:t>
      </w:r>
      <w:r>
        <w:rPr>
          <w:rFonts w:ascii="Arial" w:cs="Arial" w:eastAsia="Arial" w:hAnsi="Arial"/>
          <w:sz w:val="17"/>
          <w:szCs w:val="17"/>
          <w:color w:val="auto"/>
        </w:rPr>
        <w:t>. Since the end of the Company’s most recent audited fiscal year, there has been (A) no</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(x) any significant 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the General Disclosure Package and the Prospectus, or in any document incorporated by reference therein, since the end of the Company’s most recent audited fiscal year; or (y) any fraud, whether or not material, that involves management or other employees who have a significant role in the Company’s internal controls.</w:t>
      </w:r>
    </w:p>
    <w:p>
      <w:pPr>
        <w:spacing w:after="0" w:line="178" w:lineRule="exact"/>
        <w:rPr>
          <w:rFonts w:ascii="Arial" w:cs="Arial" w:eastAsia="Arial" w:hAnsi="Arial"/>
          <w:sz w:val="17"/>
          <w:szCs w:val="17"/>
          <w:color w:val="auto"/>
        </w:rPr>
      </w:pPr>
    </w:p>
    <w:p>
      <w:pPr>
        <w:ind w:left="-8" w:firstLine="921"/>
        <w:spacing w:after="0" w:line="297" w:lineRule="auto"/>
        <w:tabs>
          <w:tab w:leader="none" w:pos="1170"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Off-Balance Sheet Transactions. </w:t>
      </w:r>
      <w:r>
        <w:rPr>
          <w:rFonts w:ascii="Arial" w:cs="Arial" w:eastAsia="Arial" w:hAnsi="Arial"/>
          <w:sz w:val="16"/>
          <w:szCs w:val="16"/>
          <w:color w:val="auto"/>
        </w:rPr>
        <w:t>Except as described in the Registration Statement, the General Disclosure Package and the Prospectus,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 off-balance sheet transactions (including, without limitation, transactions related to, and the existence of, “variable interest entities” within the meaning of Financial Accounting Standards Board Accounting Standards Codification Topic 810), arrangements, obligations (including contingent obligations), or any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158" w:lineRule="exact"/>
        <w:rPr>
          <w:rFonts w:ascii="Arial" w:cs="Arial" w:eastAsia="Arial" w:hAnsi="Arial"/>
          <w:sz w:val="16"/>
          <w:szCs w:val="16"/>
          <w:color w:val="auto"/>
        </w:rPr>
      </w:pPr>
    </w:p>
    <w:p>
      <w:pPr>
        <w:ind w:left="-8" w:right="160" w:firstLine="921"/>
        <w:spacing w:after="0" w:line="291" w:lineRule="auto"/>
        <w:tabs>
          <w:tab w:leader="none" w:pos="1350"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Company’s Board of Directors has validly appointed an audit committee whose composition satisfies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Section 10A of, and Rule 10A-3 under, the Exchange Act and the Board of Directors and/or the audit committee has adopted a charter that satisfies the requirements of Section 10A of, and Rule 10A-3 under, the Exchange Act. The audit committee has reviewed the adequacy of its charter within the past twelve months. Neither the Board of Directors nor the audit committee has been informed, nor is any director of the Company aware, of (i) any significant deficiency in the design or operation of the Company’s internal control over financial reporting which is reasonably likely to adversely affect the Company’s ability to record, process, summarize and report financial data or any material weakness in the Company’s internal controls; or (ii) any fraud, whether or not material, that involves management or other employees of the Company who have a significant role in the Company’s internal controls.</w:t>
      </w:r>
    </w:p>
    <w:p>
      <w:pPr>
        <w:spacing w:after="0" w:line="99" w:lineRule="exact"/>
        <w:rPr>
          <w:rFonts w:ascii="Arial" w:cs="Arial" w:eastAsia="Arial" w:hAnsi="Arial"/>
          <w:sz w:val="16"/>
          <w:szCs w:val="16"/>
          <w:color w:val="auto"/>
        </w:rPr>
      </w:pPr>
    </w:p>
    <w:p>
      <w:pPr>
        <w:ind w:left="5612" w:hanging="101"/>
        <w:spacing w:after="0"/>
        <w:tabs>
          <w:tab w:leader="none" w:pos="5612" w:val="left"/>
        </w:tabs>
        <w:numPr>
          <w:ilvl w:val="3"/>
          <w:numId w:val="15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92"/>
          </w:cols>
          <w:pgMar w:left="248" w:top="274" w:right="259" w:bottom="1440" w:gutter="0" w:footer="0" w:header="0"/>
        </w:sectPr>
      </w:pPr>
    </w:p>
    <w:bookmarkStart w:id="241" w:name="page242"/>
    <w:bookmarkEnd w:id="241"/>
    <w:p>
      <w:pPr>
        <w:ind w:left="-921" w:firstLine="921"/>
        <w:spacing w:after="0" w:line="342" w:lineRule="auto"/>
        <w:tabs>
          <w:tab w:leader="none" w:pos="337"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Sarbanes-Oxley. </w:t>
      </w:r>
      <w:r>
        <w:rPr>
          <w:rFonts w:ascii="Arial" w:cs="Arial" w:eastAsia="Arial" w:hAnsi="Arial"/>
          <w:sz w:val="16"/>
          <w:szCs w:val="16"/>
          <w:color w:val="auto"/>
        </w:rPr>
        <w:t>The Company is, and after giving effect to the offering and sale of the Shares will be, in compliance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all applicable effective provisions of the Sarbanes-Oxley Act of 2002 and the rules and regulations of the Commission promulgated thereunder.</w:t>
      </w:r>
    </w:p>
    <w:p>
      <w:pPr>
        <w:spacing w:after="0" w:line="123" w:lineRule="exact"/>
        <w:rPr>
          <w:rFonts w:ascii="Arial" w:cs="Arial" w:eastAsia="Arial" w:hAnsi="Arial"/>
          <w:sz w:val="16"/>
          <w:szCs w:val="16"/>
          <w:color w:val="auto"/>
        </w:rPr>
      </w:pPr>
    </w:p>
    <w:p>
      <w:pPr>
        <w:ind w:left="-921" w:right="100" w:firstLine="921"/>
        <w:spacing w:after="0" w:line="302" w:lineRule="auto"/>
        <w:tabs>
          <w:tab w:leader="none" w:pos="337"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Accurate Disclosure</w:t>
      </w:r>
      <w:r>
        <w:rPr>
          <w:rFonts w:ascii="Arial" w:cs="Arial" w:eastAsia="Arial" w:hAnsi="Arial"/>
          <w:sz w:val="16"/>
          <w:szCs w:val="16"/>
          <w:color w:val="auto"/>
        </w:rPr>
        <w:t>. The statements included in the Registration Statement, the General Disclosure Package and the Prospectus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captions “Material U.S. Federal Income Tax Considerations for Non-U.S. Holders,” “Description of Capital Stock,” “Shares Eligible for Future Sale,” and “Underwriting,” and the statements in the Registration Statement under Items 14 and 15 thereof, insofar as such statements contain descriptions of the terms of statutes, rules, regulations or legal or governmental proceedings, or contracts or other documents, are fair and accurate in all material respects.</w:t>
      </w:r>
    </w:p>
    <w:p>
      <w:pPr>
        <w:spacing w:after="0" w:line="154" w:lineRule="exact"/>
        <w:rPr>
          <w:rFonts w:ascii="Arial" w:cs="Arial" w:eastAsia="Arial" w:hAnsi="Arial"/>
          <w:sz w:val="16"/>
          <w:szCs w:val="16"/>
          <w:color w:val="auto"/>
        </w:rPr>
      </w:pPr>
    </w:p>
    <w:p>
      <w:pPr>
        <w:ind w:left="-921" w:firstLine="921"/>
        <w:spacing w:after="0" w:line="287" w:lineRule="auto"/>
        <w:tabs>
          <w:tab w:leader="none" w:pos="337"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Data Presentation</w:t>
      </w:r>
      <w:r>
        <w:rPr>
          <w:rFonts w:ascii="Arial" w:cs="Arial" w:eastAsia="Arial" w:hAnsi="Arial"/>
          <w:sz w:val="16"/>
          <w:szCs w:val="16"/>
          <w:color w:val="auto"/>
        </w:rPr>
        <w:t>. The Company is not currently conducting any clinical trials. The preclinical studies conducted by or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that are described in the Registration Statement, General Disclosure Package, the Prospectus and any Written Testing-the-Waters Communication (the “</w:t>
      </w:r>
      <w:r>
        <w:rPr>
          <w:rFonts w:ascii="Arial" w:cs="Arial" w:eastAsia="Arial" w:hAnsi="Arial"/>
          <w:sz w:val="16"/>
          <w:szCs w:val="16"/>
          <w:u w:val="single" w:color="auto"/>
          <w:color w:val="auto"/>
        </w:rPr>
        <w:t>Company Studies</w:t>
      </w:r>
      <w:r>
        <w:rPr>
          <w:rFonts w:ascii="Arial" w:cs="Arial" w:eastAsia="Arial" w:hAnsi="Arial"/>
          <w:sz w:val="16"/>
          <w:szCs w:val="16"/>
          <w:color w:val="auto"/>
        </w:rPr>
        <w:t>”) were and, if still pending, are being, conducted in all material respects in accordance with their experimental protocols; the descriptions of the results of the Company Studies contained in the Registration Statement, General Disclosure Package, the Prospectus and any Written Testing-the-Waters Communication are accurate in all material respects; the Company has no knowledge of any other preclinical studies or clinical trials not described in the Registration Statement, General Disclosure Package, the Prospectus and any Written Testing-the-Waters Communication the results of which are inconsistent with or otherwise call into question the results described or referred to in the Registration Statement, General Disclosure Package, the Prospectus and any Written Testing-the-Waters Communication; and the Company has not received any written notices or correspondence from the FDA or any foreign, state or local governmental body exercising comparable authority (the “</w:t>
      </w:r>
      <w:r>
        <w:rPr>
          <w:rFonts w:ascii="Arial" w:cs="Arial" w:eastAsia="Arial" w:hAnsi="Arial"/>
          <w:sz w:val="16"/>
          <w:szCs w:val="16"/>
          <w:u w:val="single" w:color="auto"/>
          <w:color w:val="auto"/>
        </w:rPr>
        <w:t>Regulatory Agencies</w:t>
      </w:r>
      <w:r>
        <w:rPr>
          <w:rFonts w:ascii="Arial" w:cs="Arial" w:eastAsia="Arial" w:hAnsi="Arial"/>
          <w:sz w:val="16"/>
          <w:szCs w:val="16"/>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 involved any investigator who has been disqualified as a clinical investigator or has been found by the FDA to have engaged in scientific misconduct.</w:t>
      </w:r>
    </w:p>
    <w:p>
      <w:pPr>
        <w:spacing w:after="0" w:line="168" w:lineRule="exact"/>
        <w:rPr>
          <w:rFonts w:ascii="Arial" w:cs="Arial" w:eastAsia="Arial" w:hAnsi="Arial"/>
          <w:sz w:val="16"/>
          <w:szCs w:val="16"/>
          <w:color w:val="auto"/>
        </w:rPr>
      </w:pPr>
    </w:p>
    <w:p>
      <w:pPr>
        <w:ind w:left="-921" w:right="40" w:firstLine="921"/>
        <w:spacing w:after="0" w:line="254" w:lineRule="auto"/>
        <w:tabs>
          <w:tab w:leader="none" w:pos="337"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Regulatory Filings</w:t>
      </w:r>
      <w:r>
        <w:rPr>
          <w:rFonts w:ascii="Arial" w:cs="Arial" w:eastAsia="Arial" w:hAnsi="Arial"/>
          <w:sz w:val="18"/>
          <w:szCs w:val="18"/>
          <w:color w:val="auto"/>
        </w:rPr>
        <w:t>. The Company has not failed to file with the Regulatory Agencies any required filing, declaration, listing,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or submission with respect to the Company’s product candidates that are described or referred to in the Registration Statement, the General Disclosure Package, the Prospectus or any Written Testing-the-Waters Communication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124" w:lineRule="exact"/>
        <w:rPr>
          <w:rFonts w:ascii="Arial" w:cs="Arial" w:eastAsia="Arial" w:hAnsi="Arial"/>
          <w:sz w:val="18"/>
          <w:szCs w:val="18"/>
          <w:color w:val="auto"/>
        </w:rPr>
      </w:pPr>
    </w:p>
    <w:p>
      <w:pPr>
        <w:ind w:left="4699" w:hanging="101"/>
        <w:spacing w:after="0"/>
        <w:tabs>
          <w:tab w:leader="none" w:pos="469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439"/>
          </w:cols>
          <w:pgMar w:left="1161" w:top="274" w:right="299" w:bottom="1440" w:gutter="0" w:footer="0" w:header="0"/>
        </w:sectPr>
      </w:pPr>
    </w:p>
    <w:bookmarkStart w:id="242" w:name="page243"/>
    <w:bookmarkEnd w:id="242"/>
    <w:p>
      <w:pPr>
        <w:ind w:left="-921" w:firstLine="921"/>
        <w:spacing w:after="0" w:line="268" w:lineRule="auto"/>
        <w:tabs>
          <w:tab w:leader="none" w:pos="277"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 and Permits</w:t>
      </w:r>
      <w:r>
        <w:rPr>
          <w:rFonts w:ascii="Arial" w:cs="Arial" w:eastAsia="Arial" w:hAnsi="Arial"/>
          <w:sz w:val="17"/>
          <w:szCs w:val="17"/>
          <w:color w:val="auto"/>
        </w:rPr>
        <w:t>. Except as would not, individually or in the aggregate, have a Material Adverse Effect, (i)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Arial" w:cs="Arial" w:eastAsia="Arial" w:hAnsi="Arial"/>
          <w:sz w:val="17"/>
          <w:szCs w:val="17"/>
          <w:u w:val="single" w:color="auto"/>
          <w:color w:val="auto"/>
        </w:rPr>
        <w:t>Permits</w:t>
      </w:r>
      <w:r>
        <w:rPr>
          <w:rFonts w:ascii="Arial" w:cs="Arial" w:eastAsia="Arial" w:hAnsi="Arial"/>
          <w:sz w:val="17"/>
          <w:szCs w:val="17"/>
          <w:color w:val="auto"/>
        </w:rPr>
        <w:t>”), and all such Permits are in full force and effect; and (ii) the Company and its subsidiary have fulfilled and performed all of their obligations with respect to the Permits, and, to the Company’s knowledge, no event has occurred which allows, or after notice or lapse of time would allow, revocation or termination thereof or results in any other 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 to the Company or its subsidiary, its business and its products, when submitted to the FDA or other governmental authority by or on behalf of the Company or its subsidiary,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subsidiary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 material liability of, the Company or its subsidiary under any Permits. To the Company’s knowledge, there are no facts or circumstances that would reasonably be expected to give rise to any material liability of the Company or its subsidiary under any Permits.</w:t>
      </w:r>
    </w:p>
    <w:p>
      <w:pPr>
        <w:spacing w:after="0" w:line="180" w:lineRule="exact"/>
        <w:rPr>
          <w:rFonts w:ascii="Arial" w:cs="Arial" w:eastAsia="Arial" w:hAnsi="Arial"/>
          <w:sz w:val="17"/>
          <w:szCs w:val="17"/>
          <w:color w:val="auto"/>
        </w:rPr>
      </w:pPr>
    </w:p>
    <w:p>
      <w:pPr>
        <w:ind w:left="-921" w:right="20" w:firstLine="921"/>
        <w:spacing w:after="0" w:line="270" w:lineRule="auto"/>
        <w:tabs>
          <w:tab w:leader="none" w:pos="297"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Compliance with Certain Regulatory Matters</w:t>
      </w:r>
      <w:r>
        <w:rPr>
          <w:rFonts w:ascii="Arial" w:cs="Arial" w:eastAsia="Arial" w:hAnsi="Arial"/>
          <w:sz w:val="17"/>
          <w:szCs w:val="17"/>
          <w:color w:val="auto"/>
        </w:rPr>
        <w:t>. The Company, its subsidiary, its directors and officers and, to the Company’s knowledge, its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agents have operated and currently are in compliance in all material respects with applicable Health Care Laws. For purposes of this Agreement, “Health Care Laws” includes, without limitation: the federal Anti-kickback Statute (42 U.S.C. § 1320a-7b(b)); the Federal Food, Drug, and Cosmetic Act (21 U.S.C. §§ 301 et seq.); the regulations promulgated pursuant to such laws; and any other applicable local, state or federal law or regulation. Neither the Company nor its subsidiary, are a party to, and do not have any ongoing reporting obligations pursuant to, any corporate integrity agreement, deferred prosecution agreement, monitoring agreement, consent decree, settlement order, plan of correction or similar agreement imposed by any governmental authority. Neither the Company, its subsidiary,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177" w:lineRule="exact"/>
        <w:rPr>
          <w:rFonts w:ascii="Arial" w:cs="Arial" w:eastAsia="Arial" w:hAnsi="Arial"/>
          <w:sz w:val="17"/>
          <w:szCs w:val="17"/>
          <w:color w:val="auto"/>
        </w:rPr>
      </w:pPr>
    </w:p>
    <w:p>
      <w:pPr>
        <w:ind w:left="-921" w:right="780" w:firstLine="921"/>
        <w:spacing w:after="0" w:line="277" w:lineRule="auto"/>
        <w:tabs>
          <w:tab w:leader="none" w:pos="257"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Absence of Certain Regulatory Actions</w:t>
      </w:r>
      <w:r>
        <w:rPr>
          <w:rFonts w:ascii="Arial" w:cs="Arial" w:eastAsia="Arial" w:hAnsi="Arial"/>
          <w:sz w:val="18"/>
          <w:szCs w:val="18"/>
          <w:color w:val="auto"/>
        </w:rPr>
        <w:t>. Except as described in the Registration Statement, the General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as would not, individually or in the aggregate, have a Material Adverse Effect, the Company and its</w:t>
      </w:r>
    </w:p>
    <w:p>
      <w:pPr>
        <w:spacing w:after="0" w:line="102" w:lineRule="exact"/>
        <w:rPr>
          <w:rFonts w:ascii="Arial" w:cs="Arial" w:eastAsia="Arial" w:hAnsi="Arial"/>
          <w:sz w:val="18"/>
          <w:szCs w:val="18"/>
          <w:color w:val="auto"/>
        </w:rPr>
      </w:pPr>
    </w:p>
    <w:p>
      <w:pPr>
        <w:ind w:left="4699" w:hanging="101"/>
        <w:spacing w:after="0"/>
        <w:tabs>
          <w:tab w:leader="none" w:pos="469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459"/>
          </w:cols>
          <w:pgMar w:left="1161" w:top="274" w:right="279" w:bottom="1440" w:gutter="0" w:footer="0" w:header="0"/>
        </w:sectPr>
      </w:pPr>
    </w:p>
    <w:bookmarkStart w:id="243" w:name="page244"/>
    <w:bookmarkEnd w:id="243"/>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have not had any product or manufacturing site (whether Company-owned or that of a contract manufacturer for Company product candidates) subject to a governmental authority (including, without limitation, the FDA) shutdown or import or export prohibition, nor have the Company and its subsidiary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subsidiary, has received 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 claim, action, suit, proceeding, hearing, enforcement, investigation, arbitration or other action threatened.</w:t>
      </w:r>
    </w:p>
    <w:p>
      <w:pPr>
        <w:spacing w:after="0" w:line="182" w:lineRule="exact"/>
        <w:rPr>
          <w:sz w:val="20"/>
          <w:szCs w:val="20"/>
          <w:color w:val="auto"/>
        </w:rPr>
      </w:pPr>
    </w:p>
    <w:p>
      <w:pPr>
        <w:ind w:right="20" w:firstLine="921"/>
        <w:spacing w:after="0" w:line="259" w:lineRule="auto"/>
        <w:tabs>
          <w:tab w:leader="none" w:pos="1258"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From the time of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8"/>
          <w:szCs w:val="18"/>
          <w:u w:val="single" w:color="auto"/>
          <w:color w:val="auto"/>
        </w:rPr>
        <w:t>Emerging Growth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21"/>
        <w:spacing w:after="0" w:line="271" w:lineRule="auto"/>
        <w:tabs>
          <w:tab w:leader="none" w:pos="1258"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Testing-the-Waters Communications</w:t>
      </w:r>
      <w:r>
        <w:rPr>
          <w:rFonts w:ascii="Arial" w:cs="Arial" w:eastAsia="Arial" w:hAnsi="Arial"/>
          <w:sz w:val="17"/>
          <w:szCs w:val="17"/>
          <w:color w:val="auto"/>
        </w:rPr>
        <w:t xml:space="preserve">. The Company (i) has not engaged in any Testing-the-Waters Communication other than Testing-the-Waters Communications with the consent of the Representatives with entities that are qualified institutional buyers within the meaning of Rule 144A under the Act or institutions that are accredited investors within the meaning of Rule 501 under the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Each Written Testing-the-Waters Communication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did not, as of the Applicable Time, and at all times through the completion of the public offer and sale of the Shares will not, include any information that conflicted, conflicts or will conflict with the information contained in the Registration Statement, the General Disclosure Package or the Prospectus.</w:t>
      </w:r>
    </w:p>
    <w:p>
      <w:pPr>
        <w:spacing w:after="0" w:line="178" w:lineRule="exact"/>
        <w:rPr>
          <w:rFonts w:ascii="Arial" w:cs="Arial" w:eastAsia="Arial" w:hAnsi="Arial"/>
          <w:sz w:val="17"/>
          <w:szCs w:val="17"/>
          <w:color w:val="auto"/>
        </w:rPr>
      </w:pPr>
    </w:p>
    <w:p>
      <w:pPr>
        <w:ind w:firstLine="921"/>
        <w:spacing w:after="0" w:line="264" w:lineRule="auto"/>
        <w:tabs>
          <w:tab w:leader="none" w:pos="1338"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Confidential Submission of Registration Statement</w:t>
      </w:r>
      <w:r>
        <w:rPr>
          <w:rFonts w:ascii="Arial" w:cs="Arial" w:eastAsia="Arial" w:hAnsi="Arial"/>
          <w:sz w:val="18"/>
          <w:szCs w:val="18"/>
          <w:color w:val="auto"/>
        </w:rPr>
        <w:t>. The Company has filed publicly on EDGAR at least 21 calendar days prior to any “road</w:t>
      </w:r>
      <w:r>
        <w:rPr>
          <w:rFonts w:ascii="Arial" w:cs="Arial" w:eastAsia="Arial" w:hAnsi="Arial"/>
          <w:sz w:val="18"/>
          <w:szCs w:val="18"/>
          <w:i w:val="1"/>
          <w:iCs w:val="1"/>
          <w:color w:val="auto"/>
        </w:rPr>
        <w:t xml:space="preserve"> </w:t>
      </w:r>
      <w:r>
        <w:rPr>
          <w:rFonts w:ascii="Arial" w:cs="Arial" w:eastAsia="Arial" w:hAnsi="Arial"/>
          <w:sz w:val="18"/>
          <w:szCs w:val="18"/>
          <w:color w:val="auto"/>
        </w:rPr>
        <w:t>show” (as defined in Rule 433 under the Act), any confidentially submitted registration statement and registration statement amendments relating to the offer and sale of the Shares.</w:t>
      </w:r>
    </w:p>
    <w:p>
      <w:pPr>
        <w:spacing w:after="0" w:line="181" w:lineRule="exact"/>
        <w:rPr>
          <w:rFonts w:ascii="Arial" w:cs="Arial" w:eastAsia="Arial" w:hAnsi="Arial"/>
          <w:sz w:val="18"/>
          <w:szCs w:val="18"/>
          <w:color w:val="auto"/>
        </w:rPr>
      </w:pPr>
    </w:p>
    <w:p>
      <w:pPr>
        <w:ind w:right="680" w:firstLine="921"/>
        <w:spacing w:after="0" w:line="277" w:lineRule="auto"/>
        <w:tabs>
          <w:tab w:leader="none" w:pos="1258"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No Rating</w:t>
      </w:r>
      <w:r>
        <w:rPr>
          <w:rFonts w:ascii="Arial" w:cs="Arial" w:eastAsia="Arial" w:hAnsi="Arial"/>
          <w:sz w:val="18"/>
          <w:szCs w:val="18"/>
          <w:color w:val="auto"/>
        </w:rPr>
        <w:t>. Neither the Company nor its subsidiary, has debt securities or preferred stock that is rated by any “nationally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rating organization” (as such term is defined in Section 3(a)(62) of the Exchange Act).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74" w:right="239" w:bottom="1440" w:gutter="0" w:footer="0" w:header="0"/>
        </w:sectPr>
      </w:pPr>
    </w:p>
    <w:bookmarkStart w:id="244" w:name="page245"/>
    <w:bookmarkEnd w:id="244"/>
    <w:p>
      <w:pPr>
        <w:ind w:left="-8" w:firstLine="921"/>
        <w:spacing w:after="0" w:line="264" w:lineRule="auto"/>
        <w:tabs>
          <w:tab w:leader="none" w:pos="1250" w:val="left"/>
        </w:tabs>
        <w:numPr>
          <w:ilvl w:val="2"/>
          <w:numId w:val="1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Broker’s Fees</w:t>
      </w:r>
      <w:r>
        <w:rPr>
          <w:rFonts w:ascii="Arial" w:cs="Arial" w:eastAsia="Arial" w:hAnsi="Arial"/>
          <w:sz w:val="18"/>
          <w:szCs w:val="18"/>
          <w:color w:val="auto"/>
        </w:rPr>
        <w:t>. The Company is not a party to any contract, agreement or understanding with any person (other than this Agreement)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give rise to a valid claim against the Company or any Underwriter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632" w:hanging="176"/>
        <w:spacing w:after="0"/>
        <w:tabs>
          <w:tab w:leader="none" w:pos="632"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each Underwriter as follows:</w:t>
      </w:r>
    </w:p>
    <w:p>
      <w:pPr>
        <w:spacing w:after="0" w:line="225" w:lineRule="exact"/>
        <w:rPr>
          <w:rFonts w:ascii="Arial" w:cs="Arial" w:eastAsia="Arial" w:hAnsi="Arial"/>
          <w:sz w:val="18"/>
          <w:szCs w:val="18"/>
          <w:color w:val="auto"/>
        </w:rPr>
      </w:pPr>
    </w:p>
    <w:p>
      <w:pPr>
        <w:ind w:left="-8" w:right="140" w:firstLine="921"/>
        <w:spacing w:after="0" w:line="273" w:lineRule="auto"/>
        <w:tabs>
          <w:tab w:leader="none" w:pos="1149" w:val="left"/>
        </w:tabs>
        <w:numPr>
          <w:ilvl w:val="2"/>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Amendments and Supplements to Registration Statement. </w:t>
      </w:r>
      <w:r>
        <w:rPr>
          <w:rFonts w:ascii="Arial" w:cs="Arial" w:eastAsia="Arial" w:hAnsi="Arial"/>
          <w:sz w:val="17"/>
          <w:szCs w:val="17"/>
          <w:color w:val="auto"/>
        </w:rPr>
        <w:t>The Company shall not, either prior to any effective date or thereafter during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the Prospectus is required by law to be delivered (whether physically or through compliance with Rule 172 of the Rules and Regulations or any similar rule) (the “</w:t>
      </w:r>
      <w:r>
        <w:rPr>
          <w:rFonts w:ascii="Arial" w:cs="Arial" w:eastAsia="Arial" w:hAnsi="Arial"/>
          <w:sz w:val="17"/>
          <w:szCs w:val="17"/>
          <w:u w:val="single" w:color="auto"/>
          <w:color w:val="auto"/>
        </w:rPr>
        <w:t>Prospectus Delivery Period</w:t>
      </w:r>
      <w:r>
        <w:rPr>
          <w:rFonts w:ascii="Arial" w:cs="Arial" w:eastAsia="Arial" w:hAnsi="Arial"/>
          <w:sz w:val="17"/>
          <w:szCs w:val="17"/>
          <w:color w:val="auto"/>
        </w:rPr>
        <w:t>”) in connection with sales of the Shares by an Underwriter or dealer, amend or supplement the Registration Statement, the General Disclosure Package, the Prospectus or any Written Testing-the-Waters Communications, unless a copy of such amendment or supplement thereof shall first have been submitted to the Representatives within a reasonable period of time prior to the filing or, if no filing is required, the use thereof and the Representatives shall not have objected thereto in good faith.</w:t>
      </w:r>
    </w:p>
    <w:p>
      <w:pPr>
        <w:spacing w:after="0" w:line="178" w:lineRule="exact"/>
        <w:rPr>
          <w:rFonts w:ascii="Arial" w:cs="Arial" w:eastAsia="Arial" w:hAnsi="Arial"/>
          <w:sz w:val="17"/>
          <w:szCs w:val="17"/>
          <w:color w:val="auto"/>
        </w:rPr>
      </w:pPr>
    </w:p>
    <w:p>
      <w:pPr>
        <w:ind w:left="-8" w:firstLine="921"/>
        <w:spacing w:after="0" w:line="283" w:lineRule="auto"/>
        <w:tabs>
          <w:tab w:leader="none" w:pos="1160" w:val="left"/>
        </w:tabs>
        <w:numPr>
          <w:ilvl w:val="2"/>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Amendments and Supplements to the Registration Statement, the General Disclosure Package, and the Prospectus and Other Securities Act Matters. </w:t>
      </w:r>
      <w:r>
        <w:rPr>
          <w:rFonts w:ascii="Arial" w:cs="Arial" w:eastAsia="Arial" w:hAnsi="Arial"/>
          <w:sz w:val="16"/>
          <w:szCs w:val="16"/>
          <w:color w:val="auto"/>
        </w:rPr>
        <w:t>If, during the Prospectus Delivery Period, any event or development shall occur or condition exist as a result of which the General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the Prospectus or any Written Testing-the-Waters Communication as then amended or supplemented would include any untrue statement of a material fact or omit to state any material fact necessary in order to make the statements therein, in the light of the circumstances then prevailing or under which they were made, as the case may be, not misleading, or if it shall be necessary to amend or supplement the General Disclosure Package, the Prospectus or any Written Testing-the-Waters Communication in order to make the statements therein, in the light of the circumstances then prevailing or under which they were made, as the case may be, not misleading, or if in the reasonable opinion of the Representatives it is otherwise necessary to amend or supplement the Registration Statement, the General Disclosure Package, the Prospectus or any Written Testing-the-Waters Communication, or to file a new registration statement containing the Prospectus, in order to comply with law, including in connection with the delivery of the Prospectus, the Company agrees to</w:t>
      </w:r>
    </w:p>
    <w:p>
      <w:pPr>
        <w:spacing w:after="0" w:line="6" w:lineRule="exact"/>
        <w:rPr>
          <w:rFonts w:ascii="Arial" w:cs="Arial" w:eastAsia="Arial" w:hAnsi="Arial"/>
          <w:sz w:val="16"/>
          <w:szCs w:val="16"/>
          <w:color w:val="auto"/>
        </w:rPr>
      </w:pPr>
    </w:p>
    <w:p>
      <w:pPr>
        <w:ind w:left="-8" w:right="40" w:firstLine="8"/>
        <w:spacing w:after="0" w:line="252" w:lineRule="auto"/>
        <w:tabs>
          <w:tab w:leader="none" w:pos="2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promptly notify the Representatives of any such event or condition and (ii) promptly prepare (subject to Section 4(a) and 4(f) hereof), file with the Commission (and use its best efforts to have any amendment to the Registration Statement or any new registration statement to be declared effective) and furnish at its own expense to the Underwriters (and, if applicable, to dealers), amendments or supplements to the Registration Statement, the General Disclosure Package, the Prospectus or any Written Testing-the-Waters Communication, or any new registration statement, necessary in order to make the statements in the General Disclosure Package, the Prospectus or the applicable Written Testing-the-Waters Communication as so amended or supplemented, in the light of the circumstances then prevailing or under which they were made, as the case may be, not misleading or so that the Registration Statement, the General Disclosure Package, the Prospectus or the applicable Written Testing-the-Waters Communication, as amended or supplemented, will comply with law.</w:t>
      </w:r>
    </w:p>
    <w:p>
      <w:pPr>
        <w:spacing w:after="0" w:line="124" w:lineRule="exact"/>
        <w:rPr>
          <w:rFonts w:ascii="Arial" w:cs="Arial" w:eastAsia="Arial" w:hAnsi="Arial"/>
          <w:sz w:val="18"/>
          <w:szCs w:val="18"/>
          <w:color w:val="auto"/>
        </w:rPr>
      </w:pPr>
    </w:p>
    <w:p>
      <w:pPr>
        <w:ind w:left="5612" w:hanging="101"/>
        <w:spacing w:after="0"/>
        <w:tabs>
          <w:tab w:leader="none" w:pos="5612" w:val="left"/>
        </w:tabs>
        <w:numPr>
          <w:ilvl w:val="3"/>
          <w:numId w:val="163"/>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52"/>
          </w:cols>
          <w:pgMar w:left="248" w:top="274" w:right="299" w:bottom="1440" w:gutter="0" w:footer="0" w:header="0"/>
        </w:sectPr>
      </w:pPr>
    </w:p>
    <w:bookmarkStart w:id="245" w:name="page246"/>
    <w:bookmarkEnd w:id="245"/>
    <w:p>
      <w:pPr>
        <w:ind w:left="-921" w:firstLine="921"/>
        <w:spacing w:after="0" w:line="286" w:lineRule="auto"/>
        <w:tabs>
          <w:tab w:leader="none" w:pos="236"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Notifications to the Representatives. </w:t>
      </w:r>
      <w:r>
        <w:rPr>
          <w:rFonts w:ascii="Arial" w:cs="Arial" w:eastAsia="Arial" w:hAnsi="Arial"/>
          <w:sz w:val="16"/>
          <w:szCs w:val="16"/>
          <w:color w:val="auto"/>
        </w:rPr>
        <w:t>The Company shall use its best efforts to cause the Registration Statement to become effective,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notify the Representatives promptly in writing, (i) when any post-effective amendment to the Registration Statement has become effective and when any post-effective amendment thereto becomes effective, (ii) of any request by the Commission for amendments or supplements to the Registration Statement or the Prospectus or for additional information, (iii) of the commencement by the Commission or by any state securities commission of any proceedings for the suspension of the qualification of any of the Shares for offering or sale in any jurisdiction or of the initiation, or the threatening, of any proceeding for that purpose, including, without limitation, the issuance by the Commission of any stop order suspending the effectiveness of the Registration Statement or the initiation of any proceedings for that purpose or the threat thereof, (iv) of the happening of any event during the Prospectus Delivery Period that in the judgment of the Company makes any statement made in the Registration Statement, the Prospectus or any Written Testing-the-Waters Communication untrue or that requires the making of any changes in the Registration Statement, the Prospectus or any Written Testing-the-Waters Communication in order to make the statements therein, in light of the circumstances in which they are made, not misleading (v) of receipt by the Company or any representative of the Company of any other communication from the Commission relating to the Company, the Registration Statement, any preliminary prospectus, the Prospectus or any Written Testing-the-Waters Communication and (vi) of any distribution of Written Testing-the-Waters Communication by or on behalf of the Company (other than through any Underwriter). If at any time the Commission shall issue any order suspending the effectiveness of the Registration Statement, the Company shall use best efforts to obtain the withdrawal of such order at the earliest possible moment. The Company shall comply with the provisions of and make all requisite filings with the Commission pursuant to Rules 424(b), 430A, 430B, 430C and 462(b) of the Rules and Regulations and notify the Representatives promptly of all such filings.</w:t>
      </w:r>
    </w:p>
    <w:p>
      <w:pPr>
        <w:spacing w:after="0" w:line="384" w:lineRule="exact"/>
        <w:rPr>
          <w:rFonts w:ascii="Arial" w:cs="Arial" w:eastAsia="Arial" w:hAnsi="Arial"/>
          <w:sz w:val="16"/>
          <w:szCs w:val="16"/>
          <w:color w:val="auto"/>
        </w:rPr>
      </w:pPr>
    </w:p>
    <w:p>
      <w:pPr>
        <w:ind w:left="-921" w:right="480" w:firstLine="921"/>
        <w:spacing w:after="0" w:line="255" w:lineRule="auto"/>
        <w:tabs>
          <w:tab w:leader="none" w:pos="247"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Executed Registration Statement. </w:t>
      </w:r>
      <w:r>
        <w:rPr>
          <w:rFonts w:ascii="Arial" w:cs="Arial" w:eastAsia="Arial" w:hAnsi="Arial"/>
          <w:sz w:val="18"/>
          <w:szCs w:val="18"/>
          <w:color w:val="auto"/>
        </w:rPr>
        <w:t>Upon request of the Representatives, to the extent not available on the Commission’s Electronic Data</w:t>
      </w:r>
      <w:r>
        <w:rPr>
          <w:rFonts w:ascii="Arial" w:cs="Arial" w:eastAsia="Arial" w:hAnsi="Arial"/>
          <w:sz w:val="18"/>
          <w:szCs w:val="18"/>
          <w:i w:val="1"/>
          <w:iCs w:val="1"/>
          <w:color w:val="auto"/>
        </w:rPr>
        <w:t xml:space="preserve"> </w:t>
      </w:r>
      <w:r>
        <w:rPr>
          <w:rFonts w:ascii="Arial" w:cs="Arial" w:eastAsia="Arial" w:hAnsi="Arial"/>
          <w:sz w:val="18"/>
          <w:szCs w:val="18"/>
          <w:color w:val="auto"/>
        </w:rPr>
        <w:t>Gathering, Analysis and Retrieval system or any successor system (“EDGAR”), the Company shall furnish to the Representatives, without charge, for transmittal to each of the other Underwriters, two signed copies of the Registration Statement and of any post-effective amendment thereto, including financial statements and schedules, and all exhibits thereto, and shall furnish to the Representatives, without charge, for transmittal to each of the other Underwriters, a copy of the Registration Statement and any post-effective amendment thereto, including financial statements and schedules but without exhibits.</w:t>
      </w:r>
    </w:p>
    <w:p>
      <w:pPr>
        <w:spacing w:after="0" w:line="193" w:lineRule="exact"/>
        <w:rPr>
          <w:rFonts w:ascii="Arial" w:cs="Arial" w:eastAsia="Arial" w:hAnsi="Arial"/>
          <w:sz w:val="18"/>
          <w:szCs w:val="18"/>
          <w:color w:val="auto"/>
        </w:rPr>
      </w:pPr>
    </w:p>
    <w:p>
      <w:pPr>
        <w:ind w:left="-921" w:right="760" w:firstLine="921"/>
        <w:spacing w:after="0" w:line="277" w:lineRule="auto"/>
        <w:tabs>
          <w:tab w:leader="none" w:pos="236"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Undertakings. </w:t>
      </w:r>
      <w:r>
        <w:rPr>
          <w:rFonts w:ascii="Arial" w:cs="Arial" w:eastAsia="Arial" w:hAnsi="Arial"/>
          <w:sz w:val="18"/>
          <w:szCs w:val="18"/>
          <w:color w:val="auto"/>
        </w:rPr>
        <w:t>The Company shall comply with all the provisions of any undertakings contained and required to be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w:t>
      </w:r>
    </w:p>
    <w:p>
      <w:pPr>
        <w:spacing w:after="0" w:line="170" w:lineRule="exact"/>
        <w:rPr>
          <w:rFonts w:ascii="Arial" w:cs="Arial" w:eastAsia="Arial" w:hAnsi="Arial"/>
          <w:sz w:val="18"/>
          <w:szCs w:val="18"/>
          <w:color w:val="auto"/>
        </w:rPr>
      </w:pPr>
    </w:p>
    <w:p>
      <w:pPr>
        <w:ind w:left="-921" w:right="160" w:firstLine="921"/>
        <w:spacing w:after="0" w:line="257" w:lineRule="auto"/>
        <w:tabs>
          <w:tab w:leader="none" w:pos="217"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Prospectus. </w:t>
      </w:r>
      <w:r>
        <w:rPr>
          <w:rFonts w:ascii="Arial" w:cs="Arial" w:eastAsia="Arial" w:hAnsi="Arial"/>
          <w:sz w:val="18"/>
          <w:szCs w:val="18"/>
          <w:color w:val="auto"/>
        </w:rPr>
        <w:t>The Company shall prepare the Prospectus in a form approved by the Representatives and shall file such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424(b) of the Rules and Regulations with a filing date not later than the second business day following the execution and delivery of this Agreement. Promptly after the effective date of the Registration Statement, and thereafter from time to time, the Company shall deliver to each of the Underwriters, without charge, as many copies of the Prospectus and any amendment or supplement thereto as the Representatives may reasonably request. The Company consents to</w:t>
      </w:r>
    </w:p>
    <w:p>
      <w:pPr>
        <w:spacing w:after="0" w:line="120" w:lineRule="exact"/>
        <w:rPr>
          <w:rFonts w:ascii="Arial" w:cs="Arial" w:eastAsia="Arial" w:hAnsi="Arial"/>
          <w:sz w:val="18"/>
          <w:szCs w:val="18"/>
          <w:color w:val="auto"/>
        </w:rPr>
      </w:pPr>
    </w:p>
    <w:p>
      <w:pPr>
        <w:ind w:left="4699" w:hanging="101"/>
        <w:spacing w:after="0"/>
        <w:tabs>
          <w:tab w:leader="none" w:pos="469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479"/>
          </w:cols>
          <w:pgMar w:left="1161" w:top="274" w:right="259" w:bottom="1440" w:gutter="0" w:footer="0" w:header="0"/>
        </w:sectPr>
      </w:pPr>
    </w:p>
    <w:bookmarkStart w:id="246" w:name="page247"/>
    <w:bookmarkEnd w:id="246"/>
    <w:p>
      <w:pPr>
        <w:ind w:right="3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use of the Prospectus and any amendment or supplement thereto by the Underwriters and by all dealers to whom the Shares may be sold, both in connection with the offering or sale of the Shares and for any period of time thereafter during the Prospectus Delivery Period. If, during the Prospectus Delivery Period any event shall occur that in the judgment of the Company or counsel to the Underwriters should be set forth in the Prospectus in order to make any statement therein, in the light of the circumstances under which it was made, not misleading, or if it is necessary to supplement or amend the Prospectus to comply with law, the Company shall forthwith prepare and duly file with the Commission an appropriate supplement or amendment thereto, and shall deliver to each of the Underwriters, without charge, such number of copies thereof as the Representatives may reasonably request.</w:t>
      </w:r>
    </w:p>
    <w:p>
      <w:pPr>
        <w:spacing w:after="0" w:line="165" w:lineRule="exact"/>
        <w:rPr>
          <w:sz w:val="20"/>
          <w:szCs w:val="20"/>
          <w:color w:val="auto"/>
        </w:rPr>
      </w:pPr>
    </w:p>
    <w:p>
      <w:pPr>
        <w:ind w:right="160" w:firstLine="921"/>
        <w:spacing w:after="0" w:line="289" w:lineRule="auto"/>
        <w:tabs>
          <w:tab w:leader="none" w:pos="1168"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Permitted Free Writing Prospectuses. </w:t>
      </w:r>
      <w:r>
        <w:rPr>
          <w:rFonts w:ascii="Arial" w:cs="Arial" w:eastAsia="Arial" w:hAnsi="Arial"/>
          <w:sz w:val="16"/>
          <w:szCs w:val="16"/>
          <w:color w:val="auto"/>
        </w:rPr>
        <w:t>The Company represents and agrees that it has not made and, unless it obtains the prior consent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Representatives, will not make, any offer relating to the Shares that would constitute a “free writing prospectus” as defined in Rule 405 of the Rules and Regulations, required to be filed with the Commission or retained by the Company under Rule 433 of the Rules and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Any such free writing prospectus consented to by the Representatives is herein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(i) it has treated and will treat, as the case may be, each Permitted Free Writing Prospectus as an Issuer Free Writing Prospectus, and (ii) has complied and will comply, as the case may be, with the requirements of Rules 164 and 433 of the Act applicable to any Permitted Free Writing Prospectus, including in respect of timely filing with the Commission, legending and record keeping. The Company represents that it has satisfied and agrees that it will satisfy the conditions in Rule 433 to avoid a requirement to file with the Commission any electronic road show.</w:t>
      </w:r>
    </w:p>
    <w:p>
      <w:pPr>
        <w:spacing w:after="0" w:line="166" w:lineRule="exact"/>
        <w:rPr>
          <w:rFonts w:ascii="Arial" w:cs="Arial" w:eastAsia="Arial" w:hAnsi="Arial"/>
          <w:sz w:val="16"/>
          <w:szCs w:val="16"/>
          <w:color w:val="auto"/>
        </w:rPr>
      </w:pPr>
    </w:p>
    <w:p>
      <w:pPr>
        <w:ind w:right="100" w:firstLine="921"/>
        <w:spacing w:after="0" w:line="255"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Blue Sky Laws. </w:t>
      </w:r>
      <w:r>
        <w:rPr>
          <w:rFonts w:ascii="Arial" w:cs="Arial" w:eastAsia="Arial" w:hAnsi="Arial"/>
          <w:sz w:val="18"/>
          <w:szCs w:val="18"/>
          <w:color w:val="auto"/>
        </w:rPr>
        <w:t>Prior to any public offering of the Shares by the Underwriters, the Company shall cooperate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and counsel to the Underwriters in connection with the registration or qualification (or the obtaining of exemptions from the application thereof) of the Shares for offer and sale under the securities or Blue Sky laws of such jurisdictions as the Representatives may request, including, without limitation, the provinces and territories of Canada and other jurisdictions outside the United States;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Company be obligated to qualify to do business in any jurisdiction where it is not now so qualified or to take any action which would subject it to general service of process in any jurisdiction where it is not now so subject.</w:t>
      </w:r>
    </w:p>
    <w:p>
      <w:pPr>
        <w:spacing w:after="0" w:line="193" w:lineRule="exact"/>
        <w:rPr>
          <w:rFonts w:ascii="Arial" w:cs="Arial" w:eastAsia="Arial" w:hAnsi="Arial"/>
          <w:sz w:val="18"/>
          <w:szCs w:val="18"/>
          <w:color w:val="auto"/>
        </w:rPr>
      </w:pPr>
    </w:p>
    <w:p>
      <w:pPr>
        <w:ind w:firstLine="921"/>
        <w:spacing w:after="0" w:line="255" w:lineRule="auto"/>
        <w:tabs>
          <w:tab w:leader="none" w:pos="1128"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Delivery of Financial Statements. </w:t>
      </w:r>
      <w:r>
        <w:rPr>
          <w:rFonts w:ascii="Arial" w:cs="Arial" w:eastAsia="Arial" w:hAnsi="Arial"/>
          <w:sz w:val="18"/>
          <w:szCs w:val="18"/>
          <w:color w:val="auto"/>
        </w:rPr>
        <w:t>During the period of five years commencing on the effective date of the Registration Statement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the Company shall furnish to the Representatives and each other Underwriter who may so request copies of such financial statements and other periodic and special reports as the Company may from time to time distribute generally to the holders of any class of its capital stock, and will furnish to the Representatives and each other Underwriter who may so request a copy of each annual or other report it shall be required to file with the Commission; provided, however, that electronically transmitted copies filed with the Commission pursuant to EDGAR shall satisfy the Company’s obligation to furnish copies hereunder.</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274" w:right="239" w:bottom="1440" w:gutter="0" w:footer="0" w:header="0"/>
        </w:sectPr>
      </w:pPr>
    </w:p>
    <w:bookmarkStart w:id="247" w:name="page248"/>
    <w:bookmarkEnd w:id="247"/>
    <w:p>
      <w:pPr>
        <w:ind w:left="-921" w:right="20" w:firstLine="921"/>
        <w:spacing w:after="0" w:line="257" w:lineRule="auto"/>
        <w:tabs>
          <w:tab w:leader="none" w:pos="207"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Availability of Earnings Statements. </w:t>
      </w:r>
      <w:r>
        <w:rPr>
          <w:rFonts w:ascii="Arial" w:cs="Arial" w:eastAsia="Arial" w:hAnsi="Arial"/>
          <w:sz w:val="18"/>
          <w:szCs w:val="18"/>
          <w:color w:val="auto"/>
        </w:rPr>
        <w:t>The Company shall make generally available to holders of its securities as soon as may be practicable but</w:t>
      </w:r>
      <w:r>
        <w:rPr>
          <w:rFonts w:ascii="Arial" w:cs="Arial" w:eastAsia="Arial" w:hAnsi="Arial"/>
          <w:sz w:val="18"/>
          <w:szCs w:val="18"/>
          <w:i w:val="1"/>
          <w:iCs w:val="1"/>
          <w:color w:val="auto"/>
        </w:rPr>
        <w:t xml:space="preserve"> </w:t>
      </w:r>
      <w:r>
        <w:rPr>
          <w:rFonts w:ascii="Arial" w:cs="Arial" w:eastAsia="Arial" w:hAnsi="Arial"/>
          <w:sz w:val="18"/>
          <w:szCs w:val="18"/>
          <w:color w:val="auto"/>
        </w:rPr>
        <w:t>in no event later than the last day of the fifteenth full calendar month following the calendar quarter in which the most recent effective date occurs in accordance with Rule 158 of the Rules and Regulations, an earnings statement (which need not be audited but shall be in reasonable detail) for a period of 12 months ended commencing after the effective date of the Registration Statement, and satisfying the provisions of Section 11(a) of the Act (including Rule 158 of the Rules and Regulations).</w:t>
      </w:r>
    </w:p>
    <w:p>
      <w:pPr>
        <w:spacing w:after="0" w:line="188" w:lineRule="exact"/>
        <w:rPr>
          <w:rFonts w:ascii="Arial" w:cs="Arial" w:eastAsia="Arial" w:hAnsi="Arial"/>
          <w:sz w:val="18"/>
          <w:szCs w:val="18"/>
          <w:color w:val="auto"/>
        </w:rPr>
      </w:pPr>
    </w:p>
    <w:p>
      <w:pPr>
        <w:ind w:left="-921" w:firstLine="921"/>
        <w:spacing w:after="0" w:line="285" w:lineRule="auto"/>
        <w:tabs>
          <w:tab w:leader="none" w:pos="247"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Payment of Expenses. </w:t>
      </w:r>
      <w:r>
        <w:rPr>
          <w:rFonts w:ascii="Arial" w:cs="Arial" w:eastAsia="Arial" w:hAnsi="Arial"/>
          <w:sz w:val="16"/>
          <w:szCs w:val="16"/>
          <w:color w:val="auto"/>
        </w:rPr>
        <w:t>Whether or not any of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the Company will pay or cause to be paid, or reimburse if paid by the Representatives, all costs and expenses incident to the performance of the obligations of the Company under this Agreement, including but not limited to: (i) any filing fees and other expenses (including reasonable and documented fees and disbursements of counsel to the Underwriters) incurred in connection with qualification of the Shares for sale under the laws of such jurisdictions as the Representatives designate pursuant to Section 4(g) hereof and the securities laws of Canada, including the reasonable and documented fees, disbursements and other charges of counsel to the Underwriters in connection therewith, and, if requested by the Representatives, the preparation and printing of preliminary, supplemental and final Blue Sky memoranda, collectively not to exceed $5,000, (ii) the preparation and printing of memoranda relating thereto, costs and expenses related to the review by FINRA of the Shares (including filing fees and the fees and expenses of counsel for the Underwriters relating to such review), collectively not to exceed $35,000, (iii) costs and expenses relating to investor presentations or any “road show” in connection with the offering and sale of the Shares including, without limitation, the travel expenses of the Company’s officers, employees and agents and 50% of the cost of chartering aircraft in connection with any “road show,” such aircraft not to be chartered without the written consent of the Company (the remaining 50% of the cost of such aircraft shall be paid by the Underwriters), (iv) fees and expenses incident to listing the Shares on the NASDAQ Global Market, (v) fees and expenses in connection with the registration of the Shares under the Exchange Act, (vi) expenses incurred in distributing preliminary prospectuses and the final prospectus (including any amendments and supplements thereto) to the Underwriters, (vii) for expenses incurred for preparing, printing and distributing any Issuer Free Writing Prospectuses to investors or prospective investors, (viii) the fees and expenses of counsel to the Company, (ix) the costs and charges of DTC and the transfer agent for the Shares and (x) the fees and expenses of the Accountants.</w:t>
      </w:r>
    </w:p>
    <w:p>
      <w:pPr>
        <w:spacing w:after="0" w:line="177" w:lineRule="exact"/>
        <w:rPr>
          <w:rFonts w:ascii="Arial" w:cs="Arial" w:eastAsia="Arial" w:hAnsi="Arial"/>
          <w:sz w:val="16"/>
          <w:szCs w:val="16"/>
          <w:color w:val="auto"/>
        </w:rPr>
      </w:pPr>
    </w:p>
    <w:p>
      <w:pPr>
        <w:ind w:left="-921" w:right="40" w:firstLine="921"/>
        <w:spacing w:after="0" w:line="291" w:lineRule="auto"/>
        <w:tabs>
          <w:tab w:leader="none" w:pos="207"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Expenses upon Termination of Agreement. </w:t>
      </w:r>
      <w:r>
        <w:rPr>
          <w:rFonts w:ascii="Arial" w:cs="Arial" w:eastAsia="Arial" w:hAnsi="Arial"/>
          <w:sz w:val="16"/>
          <w:szCs w:val="16"/>
          <w:color w:val="auto"/>
        </w:rPr>
        <w:t>If this Agreement shall be terminated by the Company pursuant to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hereof or if for any reason the Company shall be unable to perform its obligations or to fulfill any conditions hereunder or if the Underwriters shall terminate this Agreement pursuant to Section 7 hereof or the Agreement is terminated pursuant to the second sentence of Section 8 hereof, (A) the Company shall reimburse the Underwriters for all reasonable and documented out-of-pocket expenses (including the documented fees, disbursements and other charges of counsel to the Underwriters) reasonably incurred by them in connection herewith; and (B) if such termination is after the Closing Date, with respect to the proposed purchase of any Option Shares pursuant to a notice delivered by the Underwriters to the Company, the Company shall reimburse the Underwriters for the reasonable and documented fees and expenses of Underwriters’ counsel and for such other out-of-pocket</w:t>
      </w:r>
    </w:p>
    <w:p>
      <w:pPr>
        <w:spacing w:after="0" w:line="99" w:lineRule="exact"/>
        <w:rPr>
          <w:rFonts w:ascii="Arial" w:cs="Arial" w:eastAsia="Arial" w:hAnsi="Arial"/>
          <w:sz w:val="16"/>
          <w:szCs w:val="16"/>
          <w:color w:val="auto"/>
        </w:rPr>
      </w:pPr>
    </w:p>
    <w:p>
      <w:pPr>
        <w:ind w:left="4699" w:hanging="101"/>
        <w:spacing w:after="0"/>
        <w:tabs>
          <w:tab w:leader="none" w:pos="469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499"/>
          </w:cols>
          <w:pgMar w:left="1161" w:top="274" w:right="239" w:bottom="1440" w:gutter="0" w:footer="0" w:header="0"/>
        </w:sectPr>
      </w:pPr>
    </w:p>
    <w:bookmarkStart w:id="248" w:name="page249"/>
    <w:bookmarkEnd w:id="248"/>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expenses, such fees and expenses collectively not to exceed $50,000, as shall have been reasonably and actually incurred by them following the Closing Date pursuant to this Agreement in connection with such proposed purchase of such Option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to reimburse the expenses of any defaulting Underwriter under Section 8 hereof.</w:t>
      </w:r>
    </w:p>
    <w:p>
      <w:pPr>
        <w:spacing w:after="0" w:line="181" w:lineRule="exact"/>
        <w:rPr>
          <w:sz w:val="20"/>
          <w:szCs w:val="20"/>
          <w:color w:val="auto"/>
        </w:rPr>
      </w:pPr>
    </w:p>
    <w:p>
      <w:pPr>
        <w:ind w:right="80" w:firstLine="921"/>
        <w:spacing w:after="0" w:line="264" w:lineRule="auto"/>
        <w:tabs>
          <w:tab w:leader="none" w:pos="1218"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shall not at any time, directly or indirectly, take any action intended to cause or result in, 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reasonably be expected to cause or result in, or which will constitute, stabilization or manipulation, under the Act or otherwise, of the price of the shares of Common Stock to facilitate the sale or resale of any of the Shares.</w:t>
      </w:r>
    </w:p>
    <w:p>
      <w:pPr>
        <w:spacing w:after="0" w:line="181" w:lineRule="exact"/>
        <w:rPr>
          <w:rFonts w:ascii="Arial" w:cs="Arial" w:eastAsia="Arial" w:hAnsi="Arial"/>
          <w:sz w:val="18"/>
          <w:szCs w:val="18"/>
          <w:color w:val="auto"/>
        </w:rPr>
      </w:pPr>
    </w:p>
    <w:p>
      <w:pPr>
        <w:ind w:firstLine="921"/>
        <w:spacing w:after="0" w:line="286" w:lineRule="auto"/>
        <w:tabs>
          <w:tab w:leader="none" w:pos="1168" w:val="left"/>
        </w:tabs>
        <w:numPr>
          <w:ilvl w:val="1"/>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shall apply the net proceeds from the offering and sale of the Shares to be sold by the Company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in the General Disclosure Package and the Prospectus under “Use of Proceeds” and shall file such reports with the Commission with respect to the sale of the Shares and the application of the proceeds therefrom as may be required in accordance with Rule 463 under the Act.</w:t>
      </w:r>
    </w:p>
    <w:p>
      <w:pPr>
        <w:spacing w:after="0" w:line="165" w:lineRule="exact"/>
        <w:rPr>
          <w:rFonts w:ascii="Arial" w:cs="Arial" w:eastAsia="Arial" w:hAnsi="Arial"/>
          <w:sz w:val="17"/>
          <w:szCs w:val="17"/>
          <w:color w:val="auto"/>
        </w:rPr>
      </w:pPr>
    </w:p>
    <w:p>
      <w:pPr>
        <w:ind w:right="640" w:firstLine="921"/>
        <w:spacing w:after="0" w:line="291" w:lineRule="auto"/>
        <w:tabs>
          <w:tab w:leader="none" w:pos="1168"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Agreements of Company, Management and Affiliates. </w:t>
      </w:r>
      <w:r>
        <w:rPr>
          <w:rFonts w:ascii="Arial" w:cs="Arial" w:eastAsia="Arial" w:hAnsi="Arial"/>
          <w:sz w:val="16"/>
          <w:szCs w:val="16"/>
          <w:color w:val="auto"/>
        </w:rPr>
        <w:t>The Company shall not, for a period of 180 days after the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w:t>
      </w:r>
      <w:r>
        <w:rPr>
          <w:rFonts w:ascii="Arial" w:cs="Arial" w:eastAsia="Arial" w:hAnsi="Arial"/>
          <w:sz w:val="16"/>
          <w:szCs w:val="16"/>
          <w:u w:val="single" w:color="auto"/>
          <w:color w:val="auto"/>
        </w:rPr>
        <w:t>Lock-Up Period</w:t>
      </w:r>
      <w:r>
        <w:rPr>
          <w:rFonts w:ascii="Arial" w:cs="Arial" w:eastAsia="Arial" w:hAnsi="Arial"/>
          <w:sz w:val="16"/>
          <w:szCs w:val="16"/>
          <w:color w:val="auto"/>
        </w:rPr>
        <w:t>”), without the prior written consent of the Representatives (which consent may be withheld in their sole discretion),</w:t>
      </w:r>
    </w:p>
    <w:p>
      <w:pPr>
        <w:ind w:firstLine="8"/>
        <w:spacing w:after="0" w:line="266" w:lineRule="auto"/>
        <w:tabs>
          <w:tab w:leader="none" w:pos="2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offer, pledge, sell, contract to sell, sell any option or contract to purchase, purchase any option or contract to sell, grant any option, right or warrant to purchase, lend, or otherwise transfer or dispose of, directly or indirectly, or file with the Commission a registration statement under the Act to register, any shares of Common Stock or any securities convertible into or exercisable or exchangeable for Common Stock or (2) enter into any swap or other derivatives transaction that transfers to another, in whole or in part, directly or indirectly, any of the economic benefits or risks of ownership of such shares of Common Stock, whether any such transaction described in clause (1) or (2) above is to be settled by delivery of Common Stock or other securities, in cash or otherwise, or publicly disclose the intention to enter into any transaction described in clause (1) or (2) above. The foregoing sentence shall not apply to (A) the Shares to be sold hereunder; (B) any shares of Common Stock issued by the Company upon the exercise of an option or warrant or the conversion of a security outstanding on the date hereof and referred to in the Registration Statement, General Disclosure Package and the Prospectus; (C) any shares of Common Stock issued by the Company upon the exercise of an option to purchase Common Stock granted pursuant to employee stock option plans or stock ownership plans of the Company in effect on the date hereof and described in the Registration Statement, General Disclosure Package and the Prospectus (but for the avoidance of doubt, not any sale of such shares issued upon such exercise); (D) enter into agreements providing for the issuance by the Company of shares of Common Stock or any security convertible into or exercisable for shares of Common Stock in connection with the acquisition by the Company or its subsidiary of the securities, business, property or other assets of another person or entity pursuant to an employee benefit plan assumed by the Company in connection with such acquisition, and issue any such securities pursuant to any such agreement; (E) enter into agreements providing for the issuance of shares of Common Stock or any security convertible into or exercisable for shares of Common Stock in connection with joint ventures, commercial relationships or other strategic transactions, and issue any such securities pursuant to any such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clauses (D) and (E), the aggregate number of</w:t>
      </w:r>
    </w:p>
    <w:p>
      <w:pPr>
        <w:spacing w:after="0" w:line="124" w:lineRule="exact"/>
        <w:rPr>
          <w:rFonts w:ascii="Arial" w:cs="Arial" w:eastAsia="Arial" w:hAnsi="Arial"/>
          <w:sz w:val="17"/>
          <w:szCs w:val="17"/>
          <w:color w:val="auto"/>
        </w:rPr>
      </w:pPr>
    </w:p>
    <w:p>
      <w:pPr>
        <w:ind w:left="5620" w:hanging="101"/>
        <w:spacing w:after="0"/>
        <w:tabs>
          <w:tab w:leader="none" w:pos="56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274" w:right="239" w:bottom="1440" w:gutter="0" w:footer="0" w:header="0"/>
        </w:sectPr>
      </w:pPr>
    </w:p>
    <w:bookmarkStart w:id="249" w:name="page250"/>
    <w:bookmarkEnd w:id="249"/>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of Common Stock that the Company may sell or issue or agree to sell or issue pursuant to clauses (D) and (E), taken together, shall not exceed 5.0% of the total number of shares of Common Stock issued and outstanding immediately subsequent to the completion of the transactions contemplated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clauses (D) and (E), it shall be a condition to the sale, issuance or transfer of shares of any such securities that the transferee executes and delivers to the Representatives, acting on behalf of the Underwriters, not later than one business day prior to such transfer, a written agreement, in substantially the form of Exhibit A to this Agreement, and otherwise satisfactory in form and substance to the Representatives;</w:t>
      </w:r>
    </w:p>
    <w:p>
      <w:pPr>
        <w:spacing w:after="0" w:line="2" w:lineRule="exact"/>
        <w:rPr>
          <w:sz w:val="20"/>
          <w:szCs w:val="20"/>
          <w:color w:val="auto"/>
        </w:rPr>
      </w:pPr>
    </w:p>
    <w:p>
      <w:pPr>
        <w:ind w:firstLine="8"/>
        <w:spacing w:after="0" w:line="287" w:lineRule="auto"/>
        <w:tabs>
          <w:tab w:leader="none" w:pos="2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adopt a new equity incentive plan and file a registration statement on Form S-8 under the Securities Act to register the offer and sale of securities to be issued pursuant to such new equity incentive plan or any employee benefit or equity incentive plan of the Company described in the Registration Statement, General Disclosure Package and the Prospectus, and issue securities pursuant to such new equity incentive plan (including, without limitation, the issuance of shares of Common Stock upon the exercise of options or other securities issued pursuant to such new equity incentive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new equity incentive plan satisfies the transaction requirements of General Instruction A.1 of Form S-8 under the Securities Act and (2) this clause (F) shall not be available unless each recipient of shares of Common Stock, or securities exchangeable or exercisable for or convertible into Common Stock, pursuant to such new equity incentive plan shall be contractually prohibited from selling, offering, disposing of or otherwise transferring any such shares or securities during the remainder of the Lock-Up Period. The Company shall cause each of its officers, directors and beneficial owners of its capital stock (including stockholders, option holders and other equityholders) to enter into agreements with the Representatives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20" w:firstLine="921"/>
        <w:spacing w:after="0" w:line="302" w:lineRule="auto"/>
        <w:tabs>
          <w:tab w:leader="none" w:pos="1168"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Lock-Up Releases</w:t>
      </w:r>
      <w:r>
        <w:rPr>
          <w:rFonts w:ascii="Arial" w:cs="Arial" w:eastAsia="Arial" w:hAnsi="Arial"/>
          <w:sz w:val="16"/>
          <w:szCs w:val="16"/>
          <w:color w:val="auto"/>
        </w:rPr>
        <w:t>. If the Representatives, in their sole discretion, agree to release or waive the restrictions set forth in a lock-up letter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in Section 5(j)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through a major news service at least two business days before the effective date of such release or waiver.</w:t>
      </w:r>
    </w:p>
    <w:p>
      <w:pPr>
        <w:spacing w:after="0" w:line="154" w:lineRule="exact"/>
        <w:rPr>
          <w:rFonts w:ascii="Arial" w:cs="Arial" w:eastAsia="Arial" w:hAnsi="Arial"/>
          <w:sz w:val="16"/>
          <w:szCs w:val="16"/>
          <w:color w:val="auto"/>
        </w:rPr>
      </w:pPr>
    </w:p>
    <w:p>
      <w:pPr>
        <w:ind w:right="160" w:firstLine="921"/>
        <w:spacing w:after="0" w:line="259" w:lineRule="auto"/>
        <w:tabs>
          <w:tab w:leader="none" w:pos="1168"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shall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(x) the time when a prospectus relating to the offering or sale of the Shares is not required by the Act to be delivered (whether physically or through compliance with Rule 172 of the Rules and Regulations or any similar rule) and (B) completion of the Lock-Up Period.</w:t>
      </w:r>
    </w:p>
    <w:p>
      <w:pPr>
        <w:spacing w:after="0" w:line="187" w:lineRule="exact"/>
        <w:rPr>
          <w:sz w:val="20"/>
          <w:szCs w:val="20"/>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4" w:right="239" w:bottom="1440" w:gutter="0" w:footer="0" w:header="0"/>
        </w:sectPr>
      </w:pPr>
    </w:p>
    <w:bookmarkStart w:id="250" w:name="page251"/>
    <w:bookmarkEnd w:id="250"/>
    <w:p>
      <w:pPr>
        <w:ind w:left="-8" w:firstLine="464"/>
        <w:spacing w:after="0" w:line="264" w:lineRule="auto"/>
        <w:tabs>
          <w:tab w:leader="none" w:pos="628"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the Obligations of the Underwriters</w:t>
      </w:r>
      <w:r>
        <w:rPr>
          <w:rFonts w:ascii="Arial" w:cs="Arial" w:eastAsia="Arial" w:hAnsi="Arial"/>
          <w:sz w:val="18"/>
          <w:szCs w:val="18"/>
          <w:color w:val="auto"/>
        </w:rPr>
        <w:t>. The obligation of each Underwriter to purchase the Firm Shares on the Closing Date or the Option Shares on the Option Closing Date, as the case may be, as provided herein is subject to the performance by the Company of its covenants and other obligations hereunder and to the following additional conditions:</w:t>
      </w:r>
    </w:p>
    <w:p>
      <w:pPr>
        <w:spacing w:after="0" w:line="181" w:lineRule="exact"/>
        <w:rPr>
          <w:rFonts w:ascii="Arial" w:cs="Arial" w:eastAsia="Arial" w:hAnsi="Arial"/>
          <w:sz w:val="18"/>
          <w:szCs w:val="18"/>
          <w:color w:val="auto"/>
        </w:rPr>
      </w:pPr>
    </w:p>
    <w:p>
      <w:pPr>
        <w:ind w:left="-8" w:right="60" w:firstLine="921"/>
        <w:spacing w:after="0" w:line="259" w:lineRule="auto"/>
        <w:tabs>
          <w:tab w:leader="none" w:pos="1149" w:val="left"/>
        </w:tabs>
        <w:numPr>
          <w:ilvl w:val="2"/>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Post Effective Amendments and Prospectus Filings. </w:t>
      </w:r>
      <w:r>
        <w:rPr>
          <w:rFonts w:ascii="Arial" w:cs="Arial" w:eastAsia="Arial" w:hAnsi="Arial"/>
          <w:sz w:val="18"/>
          <w:szCs w:val="18"/>
          <w:color w:val="auto"/>
        </w:rPr>
        <w:t>Notification that the Registration Statement has become effective shall be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not later than 6:00 p.m., New York City time, on the date of this Agreement or at such later date and time as shall be consented to in writing by the Representatives and all filings made pursuant to Rules 424, 430A, 430B or 430C of the Rules and Regulations, as applicable, shall have been made or will be made prior to the Closing Date in accordance with all such applicable rules.</w:t>
      </w:r>
    </w:p>
    <w:p>
      <w:pPr>
        <w:spacing w:after="0" w:line="186" w:lineRule="exact"/>
        <w:rPr>
          <w:rFonts w:ascii="Arial" w:cs="Arial" w:eastAsia="Arial" w:hAnsi="Arial"/>
          <w:sz w:val="18"/>
          <w:szCs w:val="18"/>
          <w:color w:val="auto"/>
        </w:rPr>
      </w:pPr>
    </w:p>
    <w:p>
      <w:pPr>
        <w:ind w:left="-8" w:right="20" w:firstLine="921"/>
        <w:spacing w:after="0" w:line="283" w:lineRule="auto"/>
        <w:tabs>
          <w:tab w:leader="none" w:pos="1160" w:val="left"/>
        </w:tabs>
        <w:numPr>
          <w:ilvl w:val="2"/>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No Stop Orders, Requests for Information and No Amendments. </w:t>
      </w:r>
      <w:r>
        <w:rPr>
          <w:rFonts w:ascii="Arial" w:cs="Arial" w:eastAsia="Arial" w:hAnsi="Arial"/>
          <w:sz w:val="16"/>
          <w:szCs w:val="16"/>
          <w:color w:val="auto"/>
        </w:rPr>
        <w:t>(i) No stop order suspending the effectiveness of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been issued and no proceedings for that purpose shall be pending or are, to the knowledge of the Company, threatened by the Commission, (ii) no order suspending the qualification or registration of the Shares under the securities or Blue Sky laws of any jurisdiction shall be in effect and no proceeding for such purpose shall be pending before or threatened or contemplated by the authorities of any such jurisdiction, (iii) any request for additional information on the part of the staff of the Commission or any such authorities shall have been complied with to the satisfaction of the staff of the Commission or such authorities and (iv) after the date hereof no amendment or supplement to the Registration Statement or the Prospectus shall have been filed unless a copy thereof was first submitted to the Representatives and the Representatives did not object thereto in good faith, and the Representatives shall have received certificates, dated the Closing Date and the Option Closing Date and signed by the Chief Executive Officer or the Chairman of the Board of Directors and the Chief Financial Officer of the Company (who may, as to proceedings threatened, rely upon the best of their information and belief), to the effect of clauses (i),</w:t>
      </w:r>
    </w:p>
    <w:p>
      <w:pPr>
        <w:spacing w:after="0" w:line="6" w:lineRule="exact"/>
        <w:rPr>
          <w:rFonts w:ascii="Arial" w:cs="Arial" w:eastAsia="Arial" w:hAnsi="Arial"/>
          <w:sz w:val="16"/>
          <w:szCs w:val="16"/>
          <w:color w:val="auto"/>
        </w:rPr>
      </w:pPr>
    </w:p>
    <w:p>
      <w:pPr>
        <w:ind w:left="272" w:hanging="272"/>
        <w:spacing w:after="0"/>
        <w:tabs>
          <w:tab w:leader="none" w:pos="27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and (iii).</w:t>
      </w:r>
    </w:p>
    <w:p>
      <w:pPr>
        <w:spacing w:after="0" w:line="210" w:lineRule="exact"/>
        <w:rPr>
          <w:rFonts w:ascii="Arial" w:cs="Arial" w:eastAsia="Arial" w:hAnsi="Arial"/>
          <w:sz w:val="18"/>
          <w:szCs w:val="18"/>
          <w:color w:val="auto"/>
        </w:rPr>
      </w:pPr>
    </w:p>
    <w:p>
      <w:pPr>
        <w:ind w:left="-8" w:right="80" w:firstLine="921"/>
        <w:spacing w:after="0" w:line="291" w:lineRule="auto"/>
        <w:tabs>
          <w:tab w:leader="none" w:pos="1149" w:val="left"/>
        </w:tabs>
        <w:numPr>
          <w:ilvl w:val="2"/>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Changes. </w:t>
      </w:r>
      <w:r>
        <w:rPr>
          <w:rFonts w:ascii="Arial" w:cs="Arial" w:eastAsia="Arial" w:hAnsi="Arial"/>
          <w:sz w:val="16"/>
          <w:szCs w:val="16"/>
          <w:color w:val="auto"/>
        </w:rPr>
        <w:t>Since the respective dates as of which information is given in the Registration Statement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set forth in the Registration Statement, the General Disclosure Package and the Prospectus (i) there shall not have been a Material Adverse Change,</w:t>
      </w:r>
    </w:p>
    <w:p>
      <w:pPr>
        <w:ind w:left="-8" w:right="40" w:firstLine="8"/>
        <w:spacing w:after="0" w:line="295" w:lineRule="auto"/>
        <w:tabs>
          <w:tab w:leader="none" w:pos="25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shall not have incurred any material liabilities or obligations, direct or contingent, (iii) the Company shall not have entered into any material transactions not in the ordinary course of business other than pursuant to this Agreement and the transactions referred to herein, (iv) the Company shall not have issued any securities (other than the Shares) or declared or paid any dividend or made any distribution in respect of its capital stock of any class or debt (long-term or short-term), and (v) no material amount of the assets of the Company shall have been pledged, mortgaged or otherwise encumbered.</w:t>
      </w:r>
    </w:p>
    <w:p>
      <w:pPr>
        <w:spacing w:after="0" w:line="161" w:lineRule="exact"/>
        <w:rPr>
          <w:rFonts w:ascii="Arial" w:cs="Arial" w:eastAsia="Arial" w:hAnsi="Arial"/>
          <w:sz w:val="16"/>
          <w:szCs w:val="16"/>
          <w:color w:val="auto"/>
        </w:rPr>
      </w:pPr>
    </w:p>
    <w:p>
      <w:pPr>
        <w:ind w:left="-8" w:right="180" w:firstLine="921"/>
        <w:spacing w:after="0" w:line="302" w:lineRule="auto"/>
        <w:tabs>
          <w:tab w:leader="none" w:pos="1160" w:val="left"/>
        </w:tabs>
        <w:numPr>
          <w:ilvl w:val="2"/>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No Actions, Suits or Proceedings. </w:t>
      </w:r>
      <w:r>
        <w:rPr>
          <w:rFonts w:ascii="Arial" w:cs="Arial" w:eastAsia="Arial" w:hAnsi="Arial"/>
          <w:sz w:val="16"/>
          <w:szCs w:val="16"/>
          <w:color w:val="auto"/>
        </w:rPr>
        <w:t>Since the respective dates as of which information is given in the Registration Statement,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there shall have been no actions, suits or proceedings instituted, or to the Company’s knowledge, threatened against or affecting, the Company or any of its officers in their capacity as such, before or by any Federal, state or local court, commission, regulatory body, administrative agency or other governmental body, domestic or foreign, except as would not reasonably be expected to have a Material Adverse Effect.</w:t>
      </w:r>
    </w:p>
    <w:p>
      <w:pPr>
        <w:spacing w:after="0" w:line="86" w:lineRule="exact"/>
        <w:rPr>
          <w:rFonts w:ascii="Arial" w:cs="Arial" w:eastAsia="Arial" w:hAnsi="Arial"/>
          <w:sz w:val="16"/>
          <w:szCs w:val="16"/>
          <w:color w:val="auto"/>
        </w:rPr>
      </w:pPr>
    </w:p>
    <w:p>
      <w:pPr>
        <w:ind w:left="5612" w:hanging="101"/>
        <w:spacing w:after="0"/>
        <w:tabs>
          <w:tab w:leader="none" w:pos="5612" w:val="left"/>
        </w:tabs>
        <w:numPr>
          <w:ilvl w:val="3"/>
          <w:numId w:val="173"/>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12"/>
          </w:cols>
          <w:pgMar w:left="248" w:top="274" w:right="239" w:bottom="1440" w:gutter="0" w:footer="0" w:header="0"/>
        </w:sectPr>
      </w:pPr>
    </w:p>
    <w:bookmarkStart w:id="251" w:name="page252"/>
    <w:bookmarkEnd w:id="251"/>
    <w:p>
      <w:pPr>
        <w:ind w:left="-921" w:right="60" w:firstLine="921"/>
        <w:spacing w:after="0" w:line="257" w:lineRule="auto"/>
        <w:tabs>
          <w:tab w:leader="none" w:pos="23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Representations True and Correct and All Conditions Fulfilled. </w:t>
      </w:r>
      <w:r>
        <w:rPr>
          <w:rFonts w:ascii="Arial" w:cs="Arial" w:eastAsia="Arial" w:hAnsi="Arial"/>
          <w:sz w:val="18"/>
          <w:szCs w:val="18"/>
          <w:color w:val="auto"/>
        </w:rPr>
        <w:t>Each of the representations and warranties of the Company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shall be true and correct at the Closing Date as if made at the Closing Date and, with respect to the Option Shares, at the Option Closing Date as if made at the Option Closing Date, and all covenants and agreements contained herein to be performed by the Company and all conditions contained herein to be fulfilled or complied with by the Company at or prior to the Closing Date and, with respect to the Option Shares, at or prior to the Option Closing Date, shall have been duly performed, fulfilled or complied with.</w:t>
      </w:r>
    </w:p>
    <w:p>
      <w:pPr>
        <w:spacing w:after="0" w:line="188" w:lineRule="exact"/>
        <w:rPr>
          <w:rFonts w:ascii="Arial" w:cs="Arial" w:eastAsia="Arial" w:hAnsi="Arial"/>
          <w:sz w:val="18"/>
          <w:szCs w:val="18"/>
          <w:color w:val="auto"/>
        </w:rPr>
      </w:pPr>
    </w:p>
    <w:p>
      <w:pPr>
        <w:ind w:left="-921" w:right="40" w:firstLine="921"/>
        <w:spacing w:after="0" w:line="257" w:lineRule="auto"/>
        <w:tabs>
          <w:tab w:leader="none" w:pos="21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Opinions of Counsel to the Company. </w:t>
      </w:r>
      <w:r>
        <w:rPr>
          <w:rFonts w:ascii="Arial" w:cs="Arial" w:eastAsia="Arial" w:hAnsi="Arial"/>
          <w:sz w:val="18"/>
          <w:szCs w:val="18"/>
          <w:color w:val="auto"/>
        </w:rPr>
        <w:t>The Representatives shall have received the opinions and letters, each dated the Closing Date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the Option Shares, the Option Closing Date, reasonably satisfactory in form and substance to counsel for the Underwriters, from Fenwick &amp; West LLP, counsel to the Company, to the effect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Leydig, Voit &amp; Mayer, Ltd., intellectual property counsel to the Company, to the effect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Hyman, Phelps &amp; McNamara P.C., regulatory counsel to the Company, to the effect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Griffith Hack, local regulatory counsel to the Company,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921" w:right="60" w:firstLine="921"/>
        <w:spacing w:after="0" w:line="264" w:lineRule="auto"/>
        <w:tabs>
          <w:tab w:leader="none" w:pos="24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to the Underwriters. </w:t>
      </w:r>
      <w:r>
        <w:rPr>
          <w:rFonts w:ascii="Arial" w:cs="Arial" w:eastAsia="Arial" w:hAnsi="Arial"/>
          <w:sz w:val="18"/>
          <w:szCs w:val="18"/>
          <w:color w:val="auto"/>
        </w:rPr>
        <w:t>The Representatives shall have received an opinion, dated the Closing Date and the Option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from Cooley LLP, counsel to the Underwriters, with respect to the Registration Statement, the Prospectus and this Agreement, which opinion shall be satisfactory in all respects to the Representatives.</w:t>
      </w:r>
    </w:p>
    <w:p>
      <w:pPr>
        <w:spacing w:after="0" w:line="181" w:lineRule="exact"/>
        <w:rPr>
          <w:rFonts w:ascii="Arial" w:cs="Arial" w:eastAsia="Arial" w:hAnsi="Arial"/>
          <w:sz w:val="18"/>
          <w:szCs w:val="18"/>
          <w:color w:val="auto"/>
        </w:rPr>
      </w:pPr>
    </w:p>
    <w:p>
      <w:pPr>
        <w:ind w:left="-921" w:firstLine="921"/>
        <w:spacing w:after="0" w:line="270" w:lineRule="auto"/>
        <w:tabs>
          <w:tab w:leader="none" w:pos="247"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Accountants’ Comfort Letter. </w:t>
      </w:r>
      <w:r>
        <w:rPr>
          <w:rFonts w:ascii="Arial" w:cs="Arial" w:eastAsia="Arial" w:hAnsi="Arial"/>
          <w:sz w:val="17"/>
          <w:szCs w:val="17"/>
          <w:color w:val="auto"/>
        </w:rPr>
        <w:t>On the date of the Prospectus, the Representatives shall have received from the Accountants a letter dated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its delivery, addressed to the Representatives,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Prospectus. At the Closing Date and, as to the Option Shares, the Option Closing Date, the Representatives shall have received from the Accountants a letter dated such date, in form and substance reasonably satisfactory to the Representatives, to the effect that they reaffirm the statements made in the letter furnished by them pursuant to the preceding sentence and have conducted additional procedures with respect to certain financial figures included in the Prospectus, except that the specified date referred to therein for the carrying out of procedures shall be no more than three business days prior to the Closing Date or the Option Closing Date, as applicable.</w:t>
      </w:r>
    </w:p>
    <w:p>
      <w:pPr>
        <w:spacing w:after="0" w:line="181" w:lineRule="exact"/>
        <w:rPr>
          <w:rFonts w:ascii="Arial" w:cs="Arial" w:eastAsia="Arial" w:hAnsi="Arial"/>
          <w:sz w:val="17"/>
          <w:szCs w:val="17"/>
          <w:color w:val="auto"/>
        </w:rPr>
      </w:pPr>
    </w:p>
    <w:p>
      <w:pPr>
        <w:ind w:left="-921" w:right="420" w:firstLine="921"/>
        <w:spacing w:after="0" w:line="264" w:lineRule="auto"/>
        <w:tabs>
          <w:tab w:leader="none" w:pos="20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Chief Financial Officer Certificate. </w:t>
      </w:r>
      <w:r>
        <w:rPr>
          <w:rFonts w:ascii="Arial" w:cs="Arial" w:eastAsia="Arial" w:hAnsi="Arial"/>
          <w:sz w:val="18"/>
          <w:szCs w:val="18"/>
          <w:color w:val="auto"/>
        </w:rPr>
        <w:t>At the time of execution of this Agreement and at the Closing Date and, as to the Option Shares,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Closing Date, there shall be furnished to the Representatives an accurate certificate, dated the date of its delivery, signed by the Chief Financial Officer of the Company, in form and substance satisfactory to the Representatives.</w:t>
      </w:r>
    </w:p>
    <w:p>
      <w:pPr>
        <w:spacing w:after="0" w:line="113" w:lineRule="exact"/>
        <w:rPr>
          <w:rFonts w:ascii="Arial" w:cs="Arial" w:eastAsia="Arial" w:hAnsi="Arial"/>
          <w:sz w:val="18"/>
          <w:szCs w:val="18"/>
          <w:color w:val="auto"/>
        </w:rPr>
      </w:pPr>
    </w:p>
    <w:p>
      <w:pPr>
        <w:ind w:left="4699" w:hanging="101"/>
        <w:spacing w:after="0"/>
        <w:tabs>
          <w:tab w:leader="none" w:pos="469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439"/>
          </w:cols>
          <w:pgMar w:left="1161" w:top="274" w:right="299" w:bottom="1440" w:gutter="0" w:footer="0" w:header="0"/>
        </w:sectPr>
      </w:pPr>
    </w:p>
    <w:bookmarkStart w:id="252" w:name="page253"/>
    <w:bookmarkEnd w:id="252"/>
    <w:p>
      <w:pPr>
        <w:ind w:right="340" w:firstLine="921"/>
        <w:spacing w:after="0" w:line="264" w:lineRule="auto"/>
        <w:tabs>
          <w:tab w:leader="none" w:pos="112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Officers’ Certificates. </w:t>
      </w:r>
      <w:r>
        <w:rPr>
          <w:rFonts w:ascii="Arial" w:cs="Arial" w:eastAsia="Arial" w:hAnsi="Arial"/>
          <w:sz w:val="18"/>
          <w:szCs w:val="18"/>
          <w:color w:val="auto"/>
        </w:rPr>
        <w:t>At the Closing Date and, as to the Option Shares, the Option Closing Date, there shall be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 accurate certificate, dated the date of its delivery, signed by each of the Chief Executive Officer and the Chief Financial Officer of the Company, in form and substance satisfactory to the Representatives, to the effect that:</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each signer of such certificate has carefully examined the Registration Statement and the Prospectus;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there has not been a Material Adverse Change;</w:t>
      </w:r>
    </w:p>
    <w:p>
      <w:pPr>
        <w:spacing w:after="0" w:line="225" w:lineRule="exact"/>
        <w:rPr>
          <w:rFonts w:ascii="Arial" w:cs="Arial" w:eastAsia="Arial" w:hAnsi="Arial"/>
          <w:sz w:val="18"/>
          <w:szCs w:val="18"/>
          <w:color w:val="auto"/>
        </w:rPr>
      </w:pPr>
    </w:p>
    <w:p>
      <w:pPr>
        <w:ind w:right="20" w:firstLine="1492"/>
        <w:spacing w:after="0" w:line="277" w:lineRule="auto"/>
        <w:tabs>
          <w:tab w:leader="none" w:pos="179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or examination for that purpose have been instituted or, to the knowledge of such signer, threatened;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Company contained in this Agreement are, at the time such certificate is delivered,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true and correct; and</w:t>
      </w:r>
    </w:p>
    <w:p>
      <w:pPr>
        <w:spacing w:after="0" w:line="210" w:lineRule="exact"/>
        <w:rPr>
          <w:rFonts w:ascii="Arial" w:cs="Arial" w:eastAsia="Arial" w:hAnsi="Arial"/>
          <w:sz w:val="16"/>
          <w:szCs w:val="16"/>
          <w:color w:val="auto"/>
        </w:rPr>
      </w:pPr>
    </w:p>
    <w:p>
      <w:pPr>
        <w:ind w:firstLine="1492"/>
        <w:spacing w:after="0" w:line="264" w:lineRule="auto"/>
        <w:tabs>
          <w:tab w:leader="none" w:pos="173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each of the covenants required herein to be performed by the Company on or prior to the date of such certificate has been duly, timely and fully performed and each condition herein required to be complied with by the Company on or prior to the delivery of such certificate has been duly, timely and fully complied with.</w:t>
      </w:r>
    </w:p>
    <w:p>
      <w:pPr>
        <w:spacing w:after="0" w:line="181" w:lineRule="exact"/>
        <w:rPr>
          <w:rFonts w:ascii="Arial" w:cs="Arial" w:eastAsia="Arial" w:hAnsi="Arial"/>
          <w:sz w:val="18"/>
          <w:szCs w:val="18"/>
          <w:color w:val="auto"/>
        </w:rPr>
      </w:pPr>
    </w:p>
    <w:p>
      <w:pPr>
        <w:ind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At the date of this Agreement, the Representatives shall have received the executed “lock-up” agreements referred to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4(o) hereof from the Company’s officers, directors and beneficial owners (including stockholders, option holders and other equityholders) owning in the aggregate substantially all of the Company’s fully diluted capital stock.</w:t>
      </w:r>
    </w:p>
    <w:p>
      <w:pPr>
        <w:spacing w:after="0" w:line="181" w:lineRule="exact"/>
        <w:rPr>
          <w:rFonts w:ascii="Arial" w:cs="Arial" w:eastAsia="Arial" w:hAnsi="Arial"/>
          <w:sz w:val="18"/>
          <w:szCs w:val="18"/>
          <w:color w:val="auto"/>
        </w:rPr>
      </w:pPr>
    </w:p>
    <w:p>
      <w:pPr>
        <w:ind w:right="100" w:firstLine="921"/>
        <w:spacing w:after="0" w:line="286" w:lineRule="auto"/>
        <w:tabs>
          <w:tab w:leader="none" w:pos="112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Blue Sky Laws. </w:t>
      </w:r>
      <w:r>
        <w:rPr>
          <w:rFonts w:ascii="Arial" w:cs="Arial" w:eastAsia="Arial" w:hAnsi="Arial"/>
          <w:sz w:val="17"/>
          <w:szCs w:val="17"/>
          <w:color w:val="auto"/>
        </w:rPr>
        <w:t>The Shares shall be qualified for sale in such states and jurisdictions as the Representatives may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including, without limitation, the provinces and territories of Canada and other jurisdictions outside the United States, and each such qualification shall be in effect and not subject to any stop order or other proceeding on the Closing Date and the Option Closing Date.</w:t>
      </w:r>
    </w:p>
    <w:p>
      <w:pPr>
        <w:spacing w:after="0" w:line="165" w:lineRule="exact"/>
        <w:rPr>
          <w:rFonts w:ascii="Arial" w:cs="Arial" w:eastAsia="Arial" w:hAnsi="Arial"/>
          <w:sz w:val="17"/>
          <w:szCs w:val="17"/>
          <w:color w:val="auto"/>
        </w:rPr>
      </w:pPr>
    </w:p>
    <w:p>
      <w:pPr>
        <w:ind w:right="40" w:firstLine="921"/>
        <w:spacing w:after="0" w:line="277" w:lineRule="auto"/>
        <w:tabs>
          <w:tab w:leader="none" w:pos="121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The Shares shall have been duly authorized for listing or quotation on the NASDAQ Global Market, subject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w:t>
      </w:r>
    </w:p>
    <w:p>
      <w:pPr>
        <w:spacing w:after="0" w:line="170" w:lineRule="exact"/>
        <w:rPr>
          <w:rFonts w:ascii="Arial" w:cs="Arial" w:eastAsia="Arial" w:hAnsi="Arial"/>
          <w:sz w:val="18"/>
          <w:szCs w:val="18"/>
          <w:color w:val="auto"/>
        </w:rPr>
      </w:pPr>
    </w:p>
    <w:p>
      <w:pPr>
        <w:ind w:right="120" w:firstLine="921"/>
        <w:spacing w:after="0" w:line="259"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At the Closing Date and the Option Closing Date, the Company shall have furnished to the Representatives satisfactory</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the good standing of the Company and, if applicable, its subsidiary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Company Certificates. </w:t>
      </w:r>
      <w:r>
        <w:rPr>
          <w:rFonts w:ascii="Arial" w:cs="Arial" w:eastAsia="Arial" w:hAnsi="Arial"/>
          <w:sz w:val="18"/>
          <w:szCs w:val="18"/>
          <w:color w:val="auto"/>
        </w:rPr>
        <w:t>The Company shall have furnished to the Representatives such certificates, in addition to those specifically mentioned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as the Representatives may have reasonably requested as to the accuracy and completeness at the Closing Date and the Option Closing Date of any statement in the Registration Statement, the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80"/>
          </w:cols>
          <w:pgMar w:left="240" w:top="274" w:right="279" w:bottom="1440" w:gutter="0" w:footer="0" w:header="0"/>
        </w:sectPr>
      </w:pPr>
    </w:p>
    <w:bookmarkStart w:id="253" w:name="page254"/>
    <w:bookmarkEnd w:id="25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or any Written Testing-the-Waters Communication, as to the accuracy at the Closing Date and the Option Closing Date of the representations and warranties of the Company herein, as to the performance by the Company of its obligations hereunder, or as to the fulfillment of the conditions concurrent and precedent to the obligations hereunder of the Underwriters.</w:t>
      </w:r>
    </w:p>
    <w:p>
      <w:pPr>
        <w:spacing w:after="0" w:line="181" w:lineRule="exact"/>
        <w:rPr>
          <w:sz w:val="20"/>
          <w:szCs w:val="20"/>
          <w:color w:val="auto"/>
        </w:rPr>
      </w:pPr>
    </w:p>
    <w:p>
      <w:pPr>
        <w:ind w:right="180" w:firstLine="921"/>
        <w:spacing w:after="0" w:line="277" w:lineRule="auto"/>
        <w:tabs>
          <w:tab w:leader="none" w:pos="1168"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Shares.</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any of the conditions hereinabove provided for in this Section 5 shall not have been fulfilled when and as required by this Agreement to be fulfilled, the obligations of the Underwriters hereunder may be terminated by the Representatives by notifying the Company of such termination in writing at or prior to the Closing Date or the Option Closing Date, as the case may be</w:t>
      </w:r>
    </w:p>
    <w:p>
      <w:pPr>
        <w:spacing w:after="0" w:line="289" w:lineRule="exact"/>
        <w:rPr>
          <w:sz w:val="20"/>
          <w:szCs w:val="20"/>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5" w:lineRule="auto"/>
        <w:tabs>
          <w:tab w:leader="none" w:pos="1157"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will indemnify and hold harmless each Underwriter, its partners, members,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employees, agents, affiliates and each person, if any, who controls such Underwriter within the meaning of Section 15 of the Act or Section 20 of the Exchange Act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any amendment thereto) , including any information deemed to be a part thereof pursuant to Rules 430A, 430B or 430C, any preliminary prospectus, any preliminary prospectus supplement, any Issuer Free Writing Prospectus, the Prospectus or any Written Testing-the-Waters Communication, any materials or information provided to investors by, or with the approval of, the Company in connection with the marketing of the offering of the Shares, including any roadshow or investor presentations made to investors by the Company (whether in person or electronically) or arise out of or are based upon the omission or alleged omission of a material fact required to be stated therein or necessary to make the statements therein not misleading, and will reimburse each Indemnified Party for any documented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specifically for use therein, it being understood and agreed that the only such information furnished by any Underwriter consists of the Underwriters’ Information. This indemnity agreement will be in addition to any liability that the Company might otherwise have.</w:t>
      </w:r>
    </w:p>
    <w:p>
      <w:pPr>
        <w:spacing w:after="0" w:line="105" w:lineRule="exact"/>
        <w:rPr>
          <w:rFonts w:ascii="Arial" w:cs="Arial" w:eastAsia="Arial" w:hAnsi="Arial"/>
          <w:sz w:val="16"/>
          <w:szCs w:val="16"/>
          <w:color w:val="auto"/>
        </w:rPr>
      </w:pPr>
    </w:p>
    <w:p>
      <w:pPr>
        <w:ind w:left="5620" w:hanging="101"/>
        <w:spacing w:after="0"/>
        <w:tabs>
          <w:tab w:leader="none" w:pos="562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80"/>
          </w:cols>
          <w:pgMar w:left="240" w:top="274" w:right="279" w:bottom="1440" w:gutter="0" w:footer="0" w:header="0"/>
        </w:sectPr>
      </w:pPr>
    </w:p>
    <w:bookmarkStart w:id="254" w:name="page255"/>
    <w:bookmarkEnd w:id="254"/>
    <w:p>
      <w:pPr>
        <w:ind w:left="-921" w:firstLine="921"/>
        <w:spacing w:after="0" w:line="268" w:lineRule="auto"/>
        <w:tabs>
          <w:tab w:leader="none" w:pos="247"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Indemnification of the Company. </w:t>
      </w:r>
      <w:r>
        <w:rPr>
          <w:rFonts w:ascii="Arial" w:cs="Arial" w:eastAsia="Arial" w:hAnsi="Arial"/>
          <w:sz w:val="17"/>
          <w:szCs w:val="17"/>
          <w:color w:val="auto"/>
        </w:rPr>
        <w:t>Each Underwriter will severally and not jointly indemnify and hold harmless the Company,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each of its officers who signs a Registration Statement and each person, if any, who controls the Company within the meaning of Section 15 of the Act or Section 20 of the Exchange Act (each, an “</w:t>
      </w:r>
      <w:r>
        <w:rPr>
          <w:rFonts w:ascii="Arial" w:cs="Arial" w:eastAsia="Arial" w:hAnsi="Arial"/>
          <w:sz w:val="17"/>
          <w:szCs w:val="17"/>
          <w:u w:val="single" w:color="auto"/>
          <w:color w:val="auto"/>
        </w:rPr>
        <w:t>Underwriter Indemnified Party</w:t>
      </w:r>
      <w:r>
        <w:rPr>
          <w:rFonts w:ascii="Arial" w:cs="Arial" w:eastAsia="Arial" w:hAnsi="Arial"/>
          <w:sz w:val="17"/>
          <w:szCs w:val="17"/>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any amendment thereto) , including any information deemed to be a part thereof pursuant to Rules 430A, 430B or 430C, any preliminary prospectus, any preliminary prospectus supplement, any Issuer Free Writing Prospectus, the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Underwriters’ Information. This indemnity will be in addition to any liability that each Underwriter might otherwise have.</w:t>
      </w:r>
    </w:p>
    <w:p>
      <w:pPr>
        <w:spacing w:after="0" w:line="180" w:lineRule="exact"/>
        <w:rPr>
          <w:rFonts w:ascii="Arial" w:cs="Arial" w:eastAsia="Arial" w:hAnsi="Arial"/>
          <w:sz w:val="17"/>
          <w:szCs w:val="17"/>
          <w:color w:val="auto"/>
        </w:rPr>
      </w:pPr>
    </w:p>
    <w:p>
      <w:pPr>
        <w:ind w:left="-921" w:right="60" w:firstLine="921"/>
        <w:spacing w:after="0" w:line="286" w:lineRule="auto"/>
        <w:tabs>
          <w:tab w:leader="none" w:pos="236"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Actions against Parties; Notification. </w:t>
      </w:r>
      <w:r>
        <w:rPr>
          <w:rFonts w:ascii="Arial" w:cs="Arial" w:eastAsia="Arial" w:hAnsi="Arial"/>
          <w:sz w:val="16"/>
          <w:szCs w:val="16"/>
          <w:color w:val="auto"/>
        </w:rPr>
        <w:t>Promptly after receipt by an indemnified party under this Section 6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such indemnified party will, if a claim in respect thereof is to be made against an indemnifying party under Section 6(a) or 6(b) above, notify the indemnifying party of the commencement thereof; but the failure to notify the indemnifying party shall not relieve it from any liability that it may have under Section 6(a) or 6(b)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Section 6(a) or 6(b)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6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w:t>
      </w:r>
    </w:p>
    <w:p>
      <w:pPr>
        <w:spacing w:after="0" w:line="107" w:lineRule="exact"/>
        <w:rPr>
          <w:rFonts w:ascii="Arial" w:cs="Arial" w:eastAsia="Arial" w:hAnsi="Arial"/>
          <w:sz w:val="16"/>
          <w:szCs w:val="16"/>
          <w:color w:val="auto"/>
        </w:rPr>
      </w:pPr>
    </w:p>
    <w:p>
      <w:pPr>
        <w:ind w:left="4699" w:hanging="101"/>
        <w:spacing w:after="0"/>
        <w:tabs>
          <w:tab w:leader="none" w:pos="469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479"/>
          </w:cols>
          <w:pgMar w:left="1161" w:top="274" w:right="259" w:bottom="1440" w:gutter="0" w:footer="0" w:header="0"/>
        </w:sectPr>
      </w:pPr>
    </w:p>
    <w:bookmarkStart w:id="255" w:name="page256"/>
    <w:bookmarkEnd w:id="255"/>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70" w:lineRule="exact"/>
        <w:rPr>
          <w:sz w:val="20"/>
          <w:szCs w:val="20"/>
          <w:color w:val="auto"/>
        </w:rPr>
      </w:pPr>
    </w:p>
    <w:p>
      <w:pPr>
        <w:ind w:firstLine="921"/>
        <w:spacing w:after="0" w:line="284" w:lineRule="auto"/>
        <w:tabs>
          <w:tab w:leader="none" w:pos="1168"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this Section 6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6(a) or 6(b) above, then each indemnifying party shall contribute to the amount paid or payable by such indemnified party as a result of the losses, claims, damages or liabilities referred to in Section 6(a) or 6(b) above (i) in such proportion as is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Section 6(d) shall be deemed to include any legal or other expenses reasonably incurred by such indemnified party in connection with investigating or defending any action or claim which is the subject of this Section 6(d). Notwithstanding the provisions of this Section 6(d),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Section 6(d) to contribute are several in proportion to their respective underwriting obligations and not joint. The Company and the Underwriters agree that it would not be just and equitable if contribution pursuant to this Section 6(d) were determined by pro rata allocation (even if the Underwriters were treated as one entity for such purpose) or by any other method of allocation which does not take account of the equitable considerations referred to in this Section 6(d)..</w:t>
      </w:r>
    </w:p>
    <w:p>
      <w:pPr>
        <w:spacing w:after="0" w:line="181" w:lineRule="exact"/>
        <w:rPr>
          <w:rFonts w:ascii="Arial" w:cs="Arial" w:eastAsia="Arial" w:hAnsi="Arial"/>
          <w:sz w:val="16"/>
          <w:szCs w:val="16"/>
          <w:color w:val="auto"/>
        </w:rPr>
      </w:pPr>
    </w:p>
    <w:p>
      <w:pPr>
        <w:ind w:right="240" w:firstLine="921"/>
        <w:spacing w:after="0" w:line="291" w:lineRule="auto"/>
        <w:tabs>
          <w:tab w:leader="none" w:pos="1157"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indemnity and contribution agreements contained in this Section 6 and the representations and warranties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this Agreement shall remain operative and in full force and effect regardless of (i) any investigation made by or on behalf of the Underwriters,</w:t>
      </w:r>
    </w:p>
    <w:p>
      <w:pPr>
        <w:ind w:left="280" w:hanging="272"/>
        <w:spacing w:after="0"/>
        <w:tabs>
          <w:tab w:leader="none" w:pos="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acceptance of any of the Shares and payment therefor or (iii) any termination of this Agreement.</w:t>
      </w:r>
    </w:p>
    <w:p>
      <w:pPr>
        <w:spacing w:after="0" w:line="210" w:lineRule="exact"/>
        <w:rPr>
          <w:rFonts w:ascii="Arial" w:cs="Arial" w:eastAsia="Arial" w:hAnsi="Arial"/>
          <w:sz w:val="18"/>
          <w:szCs w:val="18"/>
          <w:color w:val="auto"/>
        </w:rPr>
      </w:pPr>
    </w:p>
    <w:p>
      <w:pPr>
        <w:ind w:right="340" w:firstLine="464"/>
        <w:spacing w:after="0" w:line="277" w:lineRule="auto"/>
        <w:tabs>
          <w:tab w:leader="none" w:pos="636"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obligations of the several Underwriters under this Agreement may be terminated at any time prior to the Closing Date (or, with respect to the Option Shares,</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3"/>
          <w:numId w:val="180"/>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74" w:right="239" w:bottom="1440" w:gutter="0" w:footer="0" w:header="0"/>
        </w:sectPr>
      </w:pPr>
    </w:p>
    <w:bookmarkStart w:id="256" w:name="page257"/>
    <w:bookmarkEnd w:id="25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prior to the Option Closing Date), by notice to the Company from the Representatives, without liability on the part of any Underwriter to the Company, if, prior to delivery and payment for the Firm Shares (or the Option Shares, as the case may be), in the sole judgment of the Representatives, any of the following shall occur:</w:t>
      </w:r>
    </w:p>
    <w:p>
      <w:pPr>
        <w:spacing w:after="0" w:line="181" w:lineRule="exact"/>
        <w:rPr>
          <w:sz w:val="20"/>
          <w:szCs w:val="20"/>
          <w:color w:val="auto"/>
        </w:rPr>
      </w:pPr>
    </w:p>
    <w:p>
      <w:pPr>
        <w:ind w:right="680" w:firstLine="921"/>
        <w:spacing w:after="0" w:line="277" w:lineRule="auto"/>
        <w:tabs>
          <w:tab w:leader="none" w:pos="11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trading or quotation in any of the equity securities of the Company shall have been suspended or limited by the Commission or by an exchange or otherwise;</w:t>
      </w:r>
    </w:p>
    <w:p>
      <w:pPr>
        <w:spacing w:after="0" w:line="170" w:lineRule="exact"/>
        <w:rPr>
          <w:rFonts w:ascii="Arial" w:cs="Arial" w:eastAsia="Arial" w:hAnsi="Arial"/>
          <w:sz w:val="18"/>
          <w:szCs w:val="18"/>
          <w:color w:val="auto"/>
        </w:rPr>
      </w:pPr>
    </w:p>
    <w:p>
      <w:pPr>
        <w:ind w:right="40" w:firstLine="921"/>
        <w:spacing w:after="0" w:line="259" w:lineRule="auto"/>
        <w:tabs>
          <w:tab w:leader="none" w:pos="116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the NASDAQ Global Market or the NASDAQ Global Select Market shall have been suspended or limited or minimum or maximum prices shall have been generally established on such exchange, or additional material governmental restrictions, not in force on the date of this Agreement, shall have been imposed upon trading in securities generally by such exchange or by order of the Commission or any court or other governmental authority;</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general banking moratorium shall have been declared by any of Federal, New York or Delaware authorities;</w:t>
      </w:r>
    </w:p>
    <w:p>
      <w:pPr>
        <w:spacing w:after="0" w:line="225" w:lineRule="exact"/>
        <w:rPr>
          <w:rFonts w:ascii="Arial" w:cs="Arial" w:eastAsia="Arial" w:hAnsi="Arial"/>
          <w:sz w:val="18"/>
          <w:szCs w:val="18"/>
          <w:color w:val="auto"/>
        </w:rPr>
      </w:pPr>
    </w:p>
    <w:p>
      <w:pPr>
        <w:ind w:firstLine="921"/>
        <w:spacing w:after="0" w:line="297" w:lineRule="auto"/>
        <w:tabs>
          <w:tab w:leader="none" w:pos="116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United States shall have become engaged in new hostilities, there shall have been an escalation in hostilities involving the United States or there shall have been a declaration of a national emergency or war by the United States or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shall have occurred, the effect of any of which is such as to make it impracticable or inadvisable to market the Shares on the terms and in the manner contemplated by the Prospectus;</w:t>
      </w:r>
    </w:p>
    <w:p>
      <w:pPr>
        <w:spacing w:after="0" w:line="158" w:lineRule="exact"/>
        <w:rPr>
          <w:rFonts w:ascii="Arial" w:cs="Arial" w:eastAsia="Arial" w:hAnsi="Arial"/>
          <w:sz w:val="16"/>
          <w:szCs w:val="16"/>
          <w:color w:val="auto"/>
        </w:rPr>
      </w:pPr>
    </w:p>
    <w:p>
      <w:pPr>
        <w:jc w:val="both"/>
        <w:ind w:right="20" w:firstLine="921"/>
        <w:spacing w:after="0" w:line="264" w:lineRule="auto"/>
        <w:tabs>
          <w:tab w:leader="none" w:pos="11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have sustained a loss material or substantial to the Company by reason of flood, fire, accident, hurricane, earthquake, theft, sabotage, or other calamity or malicious act, whether or not such loss shall have been insured, the effect of any of which is such as to make it impracticable or inadvisable to market the Shares on the terms and in the manner contemplated by the Prospectus; or</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there shall have been a Material Adverse Change.</w:t>
      </w:r>
    </w:p>
    <w:p>
      <w:pPr>
        <w:spacing w:after="0" w:line="225" w:lineRule="exact"/>
        <w:rPr>
          <w:rFonts w:ascii="Arial" w:cs="Arial" w:eastAsia="Arial" w:hAnsi="Arial"/>
          <w:sz w:val="18"/>
          <w:szCs w:val="18"/>
          <w:color w:val="auto"/>
        </w:rPr>
      </w:pPr>
    </w:p>
    <w:p>
      <w:pPr>
        <w:ind w:right="120" w:firstLine="464"/>
        <w:spacing w:after="0" w:line="291" w:lineRule="auto"/>
        <w:tabs>
          <w:tab w:leader="none" w:pos="636"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Default of Underwriters</w:t>
      </w:r>
      <w:r>
        <w:rPr>
          <w:rFonts w:ascii="Arial" w:cs="Arial" w:eastAsia="Arial" w:hAnsi="Arial"/>
          <w:sz w:val="16"/>
          <w:szCs w:val="16"/>
          <w:color w:val="auto"/>
        </w:rPr>
        <w:t>. If any Underwriter or Underwriters default in their obligations to purchase Shares hereunder on either the Closing Date or any Option Closing Date and the aggregate number of shares of Shares that such defaulting Underwriter or Underwriters agreed but failed to purchase does not exceed 10% of the total number of shares of Shares that the Underwriters are obligated to purchase on such Closing Date, the Representatives may make arrangements satisfactory to the Company for the purchase of such Shares by other persons, including any of the Underwriters, but if no such arrangements are made by such Closing Date, the non-defaulting Underwriters shall be obligated severally, in proportion to their respective commitments hereunder, to purchase the Shares that such defaulting Underwriters agreed but failed to purchase on such Closing Date. If any Underwriter or Underwriters so default and the aggregate number of Shares with respect to which such default or defaults occur exceeds 10% of the total</w:t>
      </w:r>
    </w:p>
    <w:p>
      <w:pPr>
        <w:spacing w:after="0" w:line="99" w:lineRule="exact"/>
        <w:rPr>
          <w:rFonts w:ascii="Arial" w:cs="Arial" w:eastAsia="Arial" w:hAnsi="Arial"/>
          <w:sz w:val="16"/>
          <w:szCs w:val="16"/>
          <w:color w:val="auto"/>
        </w:rPr>
      </w:pPr>
    </w:p>
    <w:p>
      <w:pPr>
        <w:ind w:left="5620" w:hanging="101"/>
        <w:spacing w:after="0"/>
        <w:tabs>
          <w:tab w:leader="none" w:pos="562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74" w:right="239" w:bottom="1440" w:gutter="0" w:footer="0" w:header="0"/>
        </w:sectPr>
      </w:pPr>
    </w:p>
    <w:bookmarkStart w:id="257" w:name="page258"/>
    <w:bookmarkEnd w:id="2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that the Underwriters are obligated to purchase on such Closing Date and arrangements satisfactory to the Representatives and the Company for the purchase of such Shares by other persons are not made within 48 hours after such default, this Agreement will terminate without liability on the part of any non-defaulting Underwriter or the Company, except as provided in Section 4(l) and 9(c) (provided that if such default occurs with respect to Option Shares after the Closing Date, this Agreement will not terminate as to the Firm Shares or any Option Shares purchased prior to such termination). As used in this Agreement, the term “Underwriter” includes any person substituted for an Underwriter under this Section. Nothing herein will relieve a defaulting Underwriter from liability for its default.</w:t>
      </w:r>
    </w:p>
    <w:p>
      <w:pPr>
        <w:spacing w:after="0" w:line="301"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55" w:lineRule="auto"/>
        <w:tabs>
          <w:tab w:leader="none" w:pos="1157"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Notice given pursuant to any of the provisions of this Agreement shall be in writing and, unless otherwise specified, shall be mailed,</w:t>
      </w:r>
      <w:r>
        <w:rPr>
          <w:rFonts w:ascii="Arial" w:cs="Arial" w:eastAsia="Arial" w:hAnsi="Arial"/>
          <w:sz w:val="18"/>
          <w:szCs w:val="18"/>
          <w:i w:val="1"/>
          <w:iCs w:val="1"/>
          <w:color w:val="auto"/>
        </w:rPr>
        <w:t xml:space="preserve"> </w:t>
      </w:r>
      <w:r>
        <w:rPr>
          <w:rFonts w:ascii="Arial" w:cs="Arial" w:eastAsia="Arial" w:hAnsi="Arial"/>
          <w:sz w:val="18"/>
          <w:szCs w:val="18"/>
          <w:color w:val="auto"/>
        </w:rPr>
        <w:t>hand delivered or telecopied (a) if to the Company, at the office of the Company, 10421 Pacific Center Court, Suite 200, San Diego, California 92121, Attention: President or (b) if to the Underwriters, c/o Credit Suisse Securities (USA) LLC, Eleven Madison Avenue, New York, N.Y. 10010-3629, Attention: LCD-IBD and c/o Stifel, Nicolaus &amp; Company, Incorporated, One Montgomery Street, Suite 3700, San Francisco, California 94104; Attention: Legal Department. Any such notice shall be effective only upon receipt. Any notice under Section 6 hereof may be made by telecopy or telephone, but if so made shall be subsequently confirmed in writing.</w:t>
      </w:r>
    </w:p>
    <w:p>
      <w:pPr>
        <w:spacing w:after="0" w:line="193" w:lineRule="exact"/>
        <w:rPr>
          <w:rFonts w:ascii="Arial" w:cs="Arial" w:eastAsia="Arial" w:hAnsi="Arial"/>
          <w:sz w:val="18"/>
          <w:szCs w:val="18"/>
          <w:color w:val="auto"/>
        </w:rPr>
      </w:pPr>
    </w:p>
    <w:p>
      <w:pPr>
        <w:ind w:right="140" w:firstLine="921"/>
        <w:spacing w:after="0" w:line="302" w:lineRule="auto"/>
        <w:tabs>
          <w:tab w:leader="none" w:pos="1168"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No Third Party Beneficiaries; Successors. </w:t>
      </w:r>
      <w:r>
        <w:rPr>
          <w:rFonts w:ascii="Arial" w:cs="Arial" w:eastAsia="Arial" w:hAnsi="Arial"/>
          <w:sz w:val="16"/>
          <w:szCs w:val="16"/>
          <w:color w:val="auto"/>
        </w:rPr>
        <w:t>This Agreement has been and is made solely for the benefit of and will inure to and be binding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several Underwriters, the Company and the controlling persons, directors, officers, employees, counsel and agents referred to in Section 6 hereof, and their respective successors and assigns, and no other person shall acquire or have any right under or by virtue of this Agreement. The term “successors and assigns” as used in this Agreement shall not include a purchaser of Shares from the Underwriters in his, her or its capacity as such a purchaser.</w:t>
      </w:r>
    </w:p>
    <w:p>
      <w:pPr>
        <w:spacing w:after="0" w:line="154" w:lineRule="exact"/>
        <w:rPr>
          <w:rFonts w:ascii="Arial" w:cs="Arial" w:eastAsia="Arial" w:hAnsi="Arial"/>
          <w:sz w:val="16"/>
          <w:szCs w:val="16"/>
          <w:color w:val="auto"/>
        </w:rPr>
      </w:pPr>
    </w:p>
    <w:p>
      <w:pPr>
        <w:ind w:right="20" w:firstLine="921"/>
        <w:spacing w:after="0" w:line="286" w:lineRule="auto"/>
        <w:tabs>
          <w:tab w:leader="none" w:pos="1157" w:val="left"/>
        </w:tabs>
        <w:numPr>
          <w:ilvl w:val="1"/>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Survival of Representations and Warranties. </w:t>
      </w:r>
      <w:r>
        <w:rPr>
          <w:rFonts w:ascii="Arial" w:cs="Arial" w:eastAsia="Arial" w:hAnsi="Arial"/>
          <w:sz w:val="17"/>
          <w:szCs w:val="17"/>
          <w:color w:val="auto"/>
        </w:rPr>
        <w:t>All representations, warranties and agreements of the Company or its officers contained herein or</w:t>
      </w:r>
      <w:r>
        <w:rPr>
          <w:rFonts w:ascii="Arial" w:cs="Arial" w:eastAsia="Arial" w:hAnsi="Arial"/>
          <w:sz w:val="17"/>
          <w:szCs w:val="17"/>
          <w:i w:val="1"/>
          <w:iCs w:val="1"/>
          <w:color w:val="auto"/>
        </w:rPr>
        <w:t xml:space="preserve"> </w:t>
      </w:r>
      <w:r>
        <w:rPr>
          <w:rFonts w:ascii="Arial" w:cs="Arial" w:eastAsia="Arial" w:hAnsi="Arial"/>
          <w:sz w:val="17"/>
          <w:szCs w:val="17"/>
          <w:color w:val="auto"/>
        </w:rPr>
        <w:t>in certificates or other instruments delivered pursuant hereto shall remain operative and in full force and effect regardless of any investigation made by or on behalf of any Underwriter or any of their controlling persons and shall survive delivery of and payment for the Shares hereunder.</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920" w:right="80" w:firstLine="421"/>
        <w:spacing w:after="0" w:line="259" w:lineRule="auto"/>
        <w:tabs>
          <w:tab w:leader="none" w:pos="1555" w:val="left"/>
        </w:tabs>
        <w:numPr>
          <w:ilvl w:val="2"/>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No Other Relationship. </w:t>
      </w:r>
      <w:r>
        <w:rPr>
          <w:rFonts w:ascii="Arial" w:cs="Arial" w:eastAsia="Arial" w:hAnsi="Arial"/>
          <w:sz w:val="18"/>
          <w:szCs w:val="18"/>
          <w:color w:val="auto"/>
        </w:rPr>
        <w:t>The Underwriters have been retained solely to act as underwriters in connection with the sale of the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no fiduciary, advisory or agency relationship between the Company, on the one hand, and the </w:t>
      </w:r>
      <w:r>
        <w:rPr>
          <w:rFonts w:ascii="Arial" w:cs="Arial" w:eastAsia="Arial" w:hAnsi="Arial"/>
          <w:sz w:val="18"/>
          <w:szCs w:val="18"/>
          <w:u w:val="single" w:color="auto"/>
          <w:color w:val="auto"/>
        </w:rPr>
        <w:t>Underwriters</w:t>
      </w:r>
      <w:r>
        <w:rPr>
          <w:rFonts w:ascii="Arial" w:cs="Arial" w:eastAsia="Arial" w:hAnsi="Arial"/>
          <w:sz w:val="18"/>
          <w:szCs w:val="18"/>
          <w:color w:val="auto"/>
        </w:rPr>
        <w:t>, on the other, has been created in respect of any of the transactions contemplated by this Agreement or the final prospectus, irrespective of whether the Underwriters or any of its affiliates have advised or are advising the Company on other matters;</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274" w:right="239" w:bottom="1440" w:gutter="0" w:footer="0" w:header="0"/>
        </w:sectPr>
      </w:pPr>
    </w:p>
    <w:bookmarkStart w:id="258" w:name="page259"/>
    <w:bookmarkEnd w:id="258"/>
    <w:p>
      <w:pPr>
        <w:ind w:left="-921" w:right="280" w:firstLine="1492"/>
        <w:spacing w:after="0" w:line="312" w:lineRule="auto"/>
        <w:tabs>
          <w:tab w:leader="none" w:pos="827"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Arms’ Length Negotiations. </w:t>
      </w:r>
      <w:r>
        <w:rPr>
          <w:rFonts w:ascii="Arial" w:cs="Arial" w:eastAsia="Arial" w:hAnsi="Arial"/>
          <w:sz w:val="16"/>
          <w:szCs w:val="16"/>
          <w:color w:val="auto"/>
        </w:rPr>
        <w:t>The price of the Shares set forth in this Agreement, including the public offering price and any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and commissions, was established by Company following discussions and arms-length negotiations with the Underwriters and the Company is capable of evaluating and understanding and understand and accept the terms, risks and conditions of the transactions contemplated by this Agreement;</w:t>
      </w:r>
    </w:p>
    <w:p>
      <w:pPr>
        <w:spacing w:after="0" w:line="146" w:lineRule="exact"/>
        <w:rPr>
          <w:rFonts w:ascii="Arial" w:cs="Arial" w:eastAsia="Arial" w:hAnsi="Arial"/>
          <w:sz w:val="16"/>
          <w:szCs w:val="16"/>
          <w:color w:val="auto"/>
        </w:rPr>
      </w:pPr>
    </w:p>
    <w:p>
      <w:pPr>
        <w:ind w:left="-921" w:right="180" w:firstLine="1492"/>
        <w:spacing w:after="0" w:line="264" w:lineRule="auto"/>
        <w:tabs>
          <w:tab w:leader="none" w:pos="877"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Absence of Obligation to Disclose. </w:t>
      </w:r>
      <w:r>
        <w:rPr>
          <w:rFonts w:ascii="Arial" w:cs="Arial" w:eastAsia="Arial" w:hAnsi="Arial"/>
          <w:sz w:val="18"/>
          <w:szCs w:val="18"/>
          <w:color w:val="auto"/>
        </w:rPr>
        <w:t>The Company has been advised that the Underwriters and their affiliates are engaged in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transactions which may involve interests that differ from those of the Company and that the Underwriters have no obligation to disclose such interests and transactions to the Company by virtue of any fiduciary, advisory or agency relationship;</w:t>
      </w:r>
    </w:p>
    <w:p>
      <w:pPr>
        <w:spacing w:after="0" w:line="181" w:lineRule="exact"/>
        <w:rPr>
          <w:rFonts w:ascii="Arial" w:cs="Arial" w:eastAsia="Arial" w:hAnsi="Arial"/>
          <w:sz w:val="18"/>
          <w:szCs w:val="18"/>
          <w:color w:val="auto"/>
        </w:rPr>
      </w:pPr>
    </w:p>
    <w:p>
      <w:pPr>
        <w:jc w:val="both"/>
        <w:ind w:left="-921" w:firstLine="1492"/>
        <w:spacing w:after="0" w:line="259" w:lineRule="auto"/>
        <w:tabs>
          <w:tab w:leader="none" w:pos="867"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they may have against the Underwriters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 that the Underwriters shall have no liability (whether direct or indirect) to the Company in respect of such a fiduciary duty claim or to any person asserting a fiduciary duty claim on behalf of or in right of the Company, including stockholders, employees or creditors of the Company; and</w:t>
      </w:r>
    </w:p>
    <w:p>
      <w:pPr>
        <w:spacing w:after="0" w:line="186" w:lineRule="exact"/>
        <w:rPr>
          <w:rFonts w:ascii="Arial" w:cs="Arial" w:eastAsia="Arial" w:hAnsi="Arial"/>
          <w:sz w:val="18"/>
          <w:szCs w:val="18"/>
          <w:color w:val="auto"/>
        </w:rPr>
      </w:pPr>
    </w:p>
    <w:p>
      <w:pPr>
        <w:ind w:left="-921" w:right="160" w:firstLine="1492"/>
        <w:spacing w:after="0" w:line="264" w:lineRule="auto"/>
        <w:tabs>
          <w:tab w:leader="none" w:pos="817"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Accounting, Regulatory and Tax</w:t>
      </w:r>
      <w:r>
        <w:rPr>
          <w:rFonts w:ascii="Arial" w:cs="Arial" w:eastAsia="Arial" w:hAnsi="Arial"/>
          <w:sz w:val="18"/>
          <w:szCs w:val="18"/>
          <w:color w:val="auto"/>
        </w:rPr>
        <w:t>. The Underwriters have not provided any legal, accounting, regulatory or tax advice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offering contemplated by this Agreement and the Company has consulted its own legal, accounting, regulatory and tax advisors to the extent it deemed appropriate.</w:t>
      </w:r>
    </w:p>
    <w:p>
      <w:pPr>
        <w:spacing w:after="0" w:line="181" w:lineRule="exact"/>
        <w:rPr>
          <w:rFonts w:ascii="Arial" w:cs="Arial" w:eastAsia="Arial" w:hAnsi="Arial"/>
          <w:sz w:val="18"/>
          <w:szCs w:val="18"/>
          <w:color w:val="auto"/>
        </w:rPr>
      </w:pPr>
    </w:p>
    <w:p>
      <w:pPr>
        <w:ind w:left="-921" w:right="60" w:firstLine="921"/>
        <w:spacing w:after="0" w:line="279" w:lineRule="auto"/>
        <w:tabs>
          <w:tab w:leader="none" w:pos="236"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SHALL BE GOVERNED BY AND CONSTRUED IN ACCORDANCE WITH THE LAWS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NEW YORK APPLICABLE TO AGREEMENTS MADE AND TO BE PERFORMED ENTIRELY WITHIN SUCH STATE. Each party hereto hereby irrevocably submits for purposes of any action arising from this Agreement brought by the other party hereto to the jurisdiction of the courts of New York State located in the Borough of Manhattan and the U.S. District Court for the Southern District of New York.</w:t>
      </w:r>
    </w:p>
    <w:p>
      <w:pPr>
        <w:spacing w:after="0" w:line="171" w:lineRule="exact"/>
        <w:rPr>
          <w:rFonts w:ascii="Arial" w:cs="Arial" w:eastAsia="Arial" w:hAnsi="Arial"/>
          <w:sz w:val="17"/>
          <w:szCs w:val="17"/>
          <w:color w:val="auto"/>
        </w:rPr>
      </w:pPr>
    </w:p>
    <w:p>
      <w:pPr>
        <w:ind w:left="-921" w:right="320" w:firstLine="921"/>
        <w:spacing w:after="0" w:line="277" w:lineRule="auto"/>
        <w:tabs>
          <w:tab w:leader="none" w:pos="217"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two or more counterparts with the same effect as if the signatures thereto and hereto were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same instrument.</w:t>
      </w:r>
    </w:p>
    <w:p>
      <w:pPr>
        <w:spacing w:after="0" w:line="170" w:lineRule="exact"/>
        <w:rPr>
          <w:rFonts w:ascii="Arial" w:cs="Arial" w:eastAsia="Arial" w:hAnsi="Arial"/>
          <w:sz w:val="18"/>
          <w:szCs w:val="18"/>
          <w:color w:val="auto"/>
        </w:rPr>
      </w:pPr>
    </w:p>
    <w:p>
      <w:pPr>
        <w:ind w:left="-921" w:right="880" w:firstLine="921"/>
        <w:spacing w:after="0" w:line="308" w:lineRule="auto"/>
        <w:tabs>
          <w:tab w:leader="none" w:pos="247"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Survival of Provisions Upon Invalidity of Any Single Provision. </w:t>
      </w:r>
      <w:r>
        <w:rPr>
          <w:rFonts w:ascii="Arial" w:cs="Arial" w:eastAsia="Arial" w:hAnsi="Arial"/>
          <w:sz w:val="17"/>
          <w:szCs w:val="17"/>
          <w:color w:val="auto"/>
        </w:rPr>
        <w:t>In case any provision in this Agreement shall be invalid, illegal or</w:t>
      </w:r>
      <w:r>
        <w:rPr>
          <w:rFonts w:ascii="Arial" w:cs="Arial" w:eastAsia="Arial" w:hAnsi="Arial"/>
          <w:sz w:val="17"/>
          <w:szCs w:val="17"/>
          <w:i w:val="1"/>
          <w:iCs w:val="1"/>
          <w:color w:val="auto"/>
        </w:rPr>
        <w:t xml:space="preserve"> </w:t>
      </w:r>
      <w:r>
        <w:rPr>
          <w:rFonts w:ascii="Arial" w:cs="Arial" w:eastAsia="Arial" w:hAnsi="Arial"/>
          <w:sz w:val="17"/>
          <w:szCs w:val="17"/>
          <w:color w:val="auto"/>
        </w:rPr>
        <w:t>unenforceable, the validity, legality and enforceability of the remaining provisions shall not in any way be affected or impaired thereby.</w:t>
      </w:r>
    </w:p>
    <w:p>
      <w:pPr>
        <w:spacing w:after="0" w:line="146" w:lineRule="exact"/>
        <w:rPr>
          <w:rFonts w:ascii="Arial" w:cs="Arial" w:eastAsia="Arial" w:hAnsi="Arial"/>
          <w:sz w:val="17"/>
          <w:szCs w:val="17"/>
          <w:color w:val="auto"/>
        </w:rPr>
      </w:pPr>
    </w:p>
    <w:p>
      <w:pPr>
        <w:ind w:left="-921" w:right="140" w:firstLine="921"/>
        <w:spacing w:after="0" w:line="277" w:lineRule="auto"/>
        <w:tabs>
          <w:tab w:leader="none" w:pos="247"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The Company and the Underwriters each hereby irrevocably waive any right they may have to a trial by jury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claim based upon or arising out of this Agreement or the transactions contemplated hereby.</w:t>
      </w:r>
    </w:p>
    <w:p>
      <w:pPr>
        <w:spacing w:after="0" w:line="170" w:lineRule="exact"/>
        <w:rPr>
          <w:rFonts w:ascii="Arial" w:cs="Arial" w:eastAsia="Arial" w:hAnsi="Arial"/>
          <w:sz w:val="18"/>
          <w:szCs w:val="18"/>
          <w:color w:val="auto"/>
        </w:rPr>
      </w:pPr>
    </w:p>
    <w:p>
      <w:pPr>
        <w:ind w:left="-921" w:right="440" w:firstLine="921"/>
        <w:spacing w:after="0" w:line="277" w:lineRule="auto"/>
        <w:tabs>
          <w:tab w:leader="none" w:pos="207"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Titles and Subtitles. </w:t>
      </w:r>
      <w:r>
        <w:rPr>
          <w:rFonts w:ascii="Arial" w:cs="Arial" w:eastAsia="Arial" w:hAnsi="Arial"/>
          <w:sz w:val="18"/>
          <w:szCs w:val="18"/>
          <w:color w:val="auto"/>
        </w:rPr>
        <w:t>The titles of the sections and subsections of this Agreement are for convenience and reference only and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construing this Agreement.</w:t>
      </w:r>
    </w:p>
    <w:p>
      <w:pPr>
        <w:spacing w:after="0" w:line="102" w:lineRule="exact"/>
        <w:rPr>
          <w:rFonts w:ascii="Arial" w:cs="Arial" w:eastAsia="Arial" w:hAnsi="Arial"/>
          <w:sz w:val="18"/>
          <w:szCs w:val="18"/>
          <w:color w:val="auto"/>
        </w:rPr>
      </w:pPr>
    </w:p>
    <w:p>
      <w:pPr>
        <w:ind w:left="4699" w:hanging="101"/>
        <w:spacing w:after="0"/>
        <w:tabs>
          <w:tab w:leader="none" w:pos="4699" w:val="left"/>
        </w:tabs>
        <w:numPr>
          <w:ilvl w:val="2"/>
          <w:numId w:val="185"/>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499"/>
          </w:cols>
          <w:pgMar w:left="1161" w:top="274" w:right="239" w:bottom="1440" w:gutter="0" w:footer="0" w:header="0"/>
        </w:sectPr>
      </w:pPr>
    </w:p>
    <w:bookmarkStart w:id="259" w:name="page260"/>
    <w:bookmarkEnd w:id="259"/>
    <w:p>
      <w:pPr>
        <w:ind w:left="-400" w:firstLine="921"/>
        <w:spacing w:after="0" w:line="264" w:lineRule="auto"/>
        <w:tabs>
          <w:tab w:leader="none" w:pos="72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Entire Agreement. </w:t>
      </w:r>
      <w:r>
        <w:rPr>
          <w:rFonts w:ascii="Arial" w:cs="Arial" w:eastAsia="Arial" w:hAnsi="Arial"/>
          <w:sz w:val="18"/>
          <w:szCs w:val="18"/>
          <w:color w:val="auto"/>
        </w:rPr>
        <w:t>This Agreement embodies the entire agreement and understanding between the parties hereto and supersedes all prior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understandings relating to the subject matter hereof. This Agreement may not be amended or otherwise modified or any provision hereof waived except by an instrument in writing signed by the Representatives and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640"/>
          </w:cols>
          <w:pgMar w:left="640" w:top="274" w:right="61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the foregoing correctly sets forth the agreement between the Company and the several Underwriters.</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NAPTYS</w:t>
      </w:r>
      <w:r>
        <w:rPr>
          <w:rFonts w:ascii="Arial" w:cs="Arial" w:eastAsia="Arial" w:hAnsi="Arial"/>
          <w:sz w:val="18"/>
          <w:szCs w:val="18"/>
          <w:color w:val="auto"/>
        </w:rPr>
        <w:t>B</w:t>
      </w:r>
      <w:r>
        <w:rPr>
          <w:rFonts w:ascii="Arial" w:cs="Arial" w:eastAsia="Arial" w:hAnsi="Arial"/>
          <w:sz w:val="15"/>
          <w:szCs w:val="15"/>
          <w:color w:val="auto"/>
        </w:rPr>
        <w:t>IO</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74" w:right="1440"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Confirmed as of the date first above mentioned: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TIFEL</w:t>
      </w:r>
      <w:r>
        <w:rPr>
          <w:rFonts w:ascii="Arial" w:cs="Arial" w:eastAsia="Arial" w:hAnsi="Arial"/>
          <w:sz w:val="18"/>
          <w:szCs w:val="18"/>
          <w:color w:val="auto"/>
        </w:rPr>
        <w:t>, N</w:t>
      </w:r>
      <w:r>
        <w:rPr>
          <w:rFonts w:ascii="Arial" w:cs="Arial" w:eastAsia="Arial" w:hAnsi="Arial"/>
          <w:sz w:val="15"/>
          <w:szCs w:val="15"/>
          <w:color w:val="auto"/>
        </w:rPr>
        <w:t>ICOLAUS</w:t>
      </w:r>
      <w:r>
        <w:rPr>
          <w:rFonts w:ascii="Arial" w:cs="Arial" w:eastAsia="Arial" w:hAnsi="Arial"/>
          <w:sz w:val="18"/>
          <w:szCs w:val="18"/>
          <w:color w:val="auto"/>
        </w:rPr>
        <w:t xml:space="preserve"> &amp; C</w:t>
      </w:r>
      <w:r>
        <w:rPr>
          <w:rFonts w:ascii="Arial" w:cs="Arial" w:eastAsia="Arial" w:hAnsi="Arial"/>
          <w:sz w:val="15"/>
          <w:szCs w:val="15"/>
          <w:color w:val="auto"/>
        </w:rPr>
        <w:t>OMPANY</w:t>
      </w:r>
      <w:r>
        <w:rPr>
          <w:rFonts w:ascii="Arial" w:cs="Arial" w:eastAsia="Arial" w:hAnsi="Arial"/>
          <w:sz w:val="18"/>
          <w:szCs w:val="18"/>
          <w:color w:val="auto"/>
        </w:rPr>
        <w:t>, I</w:t>
      </w:r>
      <w:r>
        <w:rPr>
          <w:rFonts w:ascii="Arial" w:cs="Arial" w:eastAsia="Arial" w:hAnsi="Arial"/>
          <w:sz w:val="15"/>
          <w:szCs w:val="15"/>
          <w:color w:val="auto"/>
        </w:rPr>
        <w:t>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Acting on behalf of themselves and as Representatives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TIFEL</w:t>
      </w:r>
      <w:r>
        <w:rPr>
          <w:rFonts w:ascii="Arial" w:cs="Arial" w:eastAsia="Arial" w:hAnsi="Arial"/>
          <w:sz w:val="18"/>
          <w:szCs w:val="18"/>
          <w:color w:val="auto"/>
        </w:rPr>
        <w:t>, N</w:t>
      </w:r>
      <w:r>
        <w:rPr>
          <w:rFonts w:ascii="Arial" w:cs="Arial" w:eastAsia="Arial" w:hAnsi="Arial"/>
          <w:sz w:val="15"/>
          <w:szCs w:val="15"/>
          <w:color w:val="auto"/>
        </w:rPr>
        <w:t>ICOLAUS</w:t>
      </w:r>
      <w:r>
        <w:rPr>
          <w:rFonts w:ascii="Arial" w:cs="Arial" w:eastAsia="Arial" w:hAnsi="Arial"/>
          <w:sz w:val="18"/>
          <w:szCs w:val="18"/>
          <w:color w:val="auto"/>
        </w:rPr>
        <w:t xml:space="preserve"> &amp; C</w:t>
      </w:r>
      <w:r>
        <w:rPr>
          <w:rFonts w:ascii="Arial" w:cs="Arial" w:eastAsia="Arial" w:hAnsi="Arial"/>
          <w:sz w:val="15"/>
          <w:szCs w:val="15"/>
          <w:color w:val="auto"/>
        </w:rPr>
        <w:t>OMPANY</w:t>
      </w:r>
      <w:r>
        <w:rPr>
          <w:rFonts w:ascii="Arial" w:cs="Arial" w:eastAsia="Arial" w:hAnsi="Arial"/>
          <w:sz w:val="18"/>
          <w:szCs w:val="18"/>
          <w:color w:val="auto"/>
        </w:rPr>
        <w:t>, I</w:t>
      </w:r>
      <w:r>
        <w:rPr>
          <w:rFonts w:ascii="Arial" w:cs="Arial" w:eastAsia="Arial" w:hAnsi="Arial"/>
          <w:sz w:val="15"/>
          <w:szCs w:val="15"/>
          <w:color w:val="auto"/>
        </w:rPr>
        <w:t>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6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36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54"/>
        </w:trPr>
        <w:tc>
          <w:tcPr>
            <w:tcW w:w="3360" w:type="dxa"/>
            <w:vAlign w:val="bottom"/>
            <w:gridSpan w:val="3"/>
            <w:vMerge w:val="continue"/>
          </w:tcPr>
          <w:p>
            <w:pPr>
              <w:spacing w:after="0"/>
              <w:rPr>
                <w:sz w:val="13"/>
                <w:szCs w:val="13"/>
                <w:color w:val="auto"/>
              </w:rPr>
            </w:pPr>
          </w:p>
        </w:tc>
        <w:tc>
          <w:tcPr>
            <w:tcW w:w="440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Firm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36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36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3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3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00" w:type="dxa"/>
            <w:vAlign w:val="bottom"/>
            <w:gridSpan w:val="3"/>
          </w:tcPr>
          <w:p>
            <w:pPr>
              <w:ind w:left="320"/>
              <w:spacing w:after="0"/>
              <w:rPr>
                <w:sz w:val="20"/>
                <w:szCs w:val="20"/>
                <w:color w:val="auto"/>
              </w:rPr>
            </w:pPr>
            <w:r>
              <w:rPr>
                <w:rFonts w:ascii="Arial" w:cs="Arial" w:eastAsia="Arial" w:hAnsi="Arial"/>
                <w:sz w:val="18"/>
                <w:szCs w:val="18"/>
                <w:color w:val="auto"/>
              </w:rPr>
              <w:t>S-I-1</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74"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S-II-1</w:t>
      </w:r>
    </w:p>
    <w:p>
      <w:pPr>
        <w:sectPr>
          <w:pgSz w:w="11900" w:h="16838" w:orient="portrait"/>
          <w:cols w:equalWidth="0" w:num="1">
            <w:col w:w="11420"/>
          </w:cols>
          <w:pgMar w:left="240" w:top="274"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S-III-1</w:t>
      </w:r>
    </w:p>
    <w:p>
      <w:pPr>
        <w:sectPr>
          <w:pgSz w:w="11900" w:h="16838" w:orient="portrait"/>
          <w:cols w:equalWidth="0" w:num="1">
            <w:col w:w="11420"/>
          </w:cols>
          <w:pgMar w:left="240" w:top="274"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52"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initial public offering price per share of Common Stock shall be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is selling [●] shares of Common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Company has granted an option to the Underwriters, severally and not jointly, to purchase up to an additional [●] shares of Common Stock.</w:t>
      </w:r>
    </w:p>
    <w:p>
      <w:pPr>
        <w:spacing w:after="0" w:line="169"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S-IV-1</w:t>
      </w:r>
    </w:p>
    <w:p>
      <w:pPr>
        <w:sectPr>
          <w:pgSz w:w="11900" w:h="16838" w:orient="portrait"/>
          <w:cols w:equalWidth="0" w:num="1">
            <w:col w:w="11420"/>
          </w:cols>
          <w:pgMar w:left="240" w:top="274"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Lock-up Agreement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20"/>
          </w:cols>
          <w:pgMar w:left="1440" w:top="274" w:right="239" w:bottom="1440" w:gutter="0" w:footer="0" w:header="0"/>
        </w:sectPr>
      </w:pPr>
    </w:p>
    <w:bookmarkStart w:id="267" w:name="page268"/>
    <w:bookmarkEnd w:id="267"/>
    <w:p>
      <w:pPr>
        <w:ind w:left="10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2718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2718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 Suite 3700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consideration of the agreement of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which Credit Suisse Securities (USA) LLC (</w:t>
      </w:r>
      <w:r>
        <w:rPr>
          <w:rFonts w:ascii="Arial" w:cs="Arial" w:eastAsia="Arial" w:hAnsi="Arial"/>
          <w:sz w:val="16"/>
          <w:szCs w:val="16"/>
          <w:u w:val="single" w:color="auto"/>
          <w:color w:val="auto"/>
        </w:rPr>
        <w:t>“Credit Suisse</w:t>
      </w:r>
      <w:r>
        <w:rPr>
          <w:rFonts w:ascii="Arial" w:cs="Arial" w:eastAsia="Arial" w:hAnsi="Arial"/>
          <w:sz w:val="16"/>
          <w:szCs w:val="16"/>
          <w:color w:val="auto"/>
        </w:rPr>
        <w:t>”) and Stifel, Nicolaus &amp; Company, Incorporated (“</w:t>
      </w:r>
      <w:r>
        <w:rPr>
          <w:rFonts w:ascii="Arial" w:cs="Arial" w:eastAsia="Arial" w:hAnsi="Arial"/>
          <w:sz w:val="16"/>
          <w:szCs w:val="16"/>
          <w:u w:val="single" w:color="auto"/>
          <w:color w:val="auto"/>
        </w:rPr>
        <w:t>Stifel</w:t>
      </w:r>
      <w:r>
        <w:rPr>
          <w:rFonts w:ascii="Arial" w:cs="Arial" w:eastAsia="Arial" w:hAnsi="Arial"/>
          <w:sz w:val="16"/>
          <w:szCs w:val="16"/>
          <w:color w:val="auto"/>
        </w:rPr>
        <w:t>”) intend to act as Representatives, to underwrite a proposed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of shares of common stock, par value $0.0001 per share (the “</w:t>
      </w:r>
      <w:r>
        <w:rPr>
          <w:rFonts w:ascii="Arial" w:cs="Arial" w:eastAsia="Arial" w:hAnsi="Arial"/>
          <w:sz w:val="16"/>
          <w:szCs w:val="16"/>
          <w:u w:val="single" w:color="auto"/>
          <w:color w:val="auto"/>
        </w:rPr>
        <w:t>Stock</w:t>
      </w:r>
      <w:r>
        <w:rPr>
          <w:rFonts w:ascii="Arial" w:cs="Arial" w:eastAsia="Arial" w:hAnsi="Arial"/>
          <w:sz w:val="16"/>
          <w:szCs w:val="16"/>
          <w:color w:val="auto"/>
        </w:rPr>
        <w:t>”), of AnaptysBio,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undersigned hereby irrevocably agrees that the undersigned shall not, for a period (the “</w:t>
      </w:r>
      <w:r>
        <w:rPr>
          <w:rFonts w:ascii="Arial" w:cs="Arial" w:eastAsia="Arial" w:hAnsi="Arial"/>
          <w:sz w:val="16"/>
          <w:szCs w:val="16"/>
          <w:u w:val="single" w:color="auto"/>
          <w:color w:val="auto"/>
        </w:rPr>
        <w:t>Lock-Up Period</w:t>
      </w:r>
      <w:r>
        <w:rPr>
          <w:rFonts w:ascii="Arial" w:cs="Arial" w:eastAsia="Arial" w:hAnsi="Arial"/>
          <w:sz w:val="16"/>
          <w:szCs w:val="16"/>
          <w:color w:val="auto"/>
        </w:rPr>
        <w:t>”) beginning on the date of this Lock-Up Agreement and ending 180 days after the date of the final prospectus for the Offering (the “</w:t>
      </w:r>
      <w:r>
        <w:rPr>
          <w:rFonts w:ascii="Arial" w:cs="Arial" w:eastAsia="Arial" w:hAnsi="Arial"/>
          <w:sz w:val="16"/>
          <w:szCs w:val="16"/>
          <w:u w:val="single" w:color="auto"/>
          <w:color w:val="auto"/>
        </w:rPr>
        <w:t>Prospectus</w:t>
      </w:r>
      <w:r>
        <w:rPr>
          <w:rFonts w:ascii="Arial" w:cs="Arial" w:eastAsia="Arial" w:hAnsi="Arial"/>
          <w:sz w:val="16"/>
          <w:szCs w:val="16"/>
          <w:color w:val="auto"/>
        </w:rPr>
        <w:t>”), without the prior written consent of Credit Suisse and Stifel (which consent may be withheld in their sole discretion), (1) offer to sell, sell, pledge, contract to sell, purchase any option to sell, grant any option for the purchase of, lend, or otherwise dispose of (or enter into any transaction which is designed to, or might reasonably be expected to, result in the disposition by the undersigned or any controlled affiliate of the undersigned), directly or indirectly, including the filing (or participation in the filing) with the Securities and Exchange Commission of a registration statement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to register, any shares of Stock or any securities convertible into or exercisable or exchangeable for Stock or warrants or other rights to acquire shares of Stock of which the undersigned is now, or may in the future become, the beneficial owner (within the meaning of Rule 13d-3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shares, securities, warrants or rights, collectively, the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or (2) enter into any swap or other derivatives transaction that transfers to another, in whole or in part, any of the economic benefits or risks of ownership of such Restricted Securities, whether any such transaction described in clause</w:t>
      </w:r>
    </w:p>
    <w:p>
      <w:pPr>
        <w:spacing w:after="0" w:line="3" w:lineRule="exact"/>
        <w:rPr>
          <w:sz w:val="20"/>
          <w:szCs w:val="20"/>
          <w:color w:val="auto"/>
        </w:rPr>
      </w:pPr>
    </w:p>
    <w:p>
      <w:pPr>
        <w:ind w:right="20" w:firstLine="8"/>
        <w:spacing w:after="0" w:line="253"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or (2) above is to be settled by delivery of Stock or other securities, in cash or otherwise, or (3) publicly disclose the intention to enter into any transaction described in clause (1) or (2) above. The undersigned also agrees and consents to the entry of stop transfer instructions with the Company’s transfer agent and registrar against the transfer of Restricted Securities owned either of record or beneficially by the undersigned except in compliance with the foregoing restrictions. Any securities of the Company acquired by the undersigned in the Offering (including, without limitation, in any issuer-directed share program) will also be Restricted Securities subject to this Lock-Up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268" w:name="page269"/>
    <w:bookmarkEnd w:id="268"/>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undersigned is an officer or director of the Company, the undersigned further agrees that the foregoing restrictions shall be equally applicable to any issuer-directed shares of Stock the undersigned may purchase in the Offering.</w:t>
      </w:r>
    </w:p>
    <w:p>
      <w:pPr>
        <w:spacing w:after="0" w:line="17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The foregoing restrictions shall not apply to: (i) transfers of Restricted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by the undersigned; (ii) transfers or dispositions of Restricted Securities to any trust for the direct or indirect benefit of the undersigned or any member of the immediate family of the undersigned; (iii) transfers or dispositions of Restricted Securities to any of the undersigned’s affiliates (within the meaning set forth in Rule 405 under the Securities Act, including any wholly-owned subsidiary of the undersigned or to the parent entity of the undersigned), limited partners, general partners, limited liability company members or stockholders; (iv) transfers of Restricted Securities by will, other testamentary document or intestate succession to the legal representative, heir, beneficiary or a member of the immediate family of the undersigned; (v) transfers or dispositions of shares of Stock or securities convertible into or exercisable for shares of Stock acquired by the undersigned in open market purchases after the completion of the Offering; (vi) entry by the undersigned into any trading plan established pursuant to Rule 10b5-1 under the Exchange Act; (vii) the exercise of options, warrants or other rights to acquire shares of Stock or any security convertible into or exercisable for shares of Stock in accordance with their terms (including the settlement of restricted stock units and including, in each case, by way of net exercise and/or to cover withholding tax obligations in connection with such exercise, but for the avoidance of doubt, excluding all manners of exercise that would involve a sale of any securities, whether to cover the applicable aggregate exercise price, withholding tax obligations or otherwise) pursuant to an employee benefit plan, option, warrant or other right disclosed in the Prospectus, (viii) transfers pursuant to a court order or settlement agreement related to the distribution of assets in connection with the dissolution of a marriage or civil union,</w:t>
      </w:r>
    </w:p>
    <w:p>
      <w:pPr>
        <w:spacing w:after="0" w:line="3" w:lineRule="exact"/>
        <w:rPr>
          <w:sz w:val="20"/>
          <w:szCs w:val="20"/>
          <w:color w:val="auto"/>
        </w:rPr>
      </w:pPr>
    </w:p>
    <w:p>
      <w:pPr>
        <w:ind w:firstLine="8"/>
        <w:spacing w:after="0" w:line="281" w:lineRule="auto"/>
        <w:tabs>
          <w:tab w:leader="none" w:pos="30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transfers to the Company pursuant to agreements under which the Company has the option to repurchase such shares or a right of first refusal with respect to transfers of such shares upon termination of service of the undersigned, (x) the conversion of outstanding shares of preferred stock of the Company into shares of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restrictions shall apply to the shares of Stock issued upon such conversion; or (xi) the transfer of shares of Stock or any security convertible into or exercisable or exchangeable for Stock pursuant to a liquidation, tender offer, merger, consolidation, binding share exchange or other similar transaction that results in all of the Company’s stockholders having the right to exchange their Stock for cash, securities or other property; provided that if such transaction is not consummated, any such securities shall remain subject to the restrictions set forth in this Lock-Up Agreement;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in the case of (i), (ii) (iii), (iv) or (viii) above, it shall be a condition to the transfer or disposition that the donee, trustee, heir,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distributee or other transferee, as the case may be, agrees to be bound in writing to the restrictions set forth herein during the Lock-Up Period; (b) any transfer or disposition pursuant to (i), (ii), (iii) or (iv) above shall not involve a disposition for value; (c) in the case of a transfer or distribution pursuant to (i), (ii),</w:t>
      </w:r>
    </w:p>
    <w:p>
      <w:pPr>
        <w:spacing w:after="0" w:line="6" w:lineRule="exact"/>
        <w:rPr>
          <w:rFonts w:ascii="Arial" w:cs="Arial" w:eastAsia="Arial" w:hAnsi="Arial"/>
          <w:sz w:val="16"/>
          <w:szCs w:val="16"/>
          <w:color w:val="auto"/>
        </w:rPr>
      </w:pPr>
    </w:p>
    <w:p>
      <w:pPr>
        <w:ind w:right="80" w:firstLine="8"/>
        <w:spacing w:after="0" w:line="253" w:lineRule="auto"/>
        <w:tabs>
          <w:tab w:leader="none" w:pos="3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or (v) above, no filing by the undersigned or any other party under the Exchange Act or other public announcement shall be required or made voluntarily during the Lock-Up Period in connection with such transfer or distribution (other than a filing on a Form 5 made after the expiration of the Lock-Up Period and, with respect to clause (viii), other than a filing required to be made on a Form 4 by the undersigned reporting a reduction in beneficial ownership of shares of Stock; </w:t>
      </w:r>
      <w:r>
        <w:rPr>
          <w:rFonts w:ascii="Arial" w:cs="Arial" w:eastAsia="Arial" w:hAnsi="Arial"/>
          <w:sz w:val="18"/>
          <w:szCs w:val="18"/>
          <w:i w:val="1"/>
          <w:iCs w:val="1"/>
          <w:color w:val="auto"/>
        </w:rPr>
        <w:t>provided</w:t>
      </w:r>
      <w:r>
        <w:rPr>
          <w:rFonts w:ascii="Arial" w:cs="Arial" w:eastAsia="Arial" w:hAnsi="Arial"/>
          <w:sz w:val="18"/>
          <w:szCs w:val="18"/>
          <w:color w:val="auto"/>
        </w:rPr>
        <w:t>, that the undersigned shall include a statement in such report to the effect that the transfer occurred by operation of law, such as pursuant to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69" w:name="page270"/>
    <w:bookmarkEnd w:id="26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qualified domestic order or in connection with a divorce settlement, as applicable); (d) in the case of (vi) above, such trading plan does not provide for any sales or other dispositions of Restricted Securities during the Lock-Up Period and no public announcement or filing under the Exchange Act or otherwise is made by or on behalf of the undersigned or the Company regarding the establishment of, or sales under, such plan during the Lock-Up Period; and (e) in the case of (vii) above, the shares of Stock delivered upon such exercise are issued in the name of the undersigned and are subject to the restrictions set forth in this Lock-Up Agreement, and no filing under the Exchange Act or other public announcement (whether voluntarily or otherwise) shall be made during the Lock-Up Period unless such filing or announcement clearly states that no Stock was sold by the undersigned and that the Stock received upon such exercise is subject to this Lock-Up Agreement. For purposes of clause (xi) above, “change in control” shall mean the transfer (whether by tender offer, merger, consolidation or similar transaction), in one transaction or a series of related transactions, to a person or group of affiliated persons (other than an Underwriter of the Offering), of the Company’s voting securities if, after such transfer, such person or group of affiliated persons would hold more than 50% of the outstanding voting securities of the Company (or the surviving entity). For the purposes of this Lock-Up Agreement, “immediate family” shall mean any relationship by blood, marriage, domestic partnership or adoption, not more remote than first cousin.</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the undersigned is an officer or director of the Company, (i) Credit Suisse and Stifel agree that, at least three business days before the effective date of any release or waiver of the foregoing restrictions in connection with a transfer of Restricted Securities, Credit Suisse and Stifel will notify the Company of the impending release or waiver, and (ii) the Company will agree in the underwriting agreement relating to the Offering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announce the impending release or waiver by press release through a major news service at least two business days before the effective date of the release or waiver. Any release or waiver granted by Credit Suisse and Stifel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any shares of Stock owned either of record or beneficially by the undersigned, including rights to receive notice of the Offering, including, without limitation, any registration rights owned by the undersigned pursuant to the Third Amended and Restated Investor Rights Agreement dated as of July 15, 2013, by and among the Company and the investors listed in Exhibit A thereto, as may be amended from time to time.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Lock-Up Agreement shall automatically terminate and become null and void (i) at such time as either Credit Suisse and Stifel, on the one hand, or the Company, on the other hand, advises the other in writing, prior to the execution of the Underwriting Agreement, that it has determined not to proceed with the Offering, (ii) upon the termination of the Underwriting Agreement if prior to the closing of the Offering, or (iii) on June 30, 2017, if the Offering shall not have closed by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Credit Suisse and Stifel or the Company may, by written notice to you prior to such date, extend such date for a period of up to three additional months.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270" w:name="page271"/>
    <w:bookmarkEnd w:id="27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The undersigned understands that the Underwriters are entering into the Underwriting Agreement and proceeding with the Offering in reliance upon this Lock-Up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271" w:name="page272"/>
    <w:bookmarkEnd w:id="271"/>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Lock-Up Agreement and any claim, controversy or dispute arising under or related to this Lock-Up Agreement shall be governed by and construed in accordance with the laws of the State of New York applicable to agreements made and to be performed entirely within such state.</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(indicate capacity of person signing if signing as custodian,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AnaptysBio, Inc. (the “Company”) announced today that Credit Suisse Securities (USA) LLC and Stifel, Nicolaus &amp; Company, Incorporated, co-lead book-running managers in the Company’s recent public sale of shares of common stock, are [waiving][releasing] a lock-up restriction with respect to [●] shares of the Company’s common stock held by [certain officers or directors][an officer or director] of the Company. The [waiver][release] will take effect on [●], and the shares may be sold on or after such date.</w:t>
      </w:r>
    </w:p>
    <w:p>
      <w:pPr>
        <w:spacing w:after="0" w:line="1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Opinion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Counsel to the Company</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220"/>
          </w:cols>
          <w:pgMar w:left="1440" w:top="27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Opinion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Intellectual Property Counsel to the Company</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220"/>
          </w:cols>
          <w:pgMar w:left="1440" w:top="27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Opinion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Regulatory Counsel to the Company</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220"/>
          </w:cols>
          <w:pgMar w:left="1440" w:top="274"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 of Opinion of</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Local Regulatory Counsel to the Company</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220"/>
          </w:cols>
          <w:pgMar w:left="1440" w:top="274"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Hamza Suria hereby certifies that:</w:t>
      </w:r>
    </w:p>
    <w:p>
      <w:pPr>
        <w:spacing w:after="0" w:line="221" w:lineRule="exact"/>
        <w:rPr>
          <w:sz w:val="20"/>
          <w:szCs w:val="20"/>
          <w:color w:val="auto"/>
        </w:rPr>
      </w:pPr>
    </w:p>
    <w:p>
      <w:pPr>
        <w:ind w:right="920" w:firstLine="456"/>
        <w:spacing w:after="0" w:line="282"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date of filing the original Certificate of Incorporation of this company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2005 under the name of Anaptys Biosciences, Inc.</w:t>
      </w:r>
    </w:p>
    <w:p>
      <w:pPr>
        <w:spacing w:after="0" w:line="16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He is the duly elected and acting Chief Executive Officer of AnaptysBio, Inc., a Delaware corporation.</w:t>
      </w:r>
    </w:p>
    <w:p>
      <w:pPr>
        <w:spacing w:after="0" w:line="225"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Certificate of Incorporation of this company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company is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address of the registered office of this Company in the State of Delaware is 1209 Orange Street, City of Wilmington. County of New Castle, Zip Code 19801, and the name of the registered agent of this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40" w:firstLine="464"/>
        <w:spacing w:after="0" w:line="259" w:lineRule="auto"/>
        <w:tabs>
          <w:tab w:leader="none" w:pos="808"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two classes of stock to be designated, respectively, “Common Stock” and “Preferred Stock.” The total number of shares which the Company is authorized to issue is 71,520,698 shares, 60,000,000 shares of which shall be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11,520,698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$0.001 per share and the Common Stock shall have a par value of $0.001 per share.</w:t>
      </w:r>
    </w:p>
    <w:p>
      <w:pPr>
        <w:spacing w:after="0" w:line="186" w:lineRule="exact"/>
        <w:rPr>
          <w:rFonts w:ascii="Arial" w:cs="Arial" w:eastAsia="Arial" w:hAnsi="Arial"/>
          <w:sz w:val="18"/>
          <w:szCs w:val="18"/>
          <w:b w:val="1"/>
          <w:bCs w:val="1"/>
          <w:color w:val="auto"/>
        </w:rPr>
      </w:pPr>
    </w:p>
    <w:p>
      <w:pPr>
        <w:ind w:right="280" w:firstLine="464"/>
        <w:spacing w:after="0" w:line="264" w:lineRule="auto"/>
        <w:tabs>
          <w:tab w:leader="none" w:pos="798"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ectPr>
          <w:pgSz w:w="11900" w:h="16838" w:orient="portrait"/>
          <w:cols w:equalWidth="0" w:num="1">
            <w:col w:w="11420"/>
          </w:cols>
          <w:pgMar w:left="240" w:top="122" w:right="239" w:bottom="1440" w:gutter="0" w:footer="0" w:header="0"/>
        </w:sectPr>
      </w:pPr>
    </w:p>
    <w:bookmarkStart w:id="278" w:name="page279"/>
    <w:bookmarkEnd w:id="278"/>
    <w:p>
      <w:pPr>
        <w:ind w:left="-20" w:right="40" w:firstLine="464"/>
        <w:spacing w:after="0" w:line="255" w:lineRule="auto"/>
        <w:tabs>
          <w:tab w:leader="none" w:pos="791"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3,646,356 of the authorized shares of Preferred Stock are hereby designated “Series B Preferred Stock” (the “</w:t>
      </w:r>
      <w:r>
        <w:rPr>
          <w:rFonts w:ascii="Arial" w:cs="Arial" w:eastAsia="Arial" w:hAnsi="Arial"/>
          <w:sz w:val="18"/>
          <w:szCs w:val="18"/>
          <w:b w:val="1"/>
          <w:bCs w:val="1"/>
          <w:i w:val="1"/>
          <w:iCs w:val="1"/>
          <w:color w:val="auto"/>
        </w:rPr>
        <w:t>Series B Preferred</w:t>
      </w:r>
      <w:r>
        <w:rPr>
          <w:rFonts w:ascii="Arial" w:cs="Arial" w:eastAsia="Arial" w:hAnsi="Arial"/>
          <w:sz w:val="18"/>
          <w:szCs w:val="18"/>
          <w:color w:val="auto"/>
        </w:rPr>
        <w:t>”). 285,164 of the authorized shares of Preferred Stock are hereby designated “Series B-1 Preferred Stock” (the “</w:t>
      </w:r>
      <w:r>
        <w:rPr>
          <w:rFonts w:ascii="Arial" w:cs="Arial" w:eastAsia="Arial" w:hAnsi="Arial"/>
          <w:sz w:val="18"/>
          <w:szCs w:val="18"/>
          <w:b w:val="1"/>
          <w:bCs w:val="1"/>
          <w:i w:val="1"/>
          <w:iCs w:val="1"/>
          <w:color w:val="auto"/>
        </w:rPr>
        <w:t>Series B-1 Preferred</w:t>
      </w:r>
      <w:r>
        <w:rPr>
          <w:rFonts w:ascii="Arial" w:cs="Arial" w:eastAsia="Arial" w:hAnsi="Arial"/>
          <w:sz w:val="18"/>
          <w:szCs w:val="18"/>
          <w:color w:val="auto"/>
        </w:rPr>
        <w:t>”). 31,743 of the authorized shares of Preferred Stock are hereby designated “Series B-2 Preferred Stock” (the “</w:t>
      </w:r>
      <w:r>
        <w:rPr>
          <w:rFonts w:ascii="Arial" w:cs="Arial" w:eastAsia="Arial" w:hAnsi="Arial"/>
          <w:sz w:val="18"/>
          <w:szCs w:val="18"/>
          <w:b w:val="1"/>
          <w:bCs w:val="1"/>
          <w:i w:val="1"/>
          <w:iCs w:val="1"/>
          <w:color w:val="auto"/>
        </w:rPr>
        <w:t>Series B-2 Preferred</w:t>
      </w:r>
      <w:r>
        <w:rPr>
          <w:rFonts w:ascii="Arial" w:cs="Arial" w:eastAsia="Arial" w:hAnsi="Arial"/>
          <w:sz w:val="18"/>
          <w:szCs w:val="18"/>
          <w:color w:val="auto"/>
        </w:rPr>
        <w:t>”). 1,592,461 of the authorized shares of Preferred Stock are hereby designated “Series C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 474,001 of the authorized shares of Preferred Stock are hereby designated “Series C-1 Preferred” (the “</w:t>
      </w:r>
      <w:r>
        <w:rPr>
          <w:rFonts w:ascii="Arial" w:cs="Arial" w:eastAsia="Arial" w:hAnsi="Arial"/>
          <w:sz w:val="18"/>
          <w:szCs w:val="18"/>
          <w:b w:val="1"/>
          <w:bCs w:val="1"/>
          <w:i w:val="1"/>
          <w:iCs w:val="1"/>
          <w:color w:val="auto"/>
        </w:rPr>
        <w:t>Series C-1 Preferred</w:t>
      </w:r>
      <w:r>
        <w:rPr>
          <w:rFonts w:ascii="Arial" w:cs="Arial" w:eastAsia="Arial" w:hAnsi="Arial"/>
          <w:sz w:val="18"/>
          <w:szCs w:val="18"/>
          <w:color w:val="auto"/>
        </w:rPr>
        <w:t>”). 5,490,973 of the authorized shares of Preferred Stock are hereby designated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w:t>
      </w:r>
    </w:p>
    <w:p>
      <w:pPr>
        <w:spacing w:after="0" w:line="193" w:lineRule="exact"/>
        <w:rPr>
          <w:rFonts w:ascii="Arial" w:cs="Arial" w:eastAsia="Arial" w:hAnsi="Arial"/>
          <w:sz w:val="18"/>
          <w:szCs w:val="18"/>
          <w:b w:val="1"/>
          <w:bCs w:val="1"/>
          <w:color w:val="auto"/>
        </w:rPr>
      </w:pPr>
    </w:p>
    <w:p>
      <w:pPr>
        <w:ind w:left="-20" w:right="180" w:firstLine="464"/>
        <w:spacing w:after="0" w:line="297" w:lineRule="auto"/>
        <w:tabs>
          <w:tab w:leader="none" w:pos="791"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Contingent and effective upon the filing of this Amended and Restated Certificate of Incorporation with the Secretary of State of the State of Delaware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every 7 outstanding shares of Common Stock and Preferred Stock will be combined into and automatically, without any further action by the Corporation or the stockholders thereof, become one (1) outstanding share of Common Stock and Preferred Stock, respectively, of the Corporation (the “</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All shares of Common Stock and Preferred Stock of the Corporation outstanding immediately prior to the Reverse Stock Split that are held by a stockholder will be aggregated by series prior to the combination of such shares pursuant to the preceding sentence.</w:t>
      </w:r>
    </w:p>
    <w:p>
      <w:pPr>
        <w:spacing w:after="0" w:line="158" w:lineRule="exact"/>
        <w:rPr>
          <w:rFonts w:ascii="Arial" w:cs="Arial" w:eastAsia="Arial" w:hAnsi="Arial"/>
          <w:sz w:val="16"/>
          <w:szCs w:val="16"/>
          <w:b w:val="1"/>
          <w:bCs w:val="1"/>
          <w:color w:val="auto"/>
        </w:rPr>
      </w:pPr>
    </w:p>
    <w:p>
      <w:pPr>
        <w:ind w:left="-20" w:right="80" w:firstLine="464"/>
        <w:spacing w:after="0" w:line="276" w:lineRule="auto"/>
        <w:tabs>
          <w:tab w:leader="none" w:pos="781"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No fractional shares shall be issued in connection with the foregoing combination of the shares pursuant to the Reverse Stock Split. The Corporation will pay in cash the fair value of such fractional shares, without interest and as determined in good faith by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when those entitled to receive such fractional shares are determined. The Reverse Stock Split shall occur automatically without any further action by the holders of Common Stock or Preferred Stock. The shares issued pursuant to the Reverse Stock Split shall be entered in the books of the Corporation, without the need for surrender or exchange of any stock certificate outstanding immediately prior to the Effective Time.</w:t>
      </w:r>
    </w:p>
    <w:p>
      <w:pPr>
        <w:spacing w:after="0" w:line="172" w:lineRule="exact"/>
        <w:rPr>
          <w:rFonts w:ascii="Arial" w:cs="Arial" w:eastAsia="Arial" w:hAnsi="Arial"/>
          <w:sz w:val="17"/>
          <w:szCs w:val="17"/>
          <w:b w:val="1"/>
          <w:bCs w:val="1"/>
          <w:color w:val="auto"/>
        </w:rPr>
      </w:pPr>
    </w:p>
    <w:p>
      <w:pPr>
        <w:ind w:left="-20" w:right="640" w:firstLine="464"/>
        <w:spacing w:after="0" w:line="342" w:lineRule="auto"/>
        <w:tabs>
          <w:tab w:leader="none" w:pos="751"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The rights, preferences, privileges, restrictions and other matters relating to the Series B Preferred, the Series B-1 Preferred, the Series B-2 Preferred, the Series C Preferred the Series C-1 Preferred and the Series D Preferred (collectively, the “</w:t>
      </w:r>
      <w:r>
        <w:rPr>
          <w:rFonts w:ascii="Arial" w:cs="Arial" w:eastAsia="Arial" w:hAnsi="Arial"/>
          <w:sz w:val="16"/>
          <w:szCs w:val="16"/>
          <w:b w:val="1"/>
          <w:bCs w:val="1"/>
          <w:i w:val="1"/>
          <w:iCs w:val="1"/>
          <w:color w:val="auto"/>
        </w:rPr>
        <w:t>Series Preferred</w:t>
      </w:r>
      <w:r>
        <w:rPr>
          <w:rFonts w:ascii="Arial" w:cs="Arial" w:eastAsia="Arial" w:hAnsi="Arial"/>
          <w:sz w:val="16"/>
          <w:szCs w:val="16"/>
          <w:color w:val="auto"/>
        </w:rPr>
        <w:t>”) are as follows:</w:t>
      </w:r>
    </w:p>
    <w:p>
      <w:pPr>
        <w:spacing w:after="0" w:line="227" w:lineRule="exact"/>
        <w:rPr>
          <w:rFonts w:ascii="Arial" w:cs="Arial" w:eastAsia="Arial" w:hAnsi="Arial"/>
          <w:sz w:val="16"/>
          <w:szCs w:val="16"/>
          <w:b w:val="1"/>
          <w:bCs w:val="1"/>
          <w:color w:val="auto"/>
        </w:rPr>
      </w:pPr>
    </w:p>
    <w:p>
      <w:pPr>
        <w:ind w:left="1220" w:hanging="319"/>
        <w:spacing w:after="0"/>
        <w:tabs>
          <w:tab w:leader="none" w:pos="1220"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1492"/>
        <w:spacing w:after="0" w:line="255" w:lineRule="auto"/>
        <w:tabs>
          <w:tab w:leader="none" w:pos="1853" w:val="left"/>
        </w:tabs>
        <w:numPr>
          <w:ilvl w:val="2"/>
          <w:numId w:val="192"/>
        </w:numPr>
        <w:rPr>
          <w:rFonts w:ascii="Arial" w:cs="Arial" w:eastAsia="Arial" w:hAnsi="Arial"/>
          <w:sz w:val="18"/>
          <w:szCs w:val="18"/>
          <w:b w:val="1"/>
          <w:bCs w:val="1"/>
          <w:color w:val="auto"/>
        </w:rPr>
      </w:pPr>
      <w:r>
        <w:rPr>
          <w:rFonts w:ascii="Arial" w:cs="Arial" w:eastAsia="Arial" w:hAnsi="Arial"/>
          <w:sz w:val="18"/>
          <w:szCs w:val="18"/>
          <w:color w:val="auto"/>
        </w:rPr>
        <w:t>First, holders of the Series D Preferred, in preference to the holders of the Series C-1 Preferred,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D Preferred. Such dividends shall be payable only when, as and if declared by the Board and shall be non-cumulative. Any partial payment pursuant to this Section 1(a) shall be made ratably among the holders of Series D Preferred in proportion to the payment each such holder would receive if the full amount of such dividends were paid.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279" w:name="page280"/>
    <w:bookmarkEnd w:id="279"/>
    <w:p>
      <w:pPr>
        <w:ind w:left="-20" w:right="20" w:firstLine="1492"/>
        <w:spacing w:after="0" w:line="273" w:lineRule="auto"/>
        <w:tabs>
          <w:tab w:leader="none" w:pos="1863"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after payment of any amounts payable pursuant to Section 1(a) above, holders of the Series C-1 Preferred, in preference to the holders of the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C-1 Preferred. Such dividends shall be payable only when, as and if declared by the Board and shall be non-cumulative. Any partial payment pursuant to this Section 1(b) shall be made ratably among the holders of Series C-1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left="-20" w:right="20" w:firstLine="1492"/>
        <w:spacing w:after="0" w:line="273" w:lineRule="auto"/>
        <w:tabs>
          <w:tab w:leader="none" w:pos="1833"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After payment of any amounts payable pursuant to Sections 1(a) and 1(b) above, Holders of the Series C Preferred, in preference to the holders of the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 Preferred. Such dividends shall be payable only when, as and if declared by the Board and shall be non-cumulative. Any partial payment pursuant to this Section 1(c) shall be made ratably among the holders of Series C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left="-20" w:firstLine="1492"/>
        <w:spacing w:after="0" w:line="272" w:lineRule="auto"/>
        <w:tabs>
          <w:tab w:leader="none" w:pos="1853"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After payment of any amounts payable pursuant to Sections 1(a), 1(b) and 1(c) above, holders of the Series B Preferred, the Series B-1 Preferred and the Series B-2 Preferred, on a pari passu basis and in preference to the holders of Common Stock, shall be entitled to receive, when, as and if declared by the Board, but only out of funds that are legally available therefore, cash dividends at the rate of 8% of the applicable Original Issue Price (as defined below) per annum on each outstanding share of Series B Preferred, Series B-1 Preferred and the Series B-2 Preferred. Such dividends shall be payable only when, as and if declared by the Board and shall be non-cumulative. Any partial payment pursuant to this Section 1(d) shall be made ratably among the holders of the Series B Preferred, the Series B-1 Preferred and the Series B-2 Preferred in proportion to the payment each such holder would receive if the full amount of such dividends were paid.</w:t>
      </w:r>
    </w:p>
    <w:p>
      <w:pPr>
        <w:spacing w:after="0" w:line="177" w:lineRule="exact"/>
        <w:rPr>
          <w:rFonts w:ascii="Arial" w:cs="Arial" w:eastAsia="Arial" w:hAnsi="Arial"/>
          <w:sz w:val="17"/>
          <w:szCs w:val="17"/>
          <w:b w:val="1"/>
          <w:bCs w:val="1"/>
          <w:color w:val="auto"/>
        </w:rPr>
      </w:pPr>
    </w:p>
    <w:p>
      <w:pPr>
        <w:jc w:val="both"/>
        <w:ind w:left="-20" w:right="60" w:firstLine="1492"/>
        <w:spacing w:after="0" w:line="259" w:lineRule="auto"/>
        <w:tabs>
          <w:tab w:leader="none" w:pos="1840"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of (i) the Series D Preferred shall be $7.42, (ii) the Series C-1 Preferred shall be $4.55, (iii) the Series C Preferred shall be $4.55, (iv) the Series B Preferred shall be $6.30, (v) the Series B-1 Preferred shall be $6.30, and (vi) the Series B-2 Preferred shall be $7.00 (in each case as adjusted for any stock dividends, combinations, splits, recapitalizations and the like with respect to such shares after the filing date hereof (such date, the “</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left="-20" w:right="300" w:firstLine="1492"/>
        <w:spacing w:after="0" w:line="312" w:lineRule="auto"/>
        <w:tabs>
          <w:tab w:leader="none" w:pos="1823"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Preferred are outstanding, the Company shall not pay or declare any dividend, whether in cash or property, or make any other distribution on the Common Stock, or purchase, redeem or otherwise acquire for value any shares of Common Stock until all dividends as set forth in Sections 1(a), 1(b), 1(c) and 1(d) above on the Series Preferred shall have been paid or declared and set apart, except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280" w:name="page281"/>
    <w:bookmarkEnd w:id="280"/>
    <w:p>
      <w:pPr>
        <w:ind w:firstLine="1948"/>
        <w:spacing w:after="0" w:line="277" w:lineRule="auto"/>
        <w:tabs>
          <w:tab w:leader="none" w:pos="2290" w:val="left"/>
        </w:tabs>
        <w:numPr>
          <w:ilvl w:val="2"/>
          <w:numId w:val="19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acquisitions of Common Stock by the Company pursuant to agreements which permit the Company to repurchase such shares at cost (or the lesser of cost or fair market value) upon termination of services to the Company;</w:t>
      </w:r>
    </w:p>
    <w:p>
      <w:pPr>
        <w:spacing w:after="0" w:line="170" w:lineRule="exact"/>
        <w:rPr>
          <w:rFonts w:ascii="Arial" w:cs="Arial" w:eastAsia="Arial" w:hAnsi="Arial"/>
          <w:sz w:val="18"/>
          <w:szCs w:val="18"/>
          <w:b w:val="1"/>
          <w:bCs w:val="1"/>
          <w:color w:val="auto"/>
        </w:rPr>
      </w:pPr>
    </w:p>
    <w:p>
      <w:pPr>
        <w:ind w:left="2340" w:hanging="392"/>
        <w:spacing w:after="0"/>
        <w:tabs>
          <w:tab w:leader="none" w:pos="2340" w:val="left"/>
        </w:tabs>
        <w:numPr>
          <w:ilvl w:val="2"/>
          <w:numId w:val="194"/>
        </w:numPr>
        <w:rPr>
          <w:rFonts w:ascii="Arial" w:cs="Arial" w:eastAsia="Arial" w:hAnsi="Arial"/>
          <w:sz w:val="16"/>
          <w:szCs w:val="16"/>
          <w:b w:val="1"/>
          <w:bCs w:val="1"/>
          <w:color w:val="auto"/>
        </w:rPr>
      </w:pPr>
      <w:r>
        <w:rPr>
          <w:rFonts w:ascii="Arial" w:cs="Arial" w:eastAsia="Arial" w:hAnsi="Arial"/>
          <w:sz w:val="16"/>
          <w:szCs w:val="16"/>
          <w:color w:val="auto"/>
        </w:rPr>
        <w:t>acquisitions of Common Stock in exercise of the Company’s right of first refusal to repurchase such shares approved by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 or</w:t>
      </w:r>
    </w:p>
    <w:p>
      <w:pPr>
        <w:spacing w:after="0" w:line="210" w:lineRule="exact"/>
        <w:rPr>
          <w:rFonts w:ascii="Arial" w:cs="Arial" w:eastAsia="Arial" w:hAnsi="Arial"/>
          <w:sz w:val="16"/>
          <w:szCs w:val="16"/>
          <w:b w:val="1"/>
          <w:bCs w:val="1"/>
          <w:color w:val="auto"/>
        </w:rPr>
      </w:pPr>
    </w:p>
    <w:p>
      <w:pPr>
        <w:ind w:left="2400" w:hanging="452"/>
        <w:spacing w:after="0"/>
        <w:tabs>
          <w:tab w:leader="none" w:pos="2400" w:val="left"/>
        </w:tabs>
        <w:numPr>
          <w:ilvl w:val="2"/>
          <w:numId w:val="194"/>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Sections 3 and 4.</w:t>
      </w:r>
    </w:p>
    <w:p>
      <w:pPr>
        <w:spacing w:after="0" w:line="225" w:lineRule="exact"/>
        <w:rPr>
          <w:rFonts w:ascii="Arial" w:cs="Arial" w:eastAsia="Arial" w:hAnsi="Arial"/>
          <w:sz w:val="18"/>
          <w:szCs w:val="18"/>
          <w:b w:val="1"/>
          <w:bCs w:val="1"/>
          <w:color w:val="auto"/>
        </w:rPr>
      </w:pPr>
    </w:p>
    <w:p>
      <w:pPr>
        <w:ind w:right="220" w:firstLine="1492"/>
        <w:spacing w:after="0" w:line="264" w:lineRule="auto"/>
        <w:tabs>
          <w:tab w:leader="none" w:pos="1873"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81" w:lineRule="exact"/>
        <w:rPr>
          <w:rFonts w:ascii="Arial" w:cs="Arial" w:eastAsia="Arial" w:hAnsi="Arial"/>
          <w:sz w:val="18"/>
          <w:szCs w:val="18"/>
          <w:b w:val="1"/>
          <w:bCs w:val="1"/>
          <w:color w:val="auto"/>
        </w:rPr>
      </w:pPr>
    </w:p>
    <w:p>
      <w:pPr>
        <w:ind w:right="140" w:firstLine="1492"/>
        <w:spacing w:after="0" w:line="264" w:lineRule="auto"/>
        <w:tabs>
          <w:tab w:leader="none" w:pos="188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The provisions of Sections 1(f) and 1(g) shall not apply to a dividend payable solely in Common Stock to which the provisions of Section 5(f) hereof are applicable, or any repurchase of any outstanding securities of the Company that is approved by (i) the Board and (ii) the Series Preferred as may be required by this Certificate of Incorporation.</w:t>
      </w:r>
    </w:p>
    <w:p>
      <w:pPr>
        <w:spacing w:after="0" w:line="181" w:lineRule="exact"/>
        <w:rPr>
          <w:rFonts w:ascii="Arial" w:cs="Arial" w:eastAsia="Arial" w:hAnsi="Arial"/>
          <w:sz w:val="18"/>
          <w:szCs w:val="18"/>
          <w:b w:val="1"/>
          <w:bCs w:val="1"/>
          <w:color w:val="auto"/>
        </w:rPr>
      </w:pPr>
    </w:p>
    <w:p>
      <w:pPr>
        <w:ind w:right="60" w:firstLine="1492"/>
        <w:spacing w:after="0" w:line="264" w:lineRule="auto"/>
        <w:tabs>
          <w:tab w:leader="none" w:pos="1833"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Distributions on shares junior to the Series Preferred as they relate to repurchases of shares of Common Stock upon termination of employment or service as a consultant or director may be made without regard to any preferential dividends arrears amount or any preferential rights amount (each as determined under applicable law).</w:t>
      </w:r>
    </w:p>
    <w:p>
      <w:pPr>
        <w:spacing w:after="0" w:line="285" w:lineRule="exact"/>
        <w:rPr>
          <w:rFonts w:ascii="Arial" w:cs="Arial" w:eastAsia="Arial" w:hAnsi="Arial"/>
          <w:sz w:val="18"/>
          <w:szCs w:val="18"/>
          <w:b w:val="1"/>
          <w:bCs w:val="1"/>
          <w:color w:val="auto"/>
        </w:rPr>
      </w:pPr>
    </w:p>
    <w:p>
      <w:pPr>
        <w:ind w:left="1240" w:hanging="319"/>
        <w:spacing w:after="0"/>
        <w:tabs>
          <w:tab w:leader="none" w:pos="12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1492"/>
        <w:spacing w:after="0" w:line="274" w:lineRule="auto"/>
        <w:tabs>
          <w:tab w:leader="none" w:pos="1873" w:val="left"/>
        </w:tabs>
        <w:numPr>
          <w:ilvl w:val="1"/>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General Rights</w:t>
      </w:r>
      <w:r>
        <w:rPr>
          <w:rFonts w:ascii="Arial" w:cs="Arial" w:eastAsia="Arial" w:hAnsi="Arial"/>
          <w:sz w:val="17"/>
          <w:szCs w:val="17"/>
          <w:color w:val="auto"/>
        </w:rPr>
        <w:t>. Each holder of shares of the Series Preferred shall be entitled to the number of votes equal to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73" w:lineRule="exact"/>
        <w:rPr>
          <w:rFonts w:ascii="Arial" w:cs="Arial" w:eastAsia="Arial" w:hAnsi="Arial"/>
          <w:sz w:val="17"/>
          <w:szCs w:val="17"/>
          <w:b w:val="1"/>
          <w:bCs w:val="1"/>
          <w:color w:val="auto"/>
        </w:rPr>
      </w:pPr>
    </w:p>
    <w:p>
      <w:pPr>
        <w:ind w:right="40" w:firstLine="1492"/>
        <w:spacing w:after="0" w:line="303" w:lineRule="auto"/>
        <w:tabs>
          <w:tab w:leader="none" w:pos="1883" w:val="left"/>
        </w:tabs>
        <w:numPr>
          <w:ilvl w:val="1"/>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Separate Vote of Series Preferred</w:t>
      </w:r>
      <w:r>
        <w:rPr>
          <w:rFonts w:ascii="Arial" w:cs="Arial" w:eastAsia="Arial" w:hAnsi="Arial"/>
          <w:sz w:val="16"/>
          <w:szCs w:val="16"/>
          <w:color w:val="auto"/>
        </w:rPr>
        <w:t>. For so long as at least 214,285 shares of Series Preferred remain outstanding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for any stock split, reverse stock split or similar event affecting the Series Preferred after the Filing Date), in addition to any other vote or consent required herein or by law, the vote or written consent of the holders of at least a majority of the outstanding Series Preferred, voting together as a single class on an as-if-converted basis, shall be necessary for effecting or validating the following actions (whether by merger, recapitalization or otherwise):</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81" w:name="page282"/>
    <w:bookmarkEnd w:id="281"/>
    <w:p>
      <w:pPr>
        <w:ind w:right="680" w:firstLine="1948"/>
        <w:spacing w:after="0" w:line="277" w:lineRule="auto"/>
        <w:tabs>
          <w:tab w:leader="none" w:pos="2280"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alteration, repeal or waiver of any provision of the Certificate of Incorporation or the Bylaws of the Company (including any filing of a Certificate of Designation);</w:t>
      </w:r>
    </w:p>
    <w:p>
      <w:pPr>
        <w:spacing w:after="0" w:line="170" w:lineRule="exact"/>
        <w:rPr>
          <w:rFonts w:ascii="Arial" w:cs="Arial" w:eastAsia="Arial" w:hAnsi="Arial"/>
          <w:sz w:val="18"/>
          <w:szCs w:val="18"/>
          <w:b w:val="1"/>
          <w:bCs w:val="1"/>
          <w:color w:val="auto"/>
        </w:rPr>
      </w:pPr>
    </w:p>
    <w:p>
      <w:pPr>
        <w:ind w:left="2340" w:hanging="392"/>
        <w:spacing w:after="0"/>
        <w:tabs>
          <w:tab w:leader="none" w:pos="2340"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Common Stock or Preferred Stock;</w:t>
      </w:r>
    </w:p>
    <w:p>
      <w:pPr>
        <w:spacing w:after="0" w:line="225" w:lineRule="exact"/>
        <w:rPr>
          <w:rFonts w:ascii="Arial" w:cs="Arial" w:eastAsia="Arial" w:hAnsi="Arial"/>
          <w:sz w:val="18"/>
          <w:szCs w:val="18"/>
          <w:b w:val="1"/>
          <w:bCs w:val="1"/>
          <w:color w:val="auto"/>
        </w:rPr>
      </w:pPr>
    </w:p>
    <w:p>
      <w:pPr>
        <w:jc w:val="both"/>
        <w:ind w:right="300" w:firstLine="1948"/>
        <w:spacing w:after="0" w:line="312" w:lineRule="auto"/>
        <w:tabs>
          <w:tab w:leader="none" w:pos="2380"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Any authorization or any designation, whether by reclassification or otherwise, of any new class or series of stock or any other securities convertible into equity securities of the Company ranking on a parity with or senior to the Series Preferred or any series thereof in right of redemption, liquidation preference, voting or dividend rights or any increase in the authorized or designated number of any such new class or series;</w:t>
      </w:r>
    </w:p>
    <w:p>
      <w:pPr>
        <w:spacing w:after="0" w:line="146" w:lineRule="exact"/>
        <w:rPr>
          <w:rFonts w:ascii="Arial" w:cs="Arial" w:eastAsia="Arial" w:hAnsi="Arial"/>
          <w:sz w:val="16"/>
          <w:szCs w:val="16"/>
          <w:b w:val="1"/>
          <w:bCs w:val="1"/>
          <w:color w:val="auto"/>
        </w:rPr>
      </w:pPr>
    </w:p>
    <w:p>
      <w:pPr>
        <w:ind w:right="260" w:firstLine="1948"/>
        <w:spacing w:after="0" w:line="308" w:lineRule="auto"/>
        <w:tabs>
          <w:tab w:leader="none" w:pos="2370" w:val="left"/>
        </w:tabs>
        <w:numPr>
          <w:ilvl w:val="1"/>
          <w:numId w:val="197"/>
        </w:numPr>
        <w:rPr>
          <w:rFonts w:ascii="Arial" w:cs="Arial" w:eastAsia="Arial" w:hAnsi="Arial"/>
          <w:sz w:val="17"/>
          <w:szCs w:val="17"/>
          <w:b w:val="1"/>
          <w:bCs w:val="1"/>
          <w:color w:val="auto"/>
        </w:rPr>
      </w:pPr>
      <w:r>
        <w:rPr>
          <w:rFonts w:ascii="Arial" w:cs="Arial" w:eastAsia="Arial" w:hAnsi="Arial"/>
          <w:sz w:val="17"/>
          <w:szCs w:val="17"/>
          <w:color w:val="auto"/>
        </w:rPr>
        <w:t>Any redemption, repurchase, payment or declaration of dividends or other distributions with respect to Common Stock or Preferred Stock (except for acquisitions of Common Stock by the Company permitted by Section 1(f)(i), (ii) and (iii) hereof;</w:t>
      </w:r>
    </w:p>
    <w:p>
      <w:pPr>
        <w:spacing w:after="0" w:line="146" w:lineRule="exact"/>
        <w:rPr>
          <w:rFonts w:ascii="Arial" w:cs="Arial" w:eastAsia="Arial" w:hAnsi="Arial"/>
          <w:sz w:val="17"/>
          <w:szCs w:val="17"/>
          <w:b w:val="1"/>
          <w:bCs w:val="1"/>
          <w:color w:val="auto"/>
        </w:rPr>
      </w:pPr>
    </w:p>
    <w:p>
      <w:pPr>
        <w:ind w:left="2320" w:hanging="372"/>
        <w:spacing w:after="0"/>
        <w:tabs>
          <w:tab w:leader="none" w:pos="2320"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Any Liquidation Event (as defined in Section 3 hereof); or</w:t>
      </w:r>
    </w:p>
    <w:p>
      <w:pPr>
        <w:spacing w:after="0" w:line="225" w:lineRule="exact"/>
        <w:rPr>
          <w:rFonts w:ascii="Arial" w:cs="Arial" w:eastAsia="Arial" w:hAnsi="Arial"/>
          <w:sz w:val="18"/>
          <w:szCs w:val="18"/>
          <w:b w:val="1"/>
          <w:bCs w:val="1"/>
          <w:color w:val="auto"/>
        </w:rPr>
      </w:pPr>
    </w:p>
    <w:p>
      <w:pPr>
        <w:ind w:left="2420" w:hanging="472"/>
        <w:spacing w:after="0"/>
        <w:tabs>
          <w:tab w:leader="none" w:pos="2420"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Any agreement by the Company or its stockholders regarding an Asset Transfer or Acquisition (each as defined in Section 4</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hereof).</w:t>
      </w:r>
    </w:p>
    <w:p>
      <w:pPr>
        <w:spacing w:after="0" w:line="206" w:lineRule="exact"/>
        <w:rPr>
          <w:rFonts w:ascii="Arial" w:cs="Arial" w:eastAsia="Arial" w:hAnsi="Arial"/>
          <w:sz w:val="16"/>
          <w:szCs w:val="16"/>
          <w:b w:val="1"/>
          <w:bCs w:val="1"/>
          <w:color w:val="auto"/>
        </w:rPr>
      </w:pPr>
    </w:p>
    <w:p>
      <w:pPr>
        <w:ind w:firstLine="1492"/>
        <w:spacing w:after="0" w:line="256" w:lineRule="auto"/>
        <w:tabs>
          <w:tab w:leader="none" w:pos="1863"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457,142 shares of Series B Preferred, Series B-1 Preferred and Series B-2 Preferred remain outstanding (subject to adjustment for any stock split, reverse stock split or similar event affecting the Series B Preferred, the Series B-1 Preferred or the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91" w:lineRule="exact"/>
        <w:rPr>
          <w:rFonts w:ascii="Arial" w:cs="Arial" w:eastAsia="Arial" w:hAnsi="Arial"/>
          <w:sz w:val="18"/>
          <w:szCs w:val="18"/>
          <w:b w:val="1"/>
          <w:bCs w:val="1"/>
          <w:color w:val="auto"/>
        </w:rPr>
      </w:pPr>
    </w:p>
    <w:p>
      <w:pPr>
        <w:jc w:val="both"/>
        <w:ind w:right="120" w:firstLine="1948"/>
        <w:spacing w:after="0" w:line="259" w:lineRule="auto"/>
        <w:tabs>
          <w:tab w:leader="none" w:pos="2280" w:val="left"/>
        </w:tabs>
        <w:numPr>
          <w:ilvl w:val="1"/>
          <w:numId w:val="198"/>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B Preferred, the Series B-1 Preferred or the Series B-2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340" w:hanging="392"/>
        <w:spacing w:after="0"/>
        <w:tabs>
          <w:tab w:leader="none" w:pos="2340" w:val="left"/>
        </w:tabs>
        <w:numPr>
          <w:ilvl w:val="1"/>
          <w:numId w:val="198"/>
        </w:numPr>
        <w:rPr>
          <w:rFonts w:ascii="Arial" w:cs="Arial" w:eastAsia="Arial" w:hAnsi="Arial"/>
          <w:sz w:val="17"/>
          <w:szCs w:val="17"/>
          <w:b w:val="1"/>
          <w:bCs w:val="1"/>
          <w:color w:val="auto"/>
        </w:rPr>
      </w:pPr>
      <w:r>
        <w:rPr>
          <w:rFonts w:ascii="Arial" w:cs="Arial" w:eastAsia="Arial" w:hAnsi="Arial"/>
          <w:sz w:val="17"/>
          <w:szCs w:val="17"/>
          <w:color w:val="auto"/>
        </w:rPr>
        <w:t>Any increase or decrease in the authorized number of shares of Series B Preferred, Series B-1 Preferred or Series B-2</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Preferred.</w:t>
      </w:r>
    </w:p>
    <w:p>
      <w:pPr>
        <w:spacing w:after="0" w:line="206" w:lineRule="exact"/>
        <w:rPr>
          <w:rFonts w:ascii="Arial" w:cs="Arial" w:eastAsia="Arial" w:hAnsi="Arial"/>
          <w:sz w:val="17"/>
          <w:szCs w:val="17"/>
          <w:b w:val="1"/>
          <w:bCs w:val="1"/>
          <w:color w:val="auto"/>
        </w:rPr>
      </w:pPr>
    </w:p>
    <w:p>
      <w:pPr>
        <w:ind w:right="380" w:firstLine="1492"/>
        <w:spacing w:after="0" w:line="282" w:lineRule="auto"/>
        <w:tabs>
          <w:tab w:leader="none" w:pos="1883"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457,142 shares of Series B Preferred, Series B-1 Preferred and Series B-2 Preferred remain outstanding (subject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2" w:name="page283"/>
    <w:bookmarkEnd w:id="28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for any stock split, reverse stock split or similar event affecting the Series B Preferred, the Series B-1 Preferred or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87" w:lineRule="exact"/>
        <w:rPr>
          <w:sz w:val="20"/>
          <w:szCs w:val="20"/>
          <w:color w:val="auto"/>
        </w:rPr>
      </w:pPr>
    </w:p>
    <w:p>
      <w:pPr>
        <w:ind w:left="2280" w:hanging="332"/>
        <w:spacing w:after="0"/>
        <w:tabs>
          <w:tab w:leader="none" w:pos="228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340" w:hanging="392"/>
        <w:spacing w:after="0"/>
        <w:tabs>
          <w:tab w:leader="none" w:pos="234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40" w:firstLine="1492"/>
        <w:spacing w:after="0" w:line="277" w:lineRule="auto"/>
        <w:tabs>
          <w:tab w:leader="none" w:pos="1863"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C-1 Preferred and Series C Preferred</w:t>
      </w:r>
      <w:r>
        <w:rPr>
          <w:rFonts w:ascii="Arial" w:cs="Arial" w:eastAsia="Arial" w:hAnsi="Arial"/>
          <w:sz w:val="17"/>
          <w:szCs w:val="17"/>
          <w:color w:val="auto"/>
        </w:rPr>
        <w:t>. For so long as at least 457,142 shares of Series C-1 Preferred and</w:t>
      </w:r>
      <w:r>
        <w:rPr>
          <w:rFonts w:ascii="Arial" w:cs="Arial" w:eastAsia="Arial" w:hAnsi="Arial"/>
          <w:sz w:val="17"/>
          <w:szCs w:val="17"/>
          <w:b w:val="1"/>
          <w:bCs w:val="1"/>
          <w:color w:val="auto"/>
        </w:rPr>
        <w:t xml:space="preserve"> </w:t>
      </w:r>
      <w:r>
        <w:rPr>
          <w:rFonts w:ascii="Arial" w:cs="Arial" w:eastAsia="Arial" w:hAnsi="Arial"/>
          <w:sz w:val="17"/>
          <w:szCs w:val="17"/>
          <w:color w:val="auto"/>
        </w:rPr>
        <w:t>Series C Preferred remain outstanding (subject to adjustment for any stock split, reverse stock split or similar event affecting the Series C-1 Preferred and Series C Preferred after the Filing Date), in addition to any other vote or consent required herein or by law, the vote or written consent of the holders of at least 55% of the outstanding Series C-1 Preferred and Series C Preferred, voting together as a single class on an as-if-converted basis, shall be necessary for effecting or validating the following actions (whether by merger, recapitalization or otherwise):</w:t>
      </w:r>
    </w:p>
    <w:p>
      <w:pPr>
        <w:spacing w:after="0" w:line="172" w:lineRule="exact"/>
        <w:rPr>
          <w:rFonts w:ascii="Arial" w:cs="Arial" w:eastAsia="Arial" w:hAnsi="Arial"/>
          <w:sz w:val="17"/>
          <w:szCs w:val="17"/>
          <w:b w:val="1"/>
          <w:bCs w:val="1"/>
          <w:color w:val="auto"/>
        </w:rPr>
      </w:pPr>
    </w:p>
    <w:p>
      <w:pPr>
        <w:jc w:val="both"/>
        <w:ind w:right="100" w:firstLine="1948"/>
        <w:spacing w:after="0" w:line="259" w:lineRule="auto"/>
        <w:tabs>
          <w:tab w:leader="none" w:pos="228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C-1 Preferred or Series C Preferred in a manner different than any other series of Preferred Stock;</w:t>
      </w:r>
    </w:p>
    <w:p>
      <w:pPr>
        <w:spacing w:after="0" w:line="186" w:lineRule="exact"/>
        <w:rPr>
          <w:rFonts w:ascii="Arial" w:cs="Arial" w:eastAsia="Arial" w:hAnsi="Arial"/>
          <w:sz w:val="18"/>
          <w:szCs w:val="18"/>
          <w:b w:val="1"/>
          <w:bCs w:val="1"/>
          <w:color w:val="auto"/>
        </w:rPr>
      </w:pPr>
    </w:p>
    <w:p>
      <w:pPr>
        <w:ind w:left="2340" w:hanging="392"/>
        <w:spacing w:after="0"/>
        <w:tabs>
          <w:tab w:leader="none" w:pos="234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C-1 Preferred or Series C Preferred;</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320" w:hanging="372"/>
        <w:spacing w:after="0"/>
        <w:tabs>
          <w:tab w:leader="none" w:pos="232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100" w:firstLine="1492"/>
        <w:spacing w:after="0" w:line="261" w:lineRule="auto"/>
        <w:tabs>
          <w:tab w:leader="none" w:pos="1843"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D Preferred</w:t>
      </w:r>
      <w:r>
        <w:rPr>
          <w:rFonts w:ascii="Arial" w:cs="Arial" w:eastAsia="Arial" w:hAnsi="Arial"/>
          <w:sz w:val="18"/>
          <w:szCs w:val="18"/>
          <w:color w:val="auto"/>
        </w:rPr>
        <w:t>. For so long as any shares of Series D Preferred remain outstanding, in addition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vote or consent required herein or by law, the vote or written consent of the holders of at least a majority of the outstanding Series D Preferred, voting together as a single class on an as-if-converted basis, shall be necessary for effecting or validating the following actions (whether by merger, recapitalization or otherwise):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83" w:name="page284"/>
    <w:bookmarkEnd w:id="283"/>
    <w:p>
      <w:pPr>
        <w:jc w:val="both"/>
        <w:ind w:left="-40" w:right="100" w:firstLine="1948"/>
        <w:spacing w:after="0" w:line="259" w:lineRule="auto"/>
        <w:tabs>
          <w:tab w:leader="none" w:pos="2240"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D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300" w:hanging="392"/>
        <w:spacing w:after="0"/>
        <w:tabs>
          <w:tab w:leader="none" w:pos="2300"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D Preferred.</w:t>
      </w:r>
    </w:p>
    <w:p>
      <w:pPr>
        <w:spacing w:after="0" w:line="329" w:lineRule="exact"/>
        <w:rPr>
          <w:rFonts w:ascii="Arial" w:cs="Arial" w:eastAsia="Arial" w:hAnsi="Arial"/>
          <w:sz w:val="18"/>
          <w:szCs w:val="18"/>
          <w:b w:val="1"/>
          <w:bCs w:val="1"/>
          <w:color w:val="auto"/>
        </w:rPr>
      </w:pPr>
    </w:p>
    <w:p>
      <w:pPr>
        <w:ind w:left="1840" w:hanging="388"/>
        <w:spacing w:after="0"/>
        <w:tabs>
          <w:tab w:leader="none" w:pos="18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0" w:right="100" w:firstLine="1948"/>
        <w:spacing w:after="0" w:line="255" w:lineRule="auto"/>
        <w:tabs>
          <w:tab w:leader="none" w:pos="2250"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For so long as at least an aggregate of 457,142 shares of Series B Preferred, Series B-1 Preferred and Series B-2 Preferred remain outstanding (subject to adjustment for any stock split, reverse stock split or similar event affecting the Series B Preferred, the Series B-1 Preferred or the Series B-2 Preferred after the Filing Date), the holders of Series B Preferred, Series B-1 Preferred and Series B-2 Preferred, voting together as a single class on an as-if-converted basis, shall be entitled to elect two members of the Board (the “</w:t>
      </w:r>
      <w:r>
        <w:rPr>
          <w:rFonts w:ascii="Arial" w:cs="Arial" w:eastAsia="Arial" w:hAnsi="Arial"/>
          <w:sz w:val="18"/>
          <w:szCs w:val="18"/>
          <w:b w:val="1"/>
          <w:bCs w:val="1"/>
          <w:i w:val="1"/>
          <w:iCs w:val="1"/>
          <w:color w:val="auto"/>
        </w:rPr>
        <w:t>Series B/B-1/B-2 Directors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93" w:lineRule="exact"/>
        <w:rPr>
          <w:rFonts w:ascii="Arial" w:cs="Arial" w:eastAsia="Arial" w:hAnsi="Arial"/>
          <w:sz w:val="18"/>
          <w:szCs w:val="18"/>
          <w:b w:val="1"/>
          <w:bCs w:val="1"/>
          <w:color w:val="auto"/>
        </w:rPr>
      </w:pPr>
    </w:p>
    <w:p>
      <w:pPr>
        <w:ind w:left="-40" w:right="60" w:firstLine="1948"/>
        <w:spacing w:after="0" w:line="264" w:lineRule="auto"/>
        <w:tabs>
          <w:tab w:leader="none" w:pos="2297"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one member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1" w:lineRule="exact"/>
        <w:rPr>
          <w:rFonts w:ascii="Arial" w:cs="Arial" w:eastAsia="Arial" w:hAnsi="Arial"/>
          <w:sz w:val="18"/>
          <w:szCs w:val="18"/>
          <w:b w:val="1"/>
          <w:bCs w:val="1"/>
          <w:color w:val="auto"/>
        </w:rPr>
      </w:pPr>
    </w:p>
    <w:p>
      <w:pPr>
        <w:ind w:left="-40" w:right="100" w:firstLine="1948"/>
        <w:spacing w:after="0" w:line="286" w:lineRule="auto"/>
        <w:tabs>
          <w:tab w:leader="none" w:pos="2347" w:val="left"/>
        </w:tabs>
        <w:numPr>
          <w:ilvl w:val="1"/>
          <w:numId w:val="202"/>
        </w:numPr>
        <w:rPr>
          <w:rFonts w:ascii="Arial" w:cs="Arial" w:eastAsia="Arial" w:hAnsi="Arial"/>
          <w:sz w:val="17"/>
          <w:szCs w:val="17"/>
          <w:b w:val="1"/>
          <w:bCs w:val="1"/>
          <w:color w:val="auto"/>
        </w:rPr>
      </w:pPr>
      <w:r>
        <w:rPr>
          <w:rFonts w:ascii="Arial" w:cs="Arial" w:eastAsia="Arial" w:hAnsi="Arial"/>
          <w:sz w:val="17"/>
          <w:szCs w:val="17"/>
          <w:color w:val="auto"/>
        </w:rPr>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65" w:lineRule="exact"/>
        <w:rPr>
          <w:rFonts w:ascii="Arial" w:cs="Arial" w:eastAsia="Arial" w:hAnsi="Arial"/>
          <w:sz w:val="17"/>
          <w:szCs w:val="17"/>
          <w:b w:val="1"/>
          <w:bCs w:val="1"/>
          <w:color w:val="auto"/>
        </w:rPr>
      </w:pPr>
    </w:p>
    <w:p>
      <w:pPr>
        <w:ind w:left="-40" w:firstLine="1948"/>
        <w:spacing w:after="0" w:line="290" w:lineRule="auto"/>
        <w:tabs>
          <w:tab w:leader="none" w:pos="2340" w:val="left"/>
        </w:tabs>
        <w:numPr>
          <w:ilvl w:val="1"/>
          <w:numId w:val="202"/>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 s votes. If any stockholder has given proper notice to cumulate votes, all stockholders may cumulate their votes for any candidates who have been properly placed in nomination. Under cumulative voting,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74" w:right="27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candidates receiving the highest number of votes, up to the number of directors to be elected, are elected.</w:t>
      </w:r>
    </w:p>
    <w:p>
      <w:pPr>
        <w:spacing w:after="0" w:line="225" w:lineRule="exact"/>
        <w:rPr>
          <w:sz w:val="20"/>
          <w:szCs w:val="20"/>
          <w:color w:val="auto"/>
        </w:rPr>
      </w:pPr>
    </w:p>
    <w:p>
      <w:pPr>
        <w:ind w:right="60" w:firstLine="1948"/>
        <w:spacing w:after="0" w:line="255" w:lineRule="auto"/>
        <w:tabs>
          <w:tab w:leader="none" w:pos="2330" w:val="left"/>
        </w:tabs>
        <w:numPr>
          <w:ilvl w:val="2"/>
          <w:numId w:val="203"/>
        </w:numPr>
        <w:rPr>
          <w:rFonts w:ascii="Arial" w:cs="Arial" w:eastAsia="Arial" w:hAnsi="Arial"/>
          <w:sz w:val="18"/>
          <w:szCs w:val="18"/>
          <w:b w:val="1"/>
          <w:bCs w:val="1"/>
          <w:color w:val="auto"/>
        </w:rPr>
      </w:pPr>
      <w:r>
        <w:rPr>
          <w:rFonts w:ascii="Arial" w:cs="Arial" w:eastAsia="Arial" w:hAnsi="Arial"/>
          <w:sz w:val="18"/>
          <w:szCs w:val="18"/>
          <w:color w:val="auto"/>
        </w:rPr>
        <w:t xml:space="preserve">During such time or times that applicable law requires cumulative voting, one or more directors may be removed from office at any time without cause by the affirmative vote of the holders of at least a majority of the outstanding shares entitled to vote for that director as provided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297" w:lineRule="exact"/>
        <w:rPr>
          <w:rFonts w:ascii="Arial" w:cs="Arial" w:eastAsia="Arial" w:hAnsi="Arial"/>
          <w:sz w:val="18"/>
          <w:szCs w:val="18"/>
          <w:b w:val="1"/>
          <w:bCs w:val="1"/>
          <w:color w:val="auto"/>
        </w:rPr>
      </w:pPr>
    </w:p>
    <w:p>
      <w:pPr>
        <w:ind w:left="1240" w:hanging="319"/>
        <w:spacing w:after="0"/>
        <w:tabs>
          <w:tab w:leader="none" w:pos="12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1492"/>
        <w:spacing w:after="0" w:line="264" w:lineRule="auto"/>
        <w:tabs>
          <w:tab w:leader="none" w:pos="1873"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Upon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before any distribution or payment shall be made to the holders of any Common Stock, the Company shall make payment to the holders of Series Preferred as follows:</w:t>
      </w:r>
    </w:p>
    <w:p>
      <w:pPr>
        <w:spacing w:after="0" w:line="181" w:lineRule="exact"/>
        <w:rPr>
          <w:rFonts w:ascii="Arial" w:cs="Arial" w:eastAsia="Arial" w:hAnsi="Arial"/>
          <w:sz w:val="18"/>
          <w:szCs w:val="18"/>
          <w:b w:val="1"/>
          <w:bCs w:val="1"/>
          <w:color w:val="auto"/>
        </w:rPr>
      </w:pPr>
    </w:p>
    <w:p>
      <w:pPr>
        <w:ind w:right="60" w:firstLine="1948"/>
        <w:spacing w:after="0" w:line="255" w:lineRule="auto"/>
        <w:tabs>
          <w:tab w:leader="none" w:pos="2290" w:val="left"/>
        </w:tabs>
        <w:numPr>
          <w:ilvl w:val="2"/>
          <w:numId w:val="204"/>
        </w:numPr>
        <w:rPr>
          <w:rFonts w:ascii="Arial" w:cs="Arial" w:eastAsia="Arial" w:hAnsi="Arial"/>
          <w:sz w:val="18"/>
          <w:szCs w:val="18"/>
          <w:b w:val="1"/>
          <w:bCs w:val="1"/>
          <w:color w:val="auto"/>
        </w:rPr>
      </w:pPr>
      <w:r>
        <w:rPr>
          <w:rFonts w:ascii="Arial" w:cs="Arial" w:eastAsia="Arial" w:hAnsi="Arial"/>
          <w:sz w:val="18"/>
          <w:szCs w:val="18"/>
          <w:color w:val="auto"/>
        </w:rPr>
        <w:t>First, holders of Series D Preferred shall be entitled to be paid out of the assets of the Company legally available for distribution for each share of Series D Preferred held by them, an amount per share of Series D Preferred equal to the Original Issue Price of the Series D Preferred plus all declared and unpaid dividends on the Series D Preferred (the “</w:t>
      </w:r>
      <w:r>
        <w:rPr>
          <w:rFonts w:ascii="Arial" w:cs="Arial" w:eastAsia="Arial" w:hAnsi="Arial"/>
          <w:sz w:val="18"/>
          <w:szCs w:val="18"/>
          <w:b w:val="1"/>
          <w:bCs w:val="1"/>
          <w:i w:val="1"/>
          <w:iCs w:val="1"/>
          <w:color w:val="auto"/>
        </w:rPr>
        <w:t>Series D Liquidation Preference</w:t>
      </w:r>
      <w:r>
        <w:rPr>
          <w:rFonts w:ascii="Arial" w:cs="Arial" w:eastAsia="Arial" w:hAnsi="Arial"/>
          <w:sz w:val="18"/>
          <w:szCs w:val="18"/>
          <w:color w:val="auto"/>
        </w:rPr>
        <w:t>”). If, upon any such Liquidation Event, the assets of the Company shall be insufficient to make payment in full to all holders of Series D Preferred of the Series D Liquidation Preference, then such assets (or consideration) shall be distributed among the holders of Series D Preferred at the time outstanding, ratably in proportion to the full amounts to which they would otherwise be respectively entitled pursuant to this Section 3(a)(i).</w:t>
      </w:r>
    </w:p>
    <w:p>
      <w:pPr>
        <w:spacing w:after="0" w:line="193" w:lineRule="exact"/>
        <w:rPr>
          <w:sz w:val="20"/>
          <w:szCs w:val="20"/>
          <w:color w:val="auto"/>
        </w:rPr>
      </w:pPr>
    </w:p>
    <w:p>
      <w:pPr>
        <w:ind w:right="20" w:firstLine="1948"/>
        <w:spacing w:after="0" w:line="255" w:lineRule="auto"/>
        <w:tabs>
          <w:tab w:leader="none" w:pos="234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Second, after payment in full of the Series D Liquidation Preference, holders of Series C-1 Preferred shall be entitled to be paid out of the assets of the Company legally available for distribution for each share of Series C-1 Preferred held by them, an amount per share of Series C-1 Preferred equal to three (3) times the Original Issue Price of the Series C-1 Preferred plus all declared and unpaid dividends on the Series C-1 Preferred (the “</w:t>
      </w:r>
      <w:r>
        <w:rPr>
          <w:rFonts w:ascii="Arial" w:cs="Arial" w:eastAsia="Arial" w:hAnsi="Arial"/>
          <w:sz w:val="18"/>
          <w:szCs w:val="18"/>
          <w:b w:val="1"/>
          <w:bCs w:val="1"/>
          <w:i w:val="1"/>
          <w:iCs w:val="1"/>
          <w:color w:val="auto"/>
        </w:rPr>
        <w:t>Series C-1 Liquidation Preference</w:t>
      </w:r>
      <w:r>
        <w:rPr>
          <w:rFonts w:ascii="Arial" w:cs="Arial" w:eastAsia="Arial" w:hAnsi="Arial"/>
          <w:sz w:val="18"/>
          <w:szCs w:val="18"/>
          <w:color w:val="auto"/>
        </w:rPr>
        <w:t>”). If, upon any such Liquidation Event, the assets of the Company shall be insufficient to make payment in full to all holders of Series C-1 Preferred of the Series C-1 Liquidation Preference, then such assets (or consideration) shall be distributed among the holders of Series C-1 Preferred at the time outstanding, ratably in proportion to the full amounts to which they would otherwise be respectively entitled pursuant to this Section 3(a)(ii).</w:t>
      </w:r>
    </w:p>
    <w:p>
      <w:pPr>
        <w:spacing w:after="0" w:line="189" w:lineRule="exact"/>
        <w:rPr>
          <w:rFonts w:ascii="Arial" w:cs="Arial" w:eastAsia="Arial" w:hAnsi="Arial"/>
          <w:sz w:val="18"/>
          <w:szCs w:val="18"/>
          <w:b w:val="1"/>
          <w:bCs w:val="1"/>
          <w:color w:val="auto"/>
        </w:rPr>
      </w:pPr>
    </w:p>
    <w:p>
      <w:pPr>
        <w:jc w:val="both"/>
        <w:ind w:firstLine="1948"/>
        <w:spacing w:after="0" w:line="312" w:lineRule="auto"/>
        <w:tabs>
          <w:tab w:leader="none" w:pos="2380"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After payment in full of the Series D Liquidation Preference and the Series C-1 Liquidation Preference, the holders of Series C Preferred shall be entitled to be paid out of the assets of the Company legally available for distribution for each share of Series C Preferred held by them, an amount per share of Series C Preferred equal to the Original Issue Price of the Series C Preferred plus all declared and unpaid dividends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5" w:name="page286"/>
    <w:bookmarkEnd w:id="28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C Preferred (the “</w:t>
      </w:r>
      <w:r>
        <w:rPr>
          <w:rFonts w:ascii="Arial" w:cs="Arial" w:eastAsia="Arial" w:hAnsi="Arial"/>
          <w:sz w:val="18"/>
          <w:szCs w:val="18"/>
          <w:b w:val="1"/>
          <w:bCs w:val="1"/>
          <w:i w:val="1"/>
          <w:iCs w:val="1"/>
          <w:color w:val="auto"/>
        </w:rPr>
        <w:t>Series C Liquidation Preference</w:t>
      </w:r>
      <w:r>
        <w:rPr>
          <w:rFonts w:ascii="Arial" w:cs="Arial" w:eastAsia="Arial" w:hAnsi="Arial"/>
          <w:sz w:val="18"/>
          <w:szCs w:val="18"/>
          <w:color w:val="auto"/>
        </w:rPr>
        <w:t>”). If, upon any such Liquidation Event, the assets of the Company shall be insufficient to make payment in full to all holders of Series C Preferred of the Series C Liquidation Preference, then such assets (or consideration) shall be distributed among the holders of Series C Preferred at the time outstanding, ratably in proportion to the full amounts to which they would otherwise be respectively entitled pursuant to this Section 3(a)(iii).</w:t>
      </w:r>
    </w:p>
    <w:p>
      <w:pPr>
        <w:spacing w:after="0" w:line="187" w:lineRule="exact"/>
        <w:rPr>
          <w:sz w:val="20"/>
          <w:szCs w:val="20"/>
          <w:color w:val="auto"/>
        </w:rPr>
      </w:pPr>
    </w:p>
    <w:p>
      <w:pPr>
        <w:ind w:right="60" w:firstLine="1948"/>
        <w:spacing w:after="0" w:line="268" w:lineRule="auto"/>
        <w:tabs>
          <w:tab w:leader="none" w:pos="2370" w:val="left"/>
        </w:tabs>
        <w:numPr>
          <w:ilvl w:val="1"/>
          <w:numId w:val="206"/>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and the Series C Liquidation Preference, the holders of Series B Preferred, Series B-1 Preferred and Series B-2 Preferred, on a pari passu basis and in preference to holders of Common Stock, shall be entitled to be paid out of the assets of the Company legally available for distribution for each share of Series B Preferred, Series B-1 Preferred or Series B-2 Preferred held by them, an amount per share of Series B Preferred, Series B-1 Preferred or Series B-2 Preferred equal to (i) with respect to the Series B Preferred, the Original Issue Price of the Series B Preferred plus all declared and unpaid dividends on the Series B Preferred (the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 (ii) with respect to the Series B-1 Preferred, the Original Issue Price of the Series B-1 Preferred plus all declared and unpaid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on the Series B-1 Preferred (the “</w:t>
      </w:r>
      <w:r>
        <w:rPr>
          <w:rFonts w:ascii="Arial" w:cs="Arial" w:eastAsia="Arial" w:hAnsi="Arial"/>
          <w:sz w:val="17"/>
          <w:szCs w:val="17"/>
          <w:b w:val="1"/>
          <w:bCs w:val="1"/>
          <w:i w:val="1"/>
          <w:iCs w:val="1"/>
          <w:color w:val="auto"/>
        </w:rPr>
        <w:t>Series B-1 Liquidation Preference</w:t>
      </w:r>
      <w:r>
        <w:rPr>
          <w:rFonts w:ascii="Arial" w:cs="Arial" w:eastAsia="Arial" w:hAnsi="Arial"/>
          <w:sz w:val="17"/>
          <w:szCs w:val="17"/>
          <w:color w:val="auto"/>
        </w:rPr>
        <w:t>”) and (iii) with respect to the Series B-2 Preferred, the Original Issue Price of the Series B-2 Preferred plus all declared and unpaid dividends on the Series B-2 Preferred (the “</w:t>
      </w:r>
      <w:r>
        <w:rPr>
          <w:rFonts w:ascii="Arial" w:cs="Arial" w:eastAsia="Arial" w:hAnsi="Arial"/>
          <w:sz w:val="17"/>
          <w:szCs w:val="17"/>
          <w:b w:val="1"/>
          <w:bCs w:val="1"/>
          <w:i w:val="1"/>
          <w:iCs w:val="1"/>
          <w:color w:val="auto"/>
        </w:rPr>
        <w:t>Series B-2 Liquidation Preference</w:t>
      </w:r>
      <w:r>
        <w:rPr>
          <w:rFonts w:ascii="Arial" w:cs="Arial" w:eastAsia="Arial" w:hAnsi="Arial"/>
          <w:sz w:val="17"/>
          <w:szCs w:val="17"/>
          <w:color w:val="auto"/>
        </w:rPr>
        <w:t>”, and together with the Series B Liquidation Preference and the Series B-1 Liquidation Preference, the “</w:t>
      </w:r>
      <w:r>
        <w:rPr>
          <w:rFonts w:ascii="Arial" w:cs="Arial" w:eastAsia="Arial" w:hAnsi="Arial"/>
          <w:sz w:val="17"/>
          <w:szCs w:val="17"/>
          <w:b w:val="1"/>
          <w:bCs w:val="1"/>
          <w:i w:val="1"/>
          <w:iCs w:val="1"/>
          <w:color w:val="auto"/>
        </w:rPr>
        <w:t>Junior Preferred Liquidation Preference</w:t>
      </w:r>
      <w:r>
        <w:rPr>
          <w:rFonts w:ascii="Arial" w:cs="Arial" w:eastAsia="Arial" w:hAnsi="Arial"/>
          <w:sz w:val="17"/>
          <w:szCs w:val="17"/>
          <w:color w:val="auto"/>
        </w:rPr>
        <w:t>”). If, upon any such Liquidation Event and after payment in full of the Series D Liquidation Preference, Series C-1 Liquidation Preference and the Series C Liquidation Preference, the assets of the Company shall be insufficient to make payment in full to all holders of Series B Preferred, Series B-1 Preferred and Series B-2 Preferred of the Junior Preferred Liquidation Preference, then such assets (or consideration) shall be distributed among the holders of Series B Preferred, Series B-1 Preferred and Series B-2 Preferred at the time outstanding, ratably in proportion to the full amounts to which they would otherwise be respectively entitled pursuant to this Section (3)(a)(iv).</w:t>
      </w:r>
    </w:p>
    <w:p>
      <w:pPr>
        <w:spacing w:after="0" w:line="185" w:lineRule="exact"/>
        <w:rPr>
          <w:rFonts w:ascii="Arial" w:cs="Arial" w:eastAsia="Arial" w:hAnsi="Arial"/>
          <w:sz w:val="17"/>
          <w:szCs w:val="17"/>
          <w:b w:val="1"/>
          <w:bCs w:val="1"/>
          <w:color w:val="auto"/>
        </w:rPr>
      </w:pPr>
    </w:p>
    <w:p>
      <w:pPr>
        <w:ind w:right="100" w:firstLine="1492"/>
        <w:spacing w:after="0" w:line="270" w:lineRule="auto"/>
        <w:tabs>
          <w:tab w:leader="none" w:pos="1873"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the Series C Liquidation Preference and the Junior Preferred Liquidation Preference, the remaining assets of the Company legally available for distribution, if any, shall be distributed ratably to the holders of the Common Stock and the Series D Preferred Stock in proportion to the shares of Common Stock then held by them and the shares of Common Stock to which they have the right to acquire upon conversion of the shares of Series D Preferred Stock held by them; provided, however, that at such time as the distribution of assets of the Company to the holders of Series D Preferred pursuant to Section 3(a) and this Section 3(b) shall equal: (x) 1.5 times the Original Issue Price of the Series D Preferred, plus all declared and unpaid dividends on the Series D Preferred if such Liquidation Event is consummated on or before March 31, 2016 or (y) 2 times the Original Issue Price of the Series D Preferred, plus all declared and unpaid dividends on the Series D Preferred if such Liquidation Event is consummated after March 31, 2016, then the holders of Series D Preferred shall not be entitled to any further distribution pursuant to this Section 3(b) with respect to such shares of Series D Preferred.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86" w:name="page287"/>
    <w:bookmarkEnd w:id="286"/>
    <w:p>
      <w:pPr>
        <w:ind w:right="200" w:firstLine="1492"/>
        <w:spacing w:after="0" w:line="264" w:lineRule="auto"/>
        <w:tabs>
          <w:tab w:leader="none" w:pos="1853"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payment has been made to the holders of Preferred Stock and Common Stock pursuant to Section 3(a) and Section 3(b), any remaining assets of the Company legally available for distribution to the stockholders of the Company shall be distributed ratably among the holders of Common Stock based on the number of shares of Common Stock held by each.</w:t>
      </w:r>
    </w:p>
    <w:p>
      <w:pPr>
        <w:spacing w:after="0" w:line="181" w:lineRule="exact"/>
        <w:rPr>
          <w:rFonts w:ascii="Arial" w:cs="Arial" w:eastAsia="Arial" w:hAnsi="Arial"/>
          <w:sz w:val="18"/>
          <w:szCs w:val="18"/>
          <w:b w:val="1"/>
          <w:bCs w:val="1"/>
          <w:color w:val="auto"/>
        </w:rPr>
      </w:pPr>
    </w:p>
    <w:p>
      <w:pPr>
        <w:ind w:right="60" w:firstLine="1492"/>
        <w:spacing w:after="0" w:line="272" w:lineRule="auto"/>
        <w:tabs>
          <w:tab w:leader="none" w:pos="1883"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Shares of Series Preferred shall not be entitled to be converted into shares of Common Stock in order to participate in any distribution, or series of distributions, as shares of Common Stock, without first foregoing participation in the distribution, or series of distributions, as shares of Series Preferred. Notwithstanding the foregoing, in the event of a Liquidation Event, a holder of Series Preferred shall be entitled to receive, for each share of Series Preferred then held, out of the proceeds of such Liquidation Event, the greater of the amount of cash, securities or other property to which such holder would be entitled to receive in a Liquidation Event pursuant to (x) Section 3(a) and Section 3(b) above or (y) the amount of cash, securities or other property to which such holder would be entitled to receive in a Liquidation Event with respect to such shares if such shares had been converted to Common Stock immediately prior to such Liquidation Event.</w:t>
      </w:r>
    </w:p>
    <w:p>
      <w:pPr>
        <w:spacing w:after="0" w:line="281" w:lineRule="exact"/>
        <w:rPr>
          <w:rFonts w:ascii="Arial" w:cs="Arial" w:eastAsia="Arial" w:hAnsi="Arial"/>
          <w:sz w:val="17"/>
          <w:szCs w:val="17"/>
          <w:b w:val="1"/>
          <w:bCs w:val="1"/>
          <w:color w:val="auto"/>
        </w:rPr>
      </w:pPr>
    </w:p>
    <w:p>
      <w:pPr>
        <w:ind w:left="1240" w:hanging="319"/>
        <w:spacing w:after="0"/>
        <w:tabs>
          <w:tab w:leader="none" w:pos="12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RANSFER 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firstLine="1492"/>
        <w:spacing w:after="0" w:line="286" w:lineRule="auto"/>
        <w:tabs>
          <w:tab w:leader="none" w:pos="1873"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 a party to an Acquisition or Asset Transfer, then each holder of Series Preferred shall be entitled to receive, for each share of Series Preferred then held, out of the proceeds of such Acquisition or Asset Transfer, the amount of cash, securities or other property to which such holder would be entitled to receive in a Liquidation Event pursuant to Section 3(a) and Section 3(b) above.</w:t>
      </w:r>
    </w:p>
    <w:p>
      <w:pPr>
        <w:spacing w:after="0" w:line="165" w:lineRule="exact"/>
        <w:rPr>
          <w:rFonts w:ascii="Arial" w:cs="Arial" w:eastAsia="Arial" w:hAnsi="Arial"/>
          <w:sz w:val="17"/>
          <w:szCs w:val="17"/>
          <w:b w:val="1"/>
          <w:bCs w:val="1"/>
          <w:color w:val="auto"/>
        </w:rPr>
      </w:pPr>
    </w:p>
    <w:p>
      <w:pPr>
        <w:ind w:firstLine="1492"/>
        <w:spacing w:after="0" w:line="270" w:lineRule="auto"/>
        <w:tabs>
          <w:tab w:leader="none" w:pos="1883"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For the purposes of this Section 4: (i)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of all or substantially all of the assets of the Company or the exclusive license of substantially all of the rights to substantially all of the intellectual property of the Company material to its business.</w:t>
      </w:r>
    </w:p>
    <w:p>
      <w:pPr>
        <w:spacing w:after="0" w:line="181" w:lineRule="exact"/>
        <w:rPr>
          <w:rFonts w:ascii="Arial" w:cs="Arial" w:eastAsia="Arial" w:hAnsi="Arial"/>
          <w:sz w:val="17"/>
          <w:szCs w:val="17"/>
          <w:b w:val="1"/>
          <w:bCs w:val="1"/>
          <w:color w:val="auto"/>
        </w:rPr>
      </w:pPr>
    </w:p>
    <w:p>
      <w:pPr>
        <w:ind w:right="280" w:firstLine="1492"/>
        <w:spacing w:after="0" w:line="308" w:lineRule="auto"/>
        <w:tabs>
          <w:tab w:leader="none" w:pos="1863"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87" w:name="page288"/>
    <w:bookmarkEnd w:id="287"/>
    <w:p>
      <w:pPr>
        <w:ind w:left="1240" w:hanging="319"/>
        <w:spacing w:after="0"/>
        <w:tabs>
          <w:tab w:leader="none" w:pos="12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7" w:lineRule="exact"/>
        <w:rPr>
          <w:sz w:val="20"/>
          <w:szCs w:val="20"/>
          <w:color w:val="auto"/>
        </w:rPr>
      </w:pPr>
    </w:p>
    <w:p>
      <w:pPr>
        <w:jc w:val="both"/>
        <w:ind w:firstLine="1492"/>
        <w:spacing w:after="0" w:line="281" w:lineRule="auto"/>
        <w:tabs>
          <w:tab w:leader="none" w:pos="1873"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Optional Conversion</w:t>
      </w:r>
      <w:r>
        <w:rPr>
          <w:rFonts w:ascii="Arial" w:cs="Arial" w:eastAsia="Arial" w:hAnsi="Arial"/>
          <w:sz w:val="17"/>
          <w:szCs w:val="17"/>
          <w:color w:val="auto"/>
        </w:rPr>
        <w:t>. Subject to and in compliance with the provisions of this Section 5,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then in effect (determined as provided in Section 5(b)) by the number of shares of Series Preferred being converted.</w:t>
      </w:r>
    </w:p>
    <w:p>
      <w:pPr>
        <w:spacing w:after="0" w:line="164" w:lineRule="exact"/>
        <w:rPr>
          <w:rFonts w:ascii="Arial" w:cs="Arial" w:eastAsia="Arial" w:hAnsi="Arial"/>
          <w:sz w:val="17"/>
          <w:szCs w:val="17"/>
          <w:b w:val="1"/>
          <w:bCs w:val="1"/>
          <w:color w:val="auto"/>
        </w:rPr>
      </w:pPr>
    </w:p>
    <w:p>
      <w:pPr>
        <w:ind w:right="20" w:firstLine="1492"/>
        <w:spacing w:after="0" w:line="266" w:lineRule="auto"/>
        <w:tabs>
          <w:tab w:leader="none" w:pos="1883"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Series Preferred Conversion Rate</w:t>
      </w:r>
      <w:r>
        <w:rPr>
          <w:rFonts w:ascii="Arial" w:cs="Arial" w:eastAsia="Arial" w:hAnsi="Arial"/>
          <w:sz w:val="18"/>
          <w:szCs w:val="18"/>
          <w:color w:val="auto"/>
        </w:rPr>
        <w:t>. The conversion rate in effect at any time for the conversion of the Series Preferred (the “</w:t>
      </w:r>
      <w:r>
        <w:rPr>
          <w:rFonts w:ascii="Arial" w:cs="Arial" w:eastAsia="Arial" w:hAnsi="Arial"/>
          <w:sz w:val="18"/>
          <w:szCs w:val="18"/>
          <w:b w:val="1"/>
          <w:bCs w:val="1"/>
          <w:i w:val="1"/>
          <w:iCs w:val="1"/>
          <w:color w:val="auto"/>
        </w:rPr>
        <w:t>Series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Preferred Conversion Rate</w:t>
      </w:r>
      <w:r>
        <w:rPr>
          <w:rFonts w:ascii="Arial" w:cs="Arial" w:eastAsia="Arial" w:hAnsi="Arial"/>
          <w:sz w:val="18"/>
          <w:szCs w:val="18"/>
          <w:color w:val="auto"/>
        </w:rPr>
        <w:t>”) shall be the quotient obtained by dividing the applicable Original Issue Price of the Series Preferred by the applicable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Conversion Price,” calculated as provided in Section 5(c).</w:t>
      </w:r>
    </w:p>
    <w:p>
      <w:pPr>
        <w:spacing w:after="0" w:line="176" w:lineRule="exact"/>
        <w:rPr>
          <w:rFonts w:ascii="Arial" w:cs="Arial" w:eastAsia="Arial" w:hAnsi="Arial"/>
          <w:sz w:val="18"/>
          <w:szCs w:val="18"/>
          <w:b w:val="1"/>
          <w:bCs w:val="1"/>
          <w:color w:val="auto"/>
        </w:rPr>
      </w:pPr>
    </w:p>
    <w:p>
      <w:pPr>
        <w:ind w:right="80" w:firstLine="1492"/>
        <w:spacing w:after="0" w:line="292" w:lineRule="auto"/>
        <w:tabs>
          <w:tab w:leader="none" w:pos="1863"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Series Preferred Conversion Price</w:t>
      </w:r>
      <w:r>
        <w:rPr>
          <w:rFonts w:ascii="Arial" w:cs="Arial" w:eastAsia="Arial" w:hAnsi="Arial"/>
          <w:sz w:val="16"/>
          <w:szCs w:val="16"/>
          <w:color w:val="auto"/>
        </w:rPr>
        <w:t>. The conversion price of the Series B Preferred shall initially be the Original Issue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Preferred; the conversion price of the Series B-1 Preferred shall initially be the Original Issue Price of the Series B-1 Preferred; the conversion price of the Series B-2 Preferred shall initially be the Original Issue Price of the Series B-2 Preferred; the conversion price of the Series C Preferred shall initially be the Original Issue Price of the Series C Preferred; the conversion price of the Series C-1 Preferred shall initially be the Original Issue Price of the Series C-1 Preferred and the conversion price of the Series D Preferred shall initially be the Original Issue Price of the Series D Preferred (each such conversion price, the “</w:t>
      </w:r>
      <w:r>
        <w:rPr>
          <w:rFonts w:ascii="Arial" w:cs="Arial" w:eastAsia="Arial" w:hAnsi="Arial"/>
          <w:sz w:val="16"/>
          <w:szCs w:val="16"/>
          <w:b w:val="1"/>
          <w:bCs w:val="1"/>
          <w:i w:val="1"/>
          <w:iCs w:val="1"/>
          <w:color w:val="auto"/>
        </w:rPr>
        <w:t>Series Preferred Conversion Price</w:t>
      </w:r>
      <w:r>
        <w:rPr>
          <w:rFonts w:ascii="Arial" w:cs="Arial" w:eastAsia="Arial" w:hAnsi="Arial"/>
          <w:sz w:val="16"/>
          <w:szCs w:val="16"/>
          <w:color w:val="auto"/>
        </w:rPr>
        <w:t>”). Such initial Series Preferred Conversion Prices shall be adjusted from time to time in accordance with this Section 5. All references to the Series Preferred Conversion Price herein shall mean the Series Preferred Conversion Price as so adjusted.</w:t>
      </w:r>
    </w:p>
    <w:p>
      <w:pPr>
        <w:spacing w:after="0" w:line="165" w:lineRule="exact"/>
        <w:rPr>
          <w:rFonts w:ascii="Arial" w:cs="Arial" w:eastAsia="Arial" w:hAnsi="Arial"/>
          <w:sz w:val="16"/>
          <w:szCs w:val="16"/>
          <w:b w:val="1"/>
          <w:bCs w:val="1"/>
          <w:color w:val="auto"/>
        </w:rPr>
      </w:pPr>
    </w:p>
    <w:p>
      <w:pPr>
        <w:ind w:right="40" w:firstLine="1492"/>
        <w:spacing w:after="0" w:line="270" w:lineRule="auto"/>
        <w:tabs>
          <w:tab w:leader="none" w:pos="1883"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Mechanics of Conversion</w:t>
      </w:r>
      <w:r>
        <w:rPr>
          <w:rFonts w:ascii="Arial" w:cs="Arial" w:eastAsia="Arial" w:hAnsi="Arial"/>
          <w:sz w:val="17"/>
          <w:szCs w:val="17"/>
          <w:color w:val="auto"/>
        </w:rPr>
        <w:t>. Each holder of Series Preferred who desires to convert the same into shares of Common Stock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88" w:name="page289"/>
    <w:bookmarkEnd w:id="288"/>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43" w:lineRule="exact"/>
        <w:rPr>
          <w:sz w:val="20"/>
          <w:szCs w:val="20"/>
          <w:color w:val="auto"/>
        </w:rPr>
      </w:pPr>
    </w:p>
    <w:p>
      <w:pPr>
        <w:ind w:firstLine="1492"/>
        <w:spacing w:after="0" w:line="295" w:lineRule="auto"/>
        <w:tabs>
          <w:tab w:leader="none" w:pos="1863"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Stock Splits and Combinations</w:t>
      </w:r>
      <w:r>
        <w:rPr>
          <w:rFonts w:ascii="Arial" w:cs="Arial" w:eastAsia="Arial" w:hAnsi="Arial"/>
          <w:sz w:val="16"/>
          <w:szCs w:val="16"/>
          <w:color w:val="auto"/>
        </w:rPr>
        <w:t>. If at any time or from time to time on or after the Filing Date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effects a subdivision of the outstanding Common Stock without a corresponding subdivision of the Series Preferred, the Series Preferred Conversion Price for such series in effect immediately before that subdivision shall be proportionately decreased. Conversely, if at any time or from time to time after the Filing Date the Company combines the outstanding shares of Common Stock into a smaller number of shares without a corresponding combination of the Series Preferred, the Series Preferred Conversion Price for such series in effect immediately before the combination shall be proportionately increased. Any adjustment under this Section 5(e) shall become effective at the close of business on the date the subdivision or combination becomes effective.</w:t>
      </w:r>
    </w:p>
    <w:p>
      <w:pPr>
        <w:spacing w:after="0" w:line="155" w:lineRule="exact"/>
        <w:rPr>
          <w:rFonts w:ascii="Arial" w:cs="Arial" w:eastAsia="Arial" w:hAnsi="Arial"/>
          <w:sz w:val="16"/>
          <w:szCs w:val="16"/>
          <w:b w:val="1"/>
          <w:bCs w:val="1"/>
          <w:color w:val="auto"/>
        </w:rPr>
      </w:pPr>
    </w:p>
    <w:p>
      <w:pPr>
        <w:ind w:firstLine="1492"/>
        <w:spacing w:after="0" w:line="261" w:lineRule="auto"/>
        <w:tabs>
          <w:tab w:leader="none" w:pos="184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for Common Stock Dividends and Distributions</w:t>
      </w:r>
      <w:r>
        <w:rPr>
          <w:rFonts w:ascii="Arial" w:cs="Arial" w:eastAsia="Arial" w:hAnsi="Arial"/>
          <w:sz w:val="18"/>
          <w:szCs w:val="18"/>
          <w:color w:val="auto"/>
        </w:rPr>
        <w:t>. If at any time or from time to time on or after the Filing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pays to holders of Common Stock a dividend or other distribution in additional shares of Common Stock without a corresponding dividend or other distribution to holders of Preferred Stock, the Series Preferred Conversion Price for such series then in effect shall be decreased as of the time of such issuance, as provided below:</w:t>
      </w:r>
    </w:p>
    <w:p>
      <w:pPr>
        <w:spacing w:after="0" w:line="184" w:lineRule="exact"/>
        <w:rPr>
          <w:rFonts w:ascii="Arial" w:cs="Arial" w:eastAsia="Arial" w:hAnsi="Arial"/>
          <w:sz w:val="18"/>
          <w:szCs w:val="18"/>
          <w:b w:val="1"/>
          <w:bCs w:val="1"/>
          <w:color w:val="auto"/>
        </w:rPr>
      </w:pPr>
    </w:p>
    <w:p>
      <w:pPr>
        <w:ind w:right="120" w:firstLine="1948"/>
        <w:spacing w:after="0" w:line="277" w:lineRule="auto"/>
        <w:tabs>
          <w:tab w:leader="none" w:pos="2287"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Series Preferred Conversion Price for such series shall be adjusted by multiplying the Series Preferred Conversion Price for such series then in effect by a fraction equal to:</w:t>
      </w:r>
    </w:p>
    <w:p>
      <w:pPr>
        <w:spacing w:after="0" w:line="170" w:lineRule="exact"/>
        <w:rPr>
          <w:rFonts w:ascii="Arial" w:cs="Arial" w:eastAsia="Arial" w:hAnsi="Arial"/>
          <w:sz w:val="18"/>
          <w:szCs w:val="18"/>
          <w:b w:val="1"/>
          <w:bCs w:val="1"/>
          <w:color w:val="auto"/>
        </w:rPr>
      </w:pPr>
    </w:p>
    <w:p>
      <w:pPr>
        <w:ind w:left="2840" w:hanging="436"/>
        <w:spacing w:after="0"/>
        <w:tabs>
          <w:tab w:leader="none" w:pos="2840" w:val="left"/>
        </w:tabs>
        <w:numPr>
          <w:ilvl w:val="2"/>
          <w:numId w:val="212"/>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time of such issuance, and</w:t>
      </w:r>
    </w:p>
    <w:p>
      <w:pPr>
        <w:spacing w:after="0" w:line="210" w:lineRule="exact"/>
        <w:rPr>
          <w:rFonts w:ascii="Arial" w:cs="Arial" w:eastAsia="Arial" w:hAnsi="Arial"/>
          <w:sz w:val="16"/>
          <w:szCs w:val="16"/>
          <w:b w:val="1"/>
          <w:bCs w:val="1"/>
          <w:color w:val="auto"/>
        </w:rPr>
      </w:pPr>
    </w:p>
    <w:p>
      <w:pPr>
        <w:ind w:right="40" w:firstLine="2404"/>
        <w:spacing w:after="0" w:line="308" w:lineRule="auto"/>
        <w:tabs>
          <w:tab w:leader="none" w:pos="2816" w:val="left"/>
        </w:tabs>
        <w:numPr>
          <w:ilvl w:val="2"/>
          <w:numId w:val="212"/>
        </w:numPr>
        <w:rPr>
          <w:rFonts w:ascii="Arial" w:cs="Arial" w:eastAsia="Arial" w:hAnsi="Arial"/>
          <w:sz w:val="17"/>
          <w:szCs w:val="17"/>
          <w:b w:val="1"/>
          <w:bCs w:val="1"/>
          <w:color w:val="auto"/>
        </w:rPr>
      </w:pPr>
      <w:r>
        <w:rPr>
          <w:rFonts w:ascii="Arial" w:cs="Arial" w:eastAsia="Arial" w:hAnsi="Arial"/>
          <w:sz w:val="17"/>
          <w:szCs w:val="17"/>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46" w:lineRule="exact"/>
        <w:rPr>
          <w:rFonts w:ascii="Arial" w:cs="Arial" w:eastAsia="Arial" w:hAnsi="Arial"/>
          <w:sz w:val="17"/>
          <w:szCs w:val="17"/>
          <w:b w:val="1"/>
          <w:bCs w:val="1"/>
          <w:color w:val="auto"/>
        </w:rPr>
      </w:pPr>
    </w:p>
    <w:p>
      <w:pPr>
        <w:ind w:right="160" w:firstLine="1948"/>
        <w:spacing w:after="0" w:line="286" w:lineRule="auto"/>
        <w:tabs>
          <w:tab w:leader="none" w:pos="2340" w:val="left"/>
        </w:tabs>
        <w:numPr>
          <w:ilvl w:val="1"/>
          <w:numId w:val="212"/>
        </w:numPr>
        <w:rPr>
          <w:rFonts w:ascii="Arial" w:cs="Arial" w:eastAsia="Arial" w:hAnsi="Arial"/>
          <w:sz w:val="17"/>
          <w:szCs w:val="17"/>
          <w:b w:val="1"/>
          <w:bCs w:val="1"/>
          <w:color w:val="auto"/>
        </w:rPr>
      </w:pPr>
      <w:r>
        <w:rPr>
          <w:rFonts w:ascii="Arial" w:cs="Arial" w:eastAsia="Arial" w:hAnsi="Arial"/>
          <w:sz w:val="17"/>
          <w:szCs w:val="17"/>
          <w:color w:val="auto"/>
        </w:rPr>
        <w:t>If the Company fixes a record date to determine which holders of Common Stock are entitled to receive such dividend or other distribution, the Series Preferred Conversion Price for each series of Series Preferred shall be fixed as of the close of business on such record date and the number of shares of Common Stock shall be calculated immediately prior to the close of business on such record date; and</w:t>
      </w:r>
    </w:p>
    <w:p>
      <w:pPr>
        <w:spacing w:after="0" w:line="165" w:lineRule="exact"/>
        <w:rPr>
          <w:rFonts w:ascii="Arial" w:cs="Arial" w:eastAsia="Arial" w:hAnsi="Arial"/>
          <w:sz w:val="17"/>
          <w:szCs w:val="17"/>
          <w:b w:val="1"/>
          <w:bCs w:val="1"/>
          <w:color w:val="auto"/>
        </w:rPr>
      </w:pPr>
    </w:p>
    <w:p>
      <w:pPr>
        <w:ind w:right="80" w:firstLine="1948"/>
        <w:spacing w:after="0" w:line="259" w:lineRule="auto"/>
        <w:tabs>
          <w:tab w:leader="none" w:pos="239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If such record date is fixed and such dividend is not fully paid or if such distribution is not fully made on the date fixed therefor, the Series Preferred Conversion Price for each series of Series Preferred shall be recomputed accordingly as of the close of business on such record date and thereafter the Series Preferred Conversion Price for each series of Series Preferred shall be adjusted pursuant to this Section 5(f) to reflect the actual payment of such dividend or distribution.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89" w:name="page290"/>
    <w:bookmarkEnd w:id="289"/>
    <w:p>
      <w:pPr>
        <w:ind w:firstLine="1492"/>
        <w:spacing w:after="0" w:line="269" w:lineRule="auto"/>
        <w:tabs>
          <w:tab w:leader="none" w:pos="1873"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for Reclassification, Exchange, Substitution, Reorganization, Merger or Consolidation</w:t>
      </w:r>
      <w:r>
        <w:rPr>
          <w:rFonts w:ascii="Arial" w:cs="Arial" w:eastAsia="Arial" w:hAnsi="Arial"/>
          <w:sz w:val="17"/>
          <w:szCs w:val="17"/>
          <w:color w:val="auto"/>
        </w:rPr>
        <w:t>. If at any time on or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Filing Date the Common Stock issuable upon the conversion of a series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such series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such series of Series Preferred after the capital reorganization to the end that the provisions of this Section 5 (including adjustment of the Series Preferred Conversion Price for such series of Series Preferred then in effect and the number of shares issuable upon conversion of such series of Series Preferred) shall be applicable after that event and be as nearly equivalent as practicable.</w:t>
      </w:r>
    </w:p>
    <w:p>
      <w:pPr>
        <w:spacing w:after="0" w:line="288" w:lineRule="exact"/>
        <w:rPr>
          <w:rFonts w:ascii="Arial" w:cs="Arial" w:eastAsia="Arial" w:hAnsi="Arial"/>
          <w:sz w:val="17"/>
          <w:szCs w:val="17"/>
          <w:b w:val="1"/>
          <w:bCs w:val="1"/>
          <w:color w:val="auto"/>
        </w:rPr>
      </w:pPr>
    </w:p>
    <w:p>
      <w:pPr>
        <w:ind w:left="1900" w:hanging="408"/>
        <w:spacing w:after="0"/>
        <w:tabs>
          <w:tab w:leader="none" w:pos="19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00" w:firstLine="1948"/>
        <w:spacing w:after="0" w:line="255" w:lineRule="auto"/>
        <w:tabs>
          <w:tab w:leader="none" w:pos="229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after the Filing Date, the Company issues or sells, or is deemed by the express provisions of this Section 5(h) to have issued or sold, Additional Shares of Common Stock, other than as provided in Section 5(e), 5(f) or 5(g) above, for an Effective Price less than the then-effective Series Preferred Conversion Price for the Series D Preferred, Series C-1 Preferred, Series C Preferred, Series B Preferred and Series B-1 Preferred, as applicable (a “</w:t>
      </w:r>
      <w:r>
        <w:rPr>
          <w:rFonts w:ascii="Arial" w:cs="Arial" w:eastAsia="Arial" w:hAnsi="Arial"/>
          <w:sz w:val="18"/>
          <w:szCs w:val="18"/>
          <w:b w:val="1"/>
          <w:bCs w:val="1"/>
          <w:i w:val="1"/>
          <w:iCs w:val="1"/>
          <w:color w:val="auto"/>
        </w:rPr>
        <w:t>Qualifying Dilutive Issuance</w:t>
      </w:r>
      <w:r>
        <w:rPr>
          <w:rFonts w:ascii="Arial" w:cs="Arial" w:eastAsia="Arial" w:hAnsi="Arial"/>
          <w:sz w:val="18"/>
          <w:szCs w:val="18"/>
          <w:color w:val="auto"/>
        </w:rPr>
        <w:t>”), then and in each such case, the then-existing Series Preferred Conversion Price (other than the Conversion Price of the Series B-2 Preferred) for such series of Series Preferred shall be reduced, as of the opening of business on the date of such issue or sale, to a price determined by multiplying the Series Preferred Conversion Price for such series in effect immediately prior to such issuance or sale by a fraction equal to:</w:t>
      </w:r>
    </w:p>
    <w:p>
      <w:pPr>
        <w:spacing w:after="0" w:line="189" w:lineRule="exact"/>
        <w:rPr>
          <w:rFonts w:ascii="Arial" w:cs="Arial" w:eastAsia="Arial" w:hAnsi="Arial"/>
          <w:sz w:val="18"/>
          <w:szCs w:val="18"/>
          <w:b w:val="1"/>
          <w:bCs w:val="1"/>
          <w:color w:val="auto"/>
        </w:rPr>
      </w:pPr>
    </w:p>
    <w:p>
      <w:pPr>
        <w:jc w:val="both"/>
        <w:ind w:right="280" w:firstLine="2404"/>
        <w:spacing w:after="0" w:line="259" w:lineRule="auto"/>
        <w:tabs>
          <w:tab w:leader="none" w:pos="2826" w:val="left"/>
        </w:tabs>
        <w:numPr>
          <w:ilvl w:val="2"/>
          <w:numId w:val="213"/>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Series Preferred Conversion Price, and</w:t>
      </w:r>
    </w:p>
    <w:p>
      <w:pPr>
        <w:spacing w:after="0" w:line="186" w:lineRule="exact"/>
        <w:rPr>
          <w:rFonts w:ascii="Arial" w:cs="Arial" w:eastAsia="Arial" w:hAnsi="Arial"/>
          <w:sz w:val="18"/>
          <w:szCs w:val="18"/>
          <w:b w:val="1"/>
          <w:bCs w:val="1"/>
          <w:color w:val="auto"/>
        </w:rPr>
      </w:pPr>
    </w:p>
    <w:p>
      <w:pPr>
        <w:ind w:right="40" w:firstLine="2404"/>
        <w:spacing w:after="0" w:line="277" w:lineRule="auto"/>
        <w:tabs>
          <w:tab w:leader="none" w:pos="2816" w:val="left"/>
        </w:tabs>
        <w:numPr>
          <w:ilvl w:val="2"/>
          <w:numId w:val="213"/>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purposes of the preceding sentence, the number of shares of Common Stock deemed to be outstanding as of a given date shall be the sum of (A) the number of shares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290" w:name="page291"/>
    <w:bookmarkEnd w:id="290"/>
    <w:p>
      <w:pPr>
        <w:jc w:val="both"/>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66" w:lineRule="exact"/>
        <w:rPr>
          <w:sz w:val="20"/>
          <w:szCs w:val="20"/>
          <w:color w:val="auto"/>
        </w:rPr>
      </w:pPr>
    </w:p>
    <w:p>
      <w:pPr>
        <w:ind w:right="60" w:firstLine="1948"/>
        <w:spacing w:after="0" w:line="257" w:lineRule="auto"/>
        <w:tabs>
          <w:tab w:leader="none" w:pos="234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the Series Preferred Conversion Price for any series of Series Preferred in an amount less than $0.01 per share. Any adjustment required by this Section 5(h) shall be rounded to the nearest $0.01 per share. Any adjustment otherwise required by this Section 5(h) that is not required to be made due to the preceding two sentences shall be included in any subsequent adjustment to the Series Preferred Conversion Price for such series of Series Preferred. Further, no adjustment shall be made to the Series B-2 Preferred Conversion Price pursuant to this Section 5(h).</w:t>
      </w:r>
    </w:p>
    <w:p>
      <w:pPr>
        <w:spacing w:after="0" w:line="188" w:lineRule="exact"/>
        <w:rPr>
          <w:rFonts w:ascii="Arial" w:cs="Arial" w:eastAsia="Arial" w:hAnsi="Arial"/>
          <w:sz w:val="18"/>
          <w:szCs w:val="18"/>
          <w:b w:val="1"/>
          <w:bCs w:val="1"/>
          <w:color w:val="auto"/>
        </w:rPr>
      </w:pPr>
    </w:p>
    <w:p>
      <w:pPr>
        <w:ind w:firstLine="1948"/>
        <w:spacing w:after="0" w:line="270" w:lineRule="auto"/>
        <w:tabs>
          <w:tab w:leader="none" w:pos="2390"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to be allocable to such Additional Shares of Common Stock, Convertible Securities or rights or options.</w:t>
      </w:r>
    </w:p>
    <w:p>
      <w:pPr>
        <w:spacing w:after="0" w:line="181" w:lineRule="exact"/>
        <w:rPr>
          <w:rFonts w:ascii="Arial" w:cs="Arial" w:eastAsia="Arial" w:hAnsi="Arial"/>
          <w:sz w:val="17"/>
          <w:szCs w:val="17"/>
          <w:b w:val="1"/>
          <w:bCs w:val="1"/>
          <w:color w:val="auto"/>
        </w:rPr>
      </w:pPr>
    </w:p>
    <w:p>
      <w:pPr>
        <w:ind w:right="60" w:firstLine="1948"/>
        <w:spacing w:after="0" w:line="290" w:lineRule="auto"/>
        <w:tabs>
          <w:tab w:leader="none" w:pos="2380"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For the purpose of the adjustment required under this Section 5(h),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or (y) rights or options for the purchase of Additional Shares of Common Stock or Convertible Securities and if the Effective Price of such Additional Shares of Common Stock is less than the Series Preferred Conversion Price for the Series D Preferred, Series C-1 Preferred, Series C Preferred, Series B Preferred or Series B-1 Preferred,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6" w:lineRule="exact"/>
        <w:rPr>
          <w:sz w:val="20"/>
          <w:szCs w:val="20"/>
          <w:color w:val="auto"/>
        </w:rPr>
      </w:pPr>
    </w:p>
    <w:p>
      <w:pPr>
        <w:ind w:left="2840" w:hanging="436"/>
        <w:spacing w:after="0"/>
        <w:tabs>
          <w:tab w:leader="none" w:pos="2840"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in the case of such rights or options, the minimum amounts of consideration, if any, payable to the Company upon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exercise of such rights or options;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1" w:name="page292"/>
    <w:bookmarkEnd w:id="291"/>
    <w:p>
      <w:pPr>
        <w:jc w:val="both"/>
        <w:ind w:firstLine="2404"/>
        <w:spacing w:after="0" w:line="259" w:lineRule="auto"/>
        <w:tabs>
          <w:tab w:leader="none" w:pos="281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86" w:lineRule="exact"/>
        <w:rPr>
          <w:rFonts w:ascii="Arial" w:cs="Arial" w:eastAsia="Arial" w:hAnsi="Arial"/>
          <w:sz w:val="18"/>
          <w:szCs w:val="18"/>
          <w:b w:val="1"/>
          <w:bCs w:val="1"/>
          <w:color w:val="auto"/>
        </w:rPr>
      </w:pPr>
    </w:p>
    <w:p>
      <w:pPr>
        <w:ind w:right="20" w:firstLine="2404"/>
        <w:spacing w:after="0" w:line="255" w:lineRule="auto"/>
        <w:tabs>
          <w:tab w:leader="none" w:pos="282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3" w:lineRule="exact"/>
        <w:rPr>
          <w:rFonts w:ascii="Arial" w:cs="Arial" w:eastAsia="Arial" w:hAnsi="Arial"/>
          <w:sz w:val="18"/>
          <w:szCs w:val="18"/>
          <w:b w:val="1"/>
          <w:bCs w:val="1"/>
          <w:color w:val="auto"/>
        </w:rPr>
      </w:pPr>
    </w:p>
    <w:p>
      <w:pPr>
        <w:ind w:right="20" w:firstLine="2404"/>
        <w:spacing w:after="0" w:line="269" w:lineRule="auto"/>
        <w:tabs>
          <w:tab w:leader="none" w:pos="2826" w:val="left"/>
        </w:tabs>
        <w:numPr>
          <w:ilvl w:val="1"/>
          <w:numId w:val="216"/>
        </w:numPr>
        <w:rPr>
          <w:rFonts w:ascii="Arial" w:cs="Arial" w:eastAsia="Arial" w:hAnsi="Arial"/>
          <w:sz w:val="17"/>
          <w:szCs w:val="17"/>
          <w:b w:val="1"/>
          <w:bCs w:val="1"/>
          <w:color w:val="auto"/>
        </w:rPr>
      </w:pPr>
      <w:r>
        <w:rPr>
          <w:rFonts w:ascii="Arial" w:cs="Arial" w:eastAsia="Arial" w:hAnsi="Arial"/>
          <w:sz w:val="17"/>
          <w:szCs w:val="17"/>
          <w:color w:val="auto"/>
        </w:rPr>
        <w:t>No further adjustment of the Series Preferred Conversion Price for a series of Series Preferred,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Series Preferred Conversion Price for such series as adjusted upon the issuance of such rights, options or Convertible Securities shall be readjusted to the Series Preferred Conversion Price for such series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provided that such readjustment shall not apply to prior conversions of Series Preferred.</w:t>
      </w:r>
    </w:p>
    <w:p>
      <w:pPr>
        <w:spacing w:after="0" w:line="179" w:lineRule="exact"/>
        <w:rPr>
          <w:rFonts w:ascii="Arial" w:cs="Arial" w:eastAsia="Arial" w:hAnsi="Arial"/>
          <w:sz w:val="17"/>
          <w:szCs w:val="17"/>
          <w:b w:val="1"/>
          <w:bCs w:val="1"/>
          <w:color w:val="auto"/>
        </w:rPr>
      </w:pPr>
    </w:p>
    <w:p>
      <w:pPr>
        <w:ind w:left="2340" w:hanging="392"/>
        <w:spacing w:after="0"/>
        <w:tabs>
          <w:tab w:leader="none" w:pos="2340"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t>For the purpose of making any adjustment to the Conversion Price of the Series Preferred required under this Section 5(h).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shall mean all shares of Common Stock issued by the Company or deemed to be issued pursuant to this Section 5(h)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shares of Common Stock subsequently reacquired or retired by the Company), other than:</w:t>
      </w:r>
    </w:p>
    <w:p>
      <w:pPr>
        <w:spacing w:after="0" w:line="211" w:lineRule="exact"/>
        <w:rPr>
          <w:sz w:val="20"/>
          <w:szCs w:val="20"/>
          <w:color w:val="auto"/>
        </w:rPr>
      </w:pPr>
    </w:p>
    <w:p>
      <w:pPr>
        <w:ind w:left="5620" w:right="3320" w:hanging="3216"/>
        <w:spacing w:after="0" w:line="449" w:lineRule="auto"/>
        <w:tabs>
          <w:tab w:leader="none" w:pos="283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 15</w:t>
      </w:r>
    </w:p>
    <w:p>
      <w:pPr>
        <w:sectPr>
          <w:pgSz w:w="11900" w:h="16838" w:orient="portrait"/>
          <w:cols w:equalWidth="0" w:num="1">
            <w:col w:w="11420"/>
          </w:cols>
          <w:pgMar w:left="240" w:top="274" w:right="239" w:bottom="1440" w:gutter="0" w:footer="0" w:header="0"/>
        </w:sectPr>
      </w:pPr>
    </w:p>
    <w:bookmarkStart w:id="292" w:name="page293"/>
    <w:bookmarkEnd w:id="292"/>
    <w:p>
      <w:pPr>
        <w:ind w:left="2820" w:hanging="416"/>
        <w:spacing w:after="0"/>
        <w:tabs>
          <w:tab w:leader="none" w:pos="282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issued in connection with a Qualified IPO (as defined below);</w:t>
      </w:r>
    </w:p>
    <w:p>
      <w:pPr>
        <w:spacing w:after="0" w:line="225" w:lineRule="exact"/>
        <w:rPr>
          <w:rFonts w:ascii="Arial" w:cs="Arial" w:eastAsia="Arial" w:hAnsi="Arial"/>
          <w:sz w:val="18"/>
          <w:szCs w:val="18"/>
          <w:b w:val="1"/>
          <w:bCs w:val="1"/>
          <w:color w:val="auto"/>
        </w:rPr>
      </w:pPr>
    </w:p>
    <w:p>
      <w:pPr>
        <w:ind w:right="120" w:firstLine="2404"/>
        <w:spacing w:after="0" w:line="264" w:lineRule="auto"/>
        <w:tabs>
          <w:tab w:leader="none" w:pos="2826"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Filing Date to employees, officers or directors of, or consultants or advisors to, the Company or any subsidiary pursuant to stock purchase or stock option plans or other arrangements that are approved by the Board;</w:t>
      </w:r>
    </w:p>
    <w:p>
      <w:pPr>
        <w:spacing w:after="0" w:line="181" w:lineRule="exact"/>
        <w:rPr>
          <w:rFonts w:ascii="Arial" w:cs="Arial" w:eastAsia="Arial" w:hAnsi="Arial"/>
          <w:sz w:val="18"/>
          <w:szCs w:val="18"/>
          <w:b w:val="1"/>
          <w:bCs w:val="1"/>
          <w:color w:val="auto"/>
        </w:rPr>
      </w:pPr>
    </w:p>
    <w:p>
      <w:pPr>
        <w:ind w:left="2840" w:hanging="436"/>
        <w:spacing w:after="0"/>
        <w:tabs>
          <w:tab w:leader="none" w:pos="2840"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shares of Common Stock issued pursuant to the exercise of Convertible Securities outstanding as of the Filing Date;</w:t>
      </w:r>
    </w:p>
    <w:p>
      <w:pPr>
        <w:spacing w:after="0" w:line="248" w:lineRule="exact"/>
        <w:rPr>
          <w:rFonts w:ascii="Arial" w:cs="Arial" w:eastAsia="Arial" w:hAnsi="Arial"/>
          <w:sz w:val="16"/>
          <w:szCs w:val="16"/>
          <w:b w:val="1"/>
          <w:bCs w:val="1"/>
          <w:color w:val="auto"/>
        </w:rPr>
      </w:pPr>
    </w:p>
    <w:p>
      <w:pPr>
        <w:ind w:right="320" w:firstLine="2404"/>
        <w:spacing w:after="0" w:line="342" w:lineRule="auto"/>
        <w:tabs>
          <w:tab w:leader="none" w:pos="2816"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 xml:space="preserve">shares of Common Stock or Convertible Securities issued for consideration other than cash pursuant to a merger, consolidation, acquisition, strategic alliance or similar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issuance of shares therein has been approved by the Board;</w:t>
      </w:r>
    </w:p>
    <w:p>
      <w:pPr>
        <w:spacing w:after="0" w:line="123" w:lineRule="exact"/>
        <w:rPr>
          <w:rFonts w:ascii="Arial" w:cs="Arial" w:eastAsia="Arial" w:hAnsi="Arial"/>
          <w:sz w:val="16"/>
          <w:szCs w:val="16"/>
          <w:b w:val="1"/>
          <w:bCs w:val="1"/>
          <w:color w:val="auto"/>
        </w:rPr>
      </w:pPr>
    </w:p>
    <w:p>
      <w:pPr>
        <w:jc w:val="both"/>
        <w:ind w:right="80" w:firstLine="2404"/>
        <w:spacing w:after="0" w:line="264" w:lineRule="auto"/>
        <w:tabs>
          <w:tab w:leader="none" w:pos="2806"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 xml:space="preserve">shares of Common Stock or Convertible Securities issued pursuant to any equipment loan or leasing arrangement, real property leasing arrangement or debt financing from a bank or similar financial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Board;</w:t>
      </w:r>
    </w:p>
    <w:p>
      <w:pPr>
        <w:spacing w:after="0" w:line="181" w:lineRule="exact"/>
        <w:rPr>
          <w:rFonts w:ascii="Arial" w:cs="Arial" w:eastAsia="Arial" w:hAnsi="Arial"/>
          <w:sz w:val="18"/>
          <w:szCs w:val="18"/>
          <w:b w:val="1"/>
          <w:bCs w:val="1"/>
          <w:color w:val="auto"/>
        </w:rPr>
      </w:pPr>
    </w:p>
    <w:p>
      <w:pPr>
        <w:ind w:right="80" w:firstLine="2404"/>
        <w:spacing w:after="0" w:line="308" w:lineRule="auto"/>
        <w:tabs>
          <w:tab w:leader="none" w:pos="2836"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 xml:space="preserve">shares of Common Stock or Convertible Securities issued to third-party service providers in exchange for or as partial consideration for services rendered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Board;</w:t>
      </w:r>
    </w:p>
    <w:p>
      <w:pPr>
        <w:spacing w:after="0" w:line="146" w:lineRule="exact"/>
        <w:rPr>
          <w:rFonts w:ascii="Arial" w:cs="Arial" w:eastAsia="Arial" w:hAnsi="Arial"/>
          <w:sz w:val="17"/>
          <w:szCs w:val="17"/>
          <w:b w:val="1"/>
          <w:bCs w:val="1"/>
          <w:color w:val="auto"/>
        </w:rPr>
      </w:pPr>
    </w:p>
    <w:p>
      <w:pPr>
        <w:ind w:right="120" w:firstLine="2404"/>
        <w:spacing w:after="0" w:line="264" w:lineRule="auto"/>
        <w:tabs>
          <w:tab w:leader="none" w:pos="2836"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any Common Stock or Convertible Securities issued in connection with strategic transactions involving the Company and other entities, including, without limitation, (i) joint ventures, manufacturing, marketing or distribution arrangements or (ii) technology transfer or development arrangements; provided that the issuance of shares therein has been approved by the Board; and</w:t>
      </w:r>
    </w:p>
    <w:p>
      <w:pPr>
        <w:spacing w:after="0" w:line="181" w:lineRule="exact"/>
        <w:rPr>
          <w:rFonts w:ascii="Arial" w:cs="Arial" w:eastAsia="Arial" w:hAnsi="Arial"/>
          <w:sz w:val="18"/>
          <w:szCs w:val="18"/>
          <w:b w:val="1"/>
          <w:bCs w:val="1"/>
          <w:color w:val="auto"/>
        </w:rPr>
      </w:pPr>
    </w:p>
    <w:p>
      <w:pPr>
        <w:ind w:firstLine="2404"/>
        <w:spacing w:after="0" w:line="308" w:lineRule="auto"/>
        <w:tabs>
          <w:tab w:leader="none" w:pos="2766"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pursuant to the that certain Series D Preferred Stock Purchase Agreement by and among the Company and the individuals and entities identified on Exhibit A thereto, dated on or around the date hereof;</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total number of shares excluded from the definition of Additional Shares of Common Stock pursuant to subsections (E), (F), (G)</w:t>
      </w:r>
      <w:r>
        <w:rPr>
          <w:rFonts w:ascii="Arial" w:cs="Arial" w:eastAsia="Arial" w:hAnsi="Arial"/>
          <w:sz w:val="18"/>
          <w:szCs w:val="18"/>
          <w:i w:val="1"/>
          <w:iCs w:val="1"/>
          <w:color w:val="auto"/>
        </w:rPr>
        <w:t xml:space="preserve"> </w:t>
      </w:r>
      <w:r>
        <w:rPr>
          <w:rFonts w:ascii="Arial" w:cs="Arial" w:eastAsia="Arial" w:hAnsi="Arial"/>
          <w:sz w:val="18"/>
          <w:szCs w:val="18"/>
          <w:color w:val="auto"/>
        </w:rPr>
        <w:t>and (H) above shall not exceed 428,571 shares in the aggregate (as adjusted for any stock dividends, combinations, splits, recapitalizations and the like with respect to such shares after the Filing Date).</w:t>
      </w:r>
    </w:p>
    <w:p>
      <w:pPr>
        <w:spacing w:after="0" w:line="181"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93" w:name="page294"/>
    <w:bookmarkEnd w:id="29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under this Section 5(h), for such Additional Shares of Common Stock. In the event that the number of shares of Additional Shares of Common Stock or the Effective Price cannot be ascertained at the time of issuance (other than by virtue of antidilution provisions contained therein that have not yet been invoked), such Additional Shares of Common Stock shall be deemed issued immediately upon the occurrence of the first event that makes such number of shares or the Effective Price, as applicable, ascertainable.</w:t>
      </w:r>
    </w:p>
    <w:p>
      <w:pPr>
        <w:spacing w:after="0" w:line="187" w:lineRule="exact"/>
        <w:rPr>
          <w:sz w:val="20"/>
          <w:szCs w:val="20"/>
          <w:color w:val="auto"/>
        </w:rPr>
      </w:pPr>
    </w:p>
    <w:p>
      <w:pPr>
        <w:ind w:right="80" w:firstLine="1948"/>
        <w:spacing w:after="0" w:line="271" w:lineRule="auto"/>
        <w:tabs>
          <w:tab w:leader="none" w:pos="2380" w:val="left"/>
        </w:tabs>
        <w:numPr>
          <w:ilvl w:val="1"/>
          <w:numId w:val="220"/>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 Dilutive Issuance</w:t>
      </w:r>
      <w:r>
        <w:rPr>
          <w:rFonts w:ascii="Arial" w:cs="Arial" w:eastAsia="Arial" w:hAnsi="Arial"/>
          <w:sz w:val="17"/>
          <w:szCs w:val="17"/>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7"/>
          <w:szCs w:val="17"/>
          <w:b w:val="1"/>
          <w:bCs w:val="1"/>
          <w:i w:val="1"/>
          <w:iCs w:val="1"/>
          <w:color w:val="auto"/>
        </w:rPr>
        <w:t>Subsequent Dilutive Issuance</w:t>
      </w:r>
      <w:r>
        <w:rPr>
          <w:rFonts w:ascii="Arial" w:cs="Arial" w:eastAsia="Arial" w:hAnsi="Arial"/>
          <w:sz w:val="17"/>
          <w:szCs w:val="17"/>
          <w:color w:val="auto"/>
        </w:rPr>
        <w:t>”), then and in each such case upon a Subsequent Dilutive Issuance the applicable Series Preferred Conversion Price (other than the Series Preferred Conversion Price of the Series B-2 Preferred) shall be reduced to the Series Preferred Conversion Price that would have been in effect had the First Dilutive Issuance and each Subsequent Dilutive Issuance all occurred on the closing date of the First Dilutive Issuance. Qualifying Dilutive Issuances occurring within three months of each other shall be deemed to be part of the same transaction for the purposes of this subsection (vi).</w:t>
      </w:r>
    </w:p>
    <w:p>
      <w:pPr>
        <w:spacing w:after="0" w:line="174" w:lineRule="exact"/>
        <w:rPr>
          <w:rFonts w:ascii="Arial" w:cs="Arial" w:eastAsia="Arial" w:hAnsi="Arial"/>
          <w:sz w:val="17"/>
          <w:szCs w:val="17"/>
          <w:b w:val="1"/>
          <w:bCs w:val="1"/>
          <w:color w:val="auto"/>
        </w:rPr>
      </w:pPr>
    </w:p>
    <w:p>
      <w:pPr>
        <w:ind w:right="20" w:firstLine="1492"/>
        <w:spacing w:after="0" w:line="270" w:lineRule="auto"/>
        <w:tabs>
          <w:tab w:leader="none" w:pos="1833"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Certificate of Adjustment</w:t>
      </w:r>
      <w:r>
        <w:rPr>
          <w:rFonts w:ascii="Arial" w:cs="Arial" w:eastAsia="Arial" w:hAnsi="Arial"/>
          <w:sz w:val="17"/>
          <w:szCs w:val="17"/>
          <w:color w:val="auto"/>
        </w:rPr>
        <w:t>. In each case of an adjustment or readjustment of the Series Preferred Conversion Price for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or other securities issuable upon conversion of the Series Preferred, if such series of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such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Series Preferred Conversion Price for such series at the time in effect, (iii) the number of Additional Shares of Common Stock and (iv) the type and amount, if any, of other property which at the time would be received upon conversion of such series of Series Preferred. Failure to request or provide such notice shall have no effect on any such adjustment.</w:t>
      </w:r>
    </w:p>
    <w:p>
      <w:pPr>
        <w:spacing w:after="0" w:line="177" w:lineRule="exact"/>
        <w:rPr>
          <w:rFonts w:ascii="Arial" w:cs="Arial" w:eastAsia="Arial" w:hAnsi="Arial"/>
          <w:sz w:val="17"/>
          <w:szCs w:val="17"/>
          <w:b w:val="1"/>
          <w:bCs w:val="1"/>
          <w:color w:val="auto"/>
        </w:rPr>
      </w:pPr>
    </w:p>
    <w:p>
      <w:pPr>
        <w:ind w:firstLine="1492"/>
        <w:spacing w:after="0" w:line="295" w:lineRule="auto"/>
        <w:tabs>
          <w:tab w:leader="none" w:pos="1843"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Notices of Record Date</w:t>
      </w:r>
      <w:r>
        <w:rPr>
          <w:rFonts w:ascii="Arial" w:cs="Arial" w:eastAsia="Arial" w:hAnsi="Arial"/>
          <w:sz w:val="16"/>
          <w:szCs w:val="16"/>
          <w:color w:val="auto"/>
        </w:rPr>
        <w:t>. Upon (i) any taking by the Company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10 days prior to (a) the record date, if any, specified therein; or (b) if no record date is specified, the date upon which such action is to take effect (or., in either case, such shorter period approved by the holders of 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94" w:name="page295"/>
    <w:bookmarkEnd w:id="294"/>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297" w:lineRule="exact"/>
        <w:rPr>
          <w:sz w:val="20"/>
          <w:szCs w:val="20"/>
          <w:color w:val="auto"/>
        </w:rPr>
      </w:pPr>
    </w:p>
    <w:p>
      <w:pPr>
        <w:ind w:left="1900" w:hanging="408"/>
        <w:spacing w:after="0"/>
        <w:tabs>
          <w:tab w:leader="none" w:pos="19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00" w:firstLine="1948"/>
        <w:spacing w:after="0" w:line="255" w:lineRule="auto"/>
        <w:tabs>
          <w:tab w:leader="none" w:pos="2290"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for the applicable series, (A) at any time upon the affirmative election of the holders of at least a majority of the outstanding shares of the Series Preferred, voting together as a single class on an as-if-converted basis,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$50,000,000 (a “</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Upon such automatic conversion, any declared and unpaid dividends shall be paid in accordance with the provisions of Section 5(d).</w:t>
      </w:r>
    </w:p>
    <w:p>
      <w:pPr>
        <w:spacing w:after="0" w:line="189" w:lineRule="exact"/>
        <w:rPr>
          <w:rFonts w:ascii="Arial" w:cs="Arial" w:eastAsia="Arial" w:hAnsi="Arial"/>
          <w:sz w:val="18"/>
          <w:szCs w:val="18"/>
          <w:b w:val="1"/>
          <w:bCs w:val="1"/>
          <w:color w:val="auto"/>
        </w:rPr>
      </w:pPr>
    </w:p>
    <w:p>
      <w:pPr>
        <w:ind w:firstLine="1948"/>
        <w:spacing w:after="0" w:line="269" w:lineRule="auto"/>
        <w:tabs>
          <w:tab w:leader="none" w:pos="2340" w:val="left"/>
        </w:tabs>
        <w:numPr>
          <w:ilvl w:val="1"/>
          <w:numId w:val="222"/>
        </w:numPr>
        <w:rPr>
          <w:rFonts w:ascii="Arial" w:cs="Arial" w:eastAsia="Arial" w:hAnsi="Arial"/>
          <w:sz w:val="17"/>
          <w:szCs w:val="17"/>
          <w:b w:val="1"/>
          <w:bCs w:val="1"/>
          <w:color w:val="auto"/>
        </w:rPr>
      </w:pPr>
      <w:r>
        <w:rPr>
          <w:rFonts w:ascii="Arial" w:cs="Arial" w:eastAsia="Arial" w:hAnsi="Arial"/>
          <w:sz w:val="17"/>
          <w:szCs w:val="17"/>
          <w:color w:val="auto"/>
        </w:rPr>
        <w:t>Upon the occurrence of either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178" w:lineRule="exact"/>
        <w:rPr>
          <w:rFonts w:ascii="Arial" w:cs="Arial" w:eastAsia="Arial" w:hAnsi="Arial"/>
          <w:sz w:val="17"/>
          <w:szCs w:val="17"/>
          <w:b w:val="1"/>
          <w:bCs w:val="1"/>
          <w:color w:val="auto"/>
        </w:rPr>
      </w:pPr>
    </w:p>
    <w:p>
      <w:pPr>
        <w:ind w:right="120" w:firstLine="1492"/>
        <w:spacing w:after="0" w:line="281" w:lineRule="auto"/>
        <w:tabs>
          <w:tab w:leader="none" w:pos="1833"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Fractional Shares</w:t>
      </w:r>
      <w:r>
        <w:rPr>
          <w:rFonts w:ascii="Arial" w:cs="Arial" w:eastAsia="Arial" w:hAnsi="Arial"/>
          <w:sz w:val="17"/>
          <w:szCs w:val="17"/>
          <w:color w:val="auto"/>
        </w:rPr>
        <w:t>. No fractional shares of Common Stock shall be issued upon conversion of Series Preferred. All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95" w:name="page296"/>
    <w:bookmarkEnd w:id="29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pay cash equal to the product of such fraction multiplied by the fair market value of one share of Common Stock (as determined by the Board) on the date of conversion.</w:t>
      </w:r>
    </w:p>
    <w:p>
      <w:pPr>
        <w:spacing w:after="0" w:line="166" w:lineRule="exact"/>
        <w:rPr>
          <w:sz w:val="20"/>
          <w:szCs w:val="20"/>
          <w:color w:val="auto"/>
        </w:rPr>
      </w:pPr>
    </w:p>
    <w:p>
      <w:pPr>
        <w:ind w:right="40" w:firstLine="1492"/>
        <w:spacing w:after="0" w:line="256" w:lineRule="auto"/>
        <w:tabs>
          <w:tab w:leader="none" w:pos="1933"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7" w:lineRule="exact"/>
        <w:rPr>
          <w:rFonts w:ascii="Arial" w:cs="Arial" w:eastAsia="Arial" w:hAnsi="Arial"/>
          <w:sz w:val="18"/>
          <w:szCs w:val="18"/>
          <w:b w:val="1"/>
          <w:bCs w:val="1"/>
          <w:color w:val="auto"/>
        </w:rPr>
      </w:pPr>
    </w:p>
    <w:p>
      <w:pPr>
        <w:ind w:firstLine="1492"/>
        <w:spacing w:after="0" w:line="298" w:lineRule="auto"/>
        <w:tabs>
          <w:tab w:leader="none" w:pos="1883"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required by the provisions of this Section 5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confirmed electronic transmission in compliance with the provisions of the DGCL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54" w:lineRule="exact"/>
        <w:rPr>
          <w:rFonts w:ascii="Arial" w:cs="Arial" w:eastAsia="Arial" w:hAnsi="Arial"/>
          <w:sz w:val="16"/>
          <w:szCs w:val="16"/>
          <w:b w:val="1"/>
          <w:bCs w:val="1"/>
          <w:color w:val="auto"/>
        </w:rPr>
      </w:pPr>
    </w:p>
    <w:p>
      <w:pPr>
        <w:jc w:val="both"/>
        <w:ind w:right="20" w:firstLine="1492"/>
        <w:spacing w:after="0" w:line="261" w:lineRule="auto"/>
        <w:tabs>
          <w:tab w:leader="none" w:pos="1873"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288" w:lineRule="exact"/>
        <w:rPr>
          <w:sz w:val="20"/>
          <w:szCs w:val="20"/>
          <w:color w:val="auto"/>
        </w:rPr>
      </w:pPr>
    </w:p>
    <w:p>
      <w:pPr>
        <w:ind w:left="1240" w:hanging="319"/>
        <w:spacing w:after="0"/>
        <w:tabs>
          <w:tab w:leader="none" w:pos="12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EISSUANCE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REFERRED</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shares or shares of Series Preferred acquired by the Company by reason of redemption, purchase, conversion or otherwise shall be reissued.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80" w:firstLine="464"/>
        <w:spacing w:after="0" w:line="277" w:lineRule="auto"/>
        <w:tabs>
          <w:tab w:leader="none" w:pos="808"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the DGCL as the same exists or as may hereafter be amended, a director of the Company shall not be personally liable to the Company or its stockholders for monetary damages for a breach of fiduciary duty as a director.</w:t>
      </w:r>
    </w:p>
    <w:p>
      <w:pPr>
        <w:spacing w:after="0" w:line="170" w:lineRule="exact"/>
        <w:rPr>
          <w:rFonts w:ascii="Arial" w:cs="Arial" w:eastAsia="Arial" w:hAnsi="Arial"/>
          <w:sz w:val="18"/>
          <w:szCs w:val="18"/>
          <w:b w:val="1"/>
          <w:bCs w:val="1"/>
          <w:color w:val="auto"/>
        </w:rPr>
      </w:pPr>
    </w:p>
    <w:p>
      <w:pPr>
        <w:ind w:right="140" w:firstLine="464"/>
        <w:spacing w:after="0" w:line="259" w:lineRule="auto"/>
        <w:tabs>
          <w:tab w:leader="none" w:pos="798"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The Company may indemnify to the fullest extent permitted by law any person made or threatened to be made a party to an action or proceeding, whether criminal, civil, administrative or investigative, by reason of the fact that he, his testator or intestate is or was a director, officer or employee of the Company or any predecessor of the Company or serves or served at any other enterprise as a director, officer or employee at the request of the Company or any predecessor to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96" w:name="page297"/>
    <w:bookmarkEnd w:id="296"/>
    <w:p>
      <w:pPr>
        <w:jc w:val="both"/>
        <w:ind w:right="160" w:firstLine="464"/>
        <w:spacing w:after="0" w:line="259" w:lineRule="auto"/>
        <w:tabs>
          <w:tab w:leader="none" w:pos="808"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authorized to provide indemnification of directors, officers, employees and other agents of the Company (and any other persons to which applicable law permits the Company to provide indemnification) for breach of duty to the Company and its stockholders through bylaw provisions or through agreements with such directors, officers, employees or other agents, or through stockholder resolutions, or otherwise, in excess of the indemnification otherwise permitted by applicable law.</w:t>
      </w:r>
    </w:p>
    <w:p>
      <w:pPr>
        <w:spacing w:after="0" w:line="186" w:lineRule="exact"/>
        <w:rPr>
          <w:rFonts w:ascii="Arial" w:cs="Arial" w:eastAsia="Arial" w:hAnsi="Arial"/>
          <w:sz w:val="18"/>
          <w:szCs w:val="18"/>
          <w:b w:val="1"/>
          <w:bCs w:val="1"/>
          <w:color w:val="auto"/>
        </w:rPr>
      </w:pPr>
    </w:p>
    <w:p>
      <w:pPr>
        <w:ind w:right="60" w:firstLine="464"/>
        <w:spacing w:after="0" w:line="277" w:lineRule="auto"/>
        <w:tabs>
          <w:tab w:leader="none" w:pos="801"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 shall only be prospective and shall not affect the rights under this Article V in effect at the time of the alleged occurrence of any action or omission to act giving rise to liability.</w:t>
      </w:r>
    </w:p>
    <w:p>
      <w:pPr>
        <w:spacing w:after="0" w:line="170" w:lineRule="exact"/>
        <w:rPr>
          <w:rFonts w:ascii="Arial" w:cs="Arial" w:eastAsia="Arial" w:hAnsi="Arial"/>
          <w:sz w:val="18"/>
          <w:szCs w:val="18"/>
          <w:b w:val="1"/>
          <w:bCs w:val="1"/>
          <w:color w:val="auto"/>
        </w:rPr>
      </w:pPr>
    </w:p>
    <w:p>
      <w:pPr>
        <w:ind w:right="20" w:firstLine="464"/>
        <w:spacing w:after="0" w:line="254" w:lineRule="auto"/>
        <w:tabs>
          <w:tab w:leader="none" w:pos="801"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In the event that a member of the Board who is also a partner or employee of an entity that is a holder of Preferred Stock and that is in the business of investing and reinvesting in other entities, or an employee of an entity that manages such an entity (each, a “</w:t>
      </w:r>
      <w:r>
        <w:rPr>
          <w:rFonts w:ascii="Arial" w:cs="Arial" w:eastAsia="Arial" w:hAnsi="Arial"/>
          <w:sz w:val="18"/>
          <w:szCs w:val="18"/>
          <w:b w:val="1"/>
          <w:bCs w:val="1"/>
          <w:i w:val="1"/>
          <w:iCs w:val="1"/>
          <w:color w:val="auto"/>
        </w:rPr>
        <w:t>Fund</w:t>
      </w:r>
      <w:r>
        <w:rPr>
          <w:rFonts w:ascii="Arial" w:cs="Arial" w:eastAsia="Arial" w:hAnsi="Arial"/>
          <w:sz w:val="18"/>
          <w:szCs w:val="18"/>
          <w:color w:val="auto"/>
        </w:rPr>
        <w:t>”) acquires knowledge of a potential transaction or other matter in such individual’s capacity as a partner or employee of the Fund or the manager or general partner of the Fund (and other than directly in connection with such individual’ s service as a member of the Board) and that may be an opportunity of interest for both the Company and such Fund (a “</w:t>
      </w:r>
      <w:r>
        <w:rPr>
          <w:rFonts w:ascii="Arial" w:cs="Arial" w:eastAsia="Arial" w:hAnsi="Arial"/>
          <w:sz w:val="18"/>
          <w:szCs w:val="18"/>
          <w:b w:val="1"/>
          <w:bCs w:val="1"/>
          <w:i w:val="1"/>
          <w:iCs w:val="1"/>
          <w:color w:val="auto"/>
        </w:rPr>
        <w:t>Corporate Opportunity</w:t>
      </w:r>
      <w:r>
        <w:rPr>
          <w:rFonts w:ascii="Arial" w:cs="Arial" w:eastAsia="Arial" w:hAnsi="Arial"/>
          <w:sz w:val="18"/>
          <w:szCs w:val="18"/>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right="180" w:firstLine="464"/>
        <w:spacing w:after="0" w:line="264" w:lineRule="auto"/>
        <w:tabs>
          <w:tab w:leader="none" w:pos="80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Amended and Restated Certificate of Incorporation.</w:t>
      </w:r>
    </w:p>
    <w:p>
      <w:pPr>
        <w:spacing w:after="0" w:line="181" w:lineRule="exact"/>
        <w:rPr>
          <w:rFonts w:ascii="Arial" w:cs="Arial" w:eastAsia="Arial" w:hAnsi="Arial"/>
          <w:sz w:val="18"/>
          <w:szCs w:val="18"/>
          <w:b w:val="1"/>
          <w:bCs w:val="1"/>
          <w:color w:val="auto"/>
        </w:rPr>
      </w:pPr>
    </w:p>
    <w:p>
      <w:pPr>
        <w:ind w:firstLine="464"/>
        <w:spacing w:after="0" w:line="257" w:lineRule="auto"/>
        <w:tabs>
          <w:tab w:leader="none" w:pos="79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The Board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88" w:lineRule="exact"/>
        <w:rPr>
          <w:rFonts w:ascii="Arial" w:cs="Arial" w:eastAsia="Arial" w:hAnsi="Arial"/>
          <w:sz w:val="18"/>
          <w:szCs w:val="18"/>
          <w:b w:val="1"/>
          <w:bCs w:val="1"/>
          <w:color w:val="auto"/>
        </w:rPr>
      </w:pPr>
    </w:p>
    <w:p>
      <w:pPr>
        <w:ind w:left="820" w:hanging="356"/>
        <w:spacing w:after="0"/>
        <w:tabs>
          <w:tab w:leader="none" w:pos="82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97" w:name="page298"/>
    <w:bookmarkEnd w:id="297"/>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ind w:firstLine="8"/>
        <w:spacing w:after="0" w:line="267" w:lineRule="auto"/>
        <w:tabs>
          <w:tab w:leader="none" w:pos="26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VII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 (including, without limitation, each portion of any sentence of this Article VII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5"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21"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Amended and Restated Certificate of Incorporation has been duly approved by the Board.</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This Amended and Restated Certificate of Incorporation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8" w:name="page299"/>
    <w:bookmarkEnd w:id="29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color w:val="auto"/>
        </w:rPr>
        <w:t>. has caused this Amended and Restated Certificate of Incorporation to be signed by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on January 13, 2017.</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1220"/>
          </w:cols>
          <w:pgMar w:left="240" w:top="270" w:right="4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172085</wp:posOffset>
            </wp:positionV>
            <wp:extent cx="3258820" cy="7715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588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your request, we have examined the Registration Statement on Form S-1 (File Number 333-206849) filed by AnaptysBio,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on September 9, 2015,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connection with the registration under the Securities Act of 1933, as amended, of an aggregate of 4,600,000 shares of the Company’s Common Stock (the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rendering this opinion, we have examined such matters of fact as we have deemed necessary in order to render the opinion set forth herein, which included examination of the following:</w:t>
      </w:r>
    </w:p>
    <w:p>
      <w:pPr>
        <w:spacing w:after="0" w:line="76"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Company’s Amended and Restated Certificate of Incorporation certified by the Delaware Secretary of State on January 13, 2017 (the</w:t>
      </w:r>
    </w:p>
    <w:p>
      <w:pPr>
        <w:spacing w:after="0" w:line="34" w:lineRule="exact"/>
        <w:rPr>
          <w:rFonts w:ascii="Arial" w:cs="Arial" w:eastAsia="Arial" w:hAnsi="Arial"/>
          <w:sz w:val="17"/>
          <w:szCs w:val="17"/>
          <w:color w:val="auto"/>
        </w:rPr>
      </w:pPr>
    </w:p>
    <w:p>
      <w:pPr>
        <w:ind w:left="900" w:right="300"/>
        <w:spacing w:after="0" w:line="261"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the Amended and Restated Certificate of Incorporation that the Company intends to file and that will be effective upon the consummation of the sale of the Stock (the “</w:t>
      </w:r>
      <w:r>
        <w:rPr>
          <w:rFonts w:ascii="Arial" w:cs="Arial" w:eastAsia="Arial" w:hAnsi="Arial"/>
          <w:sz w:val="18"/>
          <w:szCs w:val="18"/>
          <w:b w:val="1"/>
          <w:bCs w:val="1"/>
          <w:i w:val="1"/>
          <w:iCs w:val="1"/>
          <w:color w:val="auto"/>
        </w:rPr>
        <w:t>Post-Effective Restated Certificate</w:t>
      </w:r>
      <w:r>
        <w:rPr>
          <w:rFonts w:ascii="Arial" w:cs="Arial" w:eastAsia="Arial" w:hAnsi="Arial"/>
          <w:sz w:val="18"/>
          <w:szCs w:val="18"/>
          <w:color w:val="auto"/>
        </w:rPr>
        <w:t>”);</w:t>
      </w:r>
    </w:p>
    <w:p>
      <w:pPr>
        <w:spacing w:after="0" w:line="89" w:lineRule="exact"/>
        <w:rPr>
          <w:rFonts w:ascii="Arial" w:cs="Arial" w:eastAsia="Arial" w:hAnsi="Arial"/>
          <w:sz w:val="17"/>
          <w:szCs w:val="17"/>
          <w:color w:val="auto"/>
        </w:rPr>
      </w:pPr>
    </w:p>
    <w:p>
      <w:pPr>
        <w:ind w:left="900" w:right="460" w:hanging="446"/>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Company’s Bylaws, adopted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on February 28, 2006, as amended on July 9, 2015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and the Amended and Restated Bylaws that the Company has adopted in connection with, and that will be effective upon the consummation of the sale of the Stock (the “</w:t>
      </w:r>
      <w:r>
        <w:rPr>
          <w:rFonts w:ascii="Arial" w:cs="Arial" w:eastAsia="Arial" w:hAnsi="Arial"/>
          <w:sz w:val="18"/>
          <w:szCs w:val="18"/>
          <w:b w:val="1"/>
          <w:bCs w:val="1"/>
          <w:i w:val="1"/>
          <w:iCs w:val="1"/>
          <w:color w:val="auto"/>
        </w:rPr>
        <w:t>Post-Effective Bylaws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Registration Statement, together with the Exhibits filed as a part thereof or incorporated therein by reference;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prospectus prepared in connection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minutes of meetings and actions by written consent of the Board and the Company’s stockholders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at which, or pursuant to which, the Restated Certificate, the Post-Effective Restated Certificate, the Bylaws and the Post-Effective Bylaws were approved;</w:t>
      </w:r>
    </w:p>
    <w:p>
      <w:pPr>
        <w:spacing w:after="0" w:line="29" w:lineRule="exact"/>
        <w:rPr>
          <w:rFonts w:ascii="Arial" w:cs="Arial" w:eastAsia="Arial" w:hAnsi="Arial"/>
          <w:sz w:val="16"/>
          <w:szCs w:val="16"/>
          <w:color w:val="auto"/>
        </w:rPr>
      </w:pPr>
    </w:p>
    <w:p>
      <w:pPr>
        <w:ind w:left="900" w:right="300" w:hanging="446"/>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minutes of meetings and actions by written consent of the Board and Stockholders at which, or pursuant to which, the sale and issuance of the Stock and related matters were approved;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stock records for the Company that the Company has provided to us (consisting of a list of Stockholders and a list of the Company’s option and warrant holders and of any rights to purchase capital stock, each prepared by the Company and dated January 13, 2017, verifying the number of such issued and outstanding securities);</w:t>
      </w:r>
    </w:p>
    <w:p>
      <w:pPr>
        <w:spacing w:after="0" w:line="86"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certificate of good standing issued by the Delaware Secretary of State dated January 13, 2017, stating that the Company is qualified to do business and is in good standing under the laws of the State of Delaware (the “</w:t>
      </w:r>
      <w:r>
        <w:rPr>
          <w:rFonts w:ascii="Arial" w:cs="Arial" w:eastAsia="Arial" w:hAnsi="Arial"/>
          <w:sz w:val="17"/>
          <w:szCs w:val="17"/>
          <w:b w:val="1"/>
          <w:bCs w:val="1"/>
          <w:i w:val="1"/>
          <w:iCs w:val="1"/>
          <w:color w:val="auto"/>
        </w:rPr>
        <w:t>Certificate of Good Standing</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300" w:name="page301"/>
    <w:bookmarkEnd w:id="300"/>
    <w:p>
      <w:pPr>
        <w:ind w:left="900" w:right="100" w:hanging="446"/>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Management Certificate, addressed to us and dated of even date herewith, executed by the Company, containing certain factual representations (the “</w:t>
      </w:r>
      <w:r>
        <w:rPr>
          <w:rFonts w:ascii="Arial" w:cs="Arial" w:eastAsia="Arial" w:hAnsi="Arial"/>
          <w:sz w:val="18"/>
          <w:szCs w:val="18"/>
          <w:b w:val="1"/>
          <w:bCs w:val="1"/>
          <w:i w:val="1"/>
          <w:iCs w:val="1"/>
          <w:color w:val="auto"/>
        </w:rPr>
        <w:t>Management Certificate</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underwriting agreement to be entered into by and among the Company and the several Underwriters named in Schedule I attached thereto.</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conformity to originals and completeness of all documents submitted to us as copies, the legal capacity of all persons or entities executing the same and the lack of any undisclosed termination, modification, waiver or amendment to any document referenced in clauses (5) and (6) above to us.</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We render this opinion only with respect to, and express no opinion herein concerning the application or effect of the laws of any jurisdiction other than, the existing laws of the United States of America and of the Delaware General Corporation Law and reported judicial decisions relating thereto.</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our opinion expressed in paragraph (2) below, we have assumed that, at or prior to the time of the delivery of any shares of Stock, the Registration Statement will have been declared effective under the Securities Act of 1933, as amended, that the registration will apply to such shares of Stock and will not have been modified or rescinded and that there will not have occurred any change in law affecting the validity of the issuance of such shares of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following opinion:</w:t>
      </w:r>
    </w:p>
    <w:p>
      <w:pPr>
        <w:spacing w:after="0" w:line="117" w:lineRule="exact"/>
        <w:rPr>
          <w:sz w:val="20"/>
          <w:szCs w:val="20"/>
          <w:color w:val="auto"/>
        </w:rPr>
      </w:pPr>
    </w:p>
    <w:p>
      <w:pPr>
        <w:ind w:left="1160" w:hanging="257"/>
        <w:spacing w:after="0"/>
        <w:tabs>
          <w:tab w:leader="none" w:pos="11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is a corporation validly existing, in good standing, under the laws of the State of Delaware;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up to 4,600,000 shares of Stock to be issued and sold by the Company, when issued, sold and delivered in the manner and for the</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consideration stated in the Registration Statement and the Prospectus and in accordance with the resolutions adopted by the Board and to be adopted by the Pricing Committee of the Board, will be validly issued, fully paid and nonassessable.</w:t>
      </w:r>
    </w:p>
    <w:p>
      <w:pPr>
        <w:spacing w:after="0" w:line="18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opinion is intended solely for use in connection with the sale of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subsequent to the date of effectiveness of the Registration Statement or the facts that may thereafter be brought to our attention whether or not such occurrence would affect or modify the opinions expressed herein.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Fenwick &amp; West LLP</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FENWICK &amp; WEST LLP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APRIL 24,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26,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MARCH 19,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18,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11,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APRIL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 THE BOARD TO EXTEND TERM: APRIL 22,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JANUARY 13,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APRIL 21, 2026</w:t>
      </w:r>
    </w:p>
    <w:p>
      <w:pPr>
        <w:spacing w:after="0" w:line="131"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The persons eligible to receive Stock Awards are Employees, Directors, and Consultants.</w:t>
      </w:r>
    </w:p>
    <w:p>
      <w:pPr>
        <w:spacing w:after="0" w:line="117" w:lineRule="exact"/>
        <w:rPr>
          <w:rFonts w:ascii="Arial" w:cs="Arial" w:eastAsia="Arial" w:hAnsi="Arial"/>
          <w:sz w:val="18"/>
          <w:szCs w:val="18"/>
          <w:b w:val="1"/>
          <w:bCs w:val="1"/>
          <w:color w:val="auto"/>
        </w:rPr>
      </w:pPr>
    </w:p>
    <w:p>
      <w:pPr>
        <w:ind w:right="480" w:firstLine="464"/>
        <w:spacing w:after="0" w:line="282" w:lineRule="auto"/>
        <w:tabs>
          <w:tab w:leader="none" w:pos="721"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Restricted Stock Awards, and (iv) Stock Appreciation Rights.</w:t>
      </w:r>
    </w:p>
    <w:p>
      <w:pPr>
        <w:spacing w:after="0" w:line="53"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by means of the Plan, seeks to secure and retain the services of the group of persons eligible to receive Stock Awards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07" w:lineRule="exact"/>
        <w:rPr>
          <w:rFonts w:ascii="Arial" w:cs="Arial" w:eastAsia="Arial" w:hAnsi="Arial"/>
          <w:sz w:val="18"/>
          <w:szCs w:val="18"/>
          <w:b w:val="1"/>
          <w:bCs w:val="1"/>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in the Plan, the following definitions shall apply to the capitalized terms indicated below:</w:t>
      </w:r>
    </w:p>
    <w:p>
      <w:pPr>
        <w:spacing w:after="0" w:line="117" w:lineRule="exact"/>
        <w:rPr>
          <w:rFonts w:ascii="Arial" w:cs="Arial" w:eastAsia="Arial" w:hAnsi="Arial"/>
          <w:sz w:val="18"/>
          <w:szCs w:val="18"/>
          <w:b w:val="1"/>
          <w:bCs w:val="1"/>
          <w:color w:val="auto"/>
        </w:rPr>
      </w:pPr>
    </w:p>
    <w:p>
      <w:pPr>
        <w:ind w:right="20" w:firstLine="464"/>
        <w:spacing w:after="0" w:line="342" w:lineRule="auto"/>
        <w:tabs>
          <w:tab w:leader="none" w:pos="711" w:val="left"/>
        </w:tabs>
        <w:numPr>
          <w:ilvl w:val="1"/>
          <w:numId w:val="2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Securities Act. The Board shall have the authority to determine the time or times at which “parent” or “subsidiary” status is determined within the foregoing definition.</w:t>
      </w:r>
    </w:p>
    <w:p>
      <w:pPr>
        <w:spacing w:after="0" w:line="15" w:lineRule="exact"/>
        <w:rPr>
          <w:rFonts w:ascii="Arial" w:cs="Arial" w:eastAsia="Arial" w:hAnsi="Arial"/>
          <w:sz w:val="16"/>
          <w:szCs w:val="16"/>
          <w:b w:val="1"/>
          <w:bCs w:val="1"/>
          <w:color w:val="auto"/>
        </w:rPr>
      </w:pPr>
    </w:p>
    <w:p>
      <w:pPr>
        <w:ind w:left="720" w:hanging="256"/>
        <w:spacing w:after="0"/>
        <w:tabs>
          <w:tab w:leader="none" w:pos="720"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“Board” means the Board of Directors of the Company.</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“Capitalization Adjustment” has the meaning ascribed to that term in Section 10(a).</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32"/>
        </w:numPr>
        <w:rPr>
          <w:rFonts w:ascii="Arial" w:cs="Arial" w:eastAsia="Arial" w:hAnsi="Arial"/>
          <w:sz w:val="16"/>
          <w:szCs w:val="16"/>
          <w:b w:val="1"/>
          <w:bCs w:val="1"/>
          <w:color w:val="auto"/>
        </w:rPr>
      </w:pPr>
      <w:r>
        <w:rPr>
          <w:rFonts w:ascii="Arial" w:cs="Arial" w:eastAsia="Arial" w:hAnsi="Arial"/>
          <w:sz w:val="16"/>
          <w:szCs w:val="16"/>
          <w:color w:val="auto"/>
        </w:rPr>
        <w:t>“Change in Control” means the occurrence, in a single transaction or in a series of related transactions, of any one or more of the following events:</w:t>
      </w:r>
    </w:p>
    <w:p>
      <w:pPr>
        <w:spacing w:after="0" w:line="140" w:lineRule="exact"/>
        <w:rPr>
          <w:sz w:val="20"/>
          <w:szCs w:val="20"/>
          <w:color w:val="auto"/>
        </w:rPr>
      </w:pPr>
    </w:p>
    <w:p>
      <w:pPr>
        <w:ind w:right="600" w:firstLine="921"/>
        <w:spacing w:after="0" w:line="277" w:lineRule="auto"/>
        <w:tabs>
          <w:tab w:leader="none" w:pos="1128"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 Company’s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02" w:name="page303"/>
    <w:bookmarkEnd w:id="30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59" w:lineRule="exact"/>
        <w:rPr>
          <w:sz w:val="20"/>
          <w:szCs w:val="20"/>
          <w:color w:val="auto"/>
        </w:rPr>
      </w:pPr>
    </w:p>
    <w:p>
      <w:pPr>
        <w:ind w:right="20" w:firstLine="921"/>
        <w:spacing w:after="0" w:line="273" w:lineRule="auto"/>
        <w:tabs>
          <w:tab w:leader="none" w:pos="1178"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70" w:lineRule="exact"/>
        <w:rPr>
          <w:rFonts w:ascii="Arial" w:cs="Arial" w:eastAsia="Arial" w:hAnsi="Arial"/>
          <w:sz w:val="17"/>
          <w:szCs w:val="17"/>
          <w:b w:val="1"/>
          <w:bCs w:val="1"/>
          <w:color w:val="auto"/>
        </w:rPr>
      </w:pPr>
    </w:p>
    <w:p>
      <w:pPr>
        <w:ind w:right="60" w:firstLine="921"/>
        <w:spacing w:after="0" w:line="257" w:lineRule="auto"/>
        <w:tabs>
          <w:tab w:leader="none" w:pos="1228"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shall apply.</w:t>
      </w:r>
    </w:p>
    <w:p>
      <w:pPr>
        <w:spacing w:after="0" w:line="79" w:lineRule="exact"/>
        <w:rPr>
          <w:sz w:val="20"/>
          <w:szCs w:val="20"/>
          <w:color w:val="auto"/>
        </w:rPr>
      </w:pPr>
    </w:p>
    <w:p>
      <w:pPr>
        <w:ind w:left="700" w:hanging="236"/>
        <w:spacing w:after="0"/>
        <w:tabs>
          <w:tab w:leader="none" w:pos="7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3(c).</w:t>
      </w:r>
    </w:p>
    <w:p>
      <w:pPr>
        <w:spacing w:after="0" w:line="140" w:lineRule="exact"/>
        <w:rPr>
          <w:rFonts w:ascii="Arial" w:cs="Arial" w:eastAsia="Arial" w:hAnsi="Arial"/>
          <w:sz w:val="16"/>
          <w:szCs w:val="16"/>
          <w:b w:val="1"/>
          <w:bCs w:val="1"/>
          <w:color w:val="auto"/>
        </w:rPr>
      </w:pPr>
    </w:p>
    <w:p>
      <w:pPr>
        <w:ind w:left="720" w:hanging="256"/>
        <w:spacing w:after="0"/>
        <w:tabs>
          <w:tab w:leader="none" w:pos="72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AnaptysBio, Inc., a Delaware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3" w:name="page304"/>
    <w:bookmarkEnd w:id="303"/>
    <w:p>
      <w:pPr>
        <w:ind w:right="160" w:firstLine="464"/>
        <w:spacing w:after="0" w:line="312" w:lineRule="auto"/>
        <w:tabs>
          <w:tab w:leader="none" w:pos="671" w:val="left"/>
        </w:tabs>
        <w:numPr>
          <w:ilvl w:val="1"/>
          <w:numId w:val="23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38" w:lineRule="exact"/>
        <w:rPr>
          <w:rFonts w:ascii="Arial" w:cs="Arial" w:eastAsia="Arial" w:hAnsi="Arial"/>
          <w:sz w:val="16"/>
          <w:szCs w:val="16"/>
          <w:b w:val="1"/>
          <w:bCs w:val="1"/>
          <w:color w:val="auto"/>
        </w:rPr>
      </w:pPr>
    </w:p>
    <w:p>
      <w:pPr>
        <w:ind w:firstLine="464"/>
        <w:spacing w:after="0" w:line="269" w:lineRule="auto"/>
        <w:tabs>
          <w:tab w:leader="none" w:pos="681" w:val="left"/>
        </w:tabs>
        <w:numPr>
          <w:ilvl w:val="1"/>
          <w:numId w:val="2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if the corporation for which a Participant is rendering service ceases to qualify as an Affiliate, as determined by the Board in its sole discretion, such Participant’s Continuous Service shall be considered to have terminated on the date such corporation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Participant’s leave of absence.</w:t>
      </w:r>
    </w:p>
    <w:p>
      <w:pPr>
        <w:spacing w:after="0" w:line="74" w:lineRule="exact"/>
        <w:rPr>
          <w:rFonts w:ascii="Arial" w:cs="Arial" w:eastAsia="Arial" w:hAnsi="Arial"/>
          <w:sz w:val="17"/>
          <w:szCs w:val="17"/>
          <w:b w:val="1"/>
          <w:bCs w:val="1"/>
          <w:color w:val="auto"/>
        </w:rPr>
      </w:pPr>
    </w:p>
    <w:p>
      <w:pPr>
        <w:ind w:left="720" w:hanging="256"/>
        <w:spacing w:after="0"/>
        <w:tabs>
          <w:tab w:leader="none" w:pos="720" w:val="left"/>
        </w:tabs>
        <w:numPr>
          <w:ilvl w:val="1"/>
          <w:numId w:val="23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680" w:firstLine="921"/>
        <w:spacing w:after="0" w:line="277" w:lineRule="auto"/>
        <w:tabs>
          <w:tab w:leader="none" w:pos="1128" w:val="left"/>
        </w:tabs>
        <w:numPr>
          <w:ilvl w:val="2"/>
          <w:numId w:val="23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2"/>
          <w:numId w:val="23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17" w:lineRule="exact"/>
        <w:rPr>
          <w:rFonts w:ascii="Arial" w:cs="Arial" w:eastAsia="Arial" w:hAnsi="Arial"/>
          <w:sz w:val="18"/>
          <w:szCs w:val="18"/>
          <w:b w:val="1"/>
          <w:bCs w:val="1"/>
          <w:color w:val="auto"/>
        </w:rPr>
      </w:pPr>
    </w:p>
    <w:p>
      <w:pPr>
        <w:ind w:left="1240" w:hanging="319"/>
        <w:spacing w:after="0"/>
        <w:tabs>
          <w:tab w:leader="none" w:pos="1240" w:val="left"/>
        </w:tabs>
        <w:numPr>
          <w:ilvl w:val="2"/>
          <w:numId w:val="236"/>
        </w:numPr>
        <w:rPr>
          <w:rFonts w:ascii="Arial" w:cs="Arial" w:eastAsia="Arial" w:hAnsi="Arial"/>
          <w:sz w:val="17"/>
          <w:szCs w:val="17"/>
          <w:b w:val="1"/>
          <w:bCs w:val="1"/>
          <w:color w:val="auto"/>
        </w:rPr>
      </w:pPr>
      <w:r>
        <w:rPr>
          <w:rFonts w:ascii="Arial" w:cs="Arial" w:eastAsia="Arial" w:hAnsi="Arial"/>
          <w:sz w:val="17"/>
          <w:szCs w:val="17"/>
          <w:color w:val="auto"/>
        </w:rPr>
        <w:t>the consummation of a merger, consolidation or similar transaction following which the Company is not the surviving corporation; or</w:t>
      </w:r>
    </w:p>
    <w:p>
      <w:pPr>
        <w:spacing w:after="0" w:line="128" w:lineRule="exact"/>
        <w:rPr>
          <w:rFonts w:ascii="Arial" w:cs="Arial" w:eastAsia="Arial" w:hAnsi="Arial"/>
          <w:sz w:val="17"/>
          <w:szCs w:val="17"/>
          <w:b w:val="1"/>
          <w:bCs w:val="1"/>
          <w:color w:val="auto"/>
        </w:rPr>
      </w:pPr>
    </w:p>
    <w:p>
      <w:pPr>
        <w:ind w:right="40" w:firstLine="921"/>
        <w:spacing w:after="0" w:line="264" w:lineRule="auto"/>
        <w:tabs>
          <w:tab w:leader="none" w:pos="1218" w:val="left"/>
        </w:tabs>
        <w:numPr>
          <w:ilvl w:val="2"/>
          <w:numId w:val="236"/>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680" w:hanging="216"/>
        <w:spacing w:after="0"/>
        <w:tabs>
          <w:tab w:leader="none" w:pos="68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right="40" w:firstLine="464"/>
        <w:spacing w:after="0" w:line="291" w:lineRule="auto"/>
        <w:tabs>
          <w:tab w:leader="none" w:pos="771" w:val="left"/>
        </w:tabs>
        <w:numPr>
          <w:ilvl w:val="1"/>
          <w:numId w:val="23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w:t>
      </w:r>
    </w:p>
    <w:p>
      <w:pPr>
        <w:ind w:left="360" w:hanging="352"/>
        <w:spacing w:after="0"/>
        <w:tabs>
          <w:tab w:leader="none" w:pos="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months, and shall be determined by the Board on the basis of such medical evidence as the Board deems warranted under the circumstances.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4" w:name="page305"/>
    <w:bookmarkEnd w:id="304"/>
    <w:p>
      <w:pPr>
        <w:ind w:right="500" w:firstLine="464"/>
        <w:spacing w:after="0" w:line="277" w:lineRule="auto"/>
        <w:tabs>
          <w:tab w:leader="none" w:pos="721"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ind w:firstLine="464"/>
        <w:spacing w:after="0" w:line="254" w:lineRule="auto"/>
        <w:tabs>
          <w:tab w:leader="none" w:pos="721"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13, is the Owner, directly or indirectly, of securities of the Company representing more than fifty percent (50%) of the combined voting power of the Company’s then outstanding securities.</w:t>
      </w:r>
    </w:p>
    <w:p>
      <w:pPr>
        <w:spacing w:after="0" w:line="84" w:lineRule="exact"/>
        <w:rPr>
          <w:rFonts w:ascii="Arial" w:cs="Arial" w:eastAsia="Arial" w:hAnsi="Arial"/>
          <w:sz w:val="18"/>
          <w:szCs w:val="18"/>
          <w:b w:val="1"/>
          <w:bCs w:val="1"/>
          <w:color w:val="auto"/>
        </w:rPr>
      </w:pPr>
    </w:p>
    <w:p>
      <w:pPr>
        <w:ind w:left="700" w:hanging="236"/>
        <w:spacing w:after="0"/>
        <w:tabs>
          <w:tab w:leader="none" w:pos="700"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by the Board and (i) in a manner consistent with</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Section 260.140.50 of Title 10 of the California Code of Regulations, and (ii) in compliance with Section 409A of the Code or, in the case of an Incentive Stock Option, in compliance with Section 422 of the Code.</w:t>
      </w:r>
    </w:p>
    <w:p>
      <w:pPr>
        <w:spacing w:after="0" w:line="76" w:lineRule="exact"/>
        <w:rPr>
          <w:sz w:val="20"/>
          <w:szCs w:val="20"/>
          <w:color w:val="auto"/>
        </w:rPr>
      </w:pPr>
    </w:p>
    <w:p>
      <w:pPr>
        <w:ind w:right="560" w:firstLine="464"/>
        <w:spacing w:after="0" w:line="277" w:lineRule="auto"/>
        <w:tabs>
          <w:tab w:leader="none" w:pos="691"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62" w:lineRule="exact"/>
        <w:rPr>
          <w:rFonts w:ascii="Arial" w:cs="Arial" w:eastAsia="Arial" w:hAnsi="Arial"/>
          <w:sz w:val="18"/>
          <w:szCs w:val="18"/>
          <w:b w:val="1"/>
          <w:bCs w:val="1"/>
          <w:color w:val="auto"/>
        </w:rPr>
      </w:pPr>
    </w:p>
    <w:p>
      <w:pPr>
        <w:ind w:left="680" w:hanging="216"/>
        <w:spacing w:after="0"/>
        <w:tabs>
          <w:tab w:leader="none" w:pos="68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3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360" w:firstLine="464"/>
        <w:spacing w:after="0" w:line="277" w:lineRule="auto"/>
        <w:tabs>
          <w:tab w:leader="none" w:pos="751"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0"/>
          <w:numId w:val="23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right="520" w:firstLine="464"/>
        <w:spacing w:after="0" w:line="286" w:lineRule="auto"/>
        <w:tabs>
          <w:tab w:leader="none" w:pos="711"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right="120" w:firstLine="464"/>
        <w:spacing w:after="0" w:line="277" w:lineRule="auto"/>
        <w:tabs>
          <w:tab w:leader="none" w:pos="701"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05" w:name="page306"/>
    <w:bookmarkEnd w:id="305"/>
    <w:p>
      <w:pPr>
        <w:ind w:left="792" w:hanging="336"/>
        <w:spacing w:after="0"/>
        <w:tabs>
          <w:tab w:leader="none" w:pos="792"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AnaptysBio, Inc. 2006 Equity Incentive Plan, as amended and restated, and as further amended from time to time.</w:t>
      </w:r>
    </w:p>
    <w:p>
      <w:pPr>
        <w:spacing w:after="0" w:line="117" w:lineRule="exact"/>
        <w:rPr>
          <w:rFonts w:ascii="Arial" w:cs="Arial" w:eastAsia="Arial" w:hAnsi="Arial"/>
          <w:sz w:val="18"/>
          <w:szCs w:val="18"/>
          <w:b w:val="1"/>
          <w:bCs w:val="1"/>
          <w:color w:val="auto"/>
        </w:rPr>
      </w:pPr>
    </w:p>
    <w:p>
      <w:pPr>
        <w:ind w:left="812" w:hanging="356"/>
        <w:spacing w:after="0"/>
        <w:tabs>
          <w:tab w:leader="none" w:pos="812" w:val="left"/>
        </w:tabs>
        <w:numPr>
          <w:ilvl w:val="1"/>
          <w:numId w:val="24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7(a).</w:t>
      </w:r>
    </w:p>
    <w:p>
      <w:pPr>
        <w:spacing w:after="0" w:line="140" w:lineRule="exact"/>
        <w:rPr>
          <w:rFonts w:ascii="Arial" w:cs="Arial" w:eastAsia="Arial" w:hAnsi="Arial"/>
          <w:sz w:val="16"/>
          <w:szCs w:val="16"/>
          <w:b w:val="1"/>
          <w:bCs w:val="1"/>
          <w:color w:val="auto"/>
        </w:rPr>
      </w:pPr>
    </w:p>
    <w:p>
      <w:pPr>
        <w:ind w:left="-8" w:right="120" w:firstLine="464"/>
        <w:spacing w:after="0" w:line="342" w:lineRule="auto"/>
        <w:tabs>
          <w:tab w:leader="none" w:pos="773" w:val="left"/>
        </w:tabs>
        <w:numPr>
          <w:ilvl w:val="1"/>
          <w:numId w:val="24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5" w:lineRule="exact"/>
        <w:rPr>
          <w:rFonts w:ascii="Arial" w:cs="Arial" w:eastAsia="Arial" w:hAnsi="Arial"/>
          <w:sz w:val="16"/>
          <w:szCs w:val="16"/>
          <w:b w:val="1"/>
          <w:bCs w:val="1"/>
          <w:color w:val="auto"/>
        </w:rPr>
      </w:pPr>
    </w:p>
    <w:p>
      <w:pPr>
        <w:ind w:left="812" w:hanging="356"/>
        <w:spacing w:after="0"/>
        <w:tabs>
          <w:tab w:leader="none" w:pos="812"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8" w:right="240" w:firstLine="464"/>
        <w:spacing w:after="0" w:line="308" w:lineRule="auto"/>
        <w:tabs>
          <w:tab w:leader="none" w:pos="773"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right to receive the appreciation on Common Stock, that is granted pursuant to the terms and conditions of Section 7(b).</w:t>
      </w:r>
    </w:p>
    <w:p>
      <w:pPr>
        <w:spacing w:after="0" w:line="38" w:lineRule="exact"/>
        <w:rPr>
          <w:rFonts w:ascii="Arial" w:cs="Arial" w:eastAsia="Arial" w:hAnsi="Arial"/>
          <w:sz w:val="17"/>
          <w:szCs w:val="17"/>
          <w:b w:val="1"/>
          <w:bCs w:val="1"/>
          <w:color w:val="auto"/>
        </w:rPr>
      </w:pPr>
    </w:p>
    <w:p>
      <w:pPr>
        <w:jc w:val="both"/>
        <w:ind w:left="-8" w:right="140" w:firstLine="464"/>
        <w:spacing w:after="0" w:line="264" w:lineRule="auto"/>
        <w:tabs>
          <w:tab w:leader="none" w:pos="733"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73" w:lineRule="exact"/>
        <w:rPr>
          <w:rFonts w:ascii="Arial" w:cs="Arial" w:eastAsia="Arial" w:hAnsi="Arial"/>
          <w:sz w:val="18"/>
          <w:szCs w:val="18"/>
          <w:b w:val="1"/>
          <w:bCs w:val="1"/>
          <w:color w:val="auto"/>
        </w:rPr>
      </w:pPr>
    </w:p>
    <w:p>
      <w:pPr>
        <w:ind w:left="792" w:hanging="336"/>
        <w:spacing w:after="0"/>
        <w:tabs>
          <w:tab w:leader="none" w:pos="792"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granted under the Plan, including an Option, a Restricted Stock Award, and a Stock Appreciation Right.</w:t>
      </w:r>
    </w:p>
    <w:p>
      <w:pPr>
        <w:spacing w:after="0" w:line="128" w:lineRule="exact"/>
        <w:rPr>
          <w:rFonts w:ascii="Arial" w:cs="Arial" w:eastAsia="Arial" w:hAnsi="Arial"/>
          <w:sz w:val="17"/>
          <w:szCs w:val="17"/>
          <w:b w:val="1"/>
          <w:bCs w:val="1"/>
          <w:color w:val="auto"/>
        </w:rPr>
      </w:pPr>
    </w:p>
    <w:p>
      <w:pPr>
        <w:ind w:left="-8" w:right="300" w:firstLine="464"/>
        <w:spacing w:after="0" w:line="277" w:lineRule="auto"/>
        <w:tabs>
          <w:tab w:leader="none" w:pos="814"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62" w:lineRule="exact"/>
        <w:rPr>
          <w:rFonts w:ascii="Arial" w:cs="Arial" w:eastAsia="Arial" w:hAnsi="Arial"/>
          <w:sz w:val="18"/>
          <w:szCs w:val="18"/>
          <w:b w:val="1"/>
          <w:bCs w:val="1"/>
          <w:color w:val="auto"/>
        </w:rPr>
      </w:pPr>
    </w:p>
    <w:p>
      <w:pPr>
        <w:ind w:left="-8" w:firstLine="464"/>
        <w:spacing w:after="0" w:line="257" w:lineRule="auto"/>
        <w:tabs>
          <w:tab w:leader="none" w:pos="713"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80" w:lineRule="exact"/>
        <w:rPr>
          <w:rFonts w:ascii="Arial" w:cs="Arial" w:eastAsia="Arial" w:hAnsi="Arial"/>
          <w:sz w:val="18"/>
          <w:szCs w:val="18"/>
          <w:b w:val="1"/>
          <w:bCs w:val="1"/>
          <w:color w:val="auto"/>
        </w:rPr>
      </w:pPr>
    </w:p>
    <w:p>
      <w:pPr>
        <w:ind w:left="-8" w:right="220" w:firstLine="464"/>
        <w:spacing w:after="0" w:line="277" w:lineRule="auto"/>
        <w:tabs>
          <w:tab w:leader="none" w:pos="733"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“Ten Percent Stockholder” means a person who Owns (or is deemed to Own pursuant to Section 424(d) of the Code) stock possessing more than ten percent (10%) of the total combined voting power of all classes of stock of the Company or any Affiliate.</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100" w:firstLine="464"/>
        <w:spacing w:after="0" w:line="282" w:lineRule="auto"/>
        <w:tabs>
          <w:tab w:leader="none" w:pos="703"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shall administer the Plan unless and until the Board delegates administration of the Plan to a Committee,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3(c).</w:t>
      </w:r>
    </w:p>
    <w:p>
      <w:pPr>
        <w:spacing w:after="0" w:line="53" w:lineRule="exact"/>
        <w:rPr>
          <w:rFonts w:ascii="Arial" w:cs="Arial" w:eastAsia="Arial" w:hAnsi="Arial"/>
          <w:sz w:val="18"/>
          <w:szCs w:val="18"/>
          <w:b w:val="1"/>
          <w:bCs w:val="1"/>
          <w:color w:val="auto"/>
        </w:rPr>
      </w:pPr>
    </w:p>
    <w:p>
      <w:pPr>
        <w:ind w:left="712" w:hanging="256"/>
        <w:spacing w:after="0"/>
        <w:tabs>
          <w:tab w:leader="none" w:pos="712"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8" w:right="60" w:firstLine="921"/>
        <w:spacing w:after="0" w:line="264" w:lineRule="auto"/>
        <w:tabs>
          <w:tab w:leader="none" w:pos="1120" w:val="left"/>
        </w:tabs>
        <w:numPr>
          <w:ilvl w:val="2"/>
          <w:numId w:val="241"/>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(1) which of the persons eligible under the Plan shall be granted Stock Awards; (2) when and how each Stock Award shall be granted; (3) what type or combination of types of Stock Award shall be granted; (4) the provisions of each Stock Award granted (which need not be identical), including the time or times when a person shall be permitted to receive</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3" w:right="279" w:bottom="1440" w:gutter="0" w:footer="0" w:header="0"/>
        </w:sectPr>
      </w:pPr>
    </w:p>
    <w:bookmarkStart w:id="306" w:name="page307"/>
    <w:bookmarkEnd w:id="30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or Common Stock pursuant to a Stock Award; and (5) the number of shares of Common Stock with respect to which a Stock Award shall be granted to each such person.</w:t>
      </w:r>
    </w:p>
    <w:p>
      <w:pPr>
        <w:spacing w:after="0" w:line="62" w:lineRule="exact"/>
        <w:rPr>
          <w:sz w:val="20"/>
          <w:szCs w:val="20"/>
          <w:color w:val="auto"/>
        </w:rPr>
      </w:pPr>
    </w:p>
    <w:p>
      <w:pPr>
        <w:ind w:firstLine="921"/>
        <w:spacing w:after="0" w:line="264" w:lineRule="auto"/>
        <w:tabs>
          <w:tab w:leader="none" w:pos="117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73" w:lineRule="exact"/>
        <w:rPr>
          <w:rFonts w:ascii="Arial" w:cs="Arial" w:eastAsia="Arial" w:hAnsi="Arial"/>
          <w:sz w:val="18"/>
          <w:szCs w:val="18"/>
          <w:b w:val="1"/>
          <w:bCs w:val="1"/>
          <w:color w:val="auto"/>
        </w:rPr>
      </w:pPr>
    </w:p>
    <w:p>
      <w:pPr>
        <w:ind w:right="20" w:firstLine="921"/>
        <w:spacing w:after="0" w:line="264" w:lineRule="auto"/>
        <w:tabs>
          <w:tab w:leader="none" w:pos="122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73" w:lineRule="exact"/>
        <w:rPr>
          <w:rFonts w:ascii="Arial" w:cs="Arial" w:eastAsia="Arial" w:hAnsi="Arial"/>
          <w:sz w:val="18"/>
          <w:szCs w:val="18"/>
          <w:b w:val="1"/>
          <w:bCs w:val="1"/>
          <w:color w:val="auto"/>
        </w:rPr>
      </w:pPr>
    </w:p>
    <w:p>
      <w:pPr>
        <w:ind w:right="80" w:firstLine="921"/>
        <w:spacing w:after="0" w:line="255" w:lineRule="auto"/>
        <w:tabs>
          <w:tab w:leader="none" w:pos="121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effect, at any time and from time to time, with the consent of any adversely affected Participant, (1) the reduction of the exercise price of any outstanding Option or the strike price of any outstanding Stock Appreciation Right under the Plan; (2) the cancellation of any outstanding Option or Stock Appreciation Right under the Plan and the grant in substitution therefor of (a) a new Option or Stock Appreciation Right under the Plan or another equity plan of the Company covering the same or a different number of shares of Common Stock, (b) a Restricted Stock Award, (c) cash, and/or (d) other valuable consideration (as determined by the Board, in its sole discretion); or (3) any other action that is treated as a repricing under generally accepted accounting principles</w:t>
      </w:r>
    </w:p>
    <w:p>
      <w:pPr>
        <w:spacing w:after="0" w:line="85"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amend the Plan or a Stock Award as provided in Section 11.</w:t>
      </w:r>
    </w:p>
    <w:p>
      <w:pPr>
        <w:spacing w:after="0" w:line="117" w:lineRule="exact"/>
        <w:rPr>
          <w:rFonts w:ascii="Arial" w:cs="Arial" w:eastAsia="Arial" w:hAnsi="Arial"/>
          <w:sz w:val="18"/>
          <w:szCs w:val="18"/>
          <w:b w:val="1"/>
          <w:bCs w:val="1"/>
          <w:color w:val="auto"/>
        </w:rPr>
      </w:pPr>
    </w:p>
    <w:p>
      <w:pPr>
        <w:ind w:left="1220" w:hanging="299"/>
        <w:spacing w:after="0"/>
        <w:tabs>
          <w:tab w:leader="none" w:pos="122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terminate or suspend the Plan as provided in Section 12.</w:t>
      </w:r>
    </w:p>
    <w:p>
      <w:pPr>
        <w:spacing w:after="0" w:line="117" w:lineRule="exact"/>
        <w:rPr>
          <w:rFonts w:ascii="Arial" w:cs="Arial" w:eastAsia="Arial" w:hAnsi="Arial"/>
          <w:sz w:val="18"/>
          <w:szCs w:val="18"/>
          <w:b w:val="1"/>
          <w:bCs w:val="1"/>
          <w:color w:val="auto"/>
        </w:rPr>
      </w:pPr>
    </w:p>
    <w:p>
      <w:pPr>
        <w:ind w:right="120" w:firstLine="921"/>
        <w:spacing w:after="0" w:line="277" w:lineRule="auto"/>
        <w:tabs>
          <w:tab w:leader="none" w:pos="126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w:t>
      </w:r>
    </w:p>
    <w:p>
      <w:pPr>
        <w:spacing w:after="0" w:line="62" w:lineRule="exact"/>
        <w:rPr>
          <w:rFonts w:ascii="Arial" w:cs="Arial" w:eastAsia="Arial" w:hAnsi="Arial"/>
          <w:sz w:val="18"/>
          <w:szCs w:val="18"/>
          <w:b w:val="1"/>
          <w:bCs w:val="1"/>
          <w:color w:val="auto"/>
        </w:rPr>
      </w:pPr>
    </w:p>
    <w:p>
      <w:pPr>
        <w:ind w:right="180" w:firstLine="921"/>
        <w:spacing w:after="0" w:line="277" w:lineRule="auto"/>
        <w:tabs>
          <w:tab w:leader="none" w:pos="131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individuals who are foreign nationals or employed outside the United States.</w:t>
      </w:r>
    </w:p>
    <w:p>
      <w:pPr>
        <w:spacing w:after="0" w:line="58" w:lineRule="exact"/>
        <w:rPr>
          <w:rFonts w:ascii="Arial" w:cs="Arial" w:eastAsia="Arial" w:hAnsi="Arial"/>
          <w:sz w:val="18"/>
          <w:szCs w:val="18"/>
          <w:b w:val="1"/>
          <w:bCs w:val="1"/>
          <w:color w:val="auto"/>
        </w:rPr>
      </w:pPr>
    </w:p>
    <w:p>
      <w:pPr>
        <w:ind w:right="60" w:firstLine="464"/>
        <w:spacing w:after="0" w:line="295" w:lineRule="auto"/>
        <w:tabs>
          <w:tab w:leader="none" w:pos="701"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r>
        <w:rPr>
          <w:rFonts w:ascii="Arial" w:cs="Arial" w:eastAsia="Arial" w:hAnsi="Arial"/>
          <w:sz w:val="16"/>
          <w:szCs w:val="16"/>
          <w:color w:val="auto"/>
        </w:rPr>
        <w:t>. The Board may delegate some or all of the administration of the Plan to a Committee or Committees of the Board.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47" w:lineRule="exact"/>
        <w:rPr>
          <w:rFonts w:ascii="Arial" w:cs="Arial" w:eastAsia="Arial" w:hAnsi="Arial"/>
          <w:sz w:val="16"/>
          <w:szCs w:val="16"/>
          <w:b w:val="1"/>
          <w:bCs w:val="1"/>
          <w:color w:val="auto"/>
        </w:rPr>
      </w:pPr>
    </w:p>
    <w:p>
      <w:pPr>
        <w:ind w:right="20" w:firstLine="464"/>
        <w:spacing w:after="0" w:line="282" w:lineRule="auto"/>
        <w:tabs>
          <w:tab w:leader="none" w:pos="721"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shall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shall be final, binding and conclusive on all persons.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07" w:name="page308"/>
    <w:bookmarkEnd w:id="307"/>
    <w:p>
      <w:pPr>
        <w:ind w:left="452" w:hanging="452"/>
        <w:spacing w:after="0"/>
        <w:tabs>
          <w:tab w:leader="none" w:pos="45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firstLine="464"/>
        <w:spacing w:after="0" w:line="282" w:lineRule="auto"/>
        <w:tabs>
          <w:tab w:leader="none" w:pos="70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10(a) relating to Capitalization Adjustments, the Common Stock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shall not exceed in the aggregate 18,871,272 shares of Common Stock.</w:t>
      </w:r>
    </w:p>
    <w:p>
      <w:pPr>
        <w:spacing w:after="0" w:line="53" w:lineRule="exact"/>
        <w:rPr>
          <w:rFonts w:ascii="Arial" w:cs="Arial" w:eastAsia="Arial" w:hAnsi="Arial"/>
          <w:sz w:val="18"/>
          <w:szCs w:val="18"/>
          <w:b w:val="1"/>
          <w:bCs w:val="1"/>
          <w:color w:val="auto"/>
        </w:rPr>
      </w:pPr>
    </w:p>
    <w:p>
      <w:pPr>
        <w:ind w:left="-8" w:right="80" w:firstLine="464"/>
        <w:spacing w:after="0" w:line="255" w:lineRule="auto"/>
        <w:tabs>
          <w:tab w:leader="none" w:pos="71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Reversion of Shares to the Share Reserve</w:t>
      </w:r>
      <w:r>
        <w:rPr>
          <w:rFonts w:ascii="Arial" w:cs="Arial" w:eastAsia="Arial" w:hAnsi="Arial"/>
          <w:sz w:val="18"/>
          <w:szCs w:val="18"/>
          <w:color w:val="auto"/>
        </w:rPr>
        <w:t>. If any Stock Award shall for any reason expire or otherwise terminate, in whole or in part,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having been exercised in full, or if any shares of Common Stock issued to a Participant pursuant to a Stock Award are forfeited back to or repurchased by the Company because of or in connection with the failure to meet a contingency or condition required to vest such shares in the Participant, the shares of Common Stock not acquired, such Stock Award or the shares of Common Stock forfeited or repurchased under such Stock Award shall revert to and again become available for issuance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subject to the provisions of Section 10(a) relating to Capitalization Adjustments, the aggregate maximum number of shares of Common Stock that may be issued as Incentive Stock Options shall be twice the number of shares reserved under the Plan at any particular time.</w:t>
      </w:r>
    </w:p>
    <w:p>
      <w:pPr>
        <w:spacing w:after="0" w:line="81" w:lineRule="exact"/>
        <w:rPr>
          <w:rFonts w:ascii="Arial" w:cs="Arial" w:eastAsia="Arial" w:hAnsi="Arial"/>
          <w:sz w:val="18"/>
          <w:szCs w:val="18"/>
          <w:b w:val="1"/>
          <w:bCs w:val="1"/>
          <w:color w:val="auto"/>
        </w:rPr>
      </w:pPr>
    </w:p>
    <w:p>
      <w:pPr>
        <w:ind w:left="-8" w:right="420" w:firstLine="464"/>
        <w:spacing w:after="0" w:line="282" w:lineRule="auto"/>
        <w:tabs>
          <w:tab w:leader="none" w:pos="69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53" w:lineRule="exact"/>
        <w:rPr>
          <w:rFonts w:ascii="Arial" w:cs="Arial" w:eastAsia="Arial" w:hAnsi="Arial"/>
          <w:sz w:val="18"/>
          <w:szCs w:val="18"/>
          <w:b w:val="1"/>
          <w:bCs w:val="1"/>
          <w:color w:val="auto"/>
        </w:rPr>
      </w:pPr>
    </w:p>
    <w:p>
      <w:pPr>
        <w:ind w:left="-8" w:right="120" w:firstLine="464"/>
        <w:spacing w:after="0" w:line="258" w:lineRule="auto"/>
        <w:tabs>
          <w:tab w:leader="none" w:pos="71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Limitation</w:t>
      </w:r>
      <w:r>
        <w:rPr>
          <w:rFonts w:ascii="Arial" w:cs="Arial" w:eastAsia="Arial" w:hAnsi="Arial"/>
          <w:sz w:val="18"/>
          <w:szCs w:val="18"/>
          <w:color w:val="auto"/>
        </w:rPr>
        <w:t>. To the extent required by Section 260.140.45 of Title 10 of the California Code of Regulations,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issuable upon exercise of all outstanding Options and the total number of shares of Common Stock provided for under any stock bonus or similar plan of the Company shall not exceed the applicable percentage as calculated in accordance with the conditions and exclusions of Section 260.140.45 of Title 10 of the California Code of Regulations, based on the shares of Common Stock of the Company that are outstanding at the time the calculation is made.</w:t>
      </w:r>
    </w:p>
    <w:p>
      <w:pPr>
        <w:spacing w:after="0" w:line="210" w:lineRule="exact"/>
        <w:rPr>
          <w:rFonts w:ascii="Arial" w:cs="Arial" w:eastAsia="Arial" w:hAnsi="Arial"/>
          <w:sz w:val="18"/>
          <w:szCs w:val="18"/>
          <w:b w:val="1"/>
          <w:bCs w:val="1"/>
          <w:color w:val="auto"/>
        </w:rPr>
      </w:pPr>
    </w:p>
    <w:p>
      <w:pPr>
        <w:ind w:left="452" w:hanging="452"/>
        <w:spacing w:after="0"/>
        <w:tabs>
          <w:tab w:leader="none" w:pos="45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160" w:firstLine="464"/>
        <w:spacing w:after="0" w:line="266" w:lineRule="auto"/>
        <w:tabs>
          <w:tab w:leader="none" w:pos="70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corporation” thereof (as such terms are defined in Sections 424(e) and (f) of the Code. Stock Awards other than Incentive Stock Options may be granted to Employees, Directors and Consultants.</w:t>
      </w:r>
    </w:p>
    <w:p>
      <w:pPr>
        <w:spacing w:after="0" w:line="68" w:lineRule="exact"/>
        <w:rPr>
          <w:rFonts w:ascii="Arial" w:cs="Arial" w:eastAsia="Arial" w:hAnsi="Arial"/>
          <w:sz w:val="18"/>
          <w:szCs w:val="18"/>
          <w:b w:val="1"/>
          <w:bCs w:val="1"/>
          <w:color w:val="auto"/>
        </w:rPr>
      </w:pPr>
    </w:p>
    <w:p>
      <w:pPr>
        <w:ind w:left="712" w:hanging="256"/>
        <w:spacing w:after="0"/>
        <w:tabs>
          <w:tab w:leader="none" w:pos="712"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p>
    <w:p>
      <w:pPr>
        <w:spacing w:after="0" w:line="121" w:lineRule="exact"/>
        <w:rPr>
          <w:rFonts w:ascii="Arial" w:cs="Arial" w:eastAsia="Arial" w:hAnsi="Arial"/>
          <w:sz w:val="18"/>
          <w:szCs w:val="18"/>
          <w:b w:val="1"/>
          <w:bCs w:val="1"/>
          <w:color w:val="auto"/>
        </w:rPr>
      </w:pPr>
    </w:p>
    <w:p>
      <w:pPr>
        <w:ind w:left="-8" w:right="100" w:firstLine="921"/>
        <w:spacing w:after="0" w:line="264" w:lineRule="auto"/>
        <w:tabs>
          <w:tab w:leader="none" w:pos="1120" w:val="left"/>
        </w:tabs>
        <w:numPr>
          <w:ilvl w:val="2"/>
          <w:numId w:val="244"/>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an Incentive Stock Option unless the exercise price of such Option is at least one hundred ten percent (110%) of the Fair Market Value of the Common Stock on the date of grant and the Option is not exercisable after the expiration of five (5) years from the date of grant.</w:t>
      </w:r>
    </w:p>
    <w:p>
      <w:pPr>
        <w:spacing w:after="0" w:line="73" w:lineRule="exact"/>
        <w:rPr>
          <w:rFonts w:ascii="Arial" w:cs="Arial" w:eastAsia="Arial" w:hAnsi="Arial"/>
          <w:sz w:val="18"/>
          <w:szCs w:val="18"/>
          <w:b w:val="1"/>
          <w:bCs w:val="1"/>
          <w:color w:val="auto"/>
        </w:rPr>
      </w:pPr>
    </w:p>
    <w:p>
      <w:pPr>
        <w:ind w:left="-8" w:right="60" w:firstLine="921"/>
        <w:spacing w:after="0" w:line="259" w:lineRule="auto"/>
        <w:tabs>
          <w:tab w:leader="none" w:pos="1170" w:val="left"/>
        </w:tabs>
        <w:numPr>
          <w:ilvl w:val="2"/>
          <w:numId w:val="244"/>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 Nonstatutory Stock Option unless the exercise price of such Option is at least (i) one hundred ten percent (110%) of the Fair Market Value of the Common Stock on the date of grant, or (ii) such lower percentage of the Fair Market Value of the Common Stock on the date of grant as is permitted by Section 260.140.41 of Title 10 of the California Code of Regulations at the time of the grant of the Option.</w:t>
      </w:r>
    </w:p>
    <w:p>
      <w:pPr>
        <w:spacing w:after="0" w:line="78" w:lineRule="exact"/>
        <w:rPr>
          <w:rFonts w:ascii="Arial" w:cs="Arial" w:eastAsia="Arial" w:hAnsi="Arial"/>
          <w:sz w:val="18"/>
          <w:szCs w:val="18"/>
          <w:b w:val="1"/>
          <w:bCs w:val="1"/>
          <w:color w:val="auto"/>
        </w:rPr>
      </w:pPr>
    </w:p>
    <w:p>
      <w:pPr>
        <w:ind w:left="-8" w:right="380" w:firstLine="921"/>
        <w:spacing w:after="0" w:line="277" w:lineRule="auto"/>
        <w:tabs>
          <w:tab w:leader="none" w:pos="1220" w:val="left"/>
        </w:tabs>
        <w:numPr>
          <w:ilvl w:val="2"/>
          <w:numId w:val="244"/>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 Restricted Stock Award or Stock Appreciation Right (if such award could be settled in shares of Common Stock), unless the purchase price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0" w:right="259" w:bottom="1440" w:gutter="0" w:footer="0" w:header="0"/>
        </w:sectPr>
      </w:pPr>
    </w:p>
    <w:bookmarkStart w:id="308" w:name="page309"/>
    <w:bookmarkEnd w:id="308"/>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restricted stock is at least (i) one hundred percent (100%) of the Fair Market Value of the Common Stock on the date of grant, or (ii) such lower percentage of the Fair Market Value of the Common Stock on the date of grant as is permitted by Section 260.140.42 of Title 10 of the California Code of Regulations at the time of the grant of the award.</w:t>
      </w:r>
    </w:p>
    <w:p>
      <w:pPr>
        <w:spacing w:after="0" w:line="69" w:lineRule="exact"/>
        <w:rPr>
          <w:sz w:val="20"/>
          <w:szCs w:val="20"/>
          <w:color w:val="auto"/>
        </w:rPr>
      </w:pPr>
    </w:p>
    <w:p>
      <w:pPr>
        <w:ind w:right="60" w:firstLine="464"/>
        <w:spacing w:after="0" w:line="258" w:lineRule="auto"/>
        <w:tabs>
          <w:tab w:leader="none" w:pos="701"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shall not be eligible for the grant of a Stock Award if, at the time of grant, either the offer or the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of the Securities Act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10" w:lineRule="exact"/>
        <w:rPr>
          <w:rFonts w:ascii="Arial" w:cs="Arial" w:eastAsia="Arial" w:hAnsi="Arial"/>
          <w:sz w:val="18"/>
          <w:szCs w:val="18"/>
          <w:b w:val="1"/>
          <w:bCs w:val="1"/>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Option shall be in such form and shall contain such terms and conditions as the Board shall deem appropriate. All Options shall be separately</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designated Incentive Stock Options or Nonstatutory Stock Options at the time of grant, and, if certificates are issued, a separate certificate or certificates shall be issued for shares of Common Stock purchased on exercise of each type of Option. The provisions of separate Options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Option Agreement shall include (through incorporation of provisions hereof by reference in the Option or otherwise) the substance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provisions:</w:t>
      </w:r>
    </w:p>
    <w:p>
      <w:pPr>
        <w:spacing w:after="0" w:line="78" w:lineRule="exact"/>
        <w:rPr>
          <w:sz w:val="20"/>
          <w:szCs w:val="20"/>
          <w:color w:val="auto"/>
        </w:rPr>
      </w:pPr>
    </w:p>
    <w:p>
      <w:pPr>
        <w:ind w:left="720" w:hanging="256"/>
        <w:spacing w:after="0"/>
        <w:tabs>
          <w:tab w:leader="none" w:pos="720" w:val="left"/>
        </w:tabs>
        <w:numPr>
          <w:ilvl w:val="1"/>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Option shall be exercisable after the expiration of ten</w:t>
      </w:r>
    </w:p>
    <w:p>
      <w:pPr>
        <w:spacing w:after="0" w:line="38" w:lineRule="exact"/>
        <w:rPr>
          <w:rFonts w:ascii="Arial" w:cs="Arial" w:eastAsia="Arial" w:hAnsi="Arial"/>
          <w:sz w:val="17"/>
          <w:szCs w:val="17"/>
          <w:b w:val="1"/>
          <w:bCs w:val="1"/>
          <w:color w:val="auto"/>
        </w:rPr>
      </w:pPr>
    </w:p>
    <w:p>
      <w:pPr>
        <w:ind w:left="360" w:hanging="352"/>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years from the date of grant.</w:t>
      </w:r>
    </w:p>
    <w:p>
      <w:pPr>
        <w:spacing w:after="0" w:line="102" w:lineRule="exact"/>
        <w:rPr>
          <w:rFonts w:ascii="Arial" w:cs="Arial" w:eastAsia="Arial" w:hAnsi="Arial"/>
          <w:sz w:val="18"/>
          <w:szCs w:val="18"/>
          <w:color w:val="auto"/>
        </w:rPr>
      </w:pPr>
    </w:p>
    <w:p>
      <w:pPr>
        <w:ind w:right="240" w:firstLine="464"/>
        <w:spacing w:after="0" w:line="257" w:lineRule="auto"/>
        <w:tabs>
          <w:tab w:leader="none" w:pos="721" w:val="left"/>
        </w:tabs>
        <w:numPr>
          <w:ilvl w:val="1"/>
          <w:numId w:val="248"/>
        </w:numPr>
        <w:rPr>
          <w:rFonts w:ascii="Arial" w:cs="Arial" w:eastAsia="Arial" w:hAnsi="Arial"/>
          <w:sz w:val="18"/>
          <w:szCs w:val="18"/>
          <w:b w:val="1"/>
          <w:bCs w:val="1"/>
          <w:color w:val="auto"/>
        </w:rPr>
      </w:pPr>
      <w:r>
        <w:rPr>
          <w:rFonts w:ascii="Arial" w:cs="Arial" w:eastAsia="Arial" w:hAnsi="Arial"/>
          <w:sz w:val="18"/>
          <w:szCs w:val="18"/>
          <w:color w:val="auto"/>
        </w:rPr>
        <w:t>Exercise Price of an Incentive Stock Option. Subject to the provisions of Section 5(b) regarding Ten Percent Stockholders, the exercise price of each Incentive Stock Option shall be not less than one hundred percent (100%) of the Fair Market Value of the Common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76" w:lineRule="exact"/>
        <w:rPr>
          <w:rFonts w:ascii="Arial" w:cs="Arial" w:eastAsia="Arial" w:hAnsi="Arial"/>
          <w:sz w:val="18"/>
          <w:szCs w:val="18"/>
          <w:b w:val="1"/>
          <w:bCs w:val="1"/>
          <w:color w:val="auto"/>
        </w:rPr>
      </w:pPr>
    </w:p>
    <w:p>
      <w:pPr>
        <w:ind w:firstLine="464"/>
        <w:spacing w:after="0" w:line="258" w:lineRule="auto"/>
        <w:tabs>
          <w:tab w:leader="none" w:pos="701"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a Nonstatutory Stock Option</w:t>
      </w:r>
      <w:r>
        <w:rPr>
          <w:rFonts w:ascii="Arial" w:cs="Arial" w:eastAsia="Arial" w:hAnsi="Arial"/>
          <w:sz w:val="18"/>
          <w:szCs w:val="18"/>
          <w:color w:val="auto"/>
        </w:rPr>
        <w:t>. Subject to the provisions of Section 5(b) regarding Ten Percent Stockholders,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Nonstatutory Stock Option shall be not less than one hundred percent (100%) of the Fair Market Value of the Common Stock subject to the Option on the date the Option is granted. Notwithstanding the foregoing, a Nonstatutory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75" w:lineRule="exact"/>
        <w:rPr>
          <w:rFonts w:ascii="Arial" w:cs="Arial" w:eastAsia="Arial" w:hAnsi="Arial"/>
          <w:sz w:val="18"/>
          <w:szCs w:val="18"/>
          <w:b w:val="1"/>
          <w:bCs w:val="1"/>
          <w:color w:val="auto"/>
        </w:rPr>
      </w:pPr>
    </w:p>
    <w:p>
      <w:pPr>
        <w:ind w:right="60" w:firstLine="464"/>
        <w:spacing w:after="0" w:line="303" w:lineRule="auto"/>
        <w:tabs>
          <w:tab w:leader="none" w:pos="721"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purchase price of Common Stock acquired pursuant to the exercise of an Option shall be paid, to the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methods of payment permitted by this Section 6(d) are:</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2"/>
          <w:numId w:val="248"/>
        </w:numPr>
        <w:rPr>
          <w:rFonts w:ascii="Arial" w:cs="Arial" w:eastAsia="Arial" w:hAnsi="Arial"/>
          <w:sz w:val="18"/>
          <w:szCs w:val="18"/>
          <w:b w:val="1"/>
          <w:bCs w:val="1"/>
          <w:color w:val="auto"/>
        </w:rPr>
      </w:pPr>
      <w:r>
        <w:rPr>
          <w:rFonts w:ascii="Arial" w:cs="Arial" w:eastAsia="Arial" w:hAnsi="Arial"/>
          <w:sz w:val="18"/>
          <w:szCs w:val="18"/>
          <w:color w:val="auto"/>
        </w:rPr>
        <w:t>by cash or check;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09" w:name="page310"/>
    <w:bookmarkEnd w:id="309"/>
    <w:p>
      <w:pPr>
        <w:ind w:right="320" w:firstLine="921"/>
        <w:spacing w:after="0" w:line="264" w:lineRule="auto"/>
        <w:tabs>
          <w:tab w:leader="none" w:pos="1178"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jc w:val="both"/>
        <w:ind w:firstLine="921"/>
        <w:spacing w:after="0" w:line="288" w:lineRule="auto"/>
        <w:tabs>
          <w:tab w:leader="none" w:pos="1218" w:val="left"/>
        </w:tabs>
        <w:numPr>
          <w:ilvl w:val="0"/>
          <w:numId w:val="249"/>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the Company shall accept a cash or other payment from the Participant to the extent of any remaining balance of the aggregate exercise price not satisfied by such holding back of whole</w:t>
      </w:r>
    </w:p>
    <w:p>
      <w:pPr>
        <w:spacing w:after="0"/>
        <w:rPr>
          <w:sz w:val="20"/>
          <w:szCs w:val="20"/>
          <w:color w:val="auto"/>
        </w:rPr>
      </w:pPr>
      <w:r>
        <w:rPr>
          <w:rFonts w:ascii="Arial" w:cs="Arial" w:eastAsia="Arial" w:hAnsi="Arial"/>
          <w:sz w:val="16"/>
          <w:szCs w:val="16"/>
          <w:color w:val="auto"/>
        </w:rPr>
        <w:t xml:space="preserve">shares; </w:t>
      </w:r>
      <w:r>
        <w:rPr>
          <w:rFonts w:ascii="Arial" w:cs="Arial" w:eastAsia="Arial" w:hAnsi="Arial"/>
          <w:sz w:val="16"/>
          <w:szCs w:val="16"/>
          <w:i w:val="1"/>
          <w:iCs w:val="1"/>
          <w:color w:val="auto"/>
        </w:rPr>
        <w:t>provided, however</w:t>
      </w:r>
      <w:r>
        <w:rPr>
          <w:rFonts w:ascii="Arial" w:cs="Arial" w:eastAsia="Arial" w:hAnsi="Arial"/>
          <w:sz w:val="16"/>
          <w:szCs w:val="16"/>
          <w:color w:val="auto"/>
        </w:rPr>
        <w:t>, shares of Common Stock will no longer be outstanding under an Option and will not be exercisable thereafter to the extent that</w:t>
      </w:r>
    </w:p>
    <w:p>
      <w:pPr>
        <w:spacing w:after="0" w:line="32" w:lineRule="exact"/>
        <w:rPr>
          <w:sz w:val="20"/>
          <w:szCs w:val="20"/>
          <w:color w:val="auto"/>
        </w:rPr>
      </w:pPr>
    </w:p>
    <w:p>
      <w:pPr>
        <w:ind w:left="220" w:hanging="212"/>
        <w:spacing w:after="0"/>
        <w:tabs>
          <w:tab w:leader="none" w:pos="22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shares are used to pay the exercise price pursuant to the “net exercise,” (ii) shares are delivered to the Participant as a result of such exercise, and</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shares are withheld to satisfy tax withholding obligations;</w:t>
      </w:r>
    </w:p>
    <w:p>
      <w:pPr>
        <w:spacing w:after="0" w:line="102" w:lineRule="exact"/>
        <w:rPr>
          <w:rFonts w:ascii="Arial" w:cs="Arial" w:eastAsia="Arial" w:hAnsi="Arial"/>
          <w:sz w:val="18"/>
          <w:szCs w:val="18"/>
          <w:color w:val="auto"/>
        </w:rPr>
      </w:pPr>
    </w:p>
    <w:p>
      <w:pPr>
        <w:jc w:val="both"/>
        <w:ind w:right="440" w:firstLine="921"/>
        <w:spacing w:after="0" w:line="259" w:lineRule="auto"/>
        <w:tabs>
          <w:tab w:leader="none" w:pos="1168"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shall compound at least annually and shall be charged at the minimum rate of interest necessary to avoid (i) the imputation of interest income to the Company and compensation income to the Optionholder under any applicable provisions of the Code, and (ii) the classification of the Option as a liability for financial accounting purposes; or</w:t>
      </w:r>
    </w:p>
    <w:p>
      <w:pPr>
        <w:spacing w:after="0" w:line="78" w:lineRule="exact"/>
        <w:rPr>
          <w:rFonts w:ascii="Arial" w:cs="Arial" w:eastAsia="Arial" w:hAnsi="Arial"/>
          <w:sz w:val="18"/>
          <w:szCs w:val="18"/>
          <w:b w:val="1"/>
          <w:bCs w:val="1"/>
          <w:color w:val="auto"/>
        </w:rPr>
      </w:pPr>
    </w:p>
    <w:p>
      <w:pPr>
        <w:ind w:left="1220" w:hanging="299"/>
        <w:spacing w:after="0"/>
        <w:tabs>
          <w:tab w:leader="none" w:pos="1220"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13" w:lineRule="exact"/>
        <w:rPr>
          <w:rFonts w:ascii="Arial" w:cs="Arial" w:eastAsia="Arial" w:hAnsi="Arial"/>
          <w:sz w:val="18"/>
          <w:szCs w:val="18"/>
          <w:b w:val="1"/>
          <w:bCs w:val="1"/>
          <w:color w:val="auto"/>
        </w:rPr>
      </w:pPr>
    </w:p>
    <w:p>
      <w:pPr>
        <w:ind w:right="480" w:firstLine="464"/>
        <w:spacing w:after="0" w:line="347" w:lineRule="auto"/>
        <w:tabs>
          <w:tab w:leader="none" w:pos="701" w:val="left"/>
        </w:tabs>
        <w:numPr>
          <w:ilvl w:val="1"/>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of Options</w:t>
      </w:r>
      <w:r>
        <w:rPr>
          <w:rFonts w:ascii="Arial" w:cs="Arial" w:eastAsia="Arial" w:hAnsi="Arial"/>
          <w:sz w:val="16"/>
          <w:szCs w:val="16"/>
          <w:color w:val="auto"/>
        </w:rPr>
        <w:t>. 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8" w:lineRule="exact"/>
        <w:rPr>
          <w:rFonts w:ascii="Arial" w:cs="Arial" w:eastAsia="Arial" w:hAnsi="Arial"/>
          <w:sz w:val="16"/>
          <w:szCs w:val="16"/>
          <w:b w:val="1"/>
          <w:bCs w:val="1"/>
          <w:color w:val="auto"/>
        </w:rPr>
      </w:pPr>
    </w:p>
    <w:p>
      <w:pPr>
        <w:ind w:right="800" w:firstLine="921"/>
        <w:spacing w:after="0" w:line="282" w:lineRule="auto"/>
        <w:tabs>
          <w:tab w:leader="none" w:pos="1128" w:val="left"/>
        </w:tabs>
        <w:numPr>
          <w:ilvl w:val="2"/>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shall not be transferable except by will or by the laws of descent and distribution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during the lifetime of the Optionholder only by the Optionholder.</w:t>
      </w:r>
    </w:p>
    <w:p>
      <w:pPr>
        <w:spacing w:after="0" w:line="53" w:lineRule="exact"/>
        <w:rPr>
          <w:rFonts w:ascii="Arial" w:cs="Arial" w:eastAsia="Arial" w:hAnsi="Arial"/>
          <w:sz w:val="18"/>
          <w:szCs w:val="18"/>
          <w:b w:val="1"/>
          <w:bCs w:val="1"/>
          <w:color w:val="auto"/>
        </w:rPr>
      </w:pPr>
    </w:p>
    <w:p>
      <w:pPr>
        <w:ind w:right="140" w:firstLine="921"/>
        <w:spacing w:after="0" w:line="347" w:lineRule="auto"/>
        <w:tabs>
          <w:tab w:leader="none" w:pos="1178" w:val="left"/>
        </w:tabs>
        <w:numPr>
          <w:ilvl w:val="2"/>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Notwithstanding the foregoing, an Option may be transferred pursuant to a domestic relations order;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 Option is an Incentive Stock Option, such Option shall be deemed to be a Nonstatutory Stock Option as a result of such transfer.</w:t>
      </w:r>
    </w:p>
    <w:p>
      <w:pPr>
        <w:spacing w:after="0" w:line="8" w:lineRule="exact"/>
        <w:rPr>
          <w:rFonts w:ascii="Arial" w:cs="Arial" w:eastAsia="Arial" w:hAnsi="Arial"/>
          <w:sz w:val="16"/>
          <w:szCs w:val="16"/>
          <w:b w:val="1"/>
          <w:bCs w:val="1"/>
          <w:color w:val="auto"/>
        </w:rPr>
      </w:pPr>
    </w:p>
    <w:p>
      <w:pPr>
        <w:ind w:right="60" w:firstLine="921"/>
        <w:spacing w:after="0" w:line="314" w:lineRule="auto"/>
        <w:tabs>
          <w:tab w:leader="none" w:pos="1228" w:val="left"/>
        </w:tabs>
        <w:numPr>
          <w:ilvl w:val="2"/>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 Designation</w:t>
      </w:r>
      <w:r>
        <w:rPr>
          <w:rFonts w:ascii="Arial" w:cs="Arial" w:eastAsia="Arial" w:hAnsi="Arial"/>
          <w:sz w:val="16"/>
          <w:szCs w:val="16"/>
          <w:color w:val="auto"/>
        </w:rPr>
        <w:t>. Notwithstanding the foregoing, the Optionholder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designate a third party who, in the event of the death of the Optionholder, shall thereafter be entitled to exercise the Option. In the absence of such a designation, the executor or administrator of the Optionholder’s estate shall be entitled to exercise the Option.</w:t>
      </w:r>
    </w:p>
    <w:p>
      <w:pPr>
        <w:spacing w:after="0" w:line="34" w:lineRule="exact"/>
        <w:rPr>
          <w:rFonts w:ascii="Arial" w:cs="Arial" w:eastAsia="Arial" w:hAnsi="Arial"/>
          <w:sz w:val="16"/>
          <w:szCs w:val="16"/>
          <w:b w:val="1"/>
          <w:bCs w:val="1"/>
          <w:color w:val="auto"/>
        </w:rPr>
      </w:pPr>
    </w:p>
    <w:p>
      <w:pPr>
        <w:ind w:firstLine="464"/>
        <w:spacing w:after="0" w:line="258" w:lineRule="auto"/>
        <w:tabs>
          <w:tab w:leader="none" w:pos="681"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Options Generally</w:t>
      </w:r>
      <w:r>
        <w:rPr>
          <w:rFonts w:ascii="Arial" w:cs="Arial" w:eastAsia="Arial" w:hAnsi="Arial"/>
          <w:sz w:val="18"/>
          <w:szCs w:val="18"/>
          <w:color w:val="auto"/>
        </w:rPr>
        <w:t>. The total number of shares of Common Stock subject to an Option may vest and therefore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may be subject to such other terms and conditions on the time or times when it may or may not be exercised (which may be based on performance or other criteria) as the Board may deem appropriate. The vesting provisions of individual Options may vary. The provisions of this Section 6(f) are subject to any Option provisions governing the minimum number of shares of Common Stock as to which an Option may be exercised.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10" w:name="page311"/>
    <w:bookmarkEnd w:id="310"/>
    <w:p>
      <w:pPr>
        <w:ind w:left="-8" w:right="1040" w:firstLine="464"/>
        <w:spacing w:after="0" w:line="282" w:lineRule="auto"/>
        <w:tabs>
          <w:tab w:leader="none" w:pos="703" w:val="left"/>
        </w:tabs>
        <w:numPr>
          <w:ilvl w:val="1"/>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Vesting</w:t>
      </w:r>
      <w:r>
        <w:rPr>
          <w:rFonts w:ascii="Arial" w:cs="Arial" w:eastAsia="Arial" w:hAnsi="Arial"/>
          <w:sz w:val="18"/>
          <w:szCs w:val="18"/>
          <w:color w:val="auto"/>
        </w:rPr>
        <w:t>. Notwithstanding the foregoing Section 6(f), to the extent that the following restrictions on vesting are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260.140.41(f) of Title 10 of the California Code of Regulations at the time of the grant of the Option, then:</w:t>
      </w:r>
    </w:p>
    <w:p>
      <w:pPr>
        <w:spacing w:after="0" w:line="57" w:lineRule="exact"/>
        <w:rPr>
          <w:rFonts w:ascii="Arial" w:cs="Arial" w:eastAsia="Arial" w:hAnsi="Arial"/>
          <w:sz w:val="18"/>
          <w:szCs w:val="18"/>
          <w:b w:val="1"/>
          <w:bCs w:val="1"/>
          <w:color w:val="auto"/>
        </w:rPr>
      </w:pPr>
    </w:p>
    <w:p>
      <w:pPr>
        <w:ind w:left="-8" w:right="200" w:firstLine="921"/>
        <w:spacing w:after="0" w:line="264" w:lineRule="auto"/>
        <w:tabs>
          <w:tab w:leader="none" w:pos="112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Options granted to an Employee who is not an Officer, Director or Consultant shall provide for vesting of the total number of shares of Common Stock at a rate of at least twenty percent (20%) per year over five (5) years from the date the Option was granted, subject to reasonable conditions such as continued employment; and</w:t>
      </w:r>
    </w:p>
    <w:p>
      <w:pPr>
        <w:spacing w:after="0" w:line="73" w:lineRule="exact"/>
        <w:rPr>
          <w:rFonts w:ascii="Arial" w:cs="Arial" w:eastAsia="Arial" w:hAnsi="Arial"/>
          <w:sz w:val="18"/>
          <w:szCs w:val="18"/>
          <w:b w:val="1"/>
          <w:bCs w:val="1"/>
          <w:color w:val="auto"/>
        </w:rPr>
      </w:pPr>
    </w:p>
    <w:p>
      <w:pPr>
        <w:ind w:left="-8" w:right="460" w:firstLine="921"/>
        <w:spacing w:after="0" w:line="277" w:lineRule="auto"/>
        <w:tabs>
          <w:tab w:leader="none" w:pos="117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Options granted to Officers, Directors or Consultants may be made fully exercisable, subject to reasonable conditions such as continued employment, at any time or during any period established by the Company.</w:t>
      </w:r>
    </w:p>
    <w:p>
      <w:pPr>
        <w:spacing w:after="0" w:line="58" w:lineRule="exact"/>
        <w:rPr>
          <w:rFonts w:ascii="Arial" w:cs="Arial" w:eastAsia="Arial" w:hAnsi="Arial"/>
          <w:sz w:val="18"/>
          <w:szCs w:val="18"/>
          <w:b w:val="1"/>
          <w:bCs w:val="1"/>
          <w:color w:val="auto"/>
        </w:rPr>
      </w:pPr>
    </w:p>
    <w:p>
      <w:pPr>
        <w:ind w:left="-8" w:right="60" w:firstLine="464"/>
        <w:spacing w:after="0" w:line="295" w:lineRule="auto"/>
        <w:tabs>
          <w:tab w:leader="none" w:pos="713" w:val="left"/>
        </w:tabs>
        <w:numPr>
          <w:ilvl w:val="1"/>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an Optionholder’s Continuous Service terminates (other than upon the Optionholder’s death</w:t>
      </w:r>
      <w:r>
        <w:rPr>
          <w:rFonts w:ascii="Arial" w:cs="Arial" w:eastAsia="Arial" w:hAnsi="Arial"/>
          <w:sz w:val="16"/>
          <w:szCs w:val="16"/>
          <w:b w:val="1"/>
          <w:bCs w:val="1"/>
          <w:color w:val="auto"/>
        </w:rPr>
        <w:t xml:space="preserve"> </w:t>
      </w:r>
      <w:r>
        <w:rPr>
          <w:rFonts w:ascii="Arial" w:cs="Arial" w:eastAsia="Arial" w:hAnsi="Arial"/>
          <w:sz w:val="16"/>
          <w:szCs w:val="16"/>
          <w:color w:val="auto"/>
        </w:rPr>
        <w:t>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 s Continuous Service (or such longer or shorter period specified in the Option Agreement, which period shall not be less than thirty (30) days),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47" w:lineRule="exact"/>
        <w:rPr>
          <w:rFonts w:ascii="Arial" w:cs="Arial" w:eastAsia="Arial" w:hAnsi="Arial"/>
          <w:sz w:val="16"/>
          <w:szCs w:val="16"/>
          <w:b w:val="1"/>
          <w:bCs w:val="1"/>
          <w:color w:val="auto"/>
        </w:rPr>
      </w:pPr>
    </w:p>
    <w:p>
      <w:pPr>
        <w:ind w:left="-8" w:firstLine="464"/>
        <w:spacing w:after="0" w:line="289" w:lineRule="auto"/>
        <w:tabs>
          <w:tab w:leader="none" w:pos="663" w:val="left"/>
        </w:tabs>
        <w:numPr>
          <w:ilvl w:val="1"/>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Extension of Termination Date</w:t>
      </w:r>
      <w:r>
        <w:rPr>
          <w:rFonts w:ascii="Arial" w:cs="Arial" w:eastAsia="Arial" w:hAnsi="Arial"/>
          <w:sz w:val="16"/>
          <w:szCs w:val="16"/>
          <w:color w:val="auto"/>
        </w:rPr>
        <w:t>. An Optionholder’s Option Agreement may also provide that if the exercise of the Option following the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w:t>
      </w:r>
    </w:p>
    <w:p>
      <w:pPr>
        <w:spacing w:after="0" w:line="1" w:lineRule="exact"/>
        <w:rPr>
          <w:rFonts w:ascii="Arial" w:cs="Arial" w:eastAsia="Arial" w:hAnsi="Arial"/>
          <w:sz w:val="16"/>
          <w:szCs w:val="16"/>
          <w:b w:val="1"/>
          <w:bCs w:val="1"/>
          <w:color w:val="auto"/>
        </w:rPr>
      </w:pPr>
    </w:p>
    <w:p>
      <w:pPr>
        <w:ind w:left="-8" w:right="480" w:firstLine="8"/>
        <w:spacing w:after="0" w:line="323" w:lineRule="auto"/>
        <w:tabs>
          <w:tab w:leader="none" w:pos="20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26" w:lineRule="exact"/>
        <w:rPr>
          <w:rFonts w:ascii="Arial" w:cs="Arial" w:eastAsia="Arial" w:hAnsi="Arial"/>
          <w:sz w:val="16"/>
          <w:szCs w:val="16"/>
          <w:color w:val="auto"/>
        </w:rPr>
      </w:pPr>
    </w:p>
    <w:p>
      <w:pPr>
        <w:ind w:left="-8" w:right="220" w:firstLine="464"/>
        <w:spacing w:after="0" w:line="295" w:lineRule="auto"/>
        <w:tabs>
          <w:tab w:leader="none" w:pos="673"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Disability of Optionholder</w:t>
      </w:r>
      <w:r>
        <w:rPr>
          <w:rFonts w:ascii="Arial" w:cs="Arial" w:eastAsia="Arial" w:hAnsi="Arial"/>
          <w:sz w:val="16"/>
          <w:szCs w:val="16"/>
          <w:color w:val="auto"/>
        </w:rPr>
        <w:t>. In the event that an Optionholder’s Continuous Service terminates as a result of the Optionholder’s Disability,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47" w:lineRule="exact"/>
        <w:rPr>
          <w:rFonts w:ascii="Arial" w:cs="Arial" w:eastAsia="Arial" w:hAnsi="Arial"/>
          <w:sz w:val="16"/>
          <w:szCs w:val="16"/>
          <w:b w:val="1"/>
          <w:bCs w:val="1"/>
          <w:color w:val="auto"/>
        </w:rPr>
      </w:pPr>
    </w:p>
    <w:p>
      <w:pPr>
        <w:ind w:left="-8" w:right="40" w:firstLine="464"/>
        <w:spacing w:after="0" w:line="295" w:lineRule="auto"/>
        <w:tabs>
          <w:tab w:leader="none" w:pos="713"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Death of Optionholder</w:t>
      </w:r>
      <w:r>
        <w:rPr>
          <w:rFonts w:ascii="Arial" w:cs="Arial" w:eastAsia="Arial" w:hAnsi="Arial"/>
          <w:sz w:val="16"/>
          <w:szCs w:val="16"/>
          <w:color w:val="auto"/>
        </w:rPr>
        <w:t>. In the event that (i) an Optionholder’s Continuous Service terminates as a result of the Optionholder’s death or (ii)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 s death pursuant to Section 6(e)(iii), but only within the period ending on the earlier of (i) the date eighteen (18) months following the date of death (or such longer or shorter period specified in the Option Agreement, which period shall not be less than six (6) months), or (ii) the</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69" w:right="239" w:bottom="1440" w:gutter="0" w:footer="0" w:header="0"/>
        </w:sectPr>
      </w:pPr>
    </w:p>
    <w:bookmarkStart w:id="311" w:name="page312"/>
    <w:bookmarkEnd w:id="311"/>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expiration of the term of such Option as set forth in the Option Agreement. If, after the Optionholder’s death, the Option is not exercised within the time specified herein or in the Option Agreement (as applicable), the Option shall terminate.</w:t>
      </w:r>
    </w:p>
    <w:p>
      <w:pPr>
        <w:spacing w:after="0" w:line="58" w:lineRule="exact"/>
        <w:rPr>
          <w:sz w:val="20"/>
          <w:szCs w:val="20"/>
          <w:color w:val="auto"/>
        </w:rPr>
      </w:pPr>
    </w:p>
    <w:p>
      <w:pPr>
        <w:ind w:right="40" w:firstLine="464"/>
        <w:spacing w:after="0" w:line="255" w:lineRule="auto"/>
        <w:tabs>
          <w:tab w:leader="none" w:pos="671"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Early Exercise</w:t>
      </w:r>
      <w:r>
        <w:rPr>
          <w:rFonts w:ascii="Arial" w:cs="Arial" w:eastAsia="Arial" w:hAnsi="Arial"/>
          <w:sz w:val="18"/>
          <w:szCs w:val="18"/>
          <w:color w:val="auto"/>
        </w:rPr>
        <w:t>. The Option may include a provision whereby the Optionholder may elect at any time before the Optionholder’ s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to exercise the Option as to any part or all of the shares of Common Stock subject to the Option prior to the full vesting of the Option. Subject to the “Repurchase Limitation” in Section 9(i), any unvested shares of Common Stock so purchased may be subject to a repurchase option in favor of the Company or to any other restriction the Board determines to be appropriate. Provided that the “Repurchase Limitation” in Section 9(i) is not violated, the Company shall not be required to exercise its repurchase option until at least six (6) months (or such longer or shorter period of time necessary to avoid a charge to earnings for financial accounting purposes) have elapsed following exercise of the Option unless the Board otherwise specifically provides in the Option Agreement.</w:t>
      </w:r>
    </w:p>
    <w:p>
      <w:pPr>
        <w:spacing w:after="0" w:line="81" w:lineRule="exact"/>
        <w:rPr>
          <w:rFonts w:ascii="Arial" w:cs="Arial" w:eastAsia="Arial" w:hAnsi="Arial"/>
          <w:sz w:val="18"/>
          <w:szCs w:val="18"/>
          <w:b w:val="1"/>
          <w:bCs w:val="1"/>
          <w:color w:val="auto"/>
        </w:rPr>
      </w:pPr>
    </w:p>
    <w:p>
      <w:pPr>
        <w:ind w:firstLine="464"/>
        <w:spacing w:after="0" w:line="277" w:lineRule="auto"/>
        <w:tabs>
          <w:tab w:leader="none" w:pos="771"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Right of Repurchase</w:t>
      </w:r>
      <w:r>
        <w:rPr>
          <w:rFonts w:ascii="Arial" w:cs="Arial" w:eastAsia="Arial" w:hAnsi="Arial"/>
          <w:sz w:val="17"/>
          <w:szCs w:val="17"/>
          <w:color w:val="auto"/>
        </w:rPr>
        <w:t>. Subject to the “Repurchase Limitation” in Section 9(i), the Option may include a provision whereby the Company may elect</w:t>
      </w:r>
      <w:r>
        <w:rPr>
          <w:rFonts w:ascii="Arial" w:cs="Arial" w:eastAsia="Arial" w:hAnsi="Arial"/>
          <w:sz w:val="17"/>
          <w:szCs w:val="17"/>
          <w:b w:val="1"/>
          <w:bCs w:val="1"/>
          <w:color w:val="auto"/>
        </w:rPr>
        <w:t xml:space="preserve"> </w:t>
      </w:r>
      <w:r>
        <w:rPr>
          <w:rFonts w:ascii="Arial" w:cs="Arial" w:eastAsia="Arial" w:hAnsi="Arial"/>
          <w:sz w:val="17"/>
          <w:szCs w:val="17"/>
          <w:color w:val="auto"/>
        </w:rPr>
        <w:t>to repurchase all or any part of the vested shares of Common Stock acquired by the Optionholder pursuant to the exercise of the Option. Provided that the “Repurchase Limitation” in Section 9(i) is not violated, the Company shall not be required to exercise its repurchase option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60" w:lineRule="exact"/>
        <w:rPr>
          <w:rFonts w:ascii="Arial" w:cs="Arial" w:eastAsia="Arial" w:hAnsi="Arial"/>
          <w:sz w:val="17"/>
          <w:szCs w:val="17"/>
          <w:b w:val="1"/>
          <w:bCs w:val="1"/>
          <w:color w:val="auto"/>
        </w:rPr>
      </w:pPr>
    </w:p>
    <w:p>
      <w:pPr>
        <w:ind w:firstLine="464"/>
        <w:spacing w:after="0" w:line="256" w:lineRule="auto"/>
        <w:tabs>
          <w:tab w:leader="none" w:pos="721"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may include a provision whereby the Company may elect to exercise a right of first refusal following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from the Optionholder of the intent to transfer all or any part of the shares of Common Stock received upon the exercise of the Option. Except as expressly provided in this Section 6(n) or in the Stock Award Agreement for the Option, such right of first refusal shall otherwise comply with any applicable provisions of the Bylaws of the Company. The Company will not exercise its right of first refusal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214" w:lineRule="exact"/>
        <w:rPr>
          <w:rFonts w:ascii="Arial" w:cs="Arial" w:eastAsia="Arial" w:hAnsi="Arial"/>
          <w:sz w:val="18"/>
          <w:szCs w:val="18"/>
          <w:b w:val="1"/>
          <w:bCs w:val="1"/>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464"/>
        <w:spacing w:after="0" w:line="295" w:lineRule="auto"/>
        <w:tabs>
          <w:tab w:leader="none" w:pos="711"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shall be in such form and shall contain such terms and conditions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deem appropriate. At the Board’s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the Restricted Stock Award agreements may change from time to time, and the terms and conditions of separate Restricted Stock Award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Restricted Stock Award agreement shall include (through incorporation of the provisions hereof by reference in the agreement or otherwise) the substance of each of the following provisions:</w:t>
      </w:r>
    </w:p>
    <w:p>
      <w:pPr>
        <w:spacing w:after="0" w:line="47" w:lineRule="exact"/>
        <w:rPr>
          <w:rFonts w:ascii="Arial" w:cs="Arial" w:eastAsia="Arial" w:hAnsi="Arial"/>
          <w:sz w:val="16"/>
          <w:szCs w:val="16"/>
          <w:b w:val="1"/>
          <w:bCs w:val="1"/>
          <w:color w:val="auto"/>
        </w:rPr>
      </w:pPr>
    </w:p>
    <w:p>
      <w:pPr>
        <w:ind w:right="20" w:firstLine="921"/>
        <w:spacing w:after="0" w:line="303" w:lineRule="auto"/>
        <w:tabs>
          <w:tab w:leader="none" w:pos="1128" w:val="left"/>
        </w:tabs>
        <w:numPr>
          <w:ilvl w:val="2"/>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At the time of the grant of a Restricted Stock Award, the Board will determine the price to be paid by the Participant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share subject to the Restricted Stock Award. Subject to the provisions of Section 5(b) regarding Ten Percent Stockholders and to the extent required by applicable law, the price to be paid by the Participant for each share subject to the Restricted Stock Award shall not be less than eighty-five percent (85%) of the Common Stock’s Fair Market Value on the date such award is made or at the time the purchase is consummated. Notwithstanding the foregoing, a</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12" w:name="page313"/>
    <w:bookmarkEnd w:id="3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Award may be awarded as a stock bonus (</w:t>
      </w:r>
      <w:r>
        <w:rPr>
          <w:rFonts w:ascii="Arial" w:cs="Arial" w:eastAsia="Arial" w:hAnsi="Arial"/>
          <w:sz w:val="17"/>
          <w:szCs w:val="17"/>
          <w:i w:val="1"/>
          <w:iCs w:val="1"/>
          <w:color w:val="auto"/>
        </w:rPr>
        <w:t>i.e.</w:t>
      </w:r>
      <w:r>
        <w:rPr>
          <w:rFonts w:ascii="Arial" w:cs="Arial" w:eastAsia="Arial" w:hAnsi="Arial"/>
          <w:sz w:val="17"/>
          <w:szCs w:val="17"/>
          <w:color w:val="auto"/>
        </w:rPr>
        <w:t>, with no cash purchase price to be paid) to the extent permissible under applicable law.</w:t>
      </w:r>
    </w:p>
    <w:p>
      <w:pPr>
        <w:spacing w:after="0" w:line="125" w:lineRule="exact"/>
        <w:rPr>
          <w:sz w:val="20"/>
          <w:szCs w:val="20"/>
          <w:color w:val="auto"/>
        </w:rPr>
      </w:pPr>
    </w:p>
    <w:p>
      <w:pPr>
        <w:ind w:right="20" w:firstLine="921"/>
        <w:spacing w:after="0" w:line="258" w:lineRule="auto"/>
        <w:tabs>
          <w:tab w:leader="none" w:pos="1178"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the grant of a Restricted Stock Award, the Board will determine the consideration permissible for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of the Restricted Stock Award. The purchase price of Common Stock acquired pursuant to the Restricted Stock Award shall be paid either: (i) in cash or by check at the time of purchase; (ii) at the discretion of the Board, according to a deferred payment or other similar arrangement with the Participant; (iii) by past or future services rendered to the Company or an Affiliate; or (iv) in any other form of legal consideration that may be acceptable to the Board in its sole discretion and permissible under applicable law.</w:t>
      </w:r>
    </w:p>
    <w:p>
      <w:pPr>
        <w:spacing w:after="0" w:line="75" w:lineRule="exact"/>
        <w:rPr>
          <w:rFonts w:ascii="Arial" w:cs="Arial" w:eastAsia="Arial" w:hAnsi="Arial"/>
          <w:sz w:val="18"/>
          <w:szCs w:val="18"/>
          <w:b w:val="1"/>
          <w:bCs w:val="1"/>
          <w:color w:val="auto"/>
        </w:rPr>
      </w:pPr>
    </w:p>
    <w:p>
      <w:pPr>
        <w:ind w:right="140" w:firstLine="921"/>
        <w:spacing w:after="0" w:line="313" w:lineRule="auto"/>
        <w:tabs>
          <w:tab w:leader="none" w:pos="1228" w:val="left"/>
        </w:tabs>
        <w:numPr>
          <w:ilvl w:val="1"/>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9(i), shares of Common Stock acquired under a Restricted Stock Award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share repurchase right or option in favor of the Company in accordance with a vesting schedule to be determined by the Board.</w:t>
      </w:r>
    </w:p>
    <w:p>
      <w:pPr>
        <w:spacing w:after="0" w:line="30" w:lineRule="exact"/>
        <w:rPr>
          <w:rFonts w:ascii="Arial" w:cs="Arial" w:eastAsia="Arial" w:hAnsi="Arial"/>
          <w:sz w:val="17"/>
          <w:szCs w:val="17"/>
          <w:b w:val="1"/>
          <w:bCs w:val="1"/>
          <w:color w:val="auto"/>
        </w:rPr>
      </w:pPr>
    </w:p>
    <w:p>
      <w:pPr>
        <w:ind w:right="140" w:firstLine="921"/>
        <w:spacing w:after="0" w:line="254" w:lineRule="auto"/>
        <w:tabs>
          <w:tab w:leader="none" w:pos="1218"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Subject to the “Repurchase Limitation” in Section 9(i), in the event that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terminates, the Company shall have the right, but not the obligation, to repurchase or otherwise reacquire, any or all of the shares of Common Stock held by the Participant that have not vested as of the date of termination under the terms of the Restricted Stock Award agreement. At the Board’s election, the price paid for all shares of Common Stock so repurchased or reacquired by the Company may be at the lesser of (i) the Fair Market Value on the relevant date, or (ii) the Participant’s original cost for such shares. Provided that the “Repurchase Limitation” in Section 9(i) is not violated, the Company shall not be required to exercise its repurchase or reacquisition option until at least six (6) months (or such longer or shorter period of time necessary to avoid classification of the Restricted Stock Award as a liability for financial accounting purposes) have elapsed following the Participant’s purchase of the shares acquired pursuant to the Restricted Stock Award unless otherwise determined by the Board or provided in the Restricted Stock Award Agreement.</w:t>
      </w:r>
    </w:p>
    <w:p>
      <w:pPr>
        <w:spacing w:after="0" w:line="81" w:lineRule="exact"/>
        <w:rPr>
          <w:rFonts w:ascii="Arial" w:cs="Arial" w:eastAsia="Arial" w:hAnsi="Arial"/>
          <w:sz w:val="18"/>
          <w:szCs w:val="18"/>
          <w:b w:val="1"/>
          <w:bCs w:val="1"/>
          <w:color w:val="auto"/>
        </w:rPr>
      </w:pPr>
    </w:p>
    <w:p>
      <w:pPr>
        <w:ind w:right="320" w:firstLine="921"/>
        <w:spacing w:after="0" w:line="347" w:lineRule="auto"/>
        <w:tabs>
          <w:tab w:leader="none" w:pos="1168" w:val="left"/>
        </w:tabs>
        <w:numPr>
          <w:ilvl w:val="1"/>
          <w:numId w:val="258"/>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r>
        <w:rPr>
          <w:rFonts w:ascii="Arial" w:cs="Arial" w:eastAsia="Arial" w:hAnsi="Arial"/>
          <w:sz w:val="16"/>
          <w:szCs w:val="16"/>
          <w:color w:val="auto"/>
        </w:rPr>
        <w:t>. Rights to purchase or acquire shares of Common Stock under the Restricted Stock Award agreement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except by will or by the laws of descent and distribution and shall be exercisable during the lifetime of the Participant only by the Participant.</w:t>
      </w:r>
    </w:p>
    <w:p>
      <w:pPr>
        <w:spacing w:after="0" w:line="8" w:lineRule="exact"/>
        <w:rPr>
          <w:rFonts w:ascii="Arial" w:cs="Arial" w:eastAsia="Arial" w:hAnsi="Arial"/>
          <w:sz w:val="16"/>
          <w:szCs w:val="16"/>
          <w:b w:val="1"/>
          <w:bCs w:val="1"/>
          <w:color w:val="auto"/>
        </w:rPr>
      </w:pPr>
    </w:p>
    <w:p>
      <w:pPr>
        <w:ind w:firstLine="464"/>
        <w:spacing w:after="0" w:line="303" w:lineRule="auto"/>
        <w:tabs>
          <w:tab w:leader="none" w:pos="721"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Stock Appreciation Rights</w:t>
      </w:r>
      <w:r>
        <w:rPr>
          <w:rFonts w:ascii="Arial" w:cs="Arial" w:eastAsia="Arial" w:hAnsi="Arial"/>
          <w:sz w:val="16"/>
          <w:szCs w:val="16"/>
          <w:color w:val="auto"/>
        </w:rPr>
        <w:t>. Each Stock Appreciation Right Agreement shall be in such form and shall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deem appropriate. The terms and conditions of Stock Appreciation Right Agreements may change from time to time, and the terms and conditions of separate Stock Appreciation Right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but each Stock Appreciation Right Agreement shall include (through incorporation of the provisions hereof by reference in the agreement or otherwise) the substance of each of the following provisions:</w:t>
      </w:r>
    </w:p>
    <w:p>
      <w:pPr>
        <w:spacing w:after="0" w:line="43" w:lineRule="exact"/>
        <w:rPr>
          <w:rFonts w:ascii="Arial" w:cs="Arial" w:eastAsia="Arial" w:hAnsi="Arial"/>
          <w:sz w:val="16"/>
          <w:szCs w:val="16"/>
          <w:b w:val="1"/>
          <w:bCs w:val="1"/>
          <w:color w:val="auto"/>
        </w:rPr>
      </w:pPr>
    </w:p>
    <w:p>
      <w:pPr>
        <w:ind w:firstLine="921"/>
        <w:spacing w:after="0" w:line="313" w:lineRule="auto"/>
        <w:tabs>
          <w:tab w:leader="none" w:pos="1128"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Stock Appreciation Right shall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grant, or such shorter period specified in the Stock Appreciation Right Agreement.</w:t>
      </w:r>
    </w:p>
    <w:p>
      <w:pPr>
        <w:spacing w:after="0" w:line="30" w:lineRule="exact"/>
        <w:rPr>
          <w:rFonts w:ascii="Arial" w:cs="Arial" w:eastAsia="Arial" w:hAnsi="Arial"/>
          <w:sz w:val="17"/>
          <w:szCs w:val="17"/>
          <w:b w:val="1"/>
          <w:bCs w:val="1"/>
          <w:color w:val="auto"/>
        </w:rPr>
      </w:pPr>
    </w:p>
    <w:p>
      <w:pPr>
        <w:ind w:right="120" w:firstLine="921"/>
        <w:spacing w:after="0" w:line="261" w:lineRule="auto"/>
        <w:tabs>
          <w:tab w:leader="none" w:pos="1178"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Strike Price</w:t>
      </w:r>
      <w:r>
        <w:rPr>
          <w:rFonts w:ascii="Arial" w:cs="Arial" w:eastAsia="Arial" w:hAnsi="Arial"/>
          <w:sz w:val="18"/>
          <w:szCs w:val="18"/>
          <w:color w:val="auto"/>
        </w:rPr>
        <w:t>. Each Stock Appreciation Right will be denominated in shares of Common Stock equivalents. Subject to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5(b) regarding Ten Percent Stockholders, the strike price of each Stock Appreciation Right granted as a stand-alone or tandem Stock Award shall not be less than one hundred percent (100%) of the Fair Market Value of the Common Stock equivalents subject to the Stock Appreciation Right on the date of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13" w:name="page314"/>
    <w:bookmarkEnd w:id="313"/>
    <w:p>
      <w:pPr>
        <w:ind w:left="-8" w:firstLine="921"/>
        <w:spacing w:after="0" w:line="258" w:lineRule="auto"/>
        <w:tabs>
          <w:tab w:leader="none" w:pos="1220" w:val="left"/>
        </w:tabs>
        <w:numPr>
          <w:ilvl w:val="2"/>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of Appreciation</w:t>
      </w:r>
      <w:r>
        <w:rPr>
          <w:rFonts w:ascii="Arial" w:cs="Arial" w:eastAsia="Arial" w:hAnsi="Arial"/>
          <w:sz w:val="18"/>
          <w:szCs w:val="18"/>
          <w:color w:val="auto"/>
        </w:rPr>
        <w:t>. The appreciation distribution payable on the exercise of a Stock Appreciation Right will be not greater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the excess of (i) the aggregate Fair Market Value (on the date of the exercise of the Stock Appreciation Right) of a number of shares of Common Stock equal to the number of share of Common Stock equivalents in which the Participant is vested under such Stock Appreciation Right and with respect to which the Participant is exercising the Stock Appreciation Right on such date, over (ii) an amount (the strike price) that will be determined by the Board on the date of grant.</w:t>
      </w:r>
    </w:p>
    <w:p>
      <w:pPr>
        <w:spacing w:after="0" w:line="75" w:lineRule="exact"/>
        <w:rPr>
          <w:rFonts w:ascii="Arial" w:cs="Arial" w:eastAsia="Arial" w:hAnsi="Arial"/>
          <w:sz w:val="18"/>
          <w:szCs w:val="18"/>
          <w:b w:val="1"/>
          <w:bCs w:val="1"/>
          <w:color w:val="auto"/>
        </w:rPr>
      </w:pPr>
    </w:p>
    <w:p>
      <w:pPr>
        <w:jc w:val="both"/>
        <w:ind w:left="-8" w:right="140" w:firstLine="921"/>
        <w:spacing w:after="0" w:line="266" w:lineRule="auto"/>
        <w:tabs>
          <w:tab w:leader="none" w:pos="1210" w:val="left"/>
        </w:tabs>
        <w:numPr>
          <w:ilvl w:val="2"/>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Stock Appreciation Right, the Board may impose such restrictions or conditions to the vesting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Appreciation Right as it deems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Stock Appreciation Right that could be settled in shares of Common Stock shall be subject to the provision of Section 9(i).</w:t>
      </w:r>
    </w:p>
    <w:p>
      <w:pPr>
        <w:spacing w:after="0" w:line="68" w:lineRule="exact"/>
        <w:rPr>
          <w:rFonts w:ascii="Arial" w:cs="Arial" w:eastAsia="Arial" w:hAnsi="Arial"/>
          <w:sz w:val="18"/>
          <w:szCs w:val="18"/>
          <w:b w:val="1"/>
          <w:bCs w:val="1"/>
          <w:color w:val="auto"/>
        </w:rPr>
      </w:pPr>
    </w:p>
    <w:p>
      <w:pPr>
        <w:ind w:left="-8" w:right="240" w:firstLine="921"/>
        <w:spacing w:after="0" w:line="282" w:lineRule="auto"/>
        <w:tabs>
          <w:tab w:leader="none" w:pos="1160" w:val="left"/>
        </w:tabs>
        <w:numPr>
          <w:ilvl w:val="2"/>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r>
        <w:rPr>
          <w:rFonts w:ascii="Arial" w:cs="Arial" w:eastAsia="Arial" w:hAnsi="Arial"/>
          <w:sz w:val="18"/>
          <w:szCs w:val="18"/>
          <w:color w:val="auto"/>
        </w:rPr>
        <w:t>. To exercise any outstanding Stock Appreciation Right, the Participant must provide written notice of exercise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provisions of the Stock Appreciation Right Agreement evidencing such Stock Appreciation Right.</w:t>
      </w:r>
    </w:p>
    <w:p>
      <w:pPr>
        <w:spacing w:after="0" w:line="53" w:lineRule="exact"/>
        <w:rPr>
          <w:rFonts w:ascii="Arial" w:cs="Arial" w:eastAsia="Arial" w:hAnsi="Arial"/>
          <w:sz w:val="18"/>
          <w:szCs w:val="18"/>
          <w:b w:val="1"/>
          <w:bCs w:val="1"/>
          <w:color w:val="auto"/>
        </w:rPr>
      </w:pPr>
    </w:p>
    <w:p>
      <w:pPr>
        <w:jc w:val="both"/>
        <w:ind w:left="-8" w:right="20" w:firstLine="921"/>
        <w:spacing w:after="0" w:line="266" w:lineRule="auto"/>
        <w:tabs>
          <w:tab w:leader="none" w:pos="1210" w:val="left"/>
        </w:tabs>
        <w:numPr>
          <w:ilvl w:val="2"/>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Common Stock, in cash, in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two or in any other form of consideration, as determined by the Board and contained in the Stock Appreciation Right Agreement evidencing such Stock Appreciation Right.</w:t>
      </w:r>
    </w:p>
    <w:p>
      <w:pPr>
        <w:spacing w:after="0" w:line="68" w:lineRule="exact"/>
        <w:rPr>
          <w:rFonts w:ascii="Arial" w:cs="Arial" w:eastAsia="Arial" w:hAnsi="Arial"/>
          <w:sz w:val="18"/>
          <w:szCs w:val="18"/>
          <w:b w:val="1"/>
          <w:bCs w:val="1"/>
          <w:color w:val="auto"/>
        </w:rPr>
      </w:pPr>
    </w:p>
    <w:p>
      <w:pPr>
        <w:ind w:left="-8" w:right="20" w:firstLine="921"/>
        <w:spacing w:after="0" w:line="295" w:lineRule="auto"/>
        <w:tabs>
          <w:tab w:leader="none" w:pos="1260" w:val="left"/>
        </w:tabs>
        <w:numPr>
          <w:ilvl w:val="2"/>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 Participant’s Continuous Service terminates, the Participant may exercise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 (to the extent that the Participant was entitled to exercise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440" w:firstLine="464"/>
        <w:spacing w:after="0" w:line="282" w:lineRule="auto"/>
        <w:tabs>
          <w:tab w:leader="none" w:pos="703" w:val="left"/>
        </w:tabs>
        <w:numPr>
          <w:ilvl w:val="1"/>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required to satisfy such Stock Awards.</w:t>
      </w:r>
    </w:p>
    <w:p>
      <w:pPr>
        <w:spacing w:after="0" w:line="53" w:lineRule="exact"/>
        <w:rPr>
          <w:rFonts w:ascii="Arial" w:cs="Arial" w:eastAsia="Arial" w:hAnsi="Arial"/>
          <w:sz w:val="18"/>
          <w:szCs w:val="18"/>
          <w:b w:val="1"/>
          <w:bCs w:val="1"/>
          <w:color w:val="auto"/>
        </w:rPr>
      </w:pPr>
    </w:p>
    <w:p>
      <w:pPr>
        <w:ind w:left="-8" w:right="20" w:firstLine="464"/>
        <w:spacing w:after="0" w:line="295" w:lineRule="auto"/>
        <w:tabs>
          <w:tab w:leader="none" w:pos="713" w:val="left"/>
        </w:tabs>
        <w:numPr>
          <w:ilvl w:val="1"/>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shall seek to obtain from each regulatory commission or agency having jurisdiction over the Plan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as may be required to grant Stock Awards and to issue and sell shares of Common Stock upon exercise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12" w:hanging="256"/>
        <w:spacing w:after="0"/>
        <w:tabs>
          <w:tab w:leader="none" w:pos="712" w:val="left"/>
        </w:tabs>
        <w:numPr>
          <w:ilvl w:val="1"/>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Proceeds from the sale of Common Stock pursuant to Stock Awards shall constitute general funds of the Company.</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0" w:right="239" w:bottom="1440" w:gutter="0" w:footer="0" w:header="0"/>
        </w:sectPr>
      </w:pPr>
    </w:p>
    <w:bookmarkStart w:id="314" w:name="page315"/>
    <w:bookmarkEnd w:id="314"/>
    <w:p>
      <w:pPr>
        <w:ind w:left="-8" w:right="100" w:firstLine="464"/>
        <w:spacing w:after="0" w:line="266" w:lineRule="auto"/>
        <w:tabs>
          <w:tab w:leader="none" w:pos="713"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Acceleration of Exercisability and Vesting</w:t>
      </w:r>
      <w:r>
        <w:rPr>
          <w:rFonts w:ascii="Arial" w:cs="Arial" w:eastAsia="Arial" w:hAnsi="Arial"/>
          <w:sz w:val="18"/>
          <w:szCs w:val="18"/>
          <w:color w:val="auto"/>
        </w:rPr>
        <w:t>. The Board shall have the power to accelerate the time at which a Stock Award may first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time during which a Stock Award or any part thereof will vest in accordance with the Plan, notwithstanding the provisions in the Stock Award stating the time at which it may first be exercised or the time during which it will vest.</w:t>
      </w:r>
    </w:p>
    <w:p>
      <w:pPr>
        <w:spacing w:after="0" w:line="68" w:lineRule="exact"/>
        <w:rPr>
          <w:rFonts w:ascii="Arial" w:cs="Arial" w:eastAsia="Arial" w:hAnsi="Arial"/>
          <w:sz w:val="18"/>
          <w:szCs w:val="18"/>
          <w:b w:val="1"/>
          <w:bCs w:val="1"/>
          <w:color w:val="auto"/>
        </w:rPr>
      </w:pPr>
    </w:p>
    <w:p>
      <w:pPr>
        <w:ind w:left="-8" w:right="260" w:firstLine="464"/>
        <w:spacing w:after="0" w:line="266" w:lineRule="auto"/>
        <w:tabs>
          <w:tab w:leader="none" w:pos="693"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such Participant has satisfied all requirements for exercise of the Stock Award pursuant to its terms.</w:t>
      </w:r>
    </w:p>
    <w:p>
      <w:pPr>
        <w:spacing w:after="0" w:line="68" w:lineRule="exact"/>
        <w:rPr>
          <w:rFonts w:ascii="Arial" w:cs="Arial" w:eastAsia="Arial" w:hAnsi="Arial"/>
          <w:sz w:val="18"/>
          <w:szCs w:val="18"/>
          <w:b w:val="1"/>
          <w:bCs w:val="1"/>
          <w:color w:val="auto"/>
        </w:rPr>
      </w:pPr>
    </w:p>
    <w:p>
      <w:pPr>
        <w:jc w:val="both"/>
        <w:ind w:left="-8" w:right="20" w:firstLine="464"/>
        <w:spacing w:after="0" w:line="287" w:lineRule="auto"/>
        <w:tabs>
          <w:tab w:leader="none" w:pos="713" w:val="left"/>
        </w:tabs>
        <w:numPr>
          <w:ilvl w:val="1"/>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No Employment or other Service Rights</w:t>
      </w:r>
      <w:r>
        <w:rPr>
          <w:rFonts w:ascii="Arial" w:cs="Arial" w:eastAsia="Arial" w:hAnsi="Arial"/>
          <w:sz w:val="16"/>
          <w:szCs w:val="16"/>
          <w:color w:val="auto"/>
        </w:rPr>
        <w:t>. Nothing in the Plan, any Stock Award Agreement, or any other instrument executed thereunder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w:t>
      </w:r>
    </w:p>
    <w:p>
      <w:pPr>
        <w:spacing w:after="0" w:line="2" w:lineRule="exact"/>
        <w:rPr>
          <w:rFonts w:ascii="Arial" w:cs="Arial" w:eastAsia="Arial" w:hAnsi="Arial"/>
          <w:sz w:val="16"/>
          <w:szCs w:val="16"/>
          <w:b w:val="1"/>
          <w:bCs w:val="1"/>
          <w:color w:val="auto"/>
        </w:rPr>
      </w:pPr>
    </w:p>
    <w:p>
      <w:pPr>
        <w:ind w:left="-8" w:right="120" w:firstLine="8"/>
        <w:spacing w:after="0" w:line="261" w:lineRule="auto"/>
        <w:tabs>
          <w:tab w:leader="none" w:pos="3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service of a Director pursuant to the Bylaws of the Company or an Affiliate, and any applicable provisions of the corporate law of the state in which the Company or the Affiliate is incorporated, as the case may be.</w:t>
      </w:r>
    </w:p>
    <w:p>
      <w:pPr>
        <w:spacing w:after="0" w:line="71" w:lineRule="exact"/>
        <w:rPr>
          <w:rFonts w:ascii="Arial" w:cs="Arial" w:eastAsia="Arial" w:hAnsi="Arial"/>
          <w:sz w:val="18"/>
          <w:szCs w:val="18"/>
          <w:color w:val="auto"/>
        </w:rPr>
      </w:pPr>
    </w:p>
    <w:p>
      <w:pPr>
        <w:jc w:val="both"/>
        <w:ind w:left="-8" w:right="40" w:firstLine="464"/>
        <w:spacing w:after="0" w:line="303" w:lineRule="auto"/>
        <w:tabs>
          <w:tab w:leader="none" w:pos="693"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$100,000 Limitation</w:t>
      </w:r>
      <w:r>
        <w:rPr>
          <w:rFonts w:ascii="Arial" w:cs="Arial" w:eastAsia="Arial" w:hAnsi="Arial"/>
          <w:sz w:val="16"/>
          <w:szCs w:val="16"/>
          <w:color w:val="auto"/>
        </w:rPr>
        <w:t>. To the extent that the aggregate Fair Market Value (determined at the time of grant)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43" w:lineRule="exact"/>
        <w:rPr>
          <w:rFonts w:ascii="Arial" w:cs="Arial" w:eastAsia="Arial" w:hAnsi="Arial"/>
          <w:sz w:val="16"/>
          <w:szCs w:val="16"/>
          <w:b w:val="1"/>
          <w:bCs w:val="1"/>
          <w:color w:val="auto"/>
        </w:rPr>
      </w:pPr>
    </w:p>
    <w:p>
      <w:pPr>
        <w:ind w:left="672" w:hanging="216"/>
        <w:spacing w:after="0"/>
        <w:tabs>
          <w:tab w:leader="none" w:pos="672"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Assurances</w:t>
      </w:r>
      <w:r>
        <w:rPr>
          <w:rFonts w:ascii="Arial" w:cs="Arial" w:eastAsia="Arial" w:hAnsi="Arial"/>
          <w:sz w:val="16"/>
          <w:szCs w:val="16"/>
          <w:color w:val="auto"/>
        </w:rPr>
        <w:t>. The Company may require a Participant, as a condition of exercising or acquiring Common Stock under any Stock Award,</w:t>
      </w:r>
    </w:p>
    <w:p>
      <w:pPr>
        <w:spacing w:after="0" w:line="50" w:lineRule="exact"/>
        <w:rPr>
          <w:rFonts w:ascii="Arial" w:cs="Arial" w:eastAsia="Arial" w:hAnsi="Arial"/>
          <w:sz w:val="16"/>
          <w:szCs w:val="16"/>
          <w:b w:val="1"/>
          <w:bCs w:val="1"/>
          <w:color w:val="auto"/>
        </w:rPr>
      </w:pPr>
    </w:p>
    <w:p>
      <w:pPr>
        <w:ind w:left="-8" w:firstLine="8"/>
        <w:spacing w:after="0" w:line="286" w:lineRule="auto"/>
        <w:tabs>
          <w:tab w:leader="none" w:pos="20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(i) the issuance of the shares upon the exercise or acquisition of Common Stock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8" w:lineRule="exact"/>
        <w:rPr>
          <w:rFonts w:ascii="Arial" w:cs="Arial" w:eastAsia="Arial" w:hAnsi="Arial"/>
          <w:sz w:val="16"/>
          <w:szCs w:val="16"/>
          <w:color w:val="auto"/>
        </w:rPr>
      </w:pPr>
    </w:p>
    <w:p>
      <w:pPr>
        <w:ind w:left="-8" w:right="180" w:firstLine="464"/>
        <w:spacing w:after="0" w:line="289" w:lineRule="auto"/>
        <w:tabs>
          <w:tab w:leader="none" w:pos="703" w:val="left"/>
        </w:tabs>
        <w:numPr>
          <w:ilvl w:val="1"/>
          <w:numId w:val="264"/>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Obligations</w:t>
      </w:r>
      <w:r>
        <w:rPr>
          <w:rFonts w:ascii="Arial" w:cs="Arial" w:eastAsia="Arial" w:hAnsi="Arial"/>
          <w:sz w:val="16"/>
          <w:szCs w:val="16"/>
          <w:color w:val="auto"/>
        </w:rPr>
        <w:t>. To the extent provided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w:t>
      </w:r>
    </w:p>
    <w:p>
      <w:pPr>
        <w:spacing w:after="0" w:line="1" w:lineRule="exact"/>
        <w:rPr>
          <w:rFonts w:ascii="Arial" w:cs="Arial" w:eastAsia="Arial" w:hAnsi="Arial"/>
          <w:sz w:val="16"/>
          <w:szCs w:val="16"/>
          <w:b w:val="1"/>
          <w:bCs w:val="1"/>
          <w:color w:val="auto"/>
        </w:rPr>
      </w:pPr>
    </w:p>
    <w:p>
      <w:pPr>
        <w:ind w:left="272" w:hanging="272"/>
        <w:spacing w:after="0"/>
        <w:tabs>
          <w:tab w:leader="none" w:pos="27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withholding shares of Common Stock from the shares of Common Stock issued or otherwise issuable to the Participant in connection with the Stock</w:t>
      </w:r>
    </w:p>
    <w:p>
      <w:pPr>
        <w:spacing w:after="0" w:line="15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69" w:right="279" w:bottom="1440" w:gutter="0" w:footer="0" w:header="0"/>
        </w:sectPr>
      </w:pPr>
    </w:p>
    <w:bookmarkStart w:id="315" w:name="page316"/>
    <w:bookmarkEnd w:id="315"/>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 or (iii) by such other method as may be set forth in the Stock Award Agreement.</w:t>
      </w:r>
    </w:p>
    <w:p>
      <w:pPr>
        <w:spacing w:after="0" w:line="69" w:lineRule="exact"/>
        <w:rPr>
          <w:sz w:val="20"/>
          <w:szCs w:val="20"/>
          <w:color w:val="auto"/>
        </w:rPr>
      </w:pPr>
    </w:p>
    <w:p>
      <w:pPr>
        <w:jc w:val="both"/>
        <w:ind w:firstLine="464"/>
        <w:spacing w:after="0" w:line="266" w:lineRule="auto"/>
        <w:tabs>
          <w:tab w:leader="none" w:pos="721"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Obligation</w:t>
      </w:r>
      <w:r>
        <w:rPr>
          <w:rFonts w:ascii="Arial" w:cs="Arial" w:eastAsia="Arial" w:hAnsi="Arial"/>
          <w:sz w:val="18"/>
          <w:szCs w:val="18"/>
          <w:color w:val="auto"/>
        </w:rPr>
        <w:t>. To the extent required by Section 260.140.46 of Title 10 of the California Code of Regulations, the Company shall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to Participants at least annually. This Section 9(h) shall not apply to key Employees whose duties in connection with the Company assure them access to equivalent information.</w:t>
      </w:r>
    </w:p>
    <w:p>
      <w:pPr>
        <w:spacing w:after="0" w:line="68" w:lineRule="exact"/>
        <w:rPr>
          <w:rFonts w:ascii="Arial" w:cs="Arial" w:eastAsia="Arial" w:hAnsi="Arial"/>
          <w:sz w:val="18"/>
          <w:szCs w:val="18"/>
          <w:b w:val="1"/>
          <w:bCs w:val="1"/>
          <w:color w:val="auto"/>
        </w:rPr>
      </w:pPr>
    </w:p>
    <w:p>
      <w:pPr>
        <w:ind w:right="40" w:firstLine="464"/>
        <w:spacing w:after="0" w:line="258" w:lineRule="auto"/>
        <w:tabs>
          <w:tab w:leader="none" w:pos="671"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Limitation</w:t>
      </w:r>
      <w:r>
        <w:rPr>
          <w:rFonts w:ascii="Arial" w:cs="Arial" w:eastAsia="Arial" w:hAnsi="Arial"/>
          <w:sz w:val="18"/>
          <w:szCs w:val="18"/>
          <w:color w:val="auto"/>
        </w:rPr>
        <w:t>. The terms of any repurchase option shall be specified in the Stock Award, and the repurchase price may be either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the shares of Common Stock on the date of termination of Continuous Service or the lower of (i) the Fair Market Value of the shares of Common Stock on the date of repurchase, or (ii) their original purchase price. To the extent required by Section 260.140.41 and Section 260.140.42 of Title 10 of the California Code of Regulations at the time a Stock Award is made, any repurchase option contained in a Stock Award granted to a person who is not an Officer, Director or Consultant shall be upon the terms described below:</w:t>
      </w:r>
    </w:p>
    <w:p>
      <w:pPr>
        <w:spacing w:after="0" w:line="75" w:lineRule="exact"/>
        <w:rPr>
          <w:rFonts w:ascii="Arial" w:cs="Arial" w:eastAsia="Arial" w:hAnsi="Arial"/>
          <w:sz w:val="18"/>
          <w:szCs w:val="18"/>
          <w:b w:val="1"/>
          <w:bCs w:val="1"/>
          <w:color w:val="auto"/>
        </w:rPr>
      </w:pPr>
    </w:p>
    <w:p>
      <w:pPr>
        <w:ind w:right="160" w:firstLine="921"/>
        <w:spacing w:after="0" w:line="289" w:lineRule="auto"/>
        <w:tabs>
          <w:tab w:leader="none" w:pos="1128" w:val="left"/>
        </w:tabs>
        <w:numPr>
          <w:ilvl w:val="2"/>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Fair Market Value</w:t>
      </w:r>
      <w:r>
        <w:rPr>
          <w:rFonts w:ascii="Arial" w:cs="Arial" w:eastAsia="Arial" w:hAnsi="Arial"/>
          <w:sz w:val="16"/>
          <w:szCs w:val="16"/>
          <w:color w:val="auto"/>
        </w:rPr>
        <w:t>. If the repurchase option gives the Company the right to repurchase the shares of Common Stock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at not less than the Fair Market Value of the shares of Common Stock to be purchased on the date of termination of Continuous Service, then (i) the right to repurchase shall be exercised for cash or cancellation of purchase money indebtedness for the shares of Common Stock within ninety</w:t>
      </w:r>
    </w:p>
    <w:p>
      <w:pPr>
        <w:spacing w:after="0" w:line="1" w:lineRule="exact"/>
        <w:rPr>
          <w:rFonts w:ascii="Arial" w:cs="Arial" w:eastAsia="Arial" w:hAnsi="Arial"/>
          <w:sz w:val="16"/>
          <w:szCs w:val="16"/>
          <w:b w:val="1"/>
          <w:bCs w:val="1"/>
          <w:color w:val="auto"/>
        </w:rPr>
      </w:pPr>
    </w:p>
    <w:p>
      <w:pPr>
        <w:ind w:right="120" w:firstLine="8"/>
        <w:spacing w:after="0" w:line="255" w:lineRule="auto"/>
        <w:tabs>
          <w:tab w:leader="none" w:pos="34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days of termination of Continuous Service (or in the case of shares of Common Stock issued upon exercise of Stock Awards after such date of termination, within ninety (90) days after the date of the exercise) or such longer period as may be agreed to by the Company and the Participant, and (ii) the right terminates when the shares of Common Stock become publicly traded.</w:t>
      </w:r>
    </w:p>
    <w:p>
      <w:pPr>
        <w:spacing w:after="0" w:line="78" w:lineRule="exact"/>
        <w:rPr>
          <w:rFonts w:ascii="Arial" w:cs="Arial" w:eastAsia="Arial" w:hAnsi="Arial"/>
          <w:sz w:val="18"/>
          <w:szCs w:val="18"/>
          <w:color w:val="auto"/>
        </w:rPr>
      </w:pPr>
    </w:p>
    <w:p>
      <w:pPr>
        <w:ind w:right="80" w:firstLine="921"/>
        <w:spacing w:after="0" w:line="285" w:lineRule="auto"/>
        <w:tabs>
          <w:tab w:leader="none" w:pos="1178" w:val="left"/>
        </w:tabs>
        <w:numPr>
          <w:ilvl w:val="2"/>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Original Purchase Price</w:t>
      </w:r>
      <w:r>
        <w:rPr>
          <w:rFonts w:ascii="Arial" w:cs="Arial" w:eastAsia="Arial" w:hAnsi="Arial"/>
          <w:sz w:val="16"/>
          <w:szCs w:val="16"/>
          <w:color w:val="auto"/>
        </w:rPr>
        <w:t>. If the repurchase option gives the Company the right to repurchase the shares of Common Stock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Continuous Service at the lower of (i) the Fair Market Value of the shares of Common Stock on the date of repurchase or (ii) their original purchase price, then (x) the right to repurchase at the original purchase price shall lapse at the rate of at least twenty percent (20%) of the shares of Common Stock per year over five (5) years from the date the Stock Award is granted (without respect to the date the Stock Award was exercised or became exercisable) and (y) the right to repurchase shall be exercised for cash or cancellation of purchase money indebtedness for the shares of Common Stock within ninety (90) days of termination of Continuous Service (or in the case of shares of Common Stock issued upon exercise of Options after such date of termination, within ninety</w:t>
      </w:r>
    </w:p>
    <w:p>
      <w:pPr>
        <w:spacing w:after="0" w:line="3" w:lineRule="exact"/>
        <w:rPr>
          <w:rFonts w:ascii="Arial" w:cs="Arial" w:eastAsia="Arial" w:hAnsi="Arial"/>
          <w:sz w:val="16"/>
          <w:szCs w:val="16"/>
          <w:b w:val="1"/>
          <w:bCs w:val="1"/>
          <w:color w:val="auto"/>
        </w:rPr>
      </w:pPr>
    </w:p>
    <w:p>
      <w:pPr>
        <w:ind w:left="360" w:hanging="352"/>
        <w:spacing w:after="0"/>
        <w:tabs>
          <w:tab w:leader="none" w:pos="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days after the date of the exercise) or such longer period as may be agreed to by the Company and the Participant.</w:t>
      </w:r>
    </w:p>
    <w:p>
      <w:pPr>
        <w:spacing w:after="0" w:line="98" w:lineRule="exact"/>
        <w:rPr>
          <w:rFonts w:ascii="Arial" w:cs="Arial" w:eastAsia="Arial" w:hAnsi="Arial"/>
          <w:sz w:val="18"/>
          <w:szCs w:val="18"/>
          <w:color w:val="auto"/>
        </w:rPr>
      </w:pPr>
    </w:p>
    <w:p>
      <w:pPr>
        <w:ind w:right="120" w:firstLine="464"/>
        <w:spacing w:after="0" w:line="282" w:lineRule="auto"/>
        <w:tabs>
          <w:tab w:leader="none" w:pos="681"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or posted on the Company’s intranet.</w:t>
      </w:r>
    </w:p>
    <w:p>
      <w:pPr>
        <w:spacing w:after="0" w:line="189"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464"/>
        <w:spacing w:after="0" w:line="261" w:lineRule="auto"/>
        <w:tabs>
          <w:tab w:leader="none" w:pos="711"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If any change is made in, or other events occur with respect to, the Common Stock subject to the Plan or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316" w:name="page317"/>
    <w:bookmarkEnd w:id="31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 by the Company (each a “</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the Board shall appropriately adjust: (i) the class(es) and maximum number of securities subject to the Plan pursuant to Sections 4(a) and 4(b), and (ii) the class(es) and number of securities and price per share of Common Stock subject to each outstanding Stock Award. The Board shall make such adjustments, and its determination shall be final, binding and conclusive. (Notwithstanding the foregoing, the conversion of any convertible securities of the Company shall not be treated as a transaction “without receipt of consideration” by the Company.)</w:t>
      </w:r>
    </w:p>
    <w:p>
      <w:pPr>
        <w:spacing w:after="0" w:line="76" w:lineRule="exact"/>
        <w:rPr>
          <w:sz w:val="20"/>
          <w:szCs w:val="20"/>
          <w:color w:val="auto"/>
        </w:rPr>
      </w:pPr>
    </w:p>
    <w:p>
      <w:pPr>
        <w:ind w:right="200" w:firstLine="464"/>
        <w:spacing w:after="0" w:line="295" w:lineRule="auto"/>
        <w:tabs>
          <w:tab w:leader="none" w:pos="721"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In the event of a dissolution or liquidation of the Company, all outstanding Stock Awards (other than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47" w:lineRule="exact"/>
        <w:rPr>
          <w:rFonts w:ascii="Arial" w:cs="Arial" w:eastAsia="Arial" w:hAnsi="Arial"/>
          <w:sz w:val="16"/>
          <w:szCs w:val="16"/>
          <w:b w:val="1"/>
          <w:bCs w:val="1"/>
          <w:color w:val="auto"/>
        </w:rPr>
      </w:pPr>
    </w:p>
    <w:p>
      <w:pPr>
        <w:ind w:right="20" w:firstLine="464"/>
        <w:spacing w:after="0" w:line="282" w:lineRule="auto"/>
        <w:tabs>
          <w:tab w:leader="none" w:pos="701"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shall apply to Stock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agreement between the Company or any Affiliate and the holder of the Stock Award:</w:t>
      </w:r>
    </w:p>
    <w:p>
      <w:pPr>
        <w:spacing w:after="0" w:line="53" w:lineRule="exact"/>
        <w:rPr>
          <w:rFonts w:ascii="Arial" w:cs="Arial" w:eastAsia="Arial" w:hAnsi="Arial"/>
          <w:sz w:val="18"/>
          <w:szCs w:val="18"/>
          <w:b w:val="1"/>
          <w:bCs w:val="1"/>
          <w:color w:val="auto"/>
        </w:rPr>
      </w:pPr>
    </w:p>
    <w:p>
      <w:pPr>
        <w:ind w:right="20" w:firstLine="921"/>
        <w:spacing w:after="0" w:line="255" w:lineRule="auto"/>
        <w:tabs>
          <w:tab w:leader="none" w:pos="1128"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Awards May Be Assumed</w:t>
      </w:r>
      <w:r>
        <w:rPr>
          <w:rFonts w:ascii="Arial" w:cs="Arial" w:eastAsia="Arial" w:hAnsi="Arial"/>
          <w:sz w:val="18"/>
          <w:szCs w:val="18"/>
          <w:color w:val="auto"/>
        </w:rPr>
        <w:t>. In the event of a Corporate Transaction, any surviving corporation or acquiring corporation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may choose to assume or continue only a portion of a Stock Award or substitute a similar stock award for only a portion of a Stock Award. The terms of any assumption, continuation or substitution shall be set by the Board in accordance with the provisions of Section 3.</w:t>
      </w:r>
    </w:p>
    <w:p>
      <w:pPr>
        <w:spacing w:after="0" w:line="77" w:lineRule="exact"/>
        <w:rPr>
          <w:rFonts w:ascii="Arial" w:cs="Arial" w:eastAsia="Arial" w:hAnsi="Arial"/>
          <w:sz w:val="18"/>
          <w:szCs w:val="18"/>
          <w:b w:val="1"/>
          <w:bCs w:val="1"/>
          <w:color w:val="auto"/>
        </w:rPr>
      </w:pPr>
    </w:p>
    <w:p>
      <w:pPr>
        <w:ind w:firstLine="921"/>
        <w:spacing w:after="0" w:line="271" w:lineRule="auto"/>
        <w:tabs>
          <w:tab w:leader="none" w:pos="1178" w:val="left"/>
        </w:tabs>
        <w:numPr>
          <w:ilvl w:val="1"/>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Held by Current Participants</w:t>
      </w:r>
      <w:r>
        <w:rPr>
          <w:rFonts w:ascii="Arial" w:cs="Arial" w:eastAsia="Arial" w:hAnsi="Arial"/>
          <w:sz w:val="17"/>
          <w:szCs w:val="17"/>
          <w:color w:val="auto"/>
        </w:rPr>
        <w:t>. In the event of a Corporate Transaction in which the surviving corporation or acquiring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(referred to as the “Current Participants”),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17" w:name="page318"/>
    <w:bookmarkEnd w:id="317"/>
    <w:p>
      <w:pPr>
        <w:ind w:left="-8" w:firstLine="921"/>
        <w:spacing w:after="0" w:line="292" w:lineRule="auto"/>
        <w:tabs>
          <w:tab w:leader="none" w:pos="1220" w:val="left"/>
        </w:tabs>
        <w:numPr>
          <w:ilvl w:val="2"/>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Awards Held by Former Participants</w:t>
      </w:r>
      <w:r>
        <w:rPr>
          <w:rFonts w:ascii="Arial" w:cs="Arial" w:eastAsia="Arial" w:hAnsi="Arial"/>
          <w:sz w:val="16"/>
          <w:szCs w:val="16"/>
          <w:color w:val="auto"/>
        </w:rPr>
        <w:t>. 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(or its parent company) does not assume or continue such outstanding Stock Awards or substitute similar stock awards for such outstanding Stock Awards,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reacquisition or repurchase rights held by the Company with respect to such Stock Awards shall not terminate and may continue to be exercised notwithstanding the Corporate Transaction.</w:t>
      </w:r>
    </w:p>
    <w:p>
      <w:pPr>
        <w:spacing w:after="0" w:line="53" w:lineRule="exact"/>
        <w:rPr>
          <w:rFonts w:ascii="Arial" w:cs="Arial" w:eastAsia="Arial" w:hAnsi="Arial"/>
          <w:sz w:val="16"/>
          <w:szCs w:val="16"/>
          <w:b w:val="1"/>
          <w:bCs w:val="1"/>
          <w:color w:val="auto"/>
        </w:rPr>
      </w:pPr>
    </w:p>
    <w:p>
      <w:pPr>
        <w:ind w:left="-8" w:firstLine="921"/>
        <w:spacing w:after="0" w:line="258" w:lineRule="auto"/>
        <w:tabs>
          <w:tab w:leader="none" w:pos="1210" w:val="left"/>
        </w:tabs>
        <w:numPr>
          <w:ilvl w:val="2"/>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Stock Awards in Lieu of Exercise</w:t>
      </w:r>
      <w:r>
        <w:rPr>
          <w:rFonts w:ascii="Arial" w:cs="Arial" w:eastAsia="Arial" w:hAnsi="Arial"/>
          <w:sz w:val="18"/>
          <w:szCs w:val="18"/>
          <w:color w:val="auto"/>
        </w:rPr>
        <w:t>. Notwithstanding the foregoing, in the event a Stock Award will terminate if not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Stock Award would have received upon the exercise of the Stock Award, over (ii) any exercise price payable by such holder in connection with such exercise.</w:t>
      </w:r>
    </w:p>
    <w:p>
      <w:pPr>
        <w:spacing w:after="0" w:line="75" w:lineRule="exact"/>
        <w:rPr>
          <w:rFonts w:ascii="Arial" w:cs="Arial" w:eastAsia="Arial" w:hAnsi="Arial"/>
          <w:sz w:val="18"/>
          <w:szCs w:val="18"/>
          <w:b w:val="1"/>
          <w:bCs w:val="1"/>
          <w:color w:val="auto"/>
        </w:rPr>
      </w:pPr>
    </w:p>
    <w:p>
      <w:pPr>
        <w:jc w:val="both"/>
        <w:ind w:left="-8" w:right="40" w:firstLine="464"/>
        <w:spacing w:after="0" w:line="287" w:lineRule="auto"/>
        <w:tabs>
          <w:tab w:leader="none" w:pos="713" w:val="left"/>
        </w:tabs>
        <w:numPr>
          <w:ilvl w:val="1"/>
          <w:numId w:val="272"/>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A Stock Award may be subject to additional acceleration of vesting and exercisability upon or after a Change in Control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provided in the Stock Award Agreement for such Stock Award or as may be provided in any other written agreement between the Company or any Affiliate and the Participant. A Stock Award may vest as to all or any portion of the shares subject to the Stock Award (i) immediately upon the occurrence of a Change in Control, whether or not such Stock Award is assumed, continued, or substituted by a surviving or acquiring entity in the Change in Control, or</w:t>
      </w:r>
    </w:p>
    <w:p>
      <w:pPr>
        <w:spacing w:after="0" w:line="2" w:lineRule="exact"/>
        <w:rPr>
          <w:rFonts w:ascii="Arial" w:cs="Arial" w:eastAsia="Arial" w:hAnsi="Arial"/>
          <w:sz w:val="16"/>
          <w:szCs w:val="16"/>
          <w:b w:val="1"/>
          <w:bCs w:val="1"/>
          <w:color w:val="auto"/>
        </w:rPr>
      </w:pPr>
    </w:p>
    <w:p>
      <w:pPr>
        <w:ind w:left="-8" w:right="120" w:firstLine="8"/>
        <w:spacing w:after="0" w:line="261" w:lineRule="auto"/>
        <w:tabs>
          <w:tab w:leader="none" w:pos="25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event a Participant’s Continuous Service is terminated, actually or constructively, within a designated period following the occurrence of a Change in Control. In the absence of such provisions, no such acceleration shall occur.</w:t>
      </w:r>
    </w:p>
    <w:p>
      <w:pPr>
        <w:spacing w:after="0" w:line="207" w:lineRule="exact"/>
        <w:rPr>
          <w:sz w:val="20"/>
          <w:szCs w:val="20"/>
          <w:color w:val="auto"/>
        </w:rPr>
      </w:pPr>
    </w:p>
    <w:p>
      <w:pPr>
        <w:ind w:left="452" w:hanging="452"/>
        <w:spacing w:after="0"/>
        <w:tabs>
          <w:tab w:leader="none" w:pos="452"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AND STOCK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40" w:firstLine="464"/>
        <w:spacing w:after="0" w:line="266" w:lineRule="auto"/>
        <w:tabs>
          <w:tab w:leader="none" w:pos="703"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Subject to the limitations, if any, of applicable law, the Board at any time, and from time to time, may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except as provided in Section 10(a) relating to Capitalization Adjustments, no amendment shall be effective unless approved by the stockholders of the Company to the extent stockholder approval is necessary to satisfy applicable law.</w:t>
      </w:r>
    </w:p>
    <w:p>
      <w:pPr>
        <w:spacing w:after="0" w:line="68" w:lineRule="exact"/>
        <w:rPr>
          <w:rFonts w:ascii="Arial" w:cs="Arial" w:eastAsia="Arial" w:hAnsi="Arial"/>
          <w:sz w:val="18"/>
          <w:szCs w:val="18"/>
          <w:b w:val="1"/>
          <w:bCs w:val="1"/>
          <w:color w:val="auto"/>
        </w:rPr>
      </w:pPr>
    </w:p>
    <w:p>
      <w:pPr>
        <w:ind w:left="712" w:hanging="256"/>
        <w:spacing w:after="0"/>
        <w:tabs>
          <w:tab w:leader="none" w:pos="712"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The Board, in its sole discretion, may submit any other amendment to the Plan for stockholder approval.</w:t>
      </w:r>
    </w:p>
    <w:p>
      <w:pPr>
        <w:spacing w:after="0" w:line="117" w:lineRule="exact"/>
        <w:rPr>
          <w:rFonts w:ascii="Arial" w:cs="Arial" w:eastAsia="Arial" w:hAnsi="Arial"/>
          <w:sz w:val="18"/>
          <w:szCs w:val="18"/>
          <w:b w:val="1"/>
          <w:bCs w:val="1"/>
          <w:color w:val="auto"/>
        </w:rPr>
      </w:pPr>
    </w:p>
    <w:p>
      <w:pPr>
        <w:ind w:left="-8" w:right="620" w:firstLine="464"/>
        <w:spacing w:after="0" w:line="261" w:lineRule="auto"/>
        <w:tabs>
          <w:tab w:leader="none" w:pos="693"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71" w:lineRule="exact"/>
        <w:rPr>
          <w:rFonts w:ascii="Arial" w:cs="Arial" w:eastAsia="Arial" w:hAnsi="Arial"/>
          <w:sz w:val="18"/>
          <w:szCs w:val="18"/>
          <w:b w:val="1"/>
          <w:bCs w:val="1"/>
          <w:color w:val="auto"/>
        </w:rPr>
      </w:pPr>
    </w:p>
    <w:p>
      <w:pPr>
        <w:ind w:left="-8" w:right="200" w:firstLine="464"/>
        <w:spacing w:after="0" w:line="282" w:lineRule="auto"/>
        <w:tabs>
          <w:tab w:leader="none" w:pos="713"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Rights under any Stock Award granted before amendment of the Plan shall not be impaired by any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unless (i) the Company requests the consent of the affected Participant, and (ii) such Participant consents in writing.</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69" w:right="259" w:bottom="1440" w:gutter="0" w:footer="0" w:header="0"/>
        </w:sectPr>
      </w:pPr>
    </w:p>
    <w:bookmarkStart w:id="318" w:name="page319"/>
    <w:bookmarkEnd w:id="318"/>
    <w:p>
      <w:pPr>
        <w:ind w:right="100" w:firstLine="464"/>
        <w:spacing w:after="0" w:line="266" w:lineRule="auto"/>
        <w:tabs>
          <w:tab w:leader="none" w:pos="701"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Stock Awards</w:t>
      </w:r>
      <w:r>
        <w:rPr>
          <w:rFonts w:ascii="Arial" w:cs="Arial" w:eastAsia="Arial" w:hAnsi="Arial"/>
          <w:sz w:val="18"/>
          <w:szCs w:val="18"/>
          <w:color w:val="auto"/>
        </w:rPr>
        <w:t>. The Board, at any time and from time to time, may amend the terms of any one or more Stock Awards;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rights under any Stock Award shall not be impaired by any such amendment unless (i) the Company requests the consent of the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(ii) such Participant consents in writing.</w:t>
      </w:r>
    </w:p>
    <w:p>
      <w:pPr>
        <w:spacing w:after="0" w:line="203" w:lineRule="exact"/>
        <w:rPr>
          <w:rFonts w:ascii="Arial" w:cs="Arial" w:eastAsia="Arial" w:hAnsi="Arial"/>
          <w:sz w:val="18"/>
          <w:szCs w:val="18"/>
          <w:b w:val="1"/>
          <w:bCs w:val="1"/>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SUSPENSION OF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60" w:firstLine="464"/>
        <w:spacing w:after="0" w:line="289" w:lineRule="auto"/>
        <w:tabs>
          <w:tab w:leader="none" w:pos="711"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Plan Term</w:t>
      </w:r>
      <w:r>
        <w:rPr>
          <w:rFonts w:ascii="Arial" w:cs="Arial" w:eastAsia="Arial" w:hAnsi="Arial"/>
          <w:sz w:val="17"/>
          <w:szCs w:val="17"/>
          <w:color w:val="auto"/>
        </w:rPr>
        <w:t>. The Board may suspend or terminate the Plan at any time. Unless sooner terminated, the Plan shall terminate on the day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tenth (10th) anniversary of the earlier of the date the Plan, as amended and restated, is (i) adopted by the Board, or (ii) approved by the stockholders of the Company. No Stock Awards may be granted under the Plan while the Plan is suspended or after it is terminated.</w:t>
      </w:r>
    </w:p>
    <w:p>
      <w:pPr>
        <w:spacing w:after="0" w:line="50" w:lineRule="exact"/>
        <w:rPr>
          <w:rFonts w:ascii="Arial" w:cs="Arial" w:eastAsia="Arial" w:hAnsi="Arial"/>
          <w:sz w:val="17"/>
          <w:szCs w:val="17"/>
          <w:b w:val="1"/>
          <w:bCs w:val="1"/>
          <w:color w:val="auto"/>
        </w:rPr>
      </w:pPr>
    </w:p>
    <w:p>
      <w:pPr>
        <w:ind w:firstLine="464"/>
        <w:spacing w:after="0" w:line="282" w:lineRule="auto"/>
        <w:tabs>
          <w:tab w:leader="none" w:pos="721"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Stock Award granted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 effect except with the written consent of the affected Participant.</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Prior to expiration of its original ten (10) year term, the Plan was amended and restated by the Board to provide that it shall continue in effect for an additional ten (10) year term. The Plan, as so amended and restated, shall become effective on the date approved by the Board, but no Stock Award shall be exercised (or, in the case of a Restricted Stock Award, shall be granted) unless and until the Plan has been approved by the stockholders of the Company, which approval shall be within twelve (12) months before or after the date the Plan is adopted by the Board.</w:t>
      </w:r>
    </w:p>
    <w:p>
      <w:pPr>
        <w:spacing w:after="0" w:line="194" w:lineRule="exact"/>
        <w:rPr>
          <w:sz w:val="20"/>
          <w:szCs w:val="20"/>
          <w:color w:val="auto"/>
        </w:rPr>
      </w:pPr>
    </w:p>
    <w:p>
      <w:pPr>
        <w:ind w:left="460" w:hanging="452"/>
        <w:spacing w:after="0"/>
        <w:tabs>
          <w:tab w:leader="none" w:pos="4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law of the State of Delaware shall govern all questions concerning the construction, validity and interpretation of this Plan, without regard to that state’s conflict of laws rules.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270" w:right="379" w:bottom="1440" w:gutter="0" w:footer="0" w:header="0"/>
        </w:sectPr>
      </w:pPr>
    </w:p>
    <w:bookmarkStart w:id="319" w:name="page320"/>
    <w:bookmarkEnd w:id="3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EQUITY INCENTIVE PLAN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Stock Option Agreement,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2006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400" w:firstLine="464"/>
        <w:spacing w:after="0" w:line="282" w:lineRule="auto"/>
        <w:tabs>
          <w:tab w:leader="none" w:pos="636"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color w:val="auto"/>
        </w:rPr>
        <w:t>. Subject To The Limitations Contained Herein, Your Option Will Vest As Provided In Your Grant Notice, Provided That Vesting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Upon The Termination Of Your Continuous Service.</w:t>
      </w:r>
    </w:p>
    <w:p>
      <w:pPr>
        <w:spacing w:after="0" w:line="53" w:lineRule="exact"/>
        <w:rPr>
          <w:rFonts w:ascii="Arial" w:cs="Arial" w:eastAsia="Arial" w:hAnsi="Arial"/>
          <w:sz w:val="18"/>
          <w:szCs w:val="18"/>
          <w:b w:val="1"/>
          <w:bCs w:val="1"/>
          <w:color w:val="auto"/>
        </w:rPr>
      </w:pPr>
    </w:p>
    <w:p>
      <w:pPr>
        <w:ind w:right="360" w:firstLine="464"/>
        <w:spacing w:after="0" w:line="282" w:lineRule="auto"/>
        <w:tabs>
          <w:tab w:leader="none" w:pos="636"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color w:val="auto"/>
        </w:rPr>
        <w:t>. 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3" w:lineRule="exact"/>
        <w:rPr>
          <w:rFonts w:ascii="Arial" w:cs="Arial" w:eastAsia="Arial" w:hAnsi="Arial"/>
          <w:sz w:val="18"/>
          <w:szCs w:val="18"/>
          <w:b w:val="1"/>
          <w:bCs w:val="1"/>
          <w:color w:val="auto"/>
        </w:rPr>
      </w:pPr>
    </w:p>
    <w:p>
      <w:pPr>
        <w:ind w:right="240" w:firstLine="464"/>
        <w:spacing w:after="0" w:line="293" w:lineRule="auto"/>
        <w:tabs>
          <w:tab w:leader="none" w:pos="636" w:val="left"/>
        </w:tabs>
        <w:numPr>
          <w:ilvl w:val="1"/>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 FOR</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w:t>
      </w:r>
      <w:r>
        <w:rPr>
          <w:rFonts w:ascii="Arial" w:cs="Arial" w:eastAsia="Arial" w:hAnsi="Arial"/>
          <w:sz w:val="16"/>
          <w:szCs w:val="16"/>
          <w:b w:val="1"/>
          <w:bCs w:val="1"/>
          <w:color w:val="auto"/>
        </w:rPr>
        <w:t>-E</w:t>
      </w:r>
      <w:r>
        <w:rPr>
          <w:rFonts w:ascii="Arial" w:cs="Arial" w:eastAsia="Arial" w:hAnsi="Arial"/>
          <w:sz w:val="13"/>
          <w:szCs w:val="13"/>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MPLOYEES</w:t>
      </w:r>
      <w:r>
        <w:rPr>
          <w:rFonts w:ascii="Arial" w:cs="Arial" w:eastAsia="Arial" w:hAnsi="Arial"/>
          <w:sz w:val="16"/>
          <w:szCs w:val="16"/>
          <w:color w:val="auto"/>
        </w:rPr>
        <w:t>. In the event that you are an Employee eligible for overtime compensation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Labor Standards Act of 1938, as amended ( i.e., a “Non-Exempt Employee”), you may not exercise your option until you have completed at least six</w:t>
      </w:r>
    </w:p>
    <w:p>
      <w:pPr>
        <w:spacing w:after="0" w:line="1" w:lineRule="exact"/>
        <w:rPr>
          <w:rFonts w:ascii="Arial" w:cs="Arial" w:eastAsia="Arial" w:hAnsi="Arial"/>
          <w:sz w:val="16"/>
          <w:szCs w:val="16"/>
          <w:b w:val="1"/>
          <w:bCs w:val="1"/>
          <w:color w:val="auto"/>
        </w:rPr>
      </w:pPr>
    </w:p>
    <w:p>
      <w:pPr>
        <w:ind w:left="260" w:hanging="252"/>
        <w:spacing w:after="0"/>
        <w:tabs>
          <w:tab w:leader="none" w:pos="2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months of Continuous Service measured from the Date of Grant specified in your Grant Notice, notwithstanding any other provision of your option.</w:t>
      </w:r>
    </w:p>
    <w:p>
      <w:pPr>
        <w:spacing w:after="0" w:line="110" w:lineRule="exact"/>
        <w:rPr>
          <w:rFonts w:ascii="Arial" w:cs="Arial" w:eastAsia="Arial" w:hAnsi="Arial"/>
          <w:sz w:val="17"/>
          <w:szCs w:val="17"/>
          <w:color w:val="auto"/>
        </w:rPr>
      </w:pPr>
    </w:p>
    <w:p>
      <w:pPr>
        <w:ind w:right="280" w:firstLine="464"/>
        <w:spacing w:after="0" w:line="261" w:lineRule="auto"/>
        <w:tabs>
          <w:tab w:leader="none" w:pos="636" w:val="left"/>
        </w:tabs>
        <w:numPr>
          <w:ilvl w:val="1"/>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RIOR TO</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w:t>
      </w:r>
      <w:r>
        <w:rPr>
          <w:rFonts w:ascii="Arial" w:cs="Arial" w:eastAsia="Arial" w:hAnsi="Arial"/>
          <w:sz w:val="18"/>
          <w:szCs w:val="18"/>
          <w:color w:val="auto"/>
        </w:rPr>
        <w:t>. If permitted in your Grant Notice (i.e., the “</w:t>
      </w:r>
      <w:r>
        <w:rPr>
          <w:rFonts w:ascii="Arial" w:cs="Arial" w:eastAsia="Arial" w:hAnsi="Arial"/>
          <w:sz w:val="18"/>
          <w:szCs w:val="18"/>
          <w:b w:val="1"/>
          <w:bCs w:val="1"/>
          <w:color w:val="auto"/>
        </w:rPr>
        <w:t>Exercise Schedule</w:t>
      </w:r>
      <w:r>
        <w:rPr>
          <w:rFonts w:ascii="Arial" w:cs="Arial" w:eastAsia="Arial" w:hAnsi="Arial"/>
          <w:sz w:val="18"/>
          <w:szCs w:val="18"/>
          <w:color w:val="auto"/>
        </w:rPr>
        <w:t>” indicates that “</w:t>
      </w:r>
      <w:r>
        <w:rPr>
          <w:rFonts w:ascii="Arial" w:cs="Arial" w:eastAsia="Arial" w:hAnsi="Arial"/>
          <w:sz w:val="18"/>
          <w:szCs w:val="18"/>
          <w:b w:val="1"/>
          <w:bCs w:val="1"/>
          <w:color w:val="auto"/>
        </w:rPr>
        <w:t>Early Exercise</w:t>
      </w:r>
      <w:r>
        <w:rPr>
          <w:rFonts w:ascii="Arial" w:cs="Arial" w:eastAsia="Arial" w:hAnsi="Arial"/>
          <w:sz w:val="18"/>
          <w:szCs w:val="18"/>
          <w:color w:val="auto"/>
        </w:rPr>
        <w:t>” of your option is permitted) and subject to the provisions of your option, you may elect at any time that is both (i) during the period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Continuous Service and (ii) during the term of your option, to exercise all or part of your option, including the nonvested portion of your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75" w:lineRule="exact"/>
        <w:rPr>
          <w:rFonts w:ascii="Arial" w:cs="Arial" w:eastAsia="Arial" w:hAnsi="Arial"/>
          <w:sz w:val="18"/>
          <w:szCs w:val="18"/>
          <w:b w:val="1"/>
          <w:bCs w:val="1"/>
          <w:color w:val="auto"/>
        </w:rPr>
      </w:pPr>
    </w:p>
    <w:p>
      <w:pPr>
        <w:ind w:right="300" w:firstLine="921"/>
        <w:spacing w:after="0" w:line="277" w:lineRule="auto"/>
        <w:tabs>
          <w:tab w:leader="none" w:pos="1168"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2" w:lineRule="exact"/>
        <w:rPr>
          <w:rFonts w:ascii="Arial" w:cs="Arial" w:eastAsia="Arial" w:hAnsi="Arial"/>
          <w:sz w:val="18"/>
          <w:szCs w:val="18"/>
          <w:b w:val="1"/>
          <w:bCs w:val="1"/>
          <w:color w:val="auto"/>
        </w:rPr>
      </w:pPr>
    </w:p>
    <w:p>
      <w:pPr>
        <w:ind w:right="200" w:firstLine="921"/>
        <w:spacing w:after="0" w:line="277" w:lineRule="auto"/>
        <w:tabs>
          <w:tab w:leader="none" w:pos="1178"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62" w:lineRule="exact"/>
        <w:rPr>
          <w:rFonts w:ascii="Arial" w:cs="Arial" w:eastAsia="Arial" w:hAnsi="Arial"/>
          <w:sz w:val="18"/>
          <w:szCs w:val="18"/>
          <w:b w:val="1"/>
          <w:bCs w:val="1"/>
          <w:color w:val="auto"/>
        </w:rPr>
      </w:pPr>
    </w:p>
    <w:p>
      <w:pPr>
        <w:ind w:right="360" w:firstLine="921"/>
        <w:spacing w:after="0" w:line="277" w:lineRule="auto"/>
        <w:tabs>
          <w:tab w:leader="none" w:pos="1158"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62" w:lineRule="exact"/>
        <w:rPr>
          <w:rFonts w:ascii="Arial" w:cs="Arial" w:eastAsia="Arial" w:hAnsi="Arial"/>
          <w:sz w:val="18"/>
          <w:szCs w:val="18"/>
          <w:b w:val="1"/>
          <w:bCs w:val="1"/>
          <w:color w:val="auto"/>
        </w:rPr>
      </w:pPr>
    </w:p>
    <w:p>
      <w:pPr>
        <w:jc w:val="both"/>
        <w:ind w:right="20" w:firstLine="921"/>
        <w:spacing w:after="0" w:line="279" w:lineRule="auto"/>
        <w:tabs>
          <w:tab w:leader="none" w:pos="1178"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20" w:name="page321"/>
    <w:bookmarkEnd w:id="320"/>
    <w:p>
      <w:pPr>
        <w:ind w:left="-8" w:right="40" w:firstLine="464"/>
        <w:spacing w:after="0" w:line="282" w:lineRule="auto"/>
        <w:tabs>
          <w:tab w:leader="none" w:pos="628"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Arial" w:cs="Arial" w:eastAsia="Arial" w:hAnsi="Arial"/>
          <w:sz w:val="15"/>
          <w:szCs w:val="15"/>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color w:val="auto"/>
        </w:rPr>
        <w:t>. Payment of the exercise price is due in full upon exercise all or any part of your option. You may elect to make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in cash or by check or in any other manner, which may include one or more of the following:</w:t>
      </w:r>
    </w:p>
    <w:p>
      <w:pPr>
        <w:spacing w:after="0" w:line="57" w:lineRule="exact"/>
        <w:rPr>
          <w:rFonts w:ascii="Arial" w:cs="Arial" w:eastAsia="Arial" w:hAnsi="Arial"/>
          <w:sz w:val="18"/>
          <w:szCs w:val="18"/>
          <w:b w:val="1"/>
          <w:bCs w:val="1"/>
          <w:color w:val="auto"/>
        </w:rPr>
      </w:pPr>
    </w:p>
    <w:p>
      <w:pPr>
        <w:ind w:left="-8" w:firstLine="921"/>
        <w:spacing w:after="0" w:line="312" w:lineRule="auto"/>
        <w:tabs>
          <w:tab w:leader="none" w:pos="1160" w:val="left"/>
        </w:tabs>
        <w:numPr>
          <w:ilvl w:val="2"/>
          <w:numId w:val="280"/>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38" w:lineRule="exact"/>
        <w:rPr>
          <w:rFonts w:ascii="Arial" w:cs="Arial" w:eastAsia="Arial" w:hAnsi="Arial"/>
          <w:sz w:val="16"/>
          <w:szCs w:val="16"/>
          <w:b w:val="1"/>
          <w:bCs w:val="1"/>
          <w:color w:val="auto"/>
        </w:rPr>
      </w:pPr>
    </w:p>
    <w:p>
      <w:pPr>
        <w:ind w:left="-8" w:right="40" w:firstLine="921"/>
        <w:spacing w:after="0" w:line="291" w:lineRule="auto"/>
        <w:tabs>
          <w:tab w:leader="none" w:pos="1170" w:val="left"/>
        </w:tabs>
        <w:numPr>
          <w:ilvl w:val="2"/>
          <w:numId w:val="280"/>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by delivery of already-owned shares of Common Stock either that you have held for the period required to avoid a charge to the Company’s reported earnings (generally six</w:t>
      </w:r>
    </w:p>
    <w:p>
      <w:pPr>
        <w:ind w:left="-8" w:firstLine="8"/>
        <w:spacing w:after="0" w:line="271" w:lineRule="auto"/>
        <w:tabs>
          <w:tab w:leader="none" w:pos="24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74" w:lineRule="exact"/>
        <w:rPr>
          <w:rFonts w:ascii="Arial" w:cs="Arial" w:eastAsia="Arial" w:hAnsi="Arial"/>
          <w:sz w:val="17"/>
          <w:szCs w:val="17"/>
          <w:color w:val="auto"/>
        </w:rPr>
      </w:pPr>
    </w:p>
    <w:p>
      <w:pPr>
        <w:ind w:left="632" w:hanging="176"/>
        <w:spacing w:after="0"/>
        <w:tabs>
          <w:tab w:leader="none" w:pos="632"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color w:val="auto"/>
        </w:rPr>
        <w:t>. You may exercise your option only for whole shares of Common Stock.</w:t>
      </w:r>
    </w:p>
    <w:p>
      <w:pPr>
        <w:spacing w:after="0" w:line="225" w:lineRule="exact"/>
        <w:rPr>
          <w:rFonts w:ascii="Arial" w:cs="Arial" w:eastAsia="Arial" w:hAnsi="Arial"/>
          <w:sz w:val="18"/>
          <w:szCs w:val="18"/>
          <w:b w:val="1"/>
          <w:bCs w:val="1"/>
          <w:color w:val="auto"/>
        </w:rPr>
      </w:pPr>
    </w:p>
    <w:p>
      <w:pPr>
        <w:ind w:left="-8" w:right="60" w:firstLine="464"/>
        <w:spacing w:after="0" w:line="277" w:lineRule="auto"/>
        <w:tabs>
          <w:tab w:leader="none" w:pos="628"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7"/>
          <w:szCs w:val="17"/>
          <w:color w:val="auto"/>
        </w:rPr>
        <w:t>. Notwithstanding anything to the contrary contained herein, you may not exercise your option unless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68" w:lineRule="exact"/>
        <w:rPr>
          <w:rFonts w:ascii="Arial" w:cs="Arial" w:eastAsia="Arial" w:hAnsi="Arial"/>
          <w:sz w:val="17"/>
          <w:szCs w:val="17"/>
          <w:b w:val="1"/>
          <w:bCs w:val="1"/>
          <w:color w:val="auto"/>
        </w:rPr>
      </w:pPr>
    </w:p>
    <w:p>
      <w:pPr>
        <w:ind w:left="-8" w:right="220" w:firstLine="464"/>
        <w:spacing w:after="0" w:line="282" w:lineRule="auto"/>
        <w:tabs>
          <w:tab w:leader="none" w:pos="628"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w:t>
      </w:r>
      <w:r>
        <w:rPr>
          <w:rFonts w:ascii="Arial" w:cs="Arial" w:eastAsia="Arial" w:hAnsi="Arial"/>
          <w:sz w:val="18"/>
          <w:szCs w:val="18"/>
          <w:color w:val="auto"/>
        </w:rPr>
        <w:t>. You may not exercise your option before the commencement or after the expiration of its term. The term of your option commences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expires upon the earliest of the following:</w:t>
      </w:r>
    </w:p>
    <w:p>
      <w:pPr>
        <w:spacing w:after="0" w:line="57" w:lineRule="exact"/>
        <w:rPr>
          <w:rFonts w:ascii="Arial" w:cs="Arial" w:eastAsia="Arial" w:hAnsi="Arial"/>
          <w:sz w:val="18"/>
          <w:szCs w:val="18"/>
          <w:b w:val="1"/>
          <w:bCs w:val="1"/>
          <w:color w:val="auto"/>
        </w:rPr>
      </w:pPr>
    </w:p>
    <w:p>
      <w:pPr>
        <w:jc w:val="both"/>
        <w:ind w:left="-8" w:right="120" w:firstLine="921"/>
        <w:spacing w:after="0" w:line="259" w:lineRule="auto"/>
        <w:tabs>
          <w:tab w:leader="none" w:pos="1160" w:val="left"/>
        </w:tabs>
        <w:numPr>
          <w:ilvl w:val="2"/>
          <w:numId w:val="281"/>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your Disability or death, provided that if during any part of such three (3) month period your option is not exercisable solely because of the condition set forth in Section 7, your option shall not expire until the earlier of the Expiration Date or until it shall have been exercisable for an aggregate period of three (3) months after the termination of your Continuous Service;</w:t>
      </w:r>
    </w:p>
    <w:p>
      <w:pPr>
        <w:spacing w:after="0" w:line="78" w:lineRule="exact"/>
        <w:rPr>
          <w:rFonts w:ascii="Arial" w:cs="Arial" w:eastAsia="Arial" w:hAnsi="Arial"/>
          <w:sz w:val="18"/>
          <w:szCs w:val="18"/>
          <w:b w:val="1"/>
          <w:bCs w:val="1"/>
          <w:color w:val="auto"/>
        </w:rPr>
      </w:pPr>
    </w:p>
    <w:p>
      <w:pPr>
        <w:ind w:left="1172" w:hanging="259"/>
        <w:spacing w:after="0"/>
        <w:tabs>
          <w:tab w:leader="none" w:pos="1172" w:val="left"/>
        </w:tabs>
        <w:numPr>
          <w:ilvl w:val="2"/>
          <w:numId w:val="281"/>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your Continuous Service due to your Disability;</w:t>
      </w:r>
    </w:p>
    <w:p>
      <w:pPr>
        <w:spacing w:after="0" w:line="117" w:lineRule="exact"/>
        <w:rPr>
          <w:rFonts w:ascii="Arial" w:cs="Arial" w:eastAsia="Arial" w:hAnsi="Arial"/>
          <w:sz w:val="18"/>
          <w:szCs w:val="18"/>
          <w:b w:val="1"/>
          <w:bCs w:val="1"/>
          <w:color w:val="auto"/>
        </w:rPr>
      </w:pPr>
    </w:p>
    <w:p>
      <w:pPr>
        <w:ind w:left="-8" w:right="420" w:firstLine="921"/>
        <w:spacing w:after="0" w:line="277" w:lineRule="auto"/>
        <w:tabs>
          <w:tab w:leader="none" w:pos="1150" w:val="left"/>
        </w:tabs>
        <w:numPr>
          <w:ilvl w:val="2"/>
          <w:numId w:val="281"/>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w:t>
      </w:r>
    </w:p>
    <w:p>
      <w:pPr>
        <w:spacing w:after="0" w:line="62" w:lineRule="exact"/>
        <w:rPr>
          <w:rFonts w:ascii="Arial" w:cs="Arial" w:eastAsia="Arial" w:hAnsi="Arial"/>
          <w:sz w:val="18"/>
          <w:szCs w:val="18"/>
          <w:b w:val="1"/>
          <w:bCs w:val="1"/>
          <w:color w:val="auto"/>
        </w:rPr>
      </w:pPr>
    </w:p>
    <w:p>
      <w:pPr>
        <w:ind w:left="1172" w:hanging="259"/>
        <w:spacing w:after="0"/>
        <w:tabs>
          <w:tab w:leader="none" w:pos="1172" w:val="left"/>
        </w:tabs>
        <w:numPr>
          <w:ilvl w:val="2"/>
          <w:numId w:val="281"/>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152" w:hanging="239"/>
        <w:spacing w:after="0"/>
        <w:tabs>
          <w:tab w:leader="none" w:pos="1152" w:val="left"/>
        </w:tabs>
        <w:numPr>
          <w:ilvl w:val="2"/>
          <w:numId w:val="281"/>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0" w:right="259" w:bottom="1440" w:gutter="0" w:footer="0" w:header="0"/>
        </w:sectPr>
      </w:pPr>
    </w:p>
    <w:bookmarkStart w:id="321" w:name="page322"/>
    <w:bookmarkEnd w:id="321"/>
    <w:p>
      <w:pPr>
        <w:ind w:right="1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your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1" w:lineRule="exact"/>
        <w:rPr>
          <w:sz w:val="20"/>
          <w:szCs w:val="20"/>
          <w:color w:val="auto"/>
        </w:rPr>
      </w:pPr>
    </w:p>
    <w:p>
      <w:pPr>
        <w:ind w:left="640" w:hanging="176"/>
        <w:spacing w:after="0"/>
        <w:tabs>
          <w:tab w:leader="none" w:pos="640"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right="140" w:firstLine="921"/>
        <w:spacing w:after="0" w:line="312" w:lineRule="auto"/>
        <w:tabs>
          <w:tab w:leader="none" w:pos="1168" w:val="left"/>
        </w:tabs>
        <w:numPr>
          <w:ilvl w:val="2"/>
          <w:numId w:val="282"/>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38"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2"/>
          <w:numId w:val="282"/>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78" w:lineRule="exact"/>
        <w:rPr>
          <w:rFonts w:ascii="Arial" w:cs="Arial" w:eastAsia="Arial" w:hAnsi="Arial"/>
          <w:sz w:val="18"/>
          <w:szCs w:val="18"/>
          <w:b w:val="1"/>
          <w:bCs w:val="1"/>
          <w:color w:val="auto"/>
        </w:rPr>
      </w:pPr>
    </w:p>
    <w:p>
      <w:pPr>
        <w:ind w:left="1160" w:hanging="239"/>
        <w:spacing w:after="0"/>
        <w:tabs>
          <w:tab w:leader="none" w:pos="1160" w:val="left"/>
        </w:tabs>
        <w:numPr>
          <w:ilvl w:val="2"/>
          <w:numId w:val="282"/>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right="20" w:firstLine="8"/>
        <w:spacing w:after="0" w:line="290" w:lineRule="auto"/>
        <w:tabs>
          <w:tab w:leader="none" w:pos="34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53" w:lineRule="exact"/>
        <w:rPr>
          <w:rFonts w:ascii="Arial" w:cs="Arial" w:eastAsia="Arial" w:hAnsi="Arial"/>
          <w:sz w:val="17"/>
          <w:szCs w:val="17"/>
          <w:color w:val="auto"/>
        </w:rPr>
      </w:pPr>
    </w:p>
    <w:p>
      <w:pPr>
        <w:ind w:firstLine="921"/>
        <w:spacing w:after="0" w:line="288" w:lineRule="auto"/>
        <w:tabs>
          <w:tab w:leader="none" w:pos="1178" w:val="left"/>
        </w:tabs>
        <w:numPr>
          <w:ilvl w:val="2"/>
          <w:numId w:val="283"/>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6"/>
          <w:szCs w:val="16"/>
          <w:b w:val="1"/>
          <w:bCs w:val="1"/>
          <w:i w:val="1"/>
          <w:iCs w:val="1"/>
          <w:color w:val="auto"/>
        </w:rPr>
        <w:t>Lock 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shall prevent the exercise of a repurchase option, if any, in favor of the Company during the Lock 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65" w:lineRule="exact"/>
        <w:rPr>
          <w:rFonts w:ascii="Arial" w:cs="Arial" w:eastAsia="Arial" w:hAnsi="Arial"/>
          <w:sz w:val="16"/>
          <w:szCs w:val="16"/>
          <w:b w:val="1"/>
          <w:bCs w:val="1"/>
          <w:color w:val="auto"/>
        </w:rPr>
      </w:pPr>
    </w:p>
    <w:p>
      <w:pPr>
        <w:ind w:left="740" w:hanging="276"/>
        <w:spacing w:after="0"/>
        <w:tabs>
          <w:tab w:leader="none" w:pos="740" w:val="left"/>
        </w:tabs>
        <w:numPr>
          <w:ilvl w:val="1"/>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RANSFERABILITY</w:t>
      </w:r>
      <w:r>
        <w:rPr>
          <w:rFonts w:ascii="Arial" w:cs="Arial" w:eastAsia="Arial" w:hAnsi="Arial"/>
          <w:sz w:val="17"/>
          <w:szCs w:val="17"/>
          <w:color w:val="auto"/>
        </w:rPr>
        <w:t>. Your option is not transferable, except by will or by the laws of descent and distribution, and is exercisable during your life</w:t>
      </w:r>
    </w:p>
    <w:p>
      <w:pPr>
        <w:spacing w:after="0" w:line="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only by you. Notwithstanding the foregoing, by delivering written notice to the Company, in a form satisfactory to the Company, you may designate a third party who, in the event of your death, shall thereafter be entitled to exercise your option.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22" w:name="page323"/>
    <w:bookmarkEnd w:id="322"/>
    <w:p>
      <w:pPr>
        <w:ind w:left="712" w:hanging="256"/>
        <w:spacing w:after="0"/>
        <w:tabs>
          <w:tab w:leader="none" w:pos="712"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HANGE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8" w:right="120" w:firstLine="921"/>
        <w:spacing w:after="0" w:line="259" w:lineRule="auto"/>
        <w:tabs>
          <w:tab w:leader="none" w:pos="1160" w:val="left"/>
        </w:tabs>
        <w:numPr>
          <w:ilvl w:val="2"/>
          <w:numId w:val="284"/>
        </w:numPr>
        <w:rPr>
          <w:rFonts w:ascii="Arial" w:cs="Arial" w:eastAsia="Arial" w:hAnsi="Arial"/>
          <w:sz w:val="18"/>
          <w:szCs w:val="18"/>
          <w:b w:val="1"/>
          <w:bCs w:val="1"/>
          <w:color w:val="auto"/>
        </w:rPr>
      </w:pPr>
      <w:r>
        <w:rPr>
          <w:rFonts w:ascii="Arial" w:cs="Arial" w:eastAsia="Arial" w:hAnsi="Arial"/>
          <w:sz w:val="18"/>
          <w:szCs w:val="18"/>
          <w:color w:val="auto"/>
        </w:rPr>
        <w:t>If a Change in Control occurs and within thirteen (13) months after the effective time of such Change in Control your Continuous Service terminates due to an involuntary termination of your employment (not including death or Disability) without Cause (as defined below) or due to a voluntary termination by you with Good Reason (as defined below), then, as of the date of termination of Continuous Service, the vesting and exercisability of your option shall be accelerated in full.</w:t>
      </w:r>
    </w:p>
    <w:p>
      <w:pPr>
        <w:spacing w:after="0" w:line="78" w:lineRule="exact"/>
        <w:rPr>
          <w:rFonts w:ascii="Arial" w:cs="Arial" w:eastAsia="Arial" w:hAnsi="Arial"/>
          <w:sz w:val="18"/>
          <w:szCs w:val="18"/>
          <w:b w:val="1"/>
          <w:bCs w:val="1"/>
          <w:color w:val="auto"/>
        </w:rPr>
      </w:pPr>
    </w:p>
    <w:p>
      <w:pPr>
        <w:ind w:left="-8" w:right="100" w:firstLine="921"/>
        <w:spacing w:after="0" w:line="255" w:lineRule="auto"/>
        <w:tabs>
          <w:tab w:leader="none" w:pos="1170" w:val="left"/>
        </w:tabs>
        <w:numPr>
          <w:ilvl w:val="2"/>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occurrence of any one or more of the following: (i) your commission of any crime involving fraud, dishonesty or moral turpitude; (ii) your attempted commission of or participation in a fraud or act of dishonesty against the Company that results in (or might have reasonably resulted in) material harm to the business of the Company; (iii) your intentional, material violation of any contract or agreement between you and the Company or any statutory duty you owe to the Company; or (iv) your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action or conduct described in clauses (iii) and (iv) above will constitute “Cause” only if such action or conduct continues after the Company has provided you with written notice thereof and thirty (30) days to cure the same.</w:t>
      </w:r>
    </w:p>
    <w:p>
      <w:pPr>
        <w:spacing w:after="0" w:line="81" w:lineRule="exact"/>
        <w:rPr>
          <w:rFonts w:ascii="Arial" w:cs="Arial" w:eastAsia="Arial" w:hAnsi="Arial"/>
          <w:sz w:val="18"/>
          <w:szCs w:val="18"/>
          <w:b w:val="1"/>
          <w:bCs w:val="1"/>
          <w:color w:val="auto"/>
        </w:rPr>
      </w:pPr>
    </w:p>
    <w:p>
      <w:pPr>
        <w:ind w:left="-8" w:right="20" w:firstLine="921"/>
        <w:spacing w:after="0" w:line="270" w:lineRule="auto"/>
        <w:tabs>
          <w:tab w:leader="none" w:pos="1150" w:val="left"/>
        </w:tabs>
        <w:numPr>
          <w:ilvl w:val="2"/>
          <w:numId w:val="28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xml:space="preserve">” shall mean any of the following actions taken without Cause by the Company or a successor corporation or entity without your consent: (i) the assignment to you of any duties or responsibilities that results in a material diminution in your function as in effect immediately prior to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change in your title or reporting relationships shall not provide the basis for a voluntary termination with Good Reason; (ii) a reduction by the Company in your annual base salary as in effect on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Good Reason shall not be deemed to have occurred in the event of a reduction in your annual base salary that is pursuant to a salary</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program affecting substantially all of the employees of the Company and that does not adversely affect you to a greater extent than other similarly situated employees; or (iii) a relocation of your primary business office to a location more than 50 miles from the location of your primary business office as of the effective date of the Change in Control, except for required travel by you on the Company’s business to an extent substantially consistent with your business travel obligations prior to the effective date of the Change in Control.</w:t>
      </w:r>
    </w:p>
    <w:p>
      <w:pPr>
        <w:spacing w:after="0" w:line="73" w:lineRule="exact"/>
        <w:rPr>
          <w:rFonts w:ascii="Arial" w:cs="Arial" w:eastAsia="Arial" w:hAnsi="Arial"/>
          <w:sz w:val="17"/>
          <w:szCs w:val="17"/>
          <w:b w:val="1"/>
          <w:bCs w:val="1"/>
          <w:color w:val="auto"/>
        </w:rPr>
      </w:pPr>
    </w:p>
    <w:p>
      <w:pPr>
        <w:ind w:left="1172" w:hanging="259"/>
        <w:spacing w:after="0"/>
        <w:tabs>
          <w:tab w:leader="none" w:pos="1172" w:val="left"/>
        </w:tabs>
        <w:numPr>
          <w:ilvl w:val="2"/>
          <w:numId w:val="284"/>
        </w:numPr>
        <w:rPr>
          <w:rFonts w:ascii="Arial" w:cs="Arial" w:eastAsia="Arial" w:hAnsi="Arial"/>
          <w:sz w:val="18"/>
          <w:szCs w:val="18"/>
          <w:b w:val="1"/>
          <w:bCs w:val="1"/>
          <w:color w:val="auto"/>
        </w:rPr>
      </w:pPr>
      <w:r>
        <w:rPr>
          <w:rFonts w:ascii="Arial" w:cs="Arial" w:eastAsia="Arial" w:hAnsi="Arial"/>
          <w:sz w:val="18"/>
          <w:szCs w:val="18"/>
          <w:color w:val="auto"/>
        </w:rPr>
        <w:t>If any payment or benefit you would receive pursuant to a Change in Control from the Company or otherwise (“Payment”) would</w:t>
      </w:r>
    </w:p>
    <w:p>
      <w:pPr>
        <w:spacing w:after="0" w:line="23" w:lineRule="exact"/>
        <w:rPr>
          <w:rFonts w:ascii="Arial" w:cs="Arial" w:eastAsia="Arial" w:hAnsi="Arial"/>
          <w:sz w:val="18"/>
          <w:szCs w:val="18"/>
          <w:b w:val="1"/>
          <w:bCs w:val="1"/>
          <w:color w:val="auto"/>
        </w:rPr>
      </w:pPr>
    </w:p>
    <w:p>
      <w:pPr>
        <w:ind w:left="-8" w:firstLine="8"/>
        <w:spacing w:after="0" w:line="286" w:lineRule="auto"/>
        <w:tabs>
          <w:tab w:leader="none" w:pos="20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constitute a “</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Code, and (ii) but for this sentence, be subject to the excise tax imposed by Section 4999 of the Code (the “Excise Tax”,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w:t>
      </w:r>
      <w:r>
        <w:rPr>
          <w:rFonts w:ascii="Arial" w:cs="Arial" w:eastAsia="Arial" w:hAnsi="Arial"/>
          <w:sz w:val="16"/>
          <w:szCs w:val="16"/>
          <w:b w:val="1"/>
          <w:bCs w:val="1"/>
          <w:i w:val="1"/>
          <w:iCs w:val="1"/>
          <w:color w:val="auto"/>
        </w:rPr>
        <w:t>parachute payments</w:t>
      </w:r>
      <w:r>
        <w:rPr>
          <w:rFonts w:ascii="Arial" w:cs="Arial" w:eastAsia="Arial" w:hAnsi="Arial"/>
          <w:sz w:val="16"/>
          <w:szCs w:val="16"/>
          <w:color w:val="auto"/>
        </w:rPr>
        <w:t>” is necessary so that the Payment equals the Reduced Amount, reduction shall occur in the following order unless you elect in writing a different order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election shall be subject to Company approval if made on or after the effective date of the event that triggers the Payment):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your Stock Awards (i.e., earliest granted Stock Award cancelled last) unless you elect in writing a different order for cancellation.</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69" w:right="299" w:bottom="1440" w:gutter="0" w:footer="0" w:header="0"/>
        </w:sectPr>
      </w:pPr>
    </w:p>
    <w:bookmarkStart w:id="323" w:name="page324"/>
    <w:bookmarkEnd w:id="323"/>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accounting firm engaged to make the determinations hereunder shall provide its calculations, together with detailed supporting documentation, to you and the Company within fifteen (15) calendar days after the date on which your right to a Payment is triggered (if requested at that time by you or the Company) or such other time as requested by you or the Company. If the accounting firm determines that no Excise Tax is payable with respect to a Payment, either before or after the application of the Reduced Amount, it shall furnish you and the Company with an opinion reasonably acceptable to you that no Excise Tax will be imposed with respect to such Payment. Any good faith determinations of the accounting firm made hereunder shall be final, binding and conclusive upon you and the Company.</w:t>
      </w:r>
    </w:p>
    <w:p>
      <w:pPr>
        <w:spacing w:after="0" w:line="189" w:lineRule="exact"/>
        <w:rPr>
          <w:sz w:val="20"/>
          <w:szCs w:val="20"/>
          <w:color w:val="auto"/>
        </w:rPr>
      </w:pPr>
    </w:p>
    <w:p>
      <w:pPr>
        <w:ind w:right="180" w:firstLine="464"/>
        <w:spacing w:after="0" w:line="273" w:lineRule="auto"/>
        <w:tabs>
          <w:tab w:leader="none" w:pos="726"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IGHT</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EFUSAL</w:t>
      </w:r>
      <w:r>
        <w:rPr>
          <w:rFonts w:ascii="Arial" w:cs="Arial" w:eastAsia="Arial" w:hAnsi="Arial"/>
          <w:sz w:val="17"/>
          <w:szCs w:val="17"/>
          <w:color w:val="auto"/>
        </w:rPr>
        <w:t>. 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Listing Date. For purposes of this Agreement, Listing Date shall mean the first date upon which any security of the Company is listed (or approved for listing) upon notice of issuance on a national securities exchange or on the National Market System of the Nasdaq Stock Market (or any successor to that entity).</w:t>
      </w:r>
    </w:p>
    <w:p>
      <w:pPr>
        <w:spacing w:after="0" w:line="172" w:lineRule="exact"/>
        <w:rPr>
          <w:rFonts w:ascii="Arial" w:cs="Arial" w:eastAsia="Arial" w:hAnsi="Arial"/>
          <w:sz w:val="17"/>
          <w:szCs w:val="17"/>
          <w:b w:val="1"/>
          <w:bCs w:val="1"/>
          <w:color w:val="auto"/>
        </w:rPr>
      </w:pPr>
    </w:p>
    <w:p>
      <w:pPr>
        <w:ind w:right="440" w:firstLine="464"/>
        <w:spacing w:after="0" w:line="347" w:lineRule="auto"/>
        <w:tabs>
          <w:tab w:leader="none" w:pos="726"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6"/>
          <w:szCs w:val="16"/>
          <w:color w:val="auto"/>
        </w:rPr>
        <w:t>. 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116" w:lineRule="exact"/>
        <w:rPr>
          <w:rFonts w:ascii="Arial" w:cs="Arial" w:eastAsia="Arial" w:hAnsi="Arial"/>
          <w:sz w:val="16"/>
          <w:szCs w:val="16"/>
          <w:b w:val="1"/>
          <w:bCs w:val="1"/>
          <w:color w:val="auto"/>
        </w:rPr>
      </w:pPr>
    </w:p>
    <w:p>
      <w:pPr>
        <w:ind w:right="40" w:firstLine="464"/>
        <w:spacing w:after="0" w:line="281" w:lineRule="auto"/>
        <w:tabs>
          <w:tab w:leader="none" w:pos="726"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 A</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7"/>
          <w:szCs w:val="17"/>
          <w:color w:val="auto"/>
        </w:rPr>
        <w:t>. Your option is not an employment or service contract, and nothing in your option shall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64" w:lineRule="exact"/>
        <w:rPr>
          <w:rFonts w:ascii="Arial" w:cs="Arial" w:eastAsia="Arial" w:hAnsi="Arial"/>
          <w:sz w:val="17"/>
          <w:szCs w:val="17"/>
          <w:b w:val="1"/>
          <w:bCs w:val="1"/>
          <w:color w:val="auto"/>
        </w:rPr>
      </w:pPr>
    </w:p>
    <w:p>
      <w:pPr>
        <w:ind w:left="740" w:hanging="276"/>
        <w:spacing w:after="0"/>
        <w:tabs>
          <w:tab w:leader="none" w:pos="7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921"/>
        <w:spacing w:after="0" w:line="257" w:lineRule="auto"/>
        <w:tabs>
          <w:tab w:leader="none" w:pos="1168"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80" w:lineRule="exact"/>
        <w:rPr>
          <w:rFonts w:ascii="Arial" w:cs="Arial" w:eastAsia="Arial" w:hAnsi="Arial"/>
          <w:sz w:val="18"/>
          <w:szCs w:val="18"/>
          <w:b w:val="1"/>
          <w:bCs w:val="1"/>
          <w:color w:val="auto"/>
        </w:rPr>
      </w:pPr>
    </w:p>
    <w:p>
      <w:pPr>
        <w:ind w:right="160" w:firstLine="921"/>
        <w:spacing w:after="0" w:line="342" w:lineRule="auto"/>
        <w:tabs>
          <w:tab w:leader="none" w:pos="1178" w:val="left"/>
        </w:tabs>
        <w:numPr>
          <w:ilvl w:val="1"/>
          <w:numId w:val="286"/>
        </w:numPr>
        <w:rPr>
          <w:rFonts w:ascii="Arial" w:cs="Arial" w:eastAsia="Arial" w:hAnsi="Arial"/>
          <w:sz w:val="16"/>
          <w:szCs w:val="16"/>
          <w:b w:val="1"/>
          <w:bCs w:val="1"/>
          <w:color w:val="auto"/>
        </w:rPr>
      </w:pPr>
      <w:r>
        <w:rPr>
          <w:rFonts w:ascii="Arial" w:cs="Arial" w:eastAsia="Arial" w:hAnsi="Arial"/>
          <w:sz w:val="16"/>
          <w:szCs w:val="16"/>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324" w:name="page325"/>
    <w:bookmarkEnd w:id="3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whole shares of Common Stock having a Fair Market Value, determined by the Company as of the date of exercise, not in excess of the minimum amount of tax required to be withheld by law (or such lower amount as may be necessary to avoid variable award accounting).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58" w:lineRule="exact"/>
        <w:rPr>
          <w:sz w:val="20"/>
          <w:szCs w:val="20"/>
          <w:color w:val="auto"/>
        </w:rPr>
      </w:pPr>
    </w:p>
    <w:p>
      <w:pPr>
        <w:ind w:right="100" w:firstLine="921"/>
        <w:spacing w:after="0" w:line="312" w:lineRule="auto"/>
        <w:tabs>
          <w:tab w:leader="none" w:pos="1158" w:val="left"/>
        </w:tabs>
        <w:numPr>
          <w:ilvl w:val="1"/>
          <w:numId w:val="287"/>
        </w:numPr>
        <w:rPr>
          <w:rFonts w:ascii="Arial" w:cs="Arial" w:eastAsia="Arial" w:hAnsi="Arial"/>
          <w:sz w:val="16"/>
          <w:szCs w:val="16"/>
          <w:b w:val="1"/>
          <w:bCs w:val="1"/>
          <w:color w:val="auto"/>
        </w:rPr>
      </w:pPr>
      <w:r>
        <w:rPr>
          <w:rFonts w:ascii="Arial" w:cs="Arial" w:eastAsia="Arial" w:hAnsi="Arial"/>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42" w:lineRule="exact"/>
        <w:rPr>
          <w:rFonts w:ascii="Arial" w:cs="Arial" w:eastAsia="Arial" w:hAnsi="Arial"/>
          <w:sz w:val="16"/>
          <w:szCs w:val="16"/>
          <w:b w:val="1"/>
          <w:bCs w:val="1"/>
          <w:color w:val="auto"/>
        </w:rPr>
      </w:pPr>
    </w:p>
    <w:p>
      <w:pPr>
        <w:ind w:firstLine="464"/>
        <w:spacing w:after="0" w:line="266" w:lineRule="auto"/>
        <w:tabs>
          <w:tab w:leader="none" w:pos="72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color w:val="auto"/>
        </w:rPr>
        <w:t>. Any notices provided for in your option or the Plan shall be given in writing and shall be deemed effectively given upon receipt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notices delivered by mail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right="100" w:firstLine="464"/>
        <w:spacing w:after="0" w:line="289" w:lineRule="auto"/>
        <w:tabs>
          <w:tab w:leader="none" w:pos="726"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color w:val="auto"/>
        </w:rPr>
        <w:t>. 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25" w:name="page326"/>
    <w:bookmarkEnd w:id="32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2006 EQUITY INCENTIVE PLAN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OPTION GRANT NOTICE</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2006 Equity Incentive Plan (the “Plan”),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of Grant: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46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33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24"/>
        </w:trPr>
        <w:tc>
          <w:tcPr>
            <w:tcW w:w="188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46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33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290"/>
        </w:trPr>
        <w:tc>
          <w:tcPr>
            <w:tcW w:w="18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w w:val="93"/>
              </w:rPr>
              <w:t>1/4th of the shares vest and become exercisable one year after the Vesting Commencement Date; the</w:t>
            </w:r>
          </w:p>
        </w:tc>
      </w:tr>
      <w:tr>
        <w:trPr>
          <w:trHeight w:val="216"/>
        </w:trPr>
        <w:tc>
          <w:tcPr>
            <w:tcW w:w="188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w w:val="90"/>
              </w:rPr>
              <w:t>balance of the shares vest and become exercisable in a series of thirty-six (36) successive equal monthly</w:t>
            </w:r>
          </w:p>
        </w:tc>
      </w:tr>
      <w:tr>
        <w:trPr>
          <w:trHeight w:val="216"/>
        </w:trPr>
        <w:tc>
          <w:tcPr>
            <w:tcW w:w="188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w w:val="90"/>
              </w:rPr>
              <w:t xml:space="preserve">installments measured from the first anniversary of the Vesting Commencement Date; </w:t>
            </w:r>
            <w:r>
              <w:rPr>
                <w:rFonts w:ascii="Arial" w:cs="Arial" w:eastAsia="Arial" w:hAnsi="Arial"/>
                <w:sz w:val="18"/>
                <w:szCs w:val="18"/>
                <w:i w:val="1"/>
                <w:iCs w:val="1"/>
                <w:color w:val="auto"/>
                <w:w w:val="90"/>
              </w:rPr>
              <w:t>provided, however</w:t>
            </w:r>
            <w:r>
              <w:rPr>
                <w:rFonts w:ascii="Arial" w:cs="Arial" w:eastAsia="Arial" w:hAnsi="Arial"/>
                <w:sz w:val="18"/>
                <w:szCs w:val="18"/>
                <w:color w:val="auto"/>
                <w:w w:val="90"/>
              </w:rPr>
              <w:t>,</w:t>
            </w:r>
          </w:p>
        </w:tc>
      </w:tr>
      <w:tr>
        <w:trPr>
          <w:trHeight w:val="216"/>
        </w:trPr>
        <w:tc>
          <w:tcPr>
            <w:tcW w:w="188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w w:val="91"/>
              </w:rPr>
              <w:t>that the vesting and exercisability of this option shall be subject to the special acceleration provisions set</w:t>
            </w:r>
          </w:p>
        </w:tc>
      </w:tr>
      <w:tr>
        <w:trPr>
          <w:trHeight w:val="230"/>
        </w:trPr>
        <w:tc>
          <w:tcPr>
            <w:tcW w:w="188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forth in the Stock Option Agreement attached hereto.</w:t>
            </w:r>
          </w:p>
        </w:tc>
        <w:tc>
          <w:tcPr>
            <w:tcW w:w="3360" w:type="dxa"/>
            <w:vAlign w:val="bottom"/>
          </w:tcPr>
          <w:p>
            <w:pPr>
              <w:spacing w:after="0"/>
              <w:rPr>
                <w:sz w:val="20"/>
                <w:szCs w:val="20"/>
                <w:color w:val="auto"/>
              </w:rPr>
            </w:pPr>
          </w:p>
        </w:tc>
      </w:tr>
      <w:tr>
        <w:trPr>
          <w:trHeight w:val="324"/>
        </w:trPr>
        <w:tc>
          <w:tcPr>
            <w:tcW w:w="1880" w:type="dxa"/>
            <w:vAlign w:val="bottom"/>
          </w:tcPr>
          <w:p>
            <w:pPr>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w:t>
            </w: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344"/>
        </w:trPr>
        <w:tc>
          <w:tcPr>
            <w:tcW w:w="1880" w:type="dxa"/>
            <w:vAlign w:val="bottom"/>
          </w:tcPr>
          <w:p>
            <w:pPr>
              <w:spacing w:after="0"/>
              <w:rPr>
                <w:sz w:val="24"/>
                <w:szCs w:val="24"/>
                <w:color w:val="auto"/>
              </w:rPr>
            </w:pPr>
          </w:p>
        </w:tc>
        <w:tc>
          <w:tcPr>
            <w:tcW w:w="46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r>
    </w:tbl>
    <w:p>
      <w:pPr>
        <w:spacing w:after="0" w:line="74" w:lineRule="exact"/>
        <w:rPr>
          <w:sz w:val="20"/>
          <w:szCs w:val="20"/>
          <w:color w:val="auto"/>
        </w:rPr>
      </w:pPr>
    </w:p>
    <w:p>
      <w:pPr>
        <w:ind w:left="2520" w:hanging="216"/>
        <w:spacing w:after="0"/>
        <w:tabs>
          <w:tab w:leader="none" w:pos="2520" w:val="left"/>
        </w:tabs>
        <w:numPr>
          <w:ilvl w:val="1"/>
          <w:numId w:val="289"/>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117" w:lineRule="exact"/>
        <w:rPr>
          <w:rFonts w:ascii="MS PGothic" w:cs="MS PGothic" w:eastAsia="MS PGothic" w:hAnsi="MS PGothic"/>
          <w:sz w:val="18"/>
          <w:szCs w:val="18"/>
          <w:color w:val="auto"/>
        </w:rPr>
      </w:pPr>
    </w:p>
    <w:p>
      <w:pPr>
        <w:ind w:left="2520" w:hanging="216"/>
        <w:spacing w:after="0"/>
        <w:tabs>
          <w:tab w:leader="none" w:pos="2520" w:val="left"/>
        </w:tabs>
        <w:numPr>
          <w:ilvl w:val="1"/>
          <w:numId w:val="289"/>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117" w:lineRule="exact"/>
        <w:rPr>
          <w:rFonts w:ascii="MS PGothic" w:cs="MS PGothic" w:eastAsia="MS PGothic" w:hAnsi="MS PGothic"/>
          <w:sz w:val="18"/>
          <w:szCs w:val="18"/>
          <w:color w:val="auto"/>
        </w:rPr>
      </w:pPr>
    </w:p>
    <w:p>
      <w:pPr>
        <w:ind w:left="2520" w:hanging="216"/>
        <w:spacing w:after="0"/>
        <w:tabs>
          <w:tab w:leader="none" w:pos="2520" w:val="left"/>
        </w:tabs>
        <w:numPr>
          <w:ilvl w:val="1"/>
          <w:numId w:val="289"/>
        </w:numPr>
        <w:rPr>
          <w:rFonts w:ascii="MS PGothic" w:cs="MS PGothic" w:eastAsia="MS PGothic" w:hAnsi="MS PGothic"/>
          <w:sz w:val="18"/>
          <w:szCs w:val="18"/>
          <w:color w:val="auto"/>
        </w:rPr>
      </w:pPr>
      <w:r>
        <w:rPr>
          <w:rFonts w:ascii="Arial" w:cs="Arial" w:eastAsia="Arial" w:hAnsi="Arial"/>
          <w:sz w:val="18"/>
          <w:szCs w:val="18"/>
          <w:color w:val="auto"/>
        </w:rPr>
        <w:t>By net exercise</w:t>
      </w:r>
      <w:r>
        <w:rPr>
          <w:rFonts w:ascii="Arial" w:cs="Arial" w:eastAsia="Arial" w:hAnsi="Arial"/>
          <w:sz w:val="15"/>
          <w:szCs w:val="15"/>
          <w:color w:val="auto"/>
        </w:rPr>
        <w:t>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460" w:right="260" w:hanging="446"/>
        <w:spacing w:after="0" w:line="258"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If this is an Incentive Stock Option, it (plus other outstanding Incentive Stock Options) cannot be first exercisable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89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60" w:right="5220" w:hanging="5652"/>
        <w:spacing w:after="0" w:line="519" w:lineRule="auto"/>
        <w:tabs>
          <w:tab w:leader="none" w:pos="445" w:val="left"/>
        </w:tabs>
        <w:numPr>
          <w:ilvl w:val="0"/>
          <w:numId w:val="290"/>
        </w:numPr>
        <w:rPr>
          <w:rFonts w:ascii="Arial" w:cs="Arial" w:eastAsia="Arial" w:hAnsi="Arial"/>
          <w:sz w:val="14"/>
          <w:szCs w:val="14"/>
          <w:color w:val="auto"/>
        </w:rPr>
      </w:pPr>
      <w:r>
        <w:rPr>
          <w:rFonts w:ascii="Arial" w:cs="Arial" w:eastAsia="Arial" w:hAnsi="Arial"/>
          <w:sz w:val="16"/>
          <w:szCs w:val="16"/>
          <w:color w:val="auto"/>
        </w:rPr>
        <w:t>An Incentive Stock Option may not be exercised by a net exercise agreement. 1</w:t>
      </w:r>
    </w:p>
    <w:p>
      <w:pPr>
        <w:sectPr>
          <w:pgSz w:w="11900" w:h="16838" w:orient="portrait"/>
          <w:cols w:equalWidth="0" w:num="1">
            <w:col w:w="11260"/>
          </w:cols>
          <w:pgMar w:left="240" w:top="270" w:right="399" w:bottom="1440" w:gutter="0" w:footer="0" w:header="0"/>
        </w:sectPr>
      </w:pPr>
    </w:p>
    <w:bookmarkStart w:id="326" w:name="page327"/>
    <w:bookmarkEnd w:id="326"/>
    <w:p>
      <w:pPr>
        <w:ind w:right="1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Terms/Acknowledgements</w:t>
      </w:r>
      <w:r>
        <w:rPr>
          <w:rFonts w:ascii="Arial" w:cs="Arial" w:eastAsia="Arial" w:hAnsi="Arial"/>
          <w:sz w:val="18"/>
          <w:szCs w:val="18"/>
          <w:color w:val="auto"/>
        </w:rPr>
        <w:t>: The undersigned Optionholder acknowledges receipt of, and understands and agrees to, this Option 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and the Plan. Optionholder further acknowledges that as of the Date of Grant, this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14605</wp:posOffset>
            </wp:positionV>
            <wp:extent cx="476821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169545</wp:posOffset>
            </wp:positionV>
            <wp:extent cx="47682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ANAPTYS BIOSCIENCES, INC.</w:t>
            </w:r>
          </w:p>
        </w:tc>
        <w:tc>
          <w:tcPr>
            <w:tcW w:w="6380" w:type="dxa"/>
            <w:vAlign w:val="bottom"/>
            <w:gridSpan w:val="3"/>
          </w:tcPr>
          <w:p>
            <w:pPr>
              <w:ind w:left="1260"/>
              <w:spacing w:after="0"/>
              <w:rPr>
                <w:sz w:val="20"/>
                <w:szCs w:val="20"/>
                <w:color w:val="auto"/>
              </w:rPr>
            </w:pPr>
            <w:r>
              <w:rPr>
                <w:rFonts w:ascii="Arial" w:cs="Arial" w:eastAsia="Arial" w:hAnsi="Arial"/>
                <w:sz w:val="18"/>
                <w:szCs w:val="18"/>
                <w:color w:val="auto"/>
              </w:rPr>
              <w:t>OPTIONHOLDER:</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By:</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46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c>
          <w:tcPr>
            <w:tcW w:w="1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4"/>
                <w:szCs w:val="24"/>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319" w:lineRule="exact"/>
        <w:rPr>
          <w:sz w:val="20"/>
          <w:szCs w:val="20"/>
          <w:color w:val="auto"/>
        </w:rPr>
      </w:pPr>
    </w:p>
    <w:p>
      <w:pPr>
        <w:ind w:left="5660" w:right="4800" w:hanging="5660"/>
        <w:spacing w:after="0" w:line="454" w:lineRule="auto"/>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2006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27" w:name="page328"/>
    <w:bookmarkEnd w:id="32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EXERCISE</w:t>
      </w:r>
    </w:p>
    <w:p>
      <w:pPr>
        <w:spacing w:after="0" w:line="238" w:lineRule="exact"/>
        <w:rPr>
          <w:sz w:val="20"/>
          <w:szCs w:val="20"/>
          <w:color w:val="auto"/>
        </w:rPr>
      </w:pPr>
    </w:p>
    <w:p>
      <w:pPr>
        <w:spacing w:after="0"/>
        <w:tabs>
          <w:tab w:leader="none" w:pos="8800" w:val="left"/>
        </w:tabs>
        <w:rPr>
          <w:sz w:val="20"/>
          <w:szCs w:val="20"/>
          <w:color w:val="auto"/>
        </w:rPr>
      </w:pPr>
      <w:r>
        <w:rPr>
          <w:rFonts w:ascii="Arial" w:cs="Arial" w:eastAsia="Arial" w:hAnsi="Arial"/>
          <w:sz w:val="18"/>
          <w:szCs w:val="18"/>
          <w:color w:val="auto"/>
        </w:rPr>
        <w:t>AnaptysBio, Inc.</w:t>
      </w:r>
      <w:r>
        <w:rPr>
          <w:sz w:val="20"/>
          <w:szCs w:val="20"/>
          <w:color w:val="auto"/>
        </w:rPr>
        <w:tab/>
      </w: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3926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23926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280" w:type="dxa"/>
            <w:vAlign w:val="bottom"/>
            <w:gridSpan w:val="2"/>
          </w:tcPr>
          <w:p>
            <w:pPr>
              <w:spacing w:after="0"/>
              <w:rPr>
                <w:sz w:val="20"/>
                <w:szCs w:val="20"/>
                <w:color w:val="auto"/>
              </w:rPr>
            </w:pPr>
            <w:r>
              <w:rPr>
                <w:rFonts w:ascii="Arial" w:cs="Arial" w:eastAsia="Arial" w:hAnsi="Arial"/>
                <w:sz w:val="18"/>
                <w:szCs w:val="18"/>
                <w:color w:val="auto"/>
              </w:rPr>
              <w:t>Type of option (check one):</w:t>
            </w:r>
          </w:p>
        </w:tc>
        <w:tc>
          <w:tcPr>
            <w:tcW w:w="2660" w:type="dxa"/>
            <w:vAlign w:val="bottom"/>
          </w:tcPr>
          <w:p>
            <w:pPr>
              <w:jc w:val="right"/>
              <w:ind w:right="9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38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Nonstatutory </w:t>
            </w:r>
            <w:r>
              <w:rPr>
                <w:rFonts w:ascii="MS PGothic" w:cs="MS PGothic" w:eastAsia="MS PGothic" w:hAnsi="MS PGothic"/>
                <w:sz w:val="18"/>
                <w:szCs w:val="18"/>
                <w:color w:val="auto"/>
                <w:w w:val="94"/>
              </w:rPr>
              <w: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Stock option dated:</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__________</w:t>
            </w:r>
          </w:p>
        </w:tc>
        <w:tc>
          <w:tcPr>
            <w:tcW w:w="138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Number of shares as to which option is exercised:</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__________</w:t>
            </w:r>
          </w:p>
        </w:tc>
        <w:tc>
          <w:tcPr>
            <w:tcW w:w="138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Certificates to be issued in name of:</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__________</w:t>
            </w:r>
          </w:p>
        </w:tc>
        <w:tc>
          <w:tcPr>
            <w:tcW w:w="138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Total exercise price:</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w:t>
            </w:r>
          </w:p>
        </w:tc>
        <w:tc>
          <w:tcPr>
            <w:tcW w:w="138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Cash payment delivered herewith:</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w:t>
            </w:r>
          </w:p>
        </w:tc>
        <w:tc>
          <w:tcPr>
            <w:tcW w:w="138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Value of</w:t>
            </w:r>
          </w:p>
        </w:tc>
        <w:tc>
          <w:tcPr>
            <w:tcW w:w="6380" w:type="dxa"/>
            <w:vAlign w:val="bottom"/>
          </w:tcPr>
          <w:p>
            <w:pPr>
              <w:ind w:left="300"/>
              <w:spacing w:after="0"/>
              <w:rPr>
                <w:sz w:val="20"/>
                <w:szCs w:val="20"/>
                <w:color w:val="auto"/>
              </w:rPr>
            </w:pPr>
            <w:r>
              <w:rPr>
                <w:rFonts w:ascii="Arial" w:cs="Arial" w:eastAsia="Arial" w:hAnsi="Arial"/>
                <w:sz w:val="18"/>
                <w:szCs w:val="18"/>
                <w:color w:val="auto"/>
              </w:rPr>
              <w:t>shares of AnaptysBio, Inc. common stock delivered herewith:</w:t>
            </w:r>
            <w:r>
              <w:rPr>
                <w:rFonts w:ascii="Arial" w:cs="Arial" w:eastAsia="Arial" w:hAnsi="Arial"/>
                <w:sz w:val="15"/>
                <w:szCs w:val="15"/>
                <w:color w:val="auto"/>
              </w:rPr>
              <w:t>3</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$_________</w:t>
            </w:r>
          </w:p>
        </w:tc>
        <w:tc>
          <w:tcPr>
            <w:tcW w:w="1380" w:type="dxa"/>
            <w:vAlign w:val="bottom"/>
          </w:tcPr>
          <w:p>
            <w:pPr>
              <w:spacing w:after="0"/>
              <w:rPr>
                <w:sz w:val="20"/>
                <w:szCs w:val="20"/>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AnaptysBio, Inc. 2006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89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3" w:lineRule="exact"/>
        <w:rPr>
          <w:sz w:val="20"/>
          <w:szCs w:val="20"/>
          <w:color w:val="auto"/>
        </w:rPr>
      </w:pPr>
    </w:p>
    <w:p>
      <w:pPr>
        <w:ind w:left="460" w:hanging="452"/>
        <w:spacing w:after="0" w:line="286" w:lineRule="auto"/>
        <w:tabs>
          <w:tab w:leader="none" w:pos="460" w:val="left"/>
        </w:tabs>
        <w:numPr>
          <w:ilvl w:val="0"/>
          <w:numId w:val="291"/>
        </w:numPr>
        <w:rPr>
          <w:rFonts w:ascii="Arial" w:cs="Arial" w:eastAsia="Arial" w:hAnsi="Arial"/>
          <w:sz w:val="14"/>
          <w:szCs w:val="14"/>
          <w:color w:val="auto"/>
        </w:rPr>
      </w:pPr>
      <w:r>
        <w:rPr>
          <w:rFonts w:ascii="Arial" w:cs="Arial" w:eastAsia="Arial" w:hAnsi="Arial"/>
          <w:sz w:val="17"/>
          <w:szCs w:val="17"/>
          <w:color w:val="auto"/>
        </w:rPr>
        <w:t>Shares must meet the public trading requirements set forth in the option. Shares must be valued in accordance with the terms of the option being exercised, must have been owned for the minimum period required in the option, and must be owned free and clear of any liens, claims, encumbrances or security interests. Certificates must be endorsed or accompanied by an executed assignment separate from certificate.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69" w:right="339" w:bottom="1440" w:gutter="0" w:footer="0" w:header="0"/>
        </w:sectPr>
      </w:pPr>
    </w:p>
    <w:bookmarkStart w:id="328" w:name="page329"/>
    <w:bookmarkEnd w:id="328"/>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make the following certifications and representations with respect to the number of shares of Common Stock of the Company listed above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which are being acquired by me for my own account upon exercise of the Option as set forth above: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 acknowledge that the Shares have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are deemed to constitute “restricted securities” under Rule 701 and “control securities” under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 further acknowledge that I will not be able to resell the Shares for at least ninety (90) days after the stock of the Company becomes publicly traded (i.e., subject to the reporting requirements of Section 13 or 15(d) of the Securities Exchange Act of 1934) under Rule 701 and that more restrictive conditions apply to affiliates of the Company under Rule 144.</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Certificate of Incorporation, Bylaws and/or applicable securities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 further agree that I will not sell, dispose of, transfer, make any short sale of, grant any option for the purchase of, or enter into any hedging or similar transaction with the same economic effect as a sale, any shares of Common Stock or other securities of the Company held by me,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7"/>
          <w:szCs w:val="17"/>
          <w:b w:val="1"/>
          <w:bCs w:val="1"/>
          <w:i w:val="1"/>
          <w:iCs w:val="1"/>
          <w:color w:val="auto"/>
        </w:rPr>
        <w:t>Lock 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paragraph shall prevent the exercise of a repurchase option, if any, in favor of the Company during the Lock Up Period.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my shares of Common Stock until the end of such period.</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GRANT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AnaptysBio, Inc. (the “Company”), pursuant to its 2006 Equity Incentive Plan (the “Plan”), hereby awards to Participant as compensation the number of shares of the Company’s Common Stock set forth below (“Award”). This Award is subject to all of the terms and conditions as set forth herein and in the Restricted Stock Bonus Agreement, the Plan, the form of Assignment Separate from Certificate and the form of Joint Escrow Instructions, all of which are attached hereto and incorporated herein in their entirety.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Subject to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The undersigned Participant acknowledges receipt of, and understands and agrees to, this Restricted Stock Bonus</w:t>
      </w:r>
      <w:r>
        <w:rPr>
          <w:rFonts w:ascii="Arial" w:cs="Arial" w:eastAsia="Arial" w:hAnsi="Arial"/>
          <w:sz w:val="17"/>
          <w:szCs w:val="17"/>
          <w:b w:val="1"/>
          <w:bCs w:val="1"/>
          <w:color w:val="auto"/>
        </w:rPr>
        <w:t xml:space="preserve"> </w:t>
      </w:r>
      <w:r>
        <w:rPr>
          <w:rFonts w:ascii="Arial" w:cs="Arial" w:eastAsia="Arial" w:hAnsi="Arial"/>
          <w:sz w:val="17"/>
          <w:szCs w:val="17"/>
          <w:color w:val="auto"/>
        </w:rPr>
        <w:t>Grant Notice, the Restricted Stock Bonus Agreement and the Plan. Participant further acknowledges that as of the Date of Grant, this Restricted Stock Bonus Grant Notice, the Restricted Stock Bonus Agreement and the Plan set forth the entire understanding between Participant and the Company regarding the acquisition of stock in the Company and supersede all prior oral and written agreements on that subject with the exception of (i) Awards previously granted and delivered to Participant under the Plan, and (ii) the following agreements only: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289560</wp:posOffset>
            </wp:positionV>
            <wp:extent cx="58661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14605</wp:posOffset>
            </wp:positionV>
            <wp:extent cx="58661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ANAPTYSBIO, INC.</w:t>
            </w:r>
          </w:p>
        </w:tc>
        <w:tc>
          <w:tcPr>
            <w:tcW w:w="7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PARTICIPANT:</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By:</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78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Signature</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ATTACHMENTS: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331" w:name="page332"/>
    <w:bookmarkEnd w:id="3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EQUITY INCENTIVE PLAN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BONUS AGREEMENT</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Pursuant to the Restricted Stock Bonus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Restricted Stock Bonus Agreement (collectively,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and in consideration of your services, 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a Restricted Stock Award under its 2006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shares of the Company’s Common Stock subject to the Award as indicated in the Grant Notice. Defined terms not explicitly defined in this Restricted Stock Bonus Agreement but defined in the Plan shall have the same definitions as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Award are as follows:</w:t>
      </w:r>
    </w:p>
    <w:p>
      <w:pPr>
        <w:spacing w:after="0" w:line="221" w:lineRule="exact"/>
        <w:rPr>
          <w:sz w:val="20"/>
          <w:szCs w:val="20"/>
          <w:color w:val="auto"/>
        </w:rPr>
      </w:pPr>
    </w:p>
    <w:p>
      <w:pPr>
        <w:ind w:right="80" w:firstLine="464"/>
        <w:spacing w:after="0" w:line="282" w:lineRule="auto"/>
        <w:tabs>
          <w:tab w:leader="none" w:pos="63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the limitations contained herein, your Award will vest as provided in the Grant Notice, provided that vesting will cease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your Continuous Service.</w:t>
      </w:r>
    </w:p>
    <w:p>
      <w:pPr>
        <w:spacing w:after="0" w:line="161" w:lineRule="exact"/>
        <w:rPr>
          <w:rFonts w:ascii="Arial" w:cs="Arial" w:eastAsia="Arial" w:hAnsi="Arial"/>
          <w:sz w:val="18"/>
          <w:szCs w:val="18"/>
          <w:b w:val="1"/>
          <w:bCs w:val="1"/>
          <w:color w:val="auto"/>
        </w:rPr>
      </w:pPr>
    </w:p>
    <w:p>
      <w:pPr>
        <w:ind w:right="540" w:firstLine="464"/>
        <w:spacing w:after="0" w:line="282" w:lineRule="auto"/>
        <w:tabs>
          <w:tab w:leader="none" w:pos="63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The number of shares subject to your Award may be adjusted from time to time for Capitalization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161"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You may not be issued any shares under your Award unless the shares are either (i) then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w:t>
      </w:r>
    </w:p>
    <w:p>
      <w:pPr>
        <w:spacing w:after="0" w:line="180" w:lineRule="exact"/>
        <w:rPr>
          <w:rFonts w:ascii="Arial" w:cs="Arial" w:eastAsia="Arial" w:hAnsi="Arial"/>
          <w:sz w:val="18"/>
          <w:szCs w:val="18"/>
          <w:b w:val="1"/>
          <w:bCs w:val="1"/>
          <w:color w:val="auto"/>
        </w:rPr>
      </w:pPr>
    </w:p>
    <w:p>
      <w:pPr>
        <w:ind w:right="20" w:firstLine="464"/>
        <w:spacing w:after="0" w:line="270" w:lineRule="auto"/>
        <w:tabs>
          <w:tab w:leader="none" w:pos="636"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MARKET STAND-OFF AGREEMENT</w:t>
      </w:r>
      <w:r>
        <w:rPr>
          <w:rFonts w:ascii="Arial" w:cs="Arial" w:eastAsia="Arial" w:hAnsi="Arial"/>
          <w:sz w:val="17"/>
          <w:szCs w:val="17"/>
          <w:color w:val="auto"/>
        </w:rPr>
        <w:t>. By acquiring shares of Common Stock under your Award, you shall not sell, dispose of, transfer, make</w:t>
      </w:r>
      <w:r>
        <w:rPr>
          <w:rFonts w:ascii="Arial" w:cs="Arial" w:eastAsia="Arial" w:hAnsi="Arial"/>
          <w:sz w:val="17"/>
          <w:szCs w:val="17"/>
          <w:b w:val="1"/>
          <w:bCs w:val="1"/>
          <w:color w:val="auto"/>
        </w:rPr>
        <w:t xml:space="preserve"> </w:t>
      </w:r>
      <w:r>
        <w:rPr>
          <w:rFonts w:ascii="Arial" w:cs="Arial" w:eastAsia="Arial" w:hAnsi="Arial"/>
          <w:sz w:val="17"/>
          <w:szCs w:val="17"/>
          <w:color w:val="auto"/>
        </w:rPr>
        <w:t>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and similar or successor regulatory rules and regulations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provided, however, that nothing contained in this Section 4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4 and shall have the right, power and authority to enforce the provision hereof as though they were a party hereto.</w:t>
      </w:r>
    </w:p>
    <w:p>
      <w:pPr>
        <w:spacing w:after="0" w:line="177" w:lineRule="exact"/>
        <w:rPr>
          <w:rFonts w:ascii="Arial" w:cs="Arial" w:eastAsia="Arial" w:hAnsi="Arial"/>
          <w:sz w:val="17"/>
          <w:szCs w:val="17"/>
          <w:b w:val="1"/>
          <w:bCs w:val="1"/>
          <w:color w:val="auto"/>
        </w:rPr>
      </w:pPr>
    </w:p>
    <w:p>
      <w:pPr>
        <w:ind w:right="380" w:firstLine="464"/>
        <w:spacing w:after="0" w:line="282" w:lineRule="auto"/>
        <w:tabs>
          <w:tab w:leader="none" w:pos="63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Shares that are received under your Award are subject to any right of first refusal that may be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bylaws in effect at such time the Company elects to exercise its right.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332" w:name="page333"/>
    <w:bookmarkEnd w:id="332"/>
    <w:p>
      <w:pPr>
        <w:ind w:left="580" w:hanging="176"/>
        <w:spacing w:after="0"/>
        <w:tabs>
          <w:tab w:leader="none" w:pos="58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REPURCHASE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60" w:right="240" w:firstLine="921"/>
        <w:spacing w:after="0" w:line="277" w:lineRule="auto"/>
        <w:tabs>
          <w:tab w:leader="none" w:pos="1108" w:val="left"/>
        </w:tabs>
        <w:numPr>
          <w:ilvl w:val="1"/>
          <w:numId w:val="293"/>
        </w:numPr>
        <w:rPr>
          <w:rFonts w:ascii="Arial" w:cs="Arial" w:eastAsia="Arial" w:hAnsi="Arial"/>
          <w:sz w:val="18"/>
          <w:szCs w:val="18"/>
          <w:b w:val="1"/>
          <w:bCs w:val="1"/>
          <w:color w:val="auto"/>
        </w:rPr>
      </w:pPr>
      <w:r>
        <w:rPr>
          <w:rFonts w:ascii="Arial" w:cs="Arial" w:eastAsia="Arial" w:hAnsi="Arial"/>
          <w:sz w:val="18"/>
          <w:szCs w:val="18"/>
          <w:color w:val="auto"/>
        </w:rPr>
        <w:t>To the extent provided in the Company’s bylaws, as amended from time to time, the Company shall have the right to repurchase all or any part of the shares received pursuant to your Award.</w:t>
      </w:r>
    </w:p>
    <w:p>
      <w:pPr>
        <w:spacing w:after="0" w:line="170" w:lineRule="exact"/>
        <w:rPr>
          <w:rFonts w:ascii="Arial" w:cs="Arial" w:eastAsia="Arial" w:hAnsi="Arial"/>
          <w:sz w:val="18"/>
          <w:szCs w:val="18"/>
          <w:b w:val="1"/>
          <w:bCs w:val="1"/>
          <w:color w:val="auto"/>
        </w:rPr>
      </w:pPr>
    </w:p>
    <w:p>
      <w:pPr>
        <w:ind w:left="-60" w:right="140" w:firstLine="921"/>
        <w:spacing w:after="0" w:line="308" w:lineRule="auto"/>
        <w:tabs>
          <w:tab w:leader="none" w:pos="1118" w:val="left"/>
        </w:tabs>
        <w:numPr>
          <w:ilvl w:val="1"/>
          <w:numId w:val="293"/>
        </w:numPr>
        <w:rPr>
          <w:rFonts w:ascii="Arial" w:cs="Arial" w:eastAsia="Arial" w:hAnsi="Arial"/>
          <w:sz w:val="17"/>
          <w:szCs w:val="17"/>
          <w:b w:val="1"/>
          <w:bCs w:val="1"/>
          <w:color w:val="auto"/>
        </w:rPr>
      </w:pPr>
      <w:r>
        <w:rPr>
          <w:rFonts w:ascii="Arial" w:cs="Arial" w:eastAsia="Arial" w:hAnsi="Arial"/>
          <w:sz w:val="17"/>
          <w:szCs w:val="17"/>
          <w:color w:val="auto"/>
        </w:rPr>
        <w:t>The Company shall have a right to reacquire (a “</w:t>
      </w:r>
      <w:r>
        <w:rPr>
          <w:rFonts w:ascii="Arial" w:cs="Arial" w:eastAsia="Arial" w:hAnsi="Arial"/>
          <w:sz w:val="17"/>
          <w:szCs w:val="17"/>
          <w:b w:val="1"/>
          <w:bCs w:val="1"/>
          <w:i w:val="1"/>
          <w:iCs w:val="1"/>
          <w:color w:val="auto"/>
        </w:rPr>
        <w:t>Reacquisition Right</w:t>
      </w:r>
      <w:r>
        <w:rPr>
          <w:rFonts w:ascii="Arial" w:cs="Arial" w:eastAsia="Arial" w:hAnsi="Arial"/>
          <w:sz w:val="17"/>
          <w:szCs w:val="17"/>
          <w:color w:val="auto"/>
        </w:rPr>
        <w:t>”) the shares you received pursuant to your Award that have not as yet vested in accordance with the Vesting Schedule on the Grant Notice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on the following terms and conditions:</w:t>
      </w:r>
    </w:p>
    <w:p>
      <w:pPr>
        <w:spacing w:after="0" w:line="146" w:lineRule="exact"/>
        <w:rPr>
          <w:rFonts w:ascii="Arial" w:cs="Arial" w:eastAsia="Arial" w:hAnsi="Arial"/>
          <w:sz w:val="17"/>
          <w:szCs w:val="17"/>
          <w:b w:val="1"/>
          <w:bCs w:val="1"/>
          <w:color w:val="auto"/>
        </w:rPr>
      </w:pPr>
    </w:p>
    <w:p>
      <w:pPr>
        <w:ind w:left="-60" w:right="100" w:firstLine="1492"/>
        <w:spacing w:after="0" w:line="273" w:lineRule="auto"/>
        <w:tabs>
          <w:tab w:leader="none" w:pos="1638"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The Company shall simultaneously with termination of your Continuous Service 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the Company is reacquiring.</w:t>
      </w:r>
    </w:p>
    <w:p>
      <w:pPr>
        <w:spacing w:after="0" w:line="178" w:lineRule="exact"/>
        <w:rPr>
          <w:rFonts w:ascii="Arial" w:cs="Arial" w:eastAsia="Arial" w:hAnsi="Arial"/>
          <w:sz w:val="17"/>
          <w:szCs w:val="17"/>
          <w:b w:val="1"/>
          <w:bCs w:val="1"/>
          <w:color w:val="auto"/>
        </w:rPr>
      </w:pPr>
    </w:p>
    <w:p>
      <w:pPr>
        <w:ind w:left="-60" w:right="220" w:firstLine="1492"/>
        <w:spacing w:after="0" w:line="257" w:lineRule="auto"/>
        <w:tabs>
          <w:tab w:leader="none" w:pos="1688"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The Company shall not exercise its Reacquisition Right until at least six (6) months (or such longer or shorter period of time necessary to avoid classification of the Award as a liability for financial accounting purposes) have elapsed following delivery of shares of Common Stock subject to the Award, unless otherwise specifically provided by the Board. If the Company does exercise its Reacquisition Right as to any of the shares subject to your Award, then upon such termination of your Continuous Service, the Escrow Holder shall transfer to the Company the number of shares the Company is repurchasing.</w:t>
      </w:r>
    </w:p>
    <w:p>
      <w:pPr>
        <w:spacing w:after="0" w:line="188" w:lineRule="exact"/>
        <w:rPr>
          <w:rFonts w:ascii="Arial" w:cs="Arial" w:eastAsia="Arial" w:hAnsi="Arial"/>
          <w:sz w:val="18"/>
          <w:szCs w:val="18"/>
          <w:b w:val="1"/>
          <w:bCs w:val="1"/>
          <w:color w:val="auto"/>
        </w:rPr>
      </w:pPr>
    </w:p>
    <w:p>
      <w:pPr>
        <w:ind w:left="-60" w:right="140" w:firstLine="1492"/>
        <w:spacing w:after="0" w:line="259" w:lineRule="auto"/>
        <w:tabs>
          <w:tab w:leader="none" w:pos="1738"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The shares issued under your Award shall be held in escrow pursuant to the terms of the Joint Escrow Instructions attached to the Grant Notice as Attachment IV. You agree to execute two (2) Assignment Separate From Certificate forms (with date and number of shares blank) substantially in the form attached to the Grant Notice as Attachment III and deliver the same, along with the certificate or certificates evidencing the shares, for use by the escrow agent pursuant to the terms of the Joint Escrow Instructions.</w:t>
      </w:r>
    </w:p>
    <w:p>
      <w:pPr>
        <w:spacing w:after="0" w:line="186" w:lineRule="exact"/>
        <w:rPr>
          <w:rFonts w:ascii="Arial" w:cs="Arial" w:eastAsia="Arial" w:hAnsi="Arial"/>
          <w:sz w:val="18"/>
          <w:szCs w:val="18"/>
          <w:b w:val="1"/>
          <w:bCs w:val="1"/>
          <w:color w:val="auto"/>
        </w:rPr>
      </w:pPr>
    </w:p>
    <w:p>
      <w:pPr>
        <w:ind w:left="-60" w:firstLine="1492"/>
        <w:spacing w:after="0" w:line="259" w:lineRule="auto"/>
        <w:tabs>
          <w:tab w:leader="none" w:pos="1728"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Subject to the provisions of your Award, you shall, during the term of your Award, exercise all rights and privileges of a shareholder of the Company with respect to the shares deposited in escrow. You shall be deemed to be the holder of the shares for purposes of receiving any dividends which may be paid with respect to such shares and for purposes of exercising any voting rights relating to such shares, even if some or all of such shares have not yet vested and been released from the Company’s Reacquisition Right.</w:t>
      </w:r>
    </w:p>
    <w:p>
      <w:pPr>
        <w:spacing w:after="0" w:line="186" w:lineRule="exact"/>
        <w:rPr>
          <w:rFonts w:ascii="Arial" w:cs="Arial" w:eastAsia="Arial" w:hAnsi="Arial"/>
          <w:sz w:val="18"/>
          <w:szCs w:val="18"/>
          <w:b w:val="1"/>
          <w:bCs w:val="1"/>
          <w:color w:val="auto"/>
        </w:rPr>
      </w:pPr>
    </w:p>
    <w:p>
      <w:pPr>
        <w:ind w:left="-60" w:right="100" w:firstLine="1492"/>
        <w:spacing w:after="0" w:line="279" w:lineRule="auto"/>
        <w:tabs>
          <w:tab w:leader="none" w:pos="1678"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If, from time to time, there is any stock dividend, stock split or other change in the character or amount of any of the outstanding stock of the corporation the stock of which is subject to the provisions of your Award, then in such event any and all new, substituted or additional securities to which you are entitled by reason of your ownership of the shares acquired under your Award shall be immediately subject to the Reacquisition Right with the same force and effect as the shares subject to this Reacquisition Right immediately before such event.</w:t>
      </w:r>
    </w:p>
    <w:p>
      <w:pPr>
        <w:spacing w:after="0" w:line="171" w:lineRule="exact"/>
        <w:rPr>
          <w:rFonts w:ascii="Arial" w:cs="Arial" w:eastAsia="Arial" w:hAnsi="Arial"/>
          <w:sz w:val="17"/>
          <w:szCs w:val="17"/>
          <w:b w:val="1"/>
          <w:bCs w:val="1"/>
          <w:color w:val="auto"/>
        </w:rPr>
      </w:pPr>
    </w:p>
    <w:p>
      <w:pPr>
        <w:ind w:left="-60" w:right="440" w:firstLine="1492"/>
        <w:spacing w:after="0" w:line="342" w:lineRule="auto"/>
        <w:tabs>
          <w:tab w:leader="none" w:pos="1728" w:val="left"/>
        </w:tabs>
        <w:numPr>
          <w:ilvl w:val="2"/>
          <w:numId w:val="293"/>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as defined in the Plan, the Reacquisition Right may be assigned by the Company to the successor of the Company (or such successor’s parent company), if any, in connection with such transaction. To the extent the Reacquisition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69" w:right="299" w:bottom="1440" w:gutter="0" w:footer="0" w:header="0"/>
        </w:sectPr>
      </w:pPr>
    </w:p>
    <w:bookmarkStart w:id="333" w:name="page334"/>
    <w:bookmarkEnd w:id="333"/>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remains in effect following such transaction, it shall apply to the new capital stock, cash or other property received in exchange for the Common Stock in consummation of the transaction, but only to the extent the Common Stock was at the time covered by such right. If any Reacquisition Right is not assumed or substituted in connection with such transaction and your continuous service has not terminated prior to the effective time of the Corporate Transaction, the Reacquisition Right shall lapse prior to the effective time of the Corporate Transaction. If your continuous service has terminated prior to the effective time of the Corporate Transaction and the surviving or acquiring corporation (or its parent company) does not assume or continue your outstanding Award, the Reacquisition Right held by the Company with respect to such Award may continue to be exercised notwithstanding the Corporate Transaction.</w:t>
      </w:r>
    </w:p>
    <w:p>
      <w:pPr>
        <w:spacing w:after="0" w:line="165" w:lineRule="exact"/>
        <w:rPr>
          <w:sz w:val="20"/>
          <w:szCs w:val="20"/>
          <w:color w:val="auto"/>
        </w:rPr>
      </w:pPr>
    </w:p>
    <w:p>
      <w:pPr>
        <w:ind w:firstLine="1492"/>
        <w:spacing w:after="0" w:line="255" w:lineRule="auto"/>
        <w:tabs>
          <w:tab w:leader="none" w:pos="1838" w:val="left"/>
        </w:tabs>
        <w:numPr>
          <w:ilvl w:val="2"/>
          <w:numId w:val="294"/>
        </w:numPr>
        <w:rPr>
          <w:rFonts w:ascii="Arial" w:cs="Arial" w:eastAsia="Arial" w:hAnsi="Arial"/>
          <w:sz w:val="18"/>
          <w:szCs w:val="18"/>
          <w:b w:val="1"/>
          <w:bCs w:val="1"/>
          <w:color w:val="auto"/>
        </w:rPr>
      </w:pPr>
      <w:r>
        <w:rPr>
          <w:rFonts w:ascii="Arial" w:cs="Arial" w:eastAsia="Arial" w:hAnsi="Arial"/>
          <w:sz w:val="18"/>
          <w:szCs w:val="18"/>
          <w:color w:val="auto"/>
        </w:rPr>
        <w:t>In addition to any other limitation on transfer created by applicable securities laws, you shall not sell, assign, hypothecate, donate, encumber, or otherwise dispose of any interest in the Common Stock while such shares of Common Stock are subject to the Reacquisition Right or continue to be held in the Joint Escrow; provided, however, that an interest in such shares may be transferred pursuant to a qualified domestic relations order as defined in the Code or Title I of the Employee Retirement Income Security Act. After any Common Stock has been released from the Joint Escrow, you shall not sell, assign, hypothecate, donate, encumber, or otherwise dispose of any interest in the Common Stock except in compliance with the provisions herein and applicable securities laws.</w:t>
      </w:r>
    </w:p>
    <w:p>
      <w:pPr>
        <w:spacing w:after="0" w:line="189" w:lineRule="exact"/>
        <w:rPr>
          <w:rFonts w:ascii="Arial" w:cs="Arial" w:eastAsia="Arial" w:hAnsi="Arial"/>
          <w:sz w:val="18"/>
          <w:szCs w:val="18"/>
          <w:b w:val="1"/>
          <w:bCs w:val="1"/>
          <w:color w:val="auto"/>
        </w:rPr>
      </w:pPr>
    </w:p>
    <w:p>
      <w:pPr>
        <w:ind w:left="640" w:hanging="176"/>
        <w:spacing w:after="0"/>
        <w:tabs>
          <w:tab w:leader="none" w:pos="64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LEGENDS</w:t>
      </w:r>
      <w:r>
        <w:rPr>
          <w:rFonts w:ascii="Arial" w:cs="Arial" w:eastAsia="Arial" w:hAnsi="Arial"/>
          <w:sz w:val="17"/>
          <w:szCs w:val="17"/>
          <w:color w:val="auto"/>
        </w:rPr>
        <w:t>. The shares issued under your Award shall be endorsed with appropriate legends determined by the Company.</w:t>
      </w:r>
    </w:p>
    <w:p>
      <w:pPr>
        <w:spacing w:after="0" w:line="236" w:lineRule="exact"/>
        <w:rPr>
          <w:rFonts w:ascii="Arial" w:cs="Arial" w:eastAsia="Arial" w:hAnsi="Arial"/>
          <w:sz w:val="17"/>
          <w:szCs w:val="17"/>
          <w:b w:val="1"/>
          <w:bCs w:val="1"/>
          <w:color w:val="auto"/>
        </w:rPr>
      </w:pPr>
    </w:p>
    <w:p>
      <w:pPr>
        <w:ind w:right="20" w:firstLine="464"/>
        <w:spacing w:after="0" w:line="281" w:lineRule="auto"/>
        <w:tabs>
          <w:tab w:leader="none" w:pos="636"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AWARD NOT A SERVICE CONTRACT</w:t>
      </w:r>
      <w:r>
        <w:rPr>
          <w:rFonts w:ascii="Arial" w:cs="Arial" w:eastAsia="Arial" w:hAnsi="Arial"/>
          <w:sz w:val="17"/>
          <w:szCs w:val="17"/>
          <w:color w:val="auto"/>
        </w:rPr>
        <w:t>. Your Award is not an employment or service contract, and nothing in your Award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shareholders, boards of directors, Officers or Employees to continue any relationship that you might have as a Director or Consultant for the Company or an Affiliate.</w:t>
      </w:r>
    </w:p>
    <w:p>
      <w:pPr>
        <w:spacing w:after="0" w:line="164" w:lineRule="exact"/>
        <w:rPr>
          <w:rFonts w:ascii="Arial" w:cs="Arial" w:eastAsia="Arial" w:hAnsi="Arial"/>
          <w:sz w:val="17"/>
          <w:szCs w:val="17"/>
          <w:b w:val="1"/>
          <w:bCs w:val="1"/>
          <w:color w:val="auto"/>
        </w:rPr>
      </w:pPr>
    </w:p>
    <w:p>
      <w:pPr>
        <w:ind w:left="640" w:hanging="176"/>
        <w:spacing w:after="0"/>
        <w:tabs>
          <w:tab w:leader="none" w:pos="6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21"/>
        <w:spacing w:after="0" w:line="289" w:lineRule="auto"/>
        <w:tabs>
          <w:tab w:leader="none" w:pos="1168" w:val="left"/>
        </w:tabs>
        <w:numPr>
          <w:ilvl w:val="1"/>
          <w:numId w:val="295"/>
        </w:numPr>
        <w:rPr>
          <w:rFonts w:ascii="Arial" w:cs="Arial" w:eastAsia="Arial" w:hAnsi="Arial"/>
          <w:sz w:val="16"/>
          <w:szCs w:val="16"/>
          <w:b w:val="1"/>
          <w:bCs w:val="1"/>
          <w:color w:val="auto"/>
        </w:rPr>
      </w:pPr>
      <w:r>
        <w:rPr>
          <w:rFonts w:ascii="Arial" w:cs="Arial" w:eastAsia="Arial" w:hAnsi="Arial"/>
          <w:sz w:val="16"/>
          <w:szCs w:val="16"/>
          <w:color w:val="auto"/>
        </w:rPr>
        <w:t>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Company may, in its sole discretion; satisfy all or any portion of the Withholding Taxes obligation relating to your Award by any of the following means or by a combination of such means: (i) withholding from any amounts otherwise payable to you by the Company or (ii) causing you to tender a cash payment; (iii) withholding shares of Common Stock from the shares of Common Stock issued or otherwise issuable to you in connection with the Award. with a Fair Market Value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or (v) withholding cash from an Award settled in cash.</w:t>
      </w:r>
    </w:p>
    <w:p>
      <w:pPr>
        <w:spacing w:after="0" w:line="166" w:lineRule="exact"/>
        <w:rPr>
          <w:rFonts w:ascii="Arial" w:cs="Arial" w:eastAsia="Arial" w:hAnsi="Arial"/>
          <w:sz w:val="16"/>
          <w:szCs w:val="16"/>
          <w:b w:val="1"/>
          <w:bCs w:val="1"/>
          <w:color w:val="auto"/>
        </w:rPr>
      </w:pPr>
    </w:p>
    <w:p>
      <w:pPr>
        <w:ind w:right="320" w:firstLine="921"/>
        <w:spacing w:after="0" w:line="277" w:lineRule="auto"/>
        <w:tabs>
          <w:tab w:leader="none" w:pos="1178"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Unless the tax withholding obligations of the Company and/or any Affiliate are satisfied, the Company shall have no obligation to issue a certificate for such shares or release such shares from any escrow provided for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334" w:name="page335"/>
    <w:bookmarkEnd w:id="334"/>
    <w:p>
      <w:pPr>
        <w:jc w:val="both"/>
        <w:ind w:left="-8" w:right="80" w:firstLine="464"/>
        <w:spacing w:after="0" w:line="261" w:lineRule="auto"/>
        <w:tabs>
          <w:tab w:leader="none" w:pos="718"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CONSEQUENCES</w:t>
      </w:r>
      <w:r>
        <w:rPr>
          <w:rFonts w:ascii="Arial" w:cs="Arial" w:eastAsia="Arial" w:hAnsi="Arial"/>
          <w:sz w:val="18"/>
          <w:szCs w:val="18"/>
          <w:color w:val="auto"/>
        </w:rPr>
        <w:t>. The acquisition and vesting of the shares may have adverse tax consequences to you that may avoided or mitigated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election under Section 83(b) of the Code. Such election must be filed within thirty (30) days after the date of your Award. YOU ACKNOWLEDGE THAT IT IS YOUR OWN RESPONSIBILITY, AND NOT THE COMPANY’S, TO FILE A TIMELY ELECTION UNDER CODE SECTION 83(B), EVEN IF YOU REQUEST THE COMPANY TO MAKE THE FILING ON YOUR BEHALF.</w:t>
      </w:r>
    </w:p>
    <w:p>
      <w:pPr>
        <w:spacing w:after="0" w:line="180" w:lineRule="exact"/>
        <w:rPr>
          <w:rFonts w:ascii="Arial" w:cs="Arial" w:eastAsia="Arial" w:hAnsi="Arial"/>
          <w:sz w:val="18"/>
          <w:szCs w:val="18"/>
          <w:b w:val="1"/>
          <w:bCs w:val="1"/>
          <w:color w:val="auto"/>
        </w:rPr>
      </w:pPr>
    </w:p>
    <w:p>
      <w:pPr>
        <w:ind w:left="-8" w:right="40" w:firstLine="464"/>
        <w:spacing w:after="0" w:line="266" w:lineRule="auto"/>
        <w:tabs>
          <w:tab w:leader="none" w:pos="709"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notices provided for in your Award or the Plan shall be given in writing and shall be deemed effectively given upon receipt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notices delivered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left="732" w:hanging="276"/>
        <w:spacing w:after="0"/>
        <w:tabs>
          <w:tab w:leader="none" w:pos="732"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8" w:right="180" w:firstLine="921"/>
        <w:spacing w:after="0" w:line="264" w:lineRule="auto"/>
        <w:tabs>
          <w:tab w:leader="none" w:pos="1160" w:val="left"/>
        </w:tabs>
        <w:numPr>
          <w:ilvl w:val="2"/>
          <w:numId w:val="296"/>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Board in its sole discretion.</w:t>
      </w:r>
    </w:p>
    <w:p>
      <w:pPr>
        <w:spacing w:after="0" w:line="181" w:lineRule="exact"/>
        <w:rPr>
          <w:rFonts w:ascii="Arial" w:cs="Arial" w:eastAsia="Arial" w:hAnsi="Arial"/>
          <w:sz w:val="18"/>
          <w:szCs w:val="18"/>
          <w:b w:val="1"/>
          <w:bCs w:val="1"/>
          <w:color w:val="auto"/>
        </w:rPr>
      </w:pPr>
    </w:p>
    <w:p>
      <w:pPr>
        <w:ind w:left="-8" w:right="160" w:firstLine="921"/>
        <w:spacing w:after="0" w:line="277" w:lineRule="auto"/>
        <w:tabs>
          <w:tab w:leader="none" w:pos="1170" w:val="left"/>
        </w:tabs>
        <w:numPr>
          <w:ilvl w:val="2"/>
          <w:numId w:val="296"/>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70" w:lineRule="exact"/>
        <w:rPr>
          <w:rFonts w:ascii="Arial" w:cs="Arial" w:eastAsia="Arial" w:hAnsi="Arial"/>
          <w:sz w:val="18"/>
          <w:szCs w:val="18"/>
          <w:b w:val="1"/>
          <w:bCs w:val="1"/>
          <w:color w:val="auto"/>
        </w:rPr>
      </w:pPr>
    </w:p>
    <w:p>
      <w:pPr>
        <w:ind w:left="-8" w:right="160" w:firstLine="921"/>
        <w:spacing w:after="0" w:line="277" w:lineRule="auto"/>
        <w:tabs>
          <w:tab w:leader="none" w:pos="1149" w:val="left"/>
        </w:tabs>
        <w:numPr>
          <w:ilvl w:val="2"/>
          <w:numId w:val="296"/>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6" w:lineRule="exact"/>
        <w:rPr>
          <w:rFonts w:ascii="Arial" w:cs="Arial" w:eastAsia="Arial" w:hAnsi="Arial"/>
          <w:sz w:val="18"/>
          <w:szCs w:val="18"/>
          <w:b w:val="1"/>
          <w:bCs w:val="1"/>
          <w:color w:val="auto"/>
        </w:rPr>
      </w:pPr>
    </w:p>
    <w:p>
      <w:pPr>
        <w:ind w:left="-8" w:right="260" w:firstLine="464"/>
        <w:spacing w:after="0" w:line="314" w:lineRule="auto"/>
        <w:tabs>
          <w:tab w:leader="none" w:pos="718" w:val="left"/>
        </w:tabs>
        <w:numPr>
          <w:ilvl w:val="1"/>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PLAN DOCUMENT</w:t>
      </w:r>
      <w:r>
        <w:rPr>
          <w:rFonts w:ascii="Arial" w:cs="Arial" w:eastAsia="Arial" w:hAnsi="Arial"/>
          <w:sz w:val="16"/>
          <w:szCs w:val="16"/>
          <w:color w:val="auto"/>
        </w:rPr>
        <w:t>. Your Award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Award, and is further subject to all interpretations, amendments, rules and regulations which may from time to time be promulgated and adopted pursuant to the Plan. In the event of any conflict between the provisions of your Award and those of the Plan, the provisions of the Plan shall control.</w:t>
      </w:r>
    </w:p>
    <w:p>
      <w:pPr>
        <w:spacing w:after="0" w:line="142" w:lineRule="exact"/>
        <w:rPr>
          <w:rFonts w:ascii="Arial" w:cs="Arial" w:eastAsia="Arial" w:hAnsi="Arial"/>
          <w:sz w:val="16"/>
          <w:szCs w:val="16"/>
          <w:b w:val="1"/>
          <w:bCs w:val="1"/>
          <w:color w:val="auto"/>
        </w:rPr>
      </w:pPr>
    </w:p>
    <w:p>
      <w:pPr>
        <w:ind w:left="-8" w:firstLine="464"/>
        <w:spacing w:after="0" w:line="285" w:lineRule="auto"/>
        <w:tabs>
          <w:tab w:leader="none" w:pos="718" w:val="left"/>
        </w:tabs>
        <w:numPr>
          <w:ilvl w:val="1"/>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 OF SECTION 409A</w:t>
      </w:r>
      <w:r>
        <w:rPr>
          <w:rFonts w:ascii="Arial" w:cs="Arial" w:eastAsia="Arial" w:hAnsi="Arial"/>
          <w:sz w:val="16"/>
          <w:szCs w:val="16"/>
          <w:color w:val="auto"/>
        </w:rPr>
        <w:t>. This Award is intended to be exempt from the application of Section 409A of the Code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Treasury Regulation 1.409A-l(b)(6). Notwithstanding the foregoing, if it is determined that the Award fails to satisfy the requirements of Treasury Regulation l.409A-l(b)(6) or the short-term deferral rule and is otherwise deferred compensation subject to Section 409A, and if you are a “Specified Employee” (within the meaning set forth Section 409A(a)(2)(B)(i) of the Code) as of the date of your separation from service (within the meaning of Treasury Regulation Section 1.409A-l(h)), then the vesting and/or issuance of any shares that would otherwise be made upon the date of your separation from service or within the first six (6) months thereafter will not be made on the originally scheduled date(s) and will instead occur in a lump sum on the date that is six</w:t>
      </w:r>
    </w:p>
    <w:p>
      <w:pPr>
        <w:spacing w:after="0" w:line="3" w:lineRule="exact"/>
        <w:rPr>
          <w:rFonts w:ascii="Arial" w:cs="Arial" w:eastAsia="Arial" w:hAnsi="Arial"/>
          <w:sz w:val="16"/>
          <w:szCs w:val="16"/>
          <w:b w:val="1"/>
          <w:bCs w:val="1"/>
          <w:color w:val="auto"/>
        </w:rPr>
      </w:pPr>
    </w:p>
    <w:p>
      <w:pPr>
        <w:jc w:val="both"/>
        <w:ind w:left="-8" w:right="220" w:firstLine="8"/>
        <w:spacing w:after="0" w:line="254" w:lineRule="auto"/>
        <w:tabs>
          <w:tab w:leader="none" w:pos="2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months and one day after the date of the separation from service, with the balance of the shares becoming vested or issued thereafter in accordance with the original vesting and issuance schedule set forth above, but if and only if such delay is necessary to avoid the imposition of taxation on you in respect of the shares under Section 409A of the Code. Each installment of shares that vests is intended to constitute a “separate payment” for purposes of Treasury Regulation Section 1.409A-2(b)(2).</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0" w:right="239" w:bottom="1440" w:gutter="0" w:footer="0" w:header="0"/>
        </w:sectPr>
      </w:pPr>
    </w:p>
    <w:bookmarkStart w:id="335" w:name="page336"/>
    <w:bookmarkEnd w:id="3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2006 EQUITY INCENTIVE PLAN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SEPARATE FROM CERTIFICATE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337" w:name="page338"/>
    <w:bookmarkEnd w:id="33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SEPARATE FROM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and pursuant to that certain Restricted Stock Bonus Grant Notice and Restricted Stock Bonus Agreement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w:t>
      </w:r>
    </w:p>
    <w:p>
      <w:pPr>
        <w:spacing w:after="0" w:line="50" w:lineRule="exact"/>
        <w:rPr>
          <w:sz w:val="20"/>
          <w:szCs w:val="20"/>
          <w:color w:val="auto"/>
        </w:rPr>
      </w:pPr>
    </w:p>
    <w:p>
      <w:pPr>
        <w:ind w:firstLine="585"/>
        <w:spacing w:after="0" w:line="252" w:lineRule="auto"/>
        <w:rPr>
          <w:sz w:val="20"/>
          <w:szCs w:val="20"/>
          <w:color w:val="auto"/>
        </w:rPr>
      </w:pPr>
      <w:r>
        <w:rPr>
          <w:rFonts w:ascii="Arial" w:cs="Arial" w:eastAsia="Arial" w:hAnsi="Arial"/>
          <w:sz w:val="18"/>
          <w:szCs w:val="18"/>
          <w:color w:val="auto"/>
        </w:rPr>
        <w:t>hereby sells, assigns and transfers unto AnaptysBio, Inc., a Delaware corporation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 ) shares of the common stock of the Assignee, standing in the undersigned’s name on the books of said corporation represented by Certificate No. herewith and do hereby irrevocably constitute and appoint as attorney-in-fact to transfer the said stock on the books of the within named Company with full power of substitution in the premises. This Assignment may be used only in accordance with and subject to the terms and conditions of the Award, in connection with the repurchase of shares of Common Stock of the Corporation issued to the undersigned pursuant to the Award, and only to the extent that such shares remain subject to the Corporation’s Reacquisition Right under the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9673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9144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INSTRUCTION</w:t>
      </w:r>
      <w:r>
        <w:rPr>
          <w:rFonts w:ascii="Arial" w:cs="Arial" w:eastAsia="Arial" w:hAnsi="Arial"/>
          <w:sz w:val="18"/>
          <w:szCs w:val="18"/>
          <w:color w:val="auto"/>
        </w:rPr>
        <w:t>: Please do not fill in any blanks other than the signature line. The purpose of this Assignment is to enable the Company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Reacquisition Right set forth in the Award without requiring additional signatures on your part.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69" w:right="379" w:bottom="1440" w:gutter="0" w:footer="0" w:header="0"/>
        </w:sectPr>
      </w:pPr>
    </w:p>
    <w:bookmarkStart w:id="338" w:name="page339"/>
    <w:bookmarkEnd w:id="33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JOINT ESCROW INSTRUCTIONS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JOINT ESCROW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Escrow Agent for both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undersigned recipient of stock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you are hereby authorized and directed to hold the documents delivered to you pursuant to the terms of that certain Restricted Stock Bonus</w:t>
      </w:r>
    </w:p>
    <w:p>
      <w:pPr>
        <w:spacing w:after="0" w:line="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dated to which a copy of these Joint Escrow Instructions is attached as Attachment IV, and pursuant to the terms of that certain Restricted Stock Bonus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is Attachment I to the Grant Notice, in accordance with the following instructions:</w:t>
      </w:r>
    </w:p>
    <w:p>
      <w:pPr>
        <w:spacing w:after="0" w:line="190" w:lineRule="exact"/>
        <w:rPr>
          <w:sz w:val="20"/>
          <w:szCs w:val="20"/>
          <w:color w:val="auto"/>
        </w:rPr>
      </w:pPr>
    </w:p>
    <w:p>
      <w:pPr>
        <w:ind w:right="140" w:firstLine="464"/>
        <w:spacing w:after="0" w:line="259" w:lineRule="auto"/>
        <w:tabs>
          <w:tab w:leader="none" w:pos="636"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In the event Recipient ceases to render services to the Company or an affiliate of the Company during the vesting period set forth in the Grant Notice, the Company or its assignee will give to Recipient and you a written notice specifying that the shares of Common Stock shall be transferred to the Company. Recipient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b w:val="1"/>
          <w:bCs w:val="1"/>
          <w:color w:val="auto"/>
        </w:rPr>
      </w:pPr>
    </w:p>
    <w:p>
      <w:pPr>
        <w:ind w:right="420" w:firstLine="464"/>
        <w:spacing w:after="0" w:line="342" w:lineRule="auto"/>
        <w:tabs>
          <w:tab w:leader="none" w:pos="636"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At the closing you are directed (a) to date any stock assignments necessary for the transfer in question, (b) to fill in the number of shares being transferred, and (c) to deliver same, together with the certificate evidencing the shares of Common Stock to be transferred, to the Company.</w:t>
      </w:r>
    </w:p>
    <w:p>
      <w:pPr>
        <w:spacing w:after="0" w:line="123" w:lineRule="exact"/>
        <w:rPr>
          <w:rFonts w:ascii="Arial" w:cs="Arial" w:eastAsia="Arial" w:hAnsi="Arial"/>
          <w:sz w:val="16"/>
          <w:szCs w:val="16"/>
          <w:b w:val="1"/>
          <w:bCs w:val="1"/>
          <w:color w:val="auto"/>
        </w:rPr>
      </w:pPr>
    </w:p>
    <w:p>
      <w:pPr>
        <w:ind w:firstLine="464"/>
        <w:spacing w:after="0" w:line="302" w:lineRule="auto"/>
        <w:tabs>
          <w:tab w:leader="none" w:pos="636"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Recipient irrevocably authorizes the Company to deposit with you any certificates evidencing shares of Common Stock to be held by you hereunder and any additions and substitutions to said shares as specified in the Grant Notice. Recipient does hereby irrevocably constitute and appoint you as Recipient’s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54" w:lineRule="exact"/>
        <w:rPr>
          <w:rFonts w:ascii="Arial" w:cs="Arial" w:eastAsia="Arial" w:hAnsi="Arial"/>
          <w:sz w:val="16"/>
          <w:szCs w:val="16"/>
          <w:b w:val="1"/>
          <w:bCs w:val="1"/>
          <w:color w:val="auto"/>
        </w:rPr>
      </w:pPr>
    </w:p>
    <w:p>
      <w:pPr>
        <w:ind w:right="800" w:firstLine="464"/>
        <w:spacing w:after="0" w:line="277" w:lineRule="auto"/>
        <w:tabs>
          <w:tab w:leader="none" w:pos="636"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This escrow shall terminate upon vesting of the shares or upon the earlier return of the shares to the Company pursuant to the Company’s Reacquisition Right or other forfeiture condition under the Plan.</w:t>
      </w:r>
    </w:p>
    <w:p>
      <w:pPr>
        <w:spacing w:after="0" w:line="170" w:lineRule="exact"/>
        <w:rPr>
          <w:rFonts w:ascii="Arial" w:cs="Arial" w:eastAsia="Arial" w:hAnsi="Arial"/>
          <w:sz w:val="18"/>
          <w:szCs w:val="18"/>
          <w:b w:val="1"/>
          <w:bCs w:val="1"/>
          <w:color w:val="auto"/>
        </w:rPr>
      </w:pPr>
    </w:p>
    <w:p>
      <w:pPr>
        <w:ind w:right="80" w:firstLine="464"/>
        <w:spacing w:after="0" w:line="342" w:lineRule="auto"/>
        <w:tabs>
          <w:tab w:leader="none" w:pos="636"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w:t>
      </w:r>
    </w:p>
    <w:p>
      <w:pPr>
        <w:spacing w:after="0" w:line="123" w:lineRule="exact"/>
        <w:rPr>
          <w:rFonts w:ascii="Arial" w:cs="Arial" w:eastAsia="Arial" w:hAnsi="Arial"/>
          <w:sz w:val="16"/>
          <w:szCs w:val="16"/>
          <w:b w:val="1"/>
          <w:bCs w:val="1"/>
          <w:color w:val="auto"/>
        </w:rPr>
      </w:pPr>
    </w:p>
    <w:p>
      <w:pPr>
        <w:ind w:left="640" w:hanging="176"/>
        <w:spacing w:after="0"/>
        <w:tabs>
          <w:tab w:leader="none" w:pos="64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69" w:right="339" w:bottom="1440" w:gutter="0" w:footer="0" w:header="0"/>
        </w:sectPr>
      </w:pPr>
    </w:p>
    <w:bookmarkStart w:id="339" w:name="page340"/>
    <w:bookmarkEnd w:id="339"/>
    <w:p>
      <w:pPr>
        <w:ind w:firstLine="464"/>
        <w:spacing w:after="0" w:line="302" w:lineRule="auto"/>
        <w:tabs>
          <w:tab w:leader="none" w:pos="636"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Recipient while acting in good faith and any act done or omitted by you pursuant to the advice of your own attorneys shall be conclusive evidence of such good faith.</w:t>
      </w:r>
    </w:p>
    <w:p>
      <w:pPr>
        <w:spacing w:after="0" w:line="154" w:lineRule="exact"/>
        <w:rPr>
          <w:rFonts w:ascii="Arial" w:cs="Arial" w:eastAsia="Arial" w:hAnsi="Arial"/>
          <w:sz w:val="16"/>
          <w:szCs w:val="16"/>
          <w:b w:val="1"/>
          <w:bCs w:val="1"/>
          <w:color w:val="auto"/>
        </w:rPr>
      </w:pPr>
    </w:p>
    <w:p>
      <w:pPr>
        <w:ind w:right="40" w:firstLine="464"/>
        <w:spacing w:after="0" w:line="257" w:lineRule="auto"/>
        <w:tabs>
          <w:tab w:leader="none" w:pos="636"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rFonts w:ascii="Arial" w:cs="Arial" w:eastAsia="Arial" w:hAnsi="Arial"/>
          <w:sz w:val="18"/>
          <w:szCs w:val="18"/>
          <w:b w:val="1"/>
          <w:bCs w:val="1"/>
          <w:color w:val="auto"/>
        </w:rPr>
      </w:pPr>
    </w:p>
    <w:p>
      <w:pPr>
        <w:ind w:right="140" w:firstLine="464"/>
        <w:spacing w:after="0" w:line="277" w:lineRule="auto"/>
        <w:tabs>
          <w:tab w:leader="none" w:pos="636"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Grant Notice or any documents or papers deposited or called for hereunder.</w:t>
      </w:r>
    </w:p>
    <w:p>
      <w:pPr>
        <w:spacing w:after="0" w:line="170" w:lineRule="exact"/>
        <w:rPr>
          <w:rFonts w:ascii="Arial" w:cs="Arial" w:eastAsia="Arial" w:hAnsi="Arial"/>
          <w:sz w:val="18"/>
          <w:szCs w:val="18"/>
          <w:b w:val="1"/>
          <w:bCs w:val="1"/>
          <w:color w:val="auto"/>
        </w:rPr>
      </w:pPr>
    </w:p>
    <w:p>
      <w:pPr>
        <w:ind w:right="620" w:firstLine="464"/>
        <w:spacing w:after="0" w:line="277" w:lineRule="auto"/>
        <w:tabs>
          <w:tab w:leader="none" w:pos="726"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You shall not be liable for the outlawing of any rights under any statute of limitations with respect to these Joint Escrow Instructions or any documents deposited with you.</w:t>
      </w:r>
    </w:p>
    <w:p>
      <w:pPr>
        <w:spacing w:after="0" w:line="16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 You shall be entitled to employ such legal counsel, including but not limited to Fenwick &amp; West LLP, and other experts as you may deem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to advise you in connection with your obligations hereunder, may rely upon the advice of such counsel, and may pay such counsel reasonable compensation therefor.</w:t>
      </w:r>
    </w:p>
    <w:p>
      <w:pPr>
        <w:spacing w:after="0" w:line="176"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12</w:t>
      </w:r>
      <w:r>
        <w:rPr>
          <w:rFonts w:ascii="Arial" w:cs="Arial" w:eastAsia="Arial" w:hAnsi="Arial"/>
          <w:sz w:val="16"/>
          <w:szCs w:val="16"/>
          <w:color w:val="auto"/>
        </w:rPr>
        <w:t>. Your responsibilities as Escrow Agent hereunder shall terminate if you shall cease to be Secretary of the Company or if you shall resign by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each party. In the event of any such termination, the Company may appoint any officer or assistant officer of the Company as successor Escrow Agent and Recipient hereby confirms the appointment of such successor or successors as his attorney-in-fact and agent to the full extent of your appointment.</w:t>
      </w:r>
    </w:p>
    <w:p>
      <w:pPr>
        <w:spacing w:after="0" w:line="146" w:lineRule="exact"/>
        <w:rPr>
          <w:sz w:val="20"/>
          <w:szCs w:val="20"/>
          <w:color w:val="auto"/>
        </w:rPr>
      </w:pPr>
    </w:p>
    <w:p>
      <w:pPr>
        <w:ind w:right="540" w:firstLine="464"/>
        <w:spacing w:after="0" w:line="277" w:lineRule="auto"/>
        <w:tabs>
          <w:tab w:leader="none" w:pos="726"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b w:val="1"/>
          <w:bCs w:val="1"/>
          <w:color w:val="auto"/>
        </w:rPr>
      </w:pPr>
    </w:p>
    <w:p>
      <w:pPr>
        <w:jc w:val="both"/>
        <w:ind w:right="160" w:firstLine="464"/>
        <w:spacing w:after="0" w:line="302" w:lineRule="auto"/>
        <w:tabs>
          <w:tab w:leader="none" w:pos="726"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you may (but are not obligated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54" w:lineRule="exact"/>
        <w:rPr>
          <w:rFonts w:ascii="Arial" w:cs="Arial" w:eastAsia="Arial" w:hAnsi="Arial"/>
          <w:sz w:val="16"/>
          <w:szCs w:val="16"/>
          <w:b w:val="1"/>
          <w:bCs w:val="1"/>
          <w:color w:val="auto"/>
        </w:rPr>
      </w:pPr>
    </w:p>
    <w:p>
      <w:pPr>
        <w:ind w:right="100" w:firstLine="464"/>
        <w:spacing w:after="0" w:line="312" w:lineRule="auto"/>
        <w:tabs>
          <w:tab w:leader="none" w:pos="726"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any United States Post Box, by registered or certified mail with postage and fees prepaid, addressed to each of the other parties hereunto entitled at the following addresses, or at such other addresses as a party may designate by ten (10) days’ written notice to each of the other parties hereto: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40" w:name="page341"/>
    <w:bookmarkEnd w:id="340"/>
    <w:p>
      <w:pPr>
        <w:ind w:left="460"/>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AnaptysBio,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-215900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10421 Pacific Center Court,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ectPr>
          <w:pgSz w:w="11900" w:h="16838" w:orient="portrait"/>
          <w:cols w:equalWidth="0" w:num="2">
            <w:col w:w="1860" w:space="720"/>
            <w:col w:w="8820"/>
          </w:cols>
          <w:pgMar w:left="240" w:top="270" w:right="259" w:bottom="1440" w:gutter="0" w:footer="0" w:header="0"/>
        </w:sectPr>
      </w:pPr>
    </w:p>
    <w:p>
      <w:pPr>
        <w:spacing w:after="0" w:line="1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Attn: Chief Financial Officer</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RECIPIENT</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type w:val="continuous"/>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ESCROW AGENT: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10421 Pacific Center Court,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00" w:lineRule="exact"/>
        <w:rPr>
          <w:sz w:val="20"/>
          <w:szCs w:val="20"/>
          <w:color w:val="auto"/>
        </w:rPr>
      </w:pPr>
    </w:p>
    <w:p>
      <w:pPr>
        <w:sectPr>
          <w:pgSz w:w="11900" w:h="16838" w:orient="portrait"/>
          <w:cols w:equalWidth="0" w:num="2">
            <w:col w:w="1980" w:space="600"/>
            <w:col w:w="8820"/>
          </w:cols>
          <w:pgMar w:left="240" w:top="270" w:right="259" w:bottom="1440" w:gutter="0" w:footer="0" w:header="0"/>
          <w:type w:val="continuous"/>
        </w:sectPr>
      </w:pPr>
    </w:p>
    <w:p>
      <w:pPr>
        <w:spacing w:after="0" w:line="11" w:lineRule="exact"/>
        <w:rPr>
          <w:sz w:val="20"/>
          <w:szCs w:val="20"/>
          <w:color w:val="auto"/>
        </w:rPr>
      </w:pPr>
    </w:p>
    <w:p>
      <w:pPr>
        <w:ind w:right="140" w:firstLine="464"/>
        <w:spacing w:after="0" w:line="277" w:lineRule="auto"/>
        <w:tabs>
          <w:tab w:leader="none" w:pos="726"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Grant Notice.</w:t>
      </w:r>
    </w:p>
    <w:p>
      <w:pPr>
        <w:spacing w:after="0" w:line="170" w:lineRule="exact"/>
        <w:rPr>
          <w:rFonts w:ascii="Arial" w:cs="Arial" w:eastAsia="Arial" w:hAnsi="Arial"/>
          <w:sz w:val="18"/>
          <w:szCs w:val="18"/>
          <w:b w:val="1"/>
          <w:bCs w:val="1"/>
          <w:color w:val="auto"/>
        </w:rPr>
      </w:pPr>
    </w:p>
    <w:p>
      <w:pPr>
        <w:ind w:right="80" w:firstLine="464"/>
        <w:spacing w:after="0" w:line="259" w:lineRule="auto"/>
        <w:tabs>
          <w:tab w:leader="none" w:pos="726"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Grant Notice and these Joint Escrow Instructions in whole or in part.</w:t>
      </w:r>
    </w:p>
    <w:p>
      <w:pPr>
        <w:spacing w:after="0" w:line="186" w:lineRule="exact"/>
        <w:rPr>
          <w:rFonts w:ascii="Arial" w:cs="Arial" w:eastAsia="Arial" w:hAnsi="Arial"/>
          <w:sz w:val="18"/>
          <w:szCs w:val="18"/>
          <w:b w:val="1"/>
          <w:bCs w:val="1"/>
          <w:color w:val="auto"/>
        </w:rPr>
      </w:pPr>
    </w:p>
    <w:p>
      <w:pPr>
        <w:ind w:firstLine="464"/>
        <w:spacing w:after="0" w:line="277" w:lineRule="auto"/>
        <w:tabs>
          <w:tab w:leader="none" w:pos="726"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interpreted and determined in accordance with the laws of the State of Delaware, as such laws are applied by Delaware courts to contracts made and to be performed entirely in Delaware by residents of that state.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type w:val="continuous"/>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ind w:right="20" w:firstLine="8"/>
        <w:spacing w:after="0" w:line="314" w:lineRule="auto"/>
        <w:tabs>
          <w:tab w:leader="none" w:pos="180"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Plan is to provide incentives to attract, retain and motivate eligible persons whose present and potential contributions are</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to the success of the Company, and any Parents and Subsidiaries that exist now or in the future, by offering them an opportunity to participate in the Company’s future performance through the grant of Awards. Capitalized terms not defined elsewhere in the text are defined in Section 28.</w:t>
      </w:r>
    </w:p>
    <w:p>
      <w:pPr>
        <w:spacing w:after="0" w:line="142" w:lineRule="exact"/>
        <w:rPr>
          <w:rFonts w:ascii="Arial" w:cs="Arial" w:eastAsia="Arial" w:hAnsi="Arial"/>
          <w:sz w:val="16"/>
          <w:szCs w:val="16"/>
          <w:b w:val="1"/>
          <w:bCs w:val="1"/>
          <w:color w:val="auto"/>
        </w:rPr>
      </w:pPr>
    </w:p>
    <w:p>
      <w:pPr>
        <w:ind w:left="180" w:hanging="172"/>
        <w:spacing w:after="0"/>
        <w:tabs>
          <w:tab w:leader="none" w:pos="1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 reserved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for grant and issuance pursuant to this Plan as of the date of adoption of the Plan by the Board, is One Million Six Hundred Forty Seven Thousand One Hundred Sixty Three (1,647,163) Shares,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any reserved shares not issued or subject to outstanding grants under the Company’s 2006 Equity Incentive Plan, as amended,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on the Effective Date (as defined below),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w:t>
      </w:r>
    </w:p>
    <w:p>
      <w:pPr>
        <w:spacing w:after="0" w:line="16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u w:val="single" w:color="auto"/>
          <w:color w:val="auto"/>
        </w:rPr>
        <w:t>Lapsed, Returned Awards</w:t>
      </w:r>
      <w:r>
        <w:rPr>
          <w:rFonts w:ascii="Arial" w:cs="Arial" w:eastAsia="Arial" w:hAnsi="Arial"/>
          <w:sz w:val="16"/>
          <w:szCs w:val="16"/>
          <w:color w:val="auto"/>
        </w:rPr>
        <w:t>. Shares subject to Awards, and Shares issued under the Plan under any Award, will again be available for grant and</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6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outstanding Awards granted under this Plan.</w:t>
      </w:r>
    </w:p>
    <w:p>
      <w:pPr>
        <w:spacing w:after="0" w:line="16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The number of Shares available for grant and issuance under the Plan shall be increased on January 1,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Ten (10) calendar years during the term of the Plan, by the lesser of (a) Four Percent (4%) of the number of Shares issued and outstanding on each December 31 immediately prior to the date of increase or (b) such number of Shares determined by the Board.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u w:val="single" w:color="auto"/>
          <w:color w:val="auto"/>
        </w:rPr>
        <w:t>Limitations</w:t>
      </w:r>
      <w:r>
        <w:rPr>
          <w:rFonts w:ascii="Arial" w:cs="Arial" w:eastAsia="Arial" w:hAnsi="Arial"/>
          <w:sz w:val="18"/>
          <w:szCs w:val="18"/>
          <w:color w:val="auto"/>
        </w:rPr>
        <w:t>. No more than Twelve Million (12,000,000) Shares shall be issued pursuant to the exercise of ISOs.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42" w:name="page343"/>
    <w:bookmarkEnd w:id="342"/>
    <w:p>
      <w:pPr>
        <w:ind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of outstanding Shares is changed by a stock dividend, extraordinary dividends or distributions (whether in</w:t>
      </w:r>
      <w:r>
        <w:rPr>
          <w:rFonts w:ascii="Arial" w:cs="Arial" w:eastAsia="Arial" w:hAnsi="Arial"/>
          <w:sz w:val="16"/>
          <w:szCs w:val="16"/>
          <w:b w:val="1"/>
          <w:bCs w:val="1"/>
          <w:color w:val="auto"/>
        </w:rPr>
        <w:t xml:space="preserve"> </w:t>
      </w:r>
      <w:r>
        <w:rPr>
          <w:rFonts w:ascii="Arial" w:cs="Arial" w:eastAsia="Arial" w:hAnsi="Arial"/>
          <w:sz w:val="16"/>
          <w:szCs w:val="16"/>
          <w:color w:val="auto"/>
        </w:rPr>
        <w:t>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 (b) the Exercise Prices of and number and class of Shares subject to outstanding Options and SARs, (c) the number of Shares subject to other outstanding Awards, (d) the maximum number and class of Shares that may be issued as ISOs set forth in Section 2.5, (e) the maximum number and class of Shares that may be issued to an individual or to a new Employee in any one calendar year set forth in Section 3 and (f) the number and class of Shares that may be granted as Awards to Non-Employee Directors as set forth in Section 12, shall be proportionately adjusted, subject to any required action by the Board or the stockholders of the Company and in compliance with applicable securities laws; provided that fractions of a Share will not be issued.</w:t>
      </w:r>
    </w:p>
    <w:p>
      <w:pPr>
        <w:spacing w:after="0" w:line="160" w:lineRule="exact"/>
        <w:rPr>
          <w:sz w:val="20"/>
          <w:szCs w:val="20"/>
          <w:color w:val="auto"/>
        </w:rPr>
      </w:pPr>
    </w:p>
    <w:p>
      <w:pPr>
        <w:ind w:right="60" w:firstLine="8"/>
        <w:spacing w:after="0" w:line="277" w:lineRule="auto"/>
        <w:tabs>
          <w:tab w:leader="none" w:pos="180"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ISOs may be granted only to Employees. All other Awards may be granted to Employees, Consultants, Directors and Non-Employee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Consultants, Directors and Non-Employee Directors render bona fide services not in connection with the offer and sale of securities in a capital-raising transaction. No Participant will be eligible to receive an Award or Awards for more than One Million (1,000,000) Shares in any calendar year under this Plan except that new Employees of the Company or of a Parent or Subsidiary of the Company are eligible to be granted up to a maximum of an Award or Awards for Two Million (2,000,000) Shares in the calendar year in which they commence their employment.</w:t>
      </w:r>
    </w:p>
    <w:p>
      <w:pPr>
        <w:spacing w:after="0" w:line="168" w:lineRule="exact"/>
        <w:rPr>
          <w:rFonts w:ascii="Arial" w:cs="Arial" w:eastAsia="Arial" w:hAnsi="Arial"/>
          <w:sz w:val="17"/>
          <w:szCs w:val="17"/>
          <w:b w:val="1"/>
          <w:bCs w:val="1"/>
          <w:color w:val="auto"/>
        </w:rPr>
      </w:pPr>
    </w:p>
    <w:p>
      <w:pPr>
        <w:ind w:left="180" w:hanging="172"/>
        <w:spacing w:after="0"/>
        <w:tabs>
          <w:tab w:leader="none" w:pos="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Committee Composition; Authority</w:t>
      </w:r>
      <w:r>
        <w:rPr>
          <w:rFonts w:ascii="Arial" w:cs="Arial" w:eastAsia="Arial" w:hAnsi="Arial"/>
          <w:sz w:val="16"/>
          <w:szCs w:val="16"/>
          <w:color w:val="auto"/>
        </w:rPr>
        <w:t>. This Plan will be administered by the Committee or by the Board acting as the Committee.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46" w:lineRule="exact"/>
        <w:rPr>
          <w:sz w:val="20"/>
          <w:szCs w:val="20"/>
          <w:color w:val="auto"/>
        </w:rPr>
      </w:pPr>
    </w:p>
    <w:p>
      <w:pPr>
        <w:ind w:left="1160" w:hanging="239"/>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225"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25" w:lineRule="exact"/>
        <w:rPr>
          <w:rFonts w:ascii="Arial" w:cs="Arial" w:eastAsia="Arial" w:hAnsi="Arial"/>
          <w:sz w:val="18"/>
          <w:szCs w:val="18"/>
          <w:color w:val="auto"/>
        </w:rPr>
      </w:pPr>
    </w:p>
    <w:p>
      <w:pPr>
        <w:ind w:right="220" w:firstLine="921"/>
        <w:spacing w:after="0" w:line="277" w:lineRule="auto"/>
        <w:tabs>
          <w:tab w:leader="none" w:pos="113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69" w:right="279" w:bottom="1440" w:gutter="0" w:footer="0" w:header="0"/>
        </w:sectPr>
      </w:pPr>
    </w:p>
    <w:bookmarkStart w:id="343" w:name="page344"/>
    <w:bookmarkEnd w:id="343"/>
    <w:p>
      <w:pPr>
        <w:ind w:right="80" w:firstLine="921"/>
        <w:spacing w:after="0" w:line="277" w:lineRule="auto"/>
        <w:tabs>
          <w:tab w:leader="none" w:pos="11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reduce or waive any criteria with respect to Performance Factors;</w:t>
      </w:r>
    </w:p>
    <w:p>
      <w:pPr>
        <w:spacing w:after="0" w:line="225" w:lineRule="exact"/>
        <w:rPr>
          <w:rFonts w:ascii="Arial" w:cs="Arial" w:eastAsia="Arial" w:hAnsi="Arial"/>
          <w:sz w:val="18"/>
          <w:szCs w:val="18"/>
          <w:color w:val="auto"/>
        </w:rPr>
      </w:pPr>
    </w:p>
    <w:p>
      <w:pPr>
        <w:jc w:val="both"/>
        <w:ind w:right="60" w:firstLine="921"/>
        <w:spacing w:after="0" w:line="312" w:lineRule="auto"/>
        <w:tabs>
          <w:tab w:leader="none" w:pos="116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adjust Performance Factors to take into account changes in law and accounting or tax rules as the Committee deems necessary or appropriate to reflect the impact of extraordinary or unusual items, events or circumstances to avoid windfalls or hardships provided that such adjustments are consistent with the regulations promulgated under Section 162(m) of the Code with respect to persons whose compensation is subject to Section 162(m) of the Code;</w:t>
      </w:r>
    </w:p>
    <w:p>
      <w:pPr>
        <w:spacing w:after="0" w:line="146"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w:t>
      </w:r>
    </w:p>
    <w:p>
      <w:pPr>
        <w:spacing w:after="0" w:line="225" w:lineRule="exact"/>
        <w:rPr>
          <w:rFonts w:ascii="Arial" w:cs="Arial" w:eastAsia="Arial" w:hAnsi="Arial"/>
          <w:sz w:val="18"/>
          <w:szCs w:val="18"/>
          <w:color w:val="auto"/>
        </w:rPr>
      </w:pPr>
    </w:p>
    <w:p>
      <w:pPr>
        <w:ind w:firstLine="921"/>
        <w:spacing w:after="0" w:line="277" w:lineRule="auto"/>
        <w:tabs>
          <w:tab w:leader="none" w:pos="11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delegate any of the foregoing to a subcommittee consisting of one or more executive officers pursuant to a specific delegation as permitted by applicable law, including Section 157(c) of the Delaware General Corporation Law; and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exercise negative discretion on Performance Awards, reducing or eliminating the amount to be paid to Participants.</w:t>
      </w:r>
    </w:p>
    <w:p>
      <w:pPr>
        <w:spacing w:after="0" w:line="221"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Committee Interpretation and Discretion</w:t>
      </w:r>
      <w:r>
        <w:rPr>
          <w:rFonts w:ascii="Arial" w:cs="Arial" w:eastAsia="Arial" w:hAnsi="Arial"/>
          <w:sz w:val="16"/>
          <w:szCs w:val="16"/>
          <w:color w:val="auto"/>
        </w:rPr>
        <w:t>. Any determination made by the Committee with respect to any Award shall be made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56"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Section 162(m) of the Code and Section 16 of the Exchange Act</w:t>
      </w:r>
      <w:r>
        <w:rPr>
          <w:rFonts w:ascii="Arial" w:cs="Arial" w:eastAsia="Arial" w:hAnsi="Arial"/>
          <w:sz w:val="16"/>
          <w:szCs w:val="16"/>
          <w:color w:val="auto"/>
        </w:rPr>
        <w:t>. When necessary or desirable for an Award to qualify as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under Section 162(m) of the Code, the Committee administering the Plan in accordance with the requirements of Rule 16b-3 and Section 162(m) of the Code shall consist of at least two individuals, each of whom qualifies as (a) a Non-Employee Director under Rule 16b-3, and (b) an “outside director” pursuant to Code Section 162(m) and the regulations issued thereunder. At least two (or a majority if more than two then serve on the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344" w:name="page345"/>
    <w:bookmarkEnd w:id="34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such “outside directors” shall approve the grant of such Award and timely determine (as applicable) the Performance Period and any Performance Factors upon which vesting or settlement of any portion of such Award is to be subject. When required by Section 162(m) of the Code, prior to settlement of any such Award at least two (or a majority if more than two then serve on the Committee) such “outside directors” then serving on the Committee shall determine and certify in writing the extent to which such Performance Factors have been timely achieved and the extent to which the Shares subject to such Award have thereby been earned. Awards granted to Participants who are subject to Section 16 of the Exchange Act must be approved by two or more “non-employee directors” (as defined in the regulations promulgated under Section 16 of the Exchange Act). With respect to Participants whose compensation is subject to Section 162(m) of the Code, and provided that such adjustments are consistent with the regulations promulgated under Section 162(m) of the Code, the Committee may adjust the performance goals to account for changes in law and accounting and to make such adjustments as the Committee deems necessary or appropriate to reflect the impact of extraordinary or unusual items, events or circumstances to avoid windfalls or hardships, including without limitation (a) restructurings, discontinued operations, extraordinary items, and other unusual or non-recurring charges, (b) an event either not directly related to the operations of the Company or not within the reasonable control of the Company’s management, or (c) a change in accounting standards required by generally accepted accounting principles.</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in any manner (including electronic distribution or posting) that meets applicable legal requirements.</w:t>
      </w:r>
    </w:p>
    <w:p>
      <w:pPr>
        <w:spacing w:after="0" w:line="16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in which the Company and its Subsidiaries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Section 2.1 hereof; and</w:t>
      </w:r>
    </w:p>
    <w:p>
      <w:pPr>
        <w:spacing w:after="0" w:line="5" w:lineRule="exact"/>
        <w:rPr>
          <w:sz w:val="20"/>
          <w:szCs w:val="20"/>
          <w:color w:val="auto"/>
        </w:rPr>
      </w:pPr>
    </w:p>
    <w:p>
      <w:pPr>
        <w:jc w:val="both"/>
        <w:ind w:right="20" w:firstLine="8"/>
        <w:spacing w:after="0" w:line="254" w:lineRule="auto"/>
        <w:tabs>
          <w:tab w:leader="none" w:pos="24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86" w:lineRule="exact"/>
        <w:rPr>
          <w:sz w:val="20"/>
          <w:szCs w:val="20"/>
          <w:color w:val="auto"/>
        </w:rPr>
      </w:pPr>
    </w:p>
    <w:p>
      <w:pPr>
        <w:ind w:right="20" w:firstLine="8"/>
        <w:spacing w:after="0" w:line="281" w:lineRule="auto"/>
        <w:tabs>
          <w:tab w:leader="none" w:pos="180"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if applicable. The Committee may grant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u w:val="single" w:color="auto"/>
          <w:color w:val="auto"/>
        </w:rPr>
        <w:t>Option Grant</w:t>
      </w:r>
      <w:r>
        <w:rPr>
          <w:rFonts w:ascii="Arial" w:cs="Arial" w:eastAsia="Arial" w:hAnsi="Arial"/>
          <w:sz w:val="16"/>
          <w:szCs w:val="16"/>
          <w:color w:val="auto"/>
        </w:rPr>
        <w:t>. Each Option granted under this Plan will identify the Option as an ISO or an NSO. An Option may be, but need not be, awarded</w:t>
      </w:r>
      <w:r>
        <w:rPr>
          <w:rFonts w:ascii="Arial" w:cs="Arial" w:eastAsia="Arial" w:hAnsi="Arial"/>
          <w:sz w:val="16"/>
          <w:szCs w:val="16"/>
          <w:b w:val="1"/>
          <w:bCs w:val="1"/>
          <w:color w:val="auto"/>
        </w:rPr>
        <w:t xml:space="preserve"> </w:t>
      </w:r>
      <w:r>
        <w:rPr>
          <w:rFonts w:ascii="Arial" w:cs="Arial" w:eastAsia="Arial" w:hAnsi="Arial"/>
          <w:sz w:val="16"/>
          <w:szCs w:val="16"/>
          <w:color w:val="auto"/>
        </w:rPr>
        <w:t>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45" w:name="page346"/>
    <w:bookmarkEnd w:id="345"/>
    <w:p>
      <w:pPr>
        <w:ind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Option will be the date on which the Committee makes the determination to grant such Option, or a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date. The Award Agreement and a copy of this Plan will be delivered to the Participant within a reasonable time after the granting of the Option.</w:t>
      </w:r>
    </w:p>
    <w:p>
      <w:pPr>
        <w:spacing w:after="0" w:line="11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of the Company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5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will be determined by the Committee when the Option is granted; provided that: (a)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184"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8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the Participant’s Service terminates for any reason except for Cause or the Participant’s death or Disability,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Service terminates deemed to be the exercise of an NSO), but in any event no later than the expiration date of the Options.</w:t>
      </w:r>
    </w:p>
    <w:p>
      <w:pPr>
        <w:spacing w:after="0" w:line="188" w:lineRule="exact"/>
        <w:rPr>
          <w:sz w:val="20"/>
          <w:szCs w:val="20"/>
          <w:color w:val="auto"/>
        </w:rPr>
      </w:pPr>
    </w:p>
    <w:p>
      <w:pPr>
        <w:ind w:right="780" w:firstLine="921"/>
        <w:spacing w:after="0" w:line="277" w:lineRule="auto"/>
        <w:tabs>
          <w:tab w:leader="none" w:pos="1157"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Participant’s Service terminates because of the Participant’s death (or the Participant dies within three (3) months after Participant’s Service terminates other than for Cause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46" w:name="page347"/>
    <w:bookmarkEnd w:id="34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87" w:lineRule="exact"/>
        <w:rPr>
          <w:sz w:val="20"/>
          <w:szCs w:val="20"/>
          <w:color w:val="auto"/>
        </w:rPr>
      </w:pPr>
    </w:p>
    <w:p>
      <w:pPr>
        <w:ind w:right="20" w:firstLine="921"/>
        <w:spacing w:after="0" w:line="285" w:lineRule="auto"/>
        <w:tabs>
          <w:tab w:leader="none" w:pos="1168"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Service terminates when the termination of Service is for a Disability that is not a “permanent and total disability” as defined in Section 22(e)(3) of the Code, or</w:t>
      </w:r>
    </w:p>
    <w:p>
      <w:pPr>
        <w:spacing w:after="0" w:line="2" w:lineRule="exact"/>
        <w:rPr>
          <w:rFonts w:ascii="Arial" w:cs="Arial" w:eastAsia="Arial" w:hAnsi="Arial"/>
          <w:sz w:val="16"/>
          <w:szCs w:val="16"/>
          <w:color w:val="auto"/>
        </w:rPr>
      </w:pPr>
    </w:p>
    <w:p>
      <w:pPr>
        <w:ind w:right="300" w:firstLine="8"/>
        <w:spacing w:after="0" w:line="323" w:lineRule="auto"/>
        <w:tabs>
          <w:tab w:leader="none" w:pos="25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twelve (12) months after the date Participant’s Service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38" w:lineRule="exact"/>
        <w:rPr>
          <w:rFonts w:ascii="Arial" w:cs="Arial" w:eastAsia="Arial" w:hAnsi="Arial"/>
          <w:sz w:val="16"/>
          <w:szCs w:val="16"/>
          <w:color w:val="auto"/>
        </w:rPr>
      </w:pPr>
    </w:p>
    <w:p>
      <w:pPr>
        <w:ind w:right="140" w:firstLine="921"/>
        <w:spacing w:after="0" w:line="264" w:lineRule="auto"/>
        <w:tabs>
          <w:tab w:leader="none" w:pos="1157"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the Participant is terminated for Cause, then Participant’s Options shall expire on such Participant’s date of termination of Service, or at such later time and on such conditions as are determined by the Committee, but in any no event later than the expiration date of the Options. Unless otherwise provided in the Award Agreement, Cause shall have the meaning set forth in the Plan.</w:t>
      </w:r>
    </w:p>
    <w:p>
      <w:pPr>
        <w:spacing w:after="0" w:line="177"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Exercise</w:t>
      </w:r>
      <w:r>
        <w:rPr>
          <w:rFonts w:ascii="Arial" w:cs="Arial" w:eastAsia="Arial" w:hAnsi="Arial"/>
          <w:sz w:val="16"/>
          <w:szCs w:val="16"/>
          <w:color w:val="auto"/>
        </w:rPr>
        <w:t>. The Committee may specify a minimum number of Shares that may be purchased on any exercise of an Option,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minimum number will not prevent any Participant from exercising the Option for the full number of Shares for which it is then exercisable.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8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Fair Market Value on the date the action is taken to reduce the Exercise Price.</w:t>
      </w:r>
    </w:p>
    <w:p>
      <w:pPr>
        <w:spacing w:after="0" w:line="18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47" w:name="page348"/>
    <w:bookmarkEnd w:id="347"/>
    <w:p>
      <w:pPr>
        <w:ind w:firstLine="8"/>
        <w:spacing w:after="0" w:line="261" w:lineRule="auto"/>
        <w:tabs>
          <w:tab w:leader="none" w:pos="1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AWARDS</w:t>
      </w:r>
      <w:r>
        <w:rPr>
          <w:rFonts w:ascii="Arial" w:cs="Arial" w:eastAsia="Arial" w:hAnsi="Arial"/>
          <w:sz w:val="18"/>
          <w:szCs w:val="18"/>
          <w:color w:val="auto"/>
        </w:rPr>
        <w:t>. A Restricted Stock Award is an offer by the Company to sell to an eligible Employee, Consultant, or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8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 Restricted Stock Award will be determined by the Committee and may be less than Fair Market Value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the Restricted Stock Award is granted. Payment of the Purchase Price must be made in accordance with Section 11 of the Plan, and the Award Agreement and in accordance with any procedures established by the Company.</w:t>
      </w:r>
    </w:p>
    <w:p>
      <w:pPr>
        <w:spacing w:after="0" w:line="17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72"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jc w:val="both"/>
        <w:ind w:right="100" w:firstLine="8"/>
        <w:spacing w:after="0" w:line="266" w:lineRule="auto"/>
        <w:tabs>
          <w:tab w:leader="none" w:pos="18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color w:val="auto"/>
        </w:rPr>
        <w:t>. A Stock Bonus Award is an award to an eligible Employee, Consultant, or Director of Shares for Services to be rendered or</w:t>
      </w:r>
      <w:r>
        <w:rPr>
          <w:rFonts w:ascii="Arial" w:cs="Arial" w:eastAsia="Arial" w:hAnsi="Arial"/>
          <w:sz w:val="18"/>
          <w:szCs w:val="18"/>
          <w:b w:val="1"/>
          <w:bCs w:val="1"/>
          <w:color w:val="auto"/>
        </w:rPr>
        <w:t xml:space="preserve"> </w:t>
      </w:r>
      <w:r>
        <w:rPr>
          <w:rFonts w:ascii="Arial" w:cs="Arial" w:eastAsia="Arial" w:hAnsi="Arial"/>
          <w:sz w:val="18"/>
          <w:szCs w:val="18"/>
          <w:color w:val="auto"/>
        </w:rPr>
        <w:t>for past Services already rendered to the Company or any Parent or Subsidiary. All Stock Bonus Awards shall be made pursuant to an Award Agreement. No payment from the Participant will be required for Shares awarded pursuant to a Stock Bonus Award.</w:t>
      </w:r>
    </w:p>
    <w:p>
      <w:pPr>
        <w:spacing w:after="0" w:line="176"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 Stock Bonus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348" w:name="page349"/>
    <w:bookmarkEnd w:id="348"/>
    <w:p>
      <w:pPr>
        <w:ind w:right="420"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earned under a Stock Bonus Award on the date of payment, as determined in the sole discretion of the Committee.</w:t>
      </w:r>
    </w:p>
    <w:p>
      <w:pPr>
        <w:spacing w:after="0" w:line="138"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jc w:val="both"/>
        <w:ind w:right="200" w:firstLine="8"/>
        <w:spacing w:after="0" w:line="281" w:lineRule="auto"/>
        <w:tabs>
          <w:tab w:leader="none" w:pos="18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 SAR;</w:t>
      </w:r>
    </w:p>
    <w:p>
      <w:pPr>
        <w:spacing w:after="0" w:line="50" w:lineRule="exact"/>
        <w:rPr>
          <w:sz w:val="20"/>
          <w:szCs w:val="20"/>
          <w:color w:val="auto"/>
        </w:rPr>
      </w:pPr>
    </w:p>
    <w:p>
      <w:pPr>
        <w:ind w:firstLine="8"/>
        <w:spacing w:after="0" w:line="269" w:lineRule="auto"/>
        <w:tabs>
          <w:tab w:leader="none" w:pos="25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7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88"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jc w:val="both"/>
        <w:ind w:right="320" w:firstLine="8"/>
        <w:spacing w:after="0" w:line="266" w:lineRule="auto"/>
        <w:tabs>
          <w:tab w:leader="none" w:pos="18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may be settled in cash, or by issuance of those Shares (which may consist of Restricted Stock). All RSUs shall be made pursuant to an Award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49" w:name="page350"/>
    <w:bookmarkEnd w:id="349"/>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 </w:t>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50" w:lineRule="exact"/>
        <w:rPr>
          <w:sz w:val="20"/>
          <w:szCs w:val="20"/>
          <w:color w:val="auto"/>
        </w:rPr>
      </w:pPr>
    </w:p>
    <w:p>
      <w:pPr>
        <w:ind w:right="20" w:firstLine="8"/>
        <w:spacing w:after="0" w:line="252" w:lineRule="auto"/>
        <w:tabs>
          <w:tab w:leader="none" w:pos="25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time or times during which the RSU may be settled; (c) the consideration to be distributed on settlement; and (d) the effect of the Participant’s termination of Service on each RSU.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89"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18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right="60" w:firstLine="8"/>
        <w:spacing w:after="0" w:line="266" w:lineRule="auto"/>
        <w:tabs>
          <w:tab w:leader="none" w:pos="27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of a cash bonus or an award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or Performance Units denominated in Shares that may be settled in cash, or by issuance of those Shares (which may consist of Restricted Stock). Grants of Performance Awards shall be made pursuant to an Award Agreement.</w:t>
      </w:r>
    </w:p>
    <w:p>
      <w:pPr>
        <w:spacing w:after="0" w:line="1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10.1(a), 10.1(b), and 10.1(c) below.</w:t>
      </w:r>
    </w:p>
    <w:p>
      <w:pPr>
        <w:spacing w:after="0" w:line="166" w:lineRule="exact"/>
        <w:rPr>
          <w:sz w:val="20"/>
          <w:szCs w:val="20"/>
          <w:color w:val="auto"/>
        </w:rPr>
      </w:pPr>
    </w:p>
    <w:p>
      <w:pPr>
        <w:ind w:firstLine="921"/>
        <w:spacing w:after="0" w:line="255" w:lineRule="auto"/>
        <w:tabs>
          <w:tab w:leader="none" w:pos="1157"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Performance Shares</w:t>
      </w:r>
      <w:r>
        <w:rPr>
          <w:rFonts w:ascii="Arial" w:cs="Arial" w:eastAsia="Arial" w:hAnsi="Arial"/>
          <w:sz w:val="18"/>
          <w:szCs w:val="18"/>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89" w:lineRule="exact"/>
        <w:rPr>
          <w:rFonts w:ascii="Arial" w:cs="Arial" w:eastAsia="Arial" w:hAnsi="Arial"/>
          <w:sz w:val="18"/>
          <w:szCs w:val="18"/>
          <w:color w:val="auto"/>
        </w:rPr>
      </w:pPr>
    </w:p>
    <w:p>
      <w:pPr>
        <w:ind w:right="40" w:firstLine="921"/>
        <w:spacing w:after="0" w:line="276" w:lineRule="auto"/>
        <w:tabs>
          <w:tab w:leader="none" w:pos="1168"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350" w:name="page351"/>
    <w:bookmarkEnd w:id="350"/>
    <w:p>
      <w:pPr>
        <w:ind w:right="40" w:firstLine="921"/>
        <w:spacing w:after="0" w:line="264" w:lineRule="auto"/>
        <w:tabs>
          <w:tab w:leader="none" w:pos="115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Cash-Settled Performance Awards</w:t>
      </w:r>
      <w:r>
        <w:rPr>
          <w:rFonts w:ascii="Arial" w:cs="Arial" w:eastAsia="Arial" w:hAnsi="Arial"/>
          <w:sz w:val="18"/>
          <w:szCs w:val="18"/>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Terms of Performance Shares</w:t>
      </w:r>
      <w:r>
        <w:rPr>
          <w:rFonts w:ascii="Arial" w:cs="Arial" w:eastAsia="Arial" w:hAnsi="Arial"/>
          <w:sz w:val="16"/>
          <w:szCs w:val="16"/>
          <w:color w:val="auto"/>
        </w:rPr>
        <w:t>. The Committee will determine, and each Award Agreement shall set forth, the terms of each Performance Award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No Participant will be eligible to receive more than Five Million Dollars ($5,000,000) in Performance Awards in any calendar year under this Plan.</w:t>
      </w:r>
    </w:p>
    <w:p>
      <w:pPr>
        <w:spacing w:after="0" w:line="161"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right="80" w:firstLine="8"/>
        <w:spacing w:after="0" w:line="266" w:lineRule="auto"/>
        <w:tabs>
          <w:tab w:leader="none" w:pos="2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purchased pursuant to this Plan may be made in cash or by check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expressly approved for the Participant by the Committee and where permitted by law (and to the extent not otherwise set forth in the applicable Award Agreement):</w:t>
      </w:r>
    </w:p>
    <w:p>
      <w:pPr>
        <w:spacing w:after="0" w:line="18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25" w:lineRule="exact"/>
        <w:rPr>
          <w:rFonts w:ascii="Arial" w:cs="Arial" w:eastAsia="Arial" w:hAnsi="Arial"/>
          <w:sz w:val="18"/>
          <w:szCs w:val="18"/>
          <w:color w:val="auto"/>
        </w:rPr>
      </w:pPr>
    </w:p>
    <w:p>
      <w:pPr>
        <w:ind w:right="180" w:firstLine="921"/>
        <w:spacing w:after="0" w:line="277" w:lineRule="auto"/>
        <w:tabs>
          <w:tab w:leader="none" w:pos="116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70" w:lineRule="exact"/>
        <w:rPr>
          <w:rFonts w:ascii="Arial" w:cs="Arial" w:eastAsia="Arial" w:hAnsi="Arial"/>
          <w:sz w:val="18"/>
          <w:szCs w:val="18"/>
          <w:color w:val="auto"/>
        </w:rPr>
      </w:pPr>
    </w:p>
    <w:p>
      <w:pPr>
        <w:ind w:right="60" w:firstLine="921"/>
        <w:spacing w:after="0" w:line="277" w:lineRule="auto"/>
        <w:tabs>
          <w:tab w:leader="none" w:pos="115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 or to be rendered to the Company or a Parent or Subsidiary of the Company;</w:t>
      </w:r>
    </w:p>
    <w:p>
      <w:pPr>
        <w:spacing w:after="0" w:line="170" w:lineRule="exact"/>
        <w:rPr>
          <w:rFonts w:ascii="Arial" w:cs="Arial" w:eastAsia="Arial" w:hAnsi="Arial"/>
          <w:sz w:val="18"/>
          <w:szCs w:val="18"/>
          <w:color w:val="auto"/>
        </w:rPr>
      </w:pPr>
    </w:p>
    <w:p>
      <w:pPr>
        <w:ind w:right="460" w:firstLine="921"/>
        <w:spacing w:after="0" w:line="277" w:lineRule="auto"/>
        <w:tabs>
          <w:tab w:leader="none" w:pos="116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221" w:lineRule="exact"/>
        <w:rPr>
          <w:rFonts w:ascii="Arial" w:cs="Arial" w:eastAsia="Arial" w:hAnsi="Arial"/>
          <w:sz w:val="18"/>
          <w:szCs w:val="18"/>
          <w:color w:val="auto"/>
        </w:rPr>
      </w:pPr>
    </w:p>
    <w:p>
      <w:pPr>
        <w:ind w:firstLine="8"/>
        <w:spacing w:after="0" w:line="261" w:lineRule="auto"/>
        <w:tabs>
          <w:tab w:leader="none" w:pos="27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 Non-Employee Directors are eligible to receive any type of Award offered under this Plan except</w:t>
      </w:r>
      <w:r>
        <w:rPr>
          <w:rFonts w:ascii="Arial" w:cs="Arial" w:eastAsia="Arial" w:hAnsi="Arial"/>
          <w:sz w:val="18"/>
          <w:szCs w:val="18"/>
          <w:b w:val="1"/>
          <w:bCs w:val="1"/>
          <w:color w:val="auto"/>
        </w:rPr>
        <w:t xml:space="preserve"> </w:t>
      </w:r>
      <w:r>
        <w:rPr>
          <w:rFonts w:ascii="Arial" w:cs="Arial" w:eastAsia="Arial" w:hAnsi="Arial"/>
          <w:sz w:val="18"/>
          <w:szCs w:val="18"/>
          <w:color w:val="auto"/>
        </w:rPr>
        <w:t>ISOs. Awards pursuant to this Section 12 may be automatically made pursuant to policy adopted by the Board, or made from time to time as determined in the discretion of the Board. The aggregate number of Shares subject to Awards granted to a Non-Employee Director pursuant to this Section 12 in any calendar year shall not exceed One Hundred Thousand (100,000).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51" w:name="page352"/>
    <w:bookmarkEnd w:id="351"/>
    <w:p>
      <w:pPr>
        <w:ind w:right="3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With respect to Options and SARs, the exercise price granted to Non-Employee Directors shall not be less than the Fair Market Value of the Shares at the time that such Option or SAR is granted.</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u w:val="single" w:color="auto"/>
          <w:color w:val="auto"/>
        </w:rPr>
        <w:t>Election to receive Awards in Lieu of Cash</w:t>
      </w:r>
      <w:r>
        <w:rPr>
          <w:rFonts w:ascii="Arial" w:cs="Arial" w:eastAsia="Arial" w:hAnsi="Arial"/>
          <w:sz w:val="18"/>
          <w:szCs w:val="18"/>
          <w:color w:val="auto"/>
        </w:rPr>
        <w:t>. A Non-Employee Director may elect to receive his or her annual retainer payments and/or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fees from the Company in the form of cash or Awards or a combination thereof, as determined by the Committee. Such Awards shall be issued under the Plan. An election under this Section 12.3 shall be filed with the Company on the form prescribed by the Company.</w:t>
      </w:r>
    </w:p>
    <w:p>
      <w:pPr>
        <w:spacing w:after="0" w:line="176" w:lineRule="exact"/>
        <w:rPr>
          <w:sz w:val="20"/>
          <w:szCs w:val="20"/>
          <w:color w:val="auto"/>
        </w:rPr>
      </w:pPr>
    </w:p>
    <w:p>
      <w:pPr>
        <w:ind w:left="280" w:hanging="272"/>
        <w:spacing w:after="0"/>
        <w:tabs>
          <w:tab w:leader="none" w:pos="28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u w:val="single" w:color="auto"/>
          <w:color w:val="auto"/>
        </w:rPr>
        <w:t>Withholding Generally</w:t>
      </w:r>
      <w:r>
        <w:rPr>
          <w:rFonts w:ascii="Arial" w:cs="Arial" w:eastAsia="Arial" w:hAnsi="Arial"/>
          <w:sz w:val="18"/>
          <w:szCs w:val="18"/>
          <w:color w:val="auto"/>
        </w:rPr>
        <w:t>. Whenever Shares are to be issued in satisfaction of Awards granted under this Plan or a tax event occurs,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require the Participant to remit to the Company, or to the Parent or Subsidiary employing the Participant, an amount sufficient to satisfy applicable U.S. federal, state, local and international withholding tax requirements or any other tax or social insurance liability (the “</w:t>
      </w:r>
      <w:r>
        <w:rPr>
          <w:rFonts w:ascii="Arial" w:cs="Arial" w:eastAsia="Arial" w:hAnsi="Arial"/>
          <w:sz w:val="18"/>
          <w:szCs w:val="18"/>
          <w:b w:val="1"/>
          <w:bCs w:val="1"/>
          <w:i w:val="1"/>
          <w:iCs w:val="1"/>
          <w:color w:val="auto"/>
        </w:rPr>
        <w:t>Tax –Related Items</w:t>
      </w:r>
      <w:r>
        <w:rPr>
          <w:rFonts w:ascii="Arial" w:cs="Arial" w:eastAsia="Arial" w:hAnsi="Arial"/>
          <w:sz w:val="18"/>
          <w:szCs w:val="18"/>
          <w:color w:val="auto"/>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Tax-Related Items legally due from the Participant.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8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in its sole discretion and pursuant to such procedures as it</w:t>
      </w:r>
      <w:r>
        <w:rPr>
          <w:rFonts w:ascii="Arial" w:cs="Arial" w:eastAsia="Arial" w:hAnsi="Arial"/>
          <w:sz w:val="17"/>
          <w:szCs w:val="17"/>
          <w:b w:val="1"/>
          <w:bCs w:val="1"/>
          <w:color w:val="auto"/>
        </w:rPr>
        <w:t xml:space="preserve"> </w:t>
      </w:r>
      <w:r>
        <w:rPr>
          <w:rFonts w:ascii="Arial" w:cs="Arial" w:eastAsia="Arial" w:hAnsi="Arial"/>
          <w:sz w:val="17"/>
          <w:szCs w:val="17"/>
          <w:color w:val="auto"/>
        </w:rPr>
        <w:t>may specify from time to time and to limitations of local law, may require or permit a Participant to satisfy such Tax-Related Items legally due from the Participant, in whole or in part by (without limitation) (a) paying cash, (b) electing to have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statutory tax rate for the applicable tax jurisdiction, to the extent consistent with applicable laws.</w:t>
      </w:r>
    </w:p>
    <w:p>
      <w:pPr>
        <w:spacing w:after="0" w:line="172" w:lineRule="exact"/>
        <w:rPr>
          <w:sz w:val="20"/>
          <w:szCs w:val="20"/>
          <w:color w:val="auto"/>
        </w:rPr>
      </w:pPr>
    </w:p>
    <w:p>
      <w:pPr>
        <w:ind w:left="280" w:hanging="272"/>
        <w:spacing w:after="0"/>
        <w:tabs>
          <w:tab w:leader="none" w:pos="28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14.2,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352" w:name="page353"/>
    <w:bookmarkEnd w:id="352"/>
    <w:p>
      <w:pPr>
        <w:ind w:right="4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8"/>
          <w:szCs w:val="18"/>
          <w:u w:val="single" w:color="auto"/>
          <w:color w:val="auto"/>
        </w:rPr>
        <w:t>Award Transfer Program</w:t>
      </w:r>
      <w:r>
        <w:rPr>
          <w:rFonts w:ascii="Arial" w:cs="Arial" w:eastAsia="Arial" w:hAnsi="Arial"/>
          <w:sz w:val="18"/>
          <w:szCs w:val="18"/>
          <w:color w:val="auto"/>
        </w:rPr>
        <w:t>. Notwithstanding any contrary provision of the Plan, the Committee shall have all discretion and authority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and implement the terms and conditions of any Award Transfer Program instituted pursuant to this Section 14.2 and shall have the authority to amend the terms of any Award participating, or otherwise eligible to participate in, the Award Transfer Program, including (but not limited to) the authority to (a) amend (including to extend) the expiration date, post-termination exercise period and/or forfeiture conditions of any such Award, (b) amend or remove any provisions of the Award relating to the Award holder’s continued service to the Company or its Parent or any Subsidiary, (c) amend the permissible payment methods with respect to the exercise or purchase of any such Award, (d) amend the adjustments to be implemented in the event of changes in the capitalization and other similar events with respect to such Award, and (e) make such other changes to the terms of such Award as the Committee deems necessary or appropriate in its sole discretion.</w:t>
      </w:r>
    </w:p>
    <w:p>
      <w:pPr>
        <w:spacing w:after="0" w:line="185" w:lineRule="exact"/>
        <w:rPr>
          <w:sz w:val="20"/>
          <w:szCs w:val="20"/>
          <w:color w:val="auto"/>
        </w:rPr>
      </w:pPr>
    </w:p>
    <w:p>
      <w:pPr>
        <w:ind w:left="280" w:hanging="272"/>
        <w:spacing w:after="0"/>
        <w:tabs>
          <w:tab w:leader="none" w:pos="28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such stock dividends or stock distributions with respect to Shares that are repurchased at the Participant’s Purchase Price or Exercise Price, as the case may be, pursuant to Section 15.2.</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15.2. </w:t>
      </w:r>
      <w:r>
        <w:rPr>
          <w:rFonts w:ascii="Arial" w:cs="Arial" w:eastAsia="Arial" w:hAnsi="Arial"/>
          <w:sz w:val="16"/>
          <w:szCs w:val="16"/>
          <w:u w:val="single" w:color="auto"/>
          <w:color w:val="auto"/>
        </w:rPr>
        <w:t>Restrictions on Shares</w:t>
      </w:r>
      <w:r>
        <w:rPr>
          <w:rFonts w:ascii="Arial" w:cs="Arial" w:eastAsia="Arial" w:hAnsi="Arial"/>
          <w:sz w:val="16"/>
          <w:szCs w:val="16"/>
          <w:color w:val="auto"/>
        </w:rPr>
        <w:t>. At the discretion of the Committee, the Company may reserve to itself and/or its assignee(s) a right to repurchase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 of Repurchase</w:t>
      </w:r>
      <w:r>
        <w:rPr>
          <w:rFonts w:ascii="Arial" w:cs="Arial" w:eastAsia="Arial" w:hAnsi="Arial"/>
          <w:sz w:val="16"/>
          <w:szCs w:val="16"/>
          <w:color w:val="auto"/>
        </w:rPr>
        <w:t>”) a portion of any or all Unvested Shares held by a Participant following such Participant’s termination of Service at any time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ninety (90) days (or such longer or shorter time determined by the Committee) after the later of the date Participant’s Service terminates and the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purchases Shares under this Plan, for cash and/or cancellation of purchase money indebtedness, at the Participant’s Purchase Price or Exercise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as the case may be.</w:t>
      </w:r>
    </w:p>
    <w:p>
      <w:pPr>
        <w:spacing w:after="0" w:line="207" w:lineRule="exact"/>
        <w:rPr>
          <w:sz w:val="20"/>
          <w:szCs w:val="20"/>
          <w:color w:val="auto"/>
        </w:rPr>
      </w:pPr>
    </w:p>
    <w:p>
      <w:pPr>
        <w:ind w:right="100" w:firstLine="8"/>
        <w:spacing w:after="0" w:line="281" w:lineRule="auto"/>
        <w:tabs>
          <w:tab w:leader="none" w:pos="270"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 orders,</w:t>
      </w:r>
      <w:r>
        <w:rPr>
          <w:rFonts w:ascii="Arial" w:cs="Arial" w:eastAsia="Arial" w:hAnsi="Arial"/>
          <w:sz w:val="17"/>
          <w:szCs w:val="17"/>
          <w:b w:val="1"/>
          <w:bCs w:val="1"/>
          <w:color w:val="auto"/>
        </w:rPr>
        <w:t xml:space="preserve"> </w:t>
      </w:r>
      <w:r>
        <w:rPr>
          <w:rFonts w:ascii="Arial" w:cs="Arial" w:eastAsia="Arial" w:hAnsi="Arial"/>
          <w:sz w:val="17"/>
          <w:szCs w:val="17"/>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64" w:lineRule="exact"/>
        <w:rPr>
          <w:rFonts w:ascii="Arial" w:cs="Arial" w:eastAsia="Arial" w:hAnsi="Arial"/>
          <w:sz w:val="17"/>
          <w:szCs w:val="17"/>
          <w:b w:val="1"/>
          <w:bCs w:val="1"/>
          <w:color w:val="auto"/>
        </w:rPr>
      </w:pPr>
    </w:p>
    <w:p>
      <w:pPr>
        <w:ind w:firstLine="8"/>
        <w:spacing w:after="0" w:line="273" w:lineRule="auto"/>
        <w:tabs>
          <w:tab w:leader="none" w:pos="270"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ESCROW; PLEDGE OF SHARES</w:t>
      </w:r>
      <w:r>
        <w:rPr>
          <w:rFonts w:ascii="Arial" w:cs="Arial" w:eastAsia="Arial" w:hAnsi="Arial"/>
          <w:sz w:val="17"/>
          <w:szCs w:val="17"/>
          <w:color w:val="auto"/>
        </w:rPr>
        <w:t>. To enforce any restrictions on a Participant’s Shares, the Committee may require the Participant to deposit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require or accept other or additional forms of collateral to secure the payment of such obligation and,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69" w:right="259" w:bottom="1440" w:gutter="0" w:footer="0" w:header="0"/>
        </w:sectPr>
      </w:pPr>
    </w:p>
    <w:bookmarkStart w:id="353" w:name="page354"/>
    <w:bookmarkEnd w:id="35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3" w:lineRule="exact"/>
        <w:rPr>
          <w:sz w:val="20"/>
          <w:szCs w:val="20"/>
          <w:color w:val="auto"/>
        </w:rPr>
      </w:pPr>
    </w:p>
    <w:p>
      <w:pPr>
        <w:ind w:right="40" w:firstLine="8"/>
        <w:spacing w:after="0" w:line="258" w:lineRule="auto"/>
        <w:tabs>
          <w:tab w:leader="none" w:pos="27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 SARs(and</w:t>
      </w:r>
      <w:r>
        <w:rPr>
          <w:rFonts w:ascii="Arial" w:cs="Arial" w:eastAsia="Arial" w:hAnsi="Arial"/>
          <w:sz w:val="18"/>
          <w:szCs w:val="18"/>
          <w:b w:val="1"/>
          <w:bCs w:val="1"/>
          <w:color w:val="auto"/>
        </w:rPr>
        <w:t xml:space="preserve"> </w:t>
      </w:r>
      <w:r>
        <w:rPr>
          <w:rFonts w:ascii="Arial" w:cs="Arial" w:eastAsia="Arial" w:hAnsi="Arial"/>
          <w:sz w:val="18"/>
          <w:szCs w:val="18"/>
          <w:color w:val="auto"/>
        </w:rPr>
        <w:t>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83" w:lineRule="exact"/>
        <w:rPr>
          <w:rFonts w:ascii="Arial" w:cs="Arial" w:eastAsia="Arial" w:hAnsi="Arial"/>
          <w:sz w:val="18"/>
          <w:szCs w:val="18"/>
          <w:b w:val="1"/>
          <w:bCs w:val="1"/>
          <w:color w:val="auto"/>
        </w:rPr>
      </w:pPr>
    </w:p>
    <w:p>
      <w:pPr>
        <w:ind w:firstLine="8"/>
        <w:spacing w:after="0" w:line="290" w:lineRule="auto"/>
        <w:tabs>
          <w:tab w:leader="none" w:pos="270"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AND OTHER REGULATORY COMPLIANCE</w:t>
      </w:r>
      <w:r>
        <w:rPr>
          <w:rFonts w:ascii="Arial" w:cs="Arial" w:eastAsia="Arial" w:hAnsi="Arial"/>
          <w:sz w:val="16"/>
          <w:szCs w:val="16"/>
          <w:color w:val="auto"/>
        </w:rPr>
        <w:t>. An Award will not be effective unless such Award is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59" w:lineRule="exact"/>
        <w:rPr>
          <w:rFonts w:ascii="Arial" w:cs="Arial" w:eastAsia="Arial" w:hAnsi="Arial"/>
          <w:sz w:val="16"/>
          <w:szCs w:val="16"/>
          <w:b w:val="1"/>
          <w:bCs w:val="1"/>
          <w:color w:val="auto"/>
        </w:rPr>
      </w:pPr>
    </w:p>
    <w:p>
      <w:pPr>
        <w:jc w:val="both"/>
        <w:ind w:firstLine="8"/>
        <w:spacing w:after="0" w:line="289" w:lineRule="auto"/>
        <w:tabs>
          <w:tab w:leader="none" w:pos="270"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 Participant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58" w:lineRule="exact"/>
        <w:rPr>
          <w:rFonts w:ascii="Arial" w:cs="Arial" w:eastAsia="Arial" w:hAnsi="Arial"/>
          <w:sz w:val="17"/>
          <w:szCs w:val="17"/>
          <w:b w:val="1"/>
          <w:bCs w:val="1"/>
          <w:color w:val="auto"/>
        </w:rPr>
      </w:pPr>
    </w:p>
    <w:p>
      <w:pPr>
        <w:ind w:left="280" w:hanging="272"/>
        <w:spacing w:after="0"/>
        <w:tabs>
          <w:tab w:leader="none" w:pos="28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21.1. </w:t>
      </w:r>
      <w:r>
        <w:rPr>
          <w:rFonts w:ascii="Arial" w:cs="Arial" w:eastAsia="Arial" w:hAnsi="Arial"/>
          <w:sz w:val="17"/>
          <w:szCs w:val="17"/>
          <w:u w:val="single" w:color="auto"/>
          <w:color w:val="auto"/>
        </w:rPr>
        <w:t>Assumption or Replacement of Awards by Successor</w:t>
      </w:r>
      <w:r>
        <w:rPr>
          <w:rFonts w:ascii="Arial" w:cs="Arial" w:eastAsia="Arial" w:hAnsi="Arial"/>
          <w:sz w:val="17"/>
          <w:szCs w:val="17"/>
          <w:color w:val="auto"/>
        </w:rPr>
        <w:t>. In the event of a Corporate Transaction any or all outstanding Awards may be assumed or</w:t>
      </w:r>
      <w:r>
        <w:rPr>
          <w:rFonts w:ascii="Arial" w:cs="Arial" w:eastAsia="Arial" w:hAnsi="Arial"/>
          <w:sz w:val="17"/>
          <w:szCs w:val="17"/>
          <w:b w:val="1"/>
          <w:bCs w:val="1"/>
          <w:color w:val="auto"/>
        </w:rPr>
        <w:t xml:space="preserve"> </w:t>
      </w:r>
      <w:r>
        <w:rPr>
          <w:rFonts w:ascii="Arial" w:cs="Arial" w:eastAsia="Arial" w:hAnsi="Arial"/>
          <w:sz w:val="17"/>
          <w:szCs w:val="17"/>
          <w:color w:val="auto"/>
        </w:rPr>
        <w:t>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will expire on such transaction at such time and on such conditions as the Board will determine; the Board (or, the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354" w:name="page355"/>
    <w:bookmarkEnd w:id="354"/>
    <w:p>
      <w:pPr>
        <w:ind w:firstLine="456"/>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7"/>
          <w:szCs w:val="17"/>
          <w:u w:val="single" w:color="auto"/>
          <w:color w:val="auto"/>
        </w:rPr>
        <w:t>Assumption of Awards by the Company</w:t>
      </w:r>
      <w:r>
        <w:rPr>
          <w:rFonts w:ascii="Arial" w:cs="Arial" w:eastAsia="Arial" w:hAnsi="Arial"/>
          <w:sz w:val="17"/>
          <w:szCs w:val="17"/>
          <w:color w:val="auto"/>
        </w:rPr>
        <w:t>. The Company, from time to time, also may substitute or assume outstanding awards granted by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reduce the number of Shares authorized for grant under the Plan or authorized for grant to a Participant in a calendar year.</w:t>
      </w:r>
    </w:p>
    <w:p>
      <w:pPr>
        <w:spacing w:after="0" w:line="17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granted to Non-Employee Directors shall accelerate and such Awards shall become exercisable (as applicable) in full prior to the consummation of such event at such times and on such conditions as the Committee determines.</w:t>
      </w:r>
    </w:p>
    <w:p>
      <w:pPr>
        <w:spacing w:after="0" w:line="176" w:lineRule="exact"/>
        <w:rPr>
          <w:sz w:val="20"/>
          <w:szCs w:val="20"/>
          <w:color w:val="auto"/>
        </w:rPr>
      </w:pPr>
    </w:p>
    <w:p>
      <w:pPr>
        <w:ind w:right="480" w:firstLine="8"/>
        <w:spacing w:after="0" w:line="282" w:lineRule="auto"/>
        <w:tabs>
          <w:tab w:leader="none" w:pos="27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within twelve (12) months before or after the date this Plan is adopted by the Board.</w:t>
      </w:r>
    </w:p>
    <w:p>
      <w:pPr>
        <w:spacing w:after="0" w:line="161" w:lineRule="exact"/>
        <w:rPr>
          <w:rFonts w:ascii="Arial" w:cs="Arial" w:eastAsia="Arial" w:hAnsi="Arial"/>
          <w:sz w:val="18"/>
          <w:szCs w:val="18"/>
          <w:b w:val="1"/>
          <w:bCs w:val="1"/>
          <w:color w:val="auto"/>
        </w:rPr>
      </w:pPr>
    </w:p>
    <w:p>
      <w:pPr>
        <w:ind w:right="260" w:firstLine="8"/>
        <w:spacing w:after="0" w:line="266" w:lineRule="auto"/>
        <w:tabs>
          <w:tab w:leader="none" w:pos="27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ten (10) years from the date this Plan is adopted by the Board. This Plan and all Awards granted hereunder shall be governed by and construed in accordance with the laws of the State of Delaware (excluding its conflict of law rules).</w:t>
      </w:r>
    </w:p>
    <w:p>
      <w:pPr>
        <w:spacing w:after="0" w:line="176" w:lineRule="exact"/>
        <w:rPr>
          <w:rFonts w:ascii="Arial" w:cs="Arial" w:eastAsia="Arial" w:hAnsi="Arial"/>
          <w:sz w:val="18"/>
          <w:szCs w:val="18"/>
          <w:b w:val="1"/>
          <w:bCs w:val="1"/>
          <w:color w:val="auto"/>
        </w:rPr>
      </w:pPr>
    </w:p>
    <w:p>
      <w:pPr>
        <w:ind w:firstLine="8"/>
        <w:spacing w:after="0" w:line="255" w:lineRule="auto"/>
        <w:tabs>
          <w:tab w:leader="none" w:pos="27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89" w:lineRule="exact"/>
        <w:rPr>
          <w:rFonts w:ascii="Arial" w:cs="Arial" w:eastAsia="Arial" w:hAnsi="Arial"/>
          <w:sz w:val="18"/>
          <w:szCs w:val="18"/>
          <w:b w:val="1"/>
          <w:bCs w:val="1"/>
          <w:color w:val="auto"/>
        </w:rPr>
      </w:pPr>
    </w:p>
    <w:p>
      <w:pPr>
        <w:ind w:right="180" w:firstLine="8"/>
        <w:spacing w:after="0" w:line="261" w:lineRule="auto"/>
        <w:tabs>
          <w:tab w:leader="none" w:pos="27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this Plan by the Board, the submission of this Plan to the stockholders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80" w:lineRule="exact"/>
        <w:rPr>
          <w:rFonts w:ascii="Arial" w:cs="Arial" w:eastAsia="Arial" w:hAnsi="Arial"/>
          <w:sz w:val="18"/>
          <w:szCs w:val="18"/>
          <w:b w:val="1"/>
          <w:bCs w:val="1"/>
          <w:color w:val="auto"/>
        </w:rPr>
      </w:pPr>
    </w:p>
    <w:p>
      <w:pPr>
        <w:ind w:right="460" w:firstLine="8"/>
        <w:spacing w:after="0" w:line="282" w:lineRule="auto"/>
        <w:tabs>
          <w:tab w:leader="none" w:pos="27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transactions in the Company’s securities by Employees, officers and/or directors of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55" w:name="page356"/>
    <w:bookmarkEnd w:id="355"/>
    <w:p>
      <w:pPr>
        <w:ind w:right="120" w:firstLine="8"/>
        <w:spacing w:after="0" w:line="258" w:lineRule="auto"/>
        <w:tabs>
          <w:tab w:leader="none" w:pos="27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AWARDS SUBJECT TO COMPANY CLAWBACK OR RECOUPMENT POLICY</w:t>
      </w:r>
      <w:r>
        <w:rPr>
          <w:rFonts w:ascii="Arial" w:cs="Arial" w:eastAsia="Arial" w:hAnsi="Arial"/>
          <w:sz w:val="18"/>
          <w:szCs w:val="18"/>
          <w:color w:val="auto"/>
        </w:rPr>
        <w:t>. All Awards, subject to applicable law,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clawback or recoupment pursuant to any compensation clawback or recoupment policy adopted by the Board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83" w:lineRule="exact"/>
        <w:rPr>
          <w:rFonts w:ascii="Arial" w:cs="Arial" w:eastAsia="Arial" w:hAnsi="Arial"/>
          <w:sz w:val="18"/>
          <w:szCs w:val="18"/>
          <w:b w:val="1"/>
          <w:bCs w:val="1"/>
          <w:color w:val="auto"/>
        </w:rPr>
      </w:pPr>
    </w:p>
    <w:p>
      <w:pPr>
        <w:ind w:left="280" w:hanging="272"/>
        <w:spacing w:after="0"/>
        <w:tabs>
          <w:tab w:leader="none" w:pos="28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225" w:lineRule="exact"/>
        <w:rPr>
          <w:sz w:val="20"/>
          <w:szCs w:val="20"/>
          <w:color w:val="auto"/>
        </w:rPr>
      </w:pPr>
    </w:p>
    <w:p>
      <w:pPr>
        <w:ind w:right="160" w:firstLine="456"/>
        <w:spacing w:after="0" w:line="313"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any entity that, directly or indirectly, is controlled by, controls or is under common control with, the Company and (ii) any</w:t>
      </w:r>
      <w:r>
        <w:rPr>
          <w:rFonts w:ascii="Arial" w:cs="Arial" w:eastAsia="Arial" w:hAnsi="Arial"/>
          <w:sz w:val="17"/>
          <w:szCs w:val="17"/>
          <w:b w:val="1"/>
          <w:bCs w:val="1"/>
          <w:color w:val="auto"/>
        </w:rPr>
        <w:t xml:space="preserve"> </w:t>
      </w:r>
      <w:r>
        <w:rPr>
          <w:rFonts w:ascii="Arial" w:cs="Arial" w:eastAsia="Arial" w:hAnsi="Arial"/>
          <w:sz w:val="17"/>
          <w:szCs w:val="17"/>
          <w:color w:val="auto"/>
        </w:rPr>
        <w:t>entity in which the Company has a significant equity interest, in either case as determined by the Committee, whether now or hereafter existing.</w:t>
      </w:r>
    </w:p>
    <w:p>
      <w:pPr>
        <w:spacing w:after="0" w:line="13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Restricted Stock, Stock Bonus, Stock Appreciation Right,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or award of Performance Shares.</w:t>
      </w:r>
    </w:p>
    <w:p>
      <w:pPr>
        <w:spacing w:after="0" w:line="162"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 xml:space="preserve">28.3.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written or electronic agreement between the Company and the Participant setting</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6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28.4.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 Transfer Program</w:t>
      </w:r>
      <w:r>
        <w:rPr>
          <w:rFonts w:ascii="Arial" w:cs="Arial" w:eastAsia="Arial" w:hAnsi="Arial"/>
          <w:sz w:val="18"/>
          <w:szCs w:val="18"/>
          <w:color w:val="auto"/>
        </w:rPr>
        <w:t>” means any program instituted by the Committee which would permit Participants the opportunity to transfer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Awards to a financial institution or other person or entity approved by the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28.5. </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color w:val="auto"/>
        </w:rPr>
        <w:t xml:space="preserve">28.6. </w:t>
      </w: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the occurrence of any one or more of the following: (i) Participant’s commission of any crime involving fraud, dishonesty or</w:t>
      </w:r>
      <w:r>
        <w:rPr>
          <w:rFonts w:ascii="Arial" w:cs="Arial" w:eastAsia="Arial" w:hAnsi="Arial"/>
          <w:sz w:val="17"/>
          <w:szCs w:val="17"/>
          <w:b w:val="1"/>
          <w:bCs w:val="1"/>
          <w:color w:val="auto"/>
        </w:rPr>
        <w:t xml:space="preserve"> </w:t>
      </w:r>
      <w:r>
        <w:rPr>
          <w:rFonts w:ascii="Arial" w:cs="Arial" w:eastAsia="Arial" w:hAnsi="Arial"/>
          <w:sz w:val="17"/>
          <w:szCs w:val="17"/>
          <w:color w:val="auto"/>
        </w:rPr>
        <w:t>moral turpitude; (ii) Participant’s attempted commission of or participation in a fraud or act of dishonesty against the Company that results in (or might have reasonably resulted in) material harm to the business of the Company; (iii) Participant’s intentional, material violation of any contract or agreement between Participant and the Company or any statutory duty Participant owes to the Company; or (iv) Participant’s conduct that constitutes gross insubordination, incompetence or habitual neglect of duties that results in (or might have reasonably resulted in) material harm to the business of the Company; provided, however, that the action or conduct described in clauses (iii) and (iv) above will constitute “Cause” only if such action or conduct continues after the Company has provided you with written notice thereof and thirty (30) days to cure the same.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foregoing definition of “Cause” may, in part or in whole, be modified or replaced in each individual employment agreement or Award Agreement with any Participant, provided that such document supersedes the definition provided in this Section 28.6.</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69" w:right="299" w:bottom="1440" w:gutter="0" w:footer="0" w:header="0"/>
        </w:sectPr>
      </w:pPr>
    </w:p>
    <w:bookmarkStart w:id="356" w:name="page357"/>
    <w:bookmarkEnd w:id="356"/>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28.8.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as permitted by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28.10.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AnaptysBio, Inc. or any successor corporation.</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to such entity.</w:t>
      </w:r>
    </w:p>
    <w:p>
      <w:pPr>
        <w:spacing w:after="0" w:line="1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 xml:space="preserve">28.12. </w:t>
      </w: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 (a) any “Person” (as such term is used in Sections 13(d) and</w:t>
      </w:r>
      <w:r>
        <w:rPr>
          <w:rFonts w:ascii="Arial" w:cs="Arial" w:eastAsia="Arial" w:hAnsi="Arial"/>
          <w:sz w:val="17"/>
          <w:szCs w:val="17"/>
          <w:b w:val="1"/>
          <w:bCs w:val="1"/>
          <w:color w:val="auto"/>
        </w:rPr>
        <w:t xml:space="preserve"> </w:t>
      </w:r>
      <w:r>
        <w:rPr>
          <w:rFonts w:ascii="Arial" w:cs="Arial" w:eastAsia="Arial" w:hAnsi="Arial"/>
          <w:sz w:val="17"/>
          <w:szCs w:val="17"/>
          <w:color w:val="auto"/>
        </w:rPr>
        <w:t>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28.13. </w:t>
      </w: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b w:val="1"/>
          <w:bCs w:val="1"/>
          <w:color w:val="auto"/>
        </w:rPr>
        <w:t xml:space="preserve">28.14.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incentive stock options, total and permanent disability as defined in Section 22(e)(3) of the Code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5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of a Participant, granted at the discretion of the Committee or as otherwise provided by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357" w:name="page358"/>
    <w:bookmarkEnd w:id="357"/>
    <w:p>
      <w:pPr>
        <w:ind w:right="4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28.16.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day immediately prior to the date of the underwritten initial public offering of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registration statement that is declared effective by the SEC.</w:t>
      </w:r>
    </w:p>
    <w:p>
      <w:pPr>
        <w:spacing w:after="0" w:line="162"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28.17. </w:t>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Officers and Directors, providing services as an employee to the Company or any Parent,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or Affiliate. Neither service as a Director nor payment of a director’s fee by the Company will be sufficient to constitute “employment” by the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28.18. </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right="160" w:firstLine="456"/>
        <w:spacing w:after="0" w:line="313"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pursuant to which (a) outstanding Awards are surrendered, cancelled or exchanged for cash,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type of Award or a different Award (or combination thereof) or (b) the exercise price of an outstanding Award is increased or reduced.</w:t>
      </w:r>
    </w:p>
    <w:p>
      <w:pPr>
        <w:spacing w:after="0" w:line="13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SAR, the price at which the SAR is granted to the holder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28.21.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29" w:lineRule="exact"/>
        <w:rPr>
          <w:sz w:val="20"/>
          <w:szCs w:val="20"/>
          <w:color w:val="auto"/>
        </w:rPr>
      </w:pPr>
    </w:p>
    <w:p>
      <w:pPr>
        <w:ind w:right="40" w:firstLine="921"/>
        <w:spacing w:after="0" w:line="264" w:lineRule="auto"/>
        <w:tabs>
          <w:tab w:leader="none" w:pos="115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w:t>
      </w:r>
    </w:p>
    <w:p>
      <w:pPr>
        <w:spacing w:after="0" w:line="181" w:lineRule="exact"/>
        <w:rPr>
          <w:rFonts w:ascii="Arial" w:cs="Arial" w:eastAsia="Arial" w:hAnsi="Arial"/>
          <w:sz w:val="18"/>
          <w:szCs w:val="18"/>
          <w:color w:val="auto"/>
        </w:rPr>
      </w:pPr>
    </w:p>
    <w:p>
      <w:pPr>
        <w:ind w:right="320" w:firstLine="921"/>
        <w:spacing w:after="0" w:line="342" w:lineRule="auto"/>
        <w:tabs>
          <w:tab w:leader="none" w:pos="1168"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w:t>
      </w:r>
    </w:p>
    <w:p>
      <w:pPr>
        <w:spacing w:after="0" w:line="123" w:lineRule="exact"/>
        <w:rPr>
          <w:rFonts w:ascii="Arial" w:cs="Arial" w:eastAsia="Arial" w:hAnsi="Arial"/>
          <w:sz w:val="16"/>
          <w:szCs w:val="16"/>
          <w:color w:val="auto"/>
        </w:rPr>
      </w:pPr>
    </w:p>
    <w:p>
      <w:pPr>
        <w:ind w:right="40" w:firstLine="921"/>
        <w:spacing w:after="0" w:line="264" w:lineRule="auto"/>
        <w:tabs>
          <w:tab w:leader="none" w:pos="115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the case of an Option or SAR grant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221"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28.23. </w:t>
      </w: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28.24. </w:t>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 of the Company or any Parent or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28.25.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358" w:name="page359"/>
    <w:bookmarkEnd w:id="358"/>
    <w:p>
      <w:pPr>
        <w:ind w:right="1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28.27.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holds an Award under this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28.28.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cash or Shares granted pursuant to Section 10 or Section 12 of the Plan.</w:t>
      </w:r>
    </w:p>
    <w:p>
      <w:pPr>
        <w:spacing w:after="0" w:line="225"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28.29. </w:t>
      </w:r>
      <w:r>
        <w:rPr>
          <w:rFonts w:ascii="Arial" w:cs="Arial" w:eastAsia="Arial" w:hAnsi="Arial"/>
          <w:sz w:val="16"/>
          <w:szCs w:val="16"/>
          <w:b w:val="1"/>
          <w:bCs w:val="1"/>
          <w:i w:val="1"/>
          <w:iCs w:val="1"/>
          <w:color w:val="auto"/>
        </w:rPr>
        <w:t>“Performance Factors”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of the factors selected by the Committee and specified in an Award Agreement, from among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55" w:lineRule="exact"/>
        <w:rPr>
          <w:sz w:val="20"/>
          <w:szCs w:val="20"/>
          <w:color w:val="auto"/>
        </w:rPr>
      </w:pPr>
    </w:p>
    <w:p>
      <w:pPr>
        <w:ind w:left="1160" w:hanging="239"/>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Billings;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225" w:lineRule="exact"/>
        <w:rPr>
          <w:rFonts w:ascii="Arial" w:cs="Arial" w:eastAsia="Arial" w:hAnsi="Arial"/>
          <w:sz w:val="18"/>
          <w:szCs w:val="18"/>
          <w:color w:val="auto"/>
        </w:rPr>
      </w:pPr>
    </w:p>
    <w:p>
      <w:pPr>
        <w:ind w:right="300" w:firstLine="921"/>
        <w:spacing w:after="0" w:line="277" w:lineRule="auto"/>
        <w:tabs>
          <w:tab w:leader="none" w:pos="115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Net Profit;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0" w:right="319" w:bottom="1440" w:gutter="0" w:footer="0" w:header="0"/>
        </w:sectPr>
      </w:pPr>
    </w:p>
    <w:bookmarkStart w:id="359" w:name="page360"/>
    <w:bookmarkEnd w:id="359"/>
    <w:p>
      <w:pPr>
        <w:ind w:left="239" w:hanging="239"/>
        <w:spacing w:after="0"/>
        <w:tabs>
          <w:tab w:leader="none" w:pos="239"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Growth in stockholder value relative to a pre-determined index;</w:t>
      </w:r>
    </w:p>
    <w:p>
      <w:pPr>
        <w:spacing w:after="0" w:line="225" w:lineRule="exact"/>
        <w:rPr>
          <w:rFonts w:ascii="Arial" w:cs="Arial" w:eastAsia="Arial" w:hAnsi="Arial"/>
          <w:sz w:val="18"/>
          <w:szCs w:val="18"/>
          <w:color w:val="auto"/>
        </w:rPr>
      </w:pPr>
    </w:p>
    <w:p>
      <w:pPr>
        <w:ind w:left="219" w:hanging="219"/>
        <w:spacing w:after="0"/>
        <w:tabs>
          <w:tab w:leader="none" w:pos="21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225" w:lineRule="exact"/>
        <w:rPr>
          <w:rFonts w:ascii="Arial" w:cs="Arial" w:eastAsia="Arial" w:hAnsi="Arial"/>
          <w:sz w:val="18"/>
          <w:szCs w:val="18"/>
          <w:color w:val="auto"/>
        </w:rPr>
      </w:pPr>
    </w:p>
    <w:p>
      <w:pPr>
        <w:ind w:left="299" w:hanging="299"/>
        <w:spacing w:after="0"/>
        <w:tabs>
          <w:tab w:leader="none" w:pos="29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225" w:lineRule="exact"/>
        <w:rPr>
          <w:rFonts w:ascii="Arial" w:cs="Arial" w:eastAsia="Arial" w:hAnsi="Arial"/>
          <w:sz w:val="18"/>
          <w:szCs w:val="18"/>
          <w:color w:val="auto"/>
        </w:rPr>
      </w:pPr>
    </w:p>
    <w:p>
      <w:pPr>
        <w:ind w:left="239" w:hanging="239"/>
        <w:spacing w:after="0"/>
        <w:tabs>
          <w:tab w:leader="none" w:pos="23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225" w:lineRule="exact"/>
        <w:rPr>
          <w:sz w:val="20"/>
          <w:szCs w:val="20"/>
          <w:color w:val="auto"/>
        </w:rPr>
      </w:pPr>
    </w:p>
    <w:p>
      <w:pPr>
        <w:ind w:left="319" w:hanging="319"/>
        <w:spacing w:after="0"/>
        <w:tabs>
          <w:tab w:leader="none" w:pos="31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Overhead or other expense reduction;</w:t>
      </w:r>
    </w:p>
    <w:p>
      <w:pPr>
        <w:spacing w:after="0" w:line="236" w:lineRule="exact"/>
        <w:rPr>
          <w:rFonts w:ascii="Arial" w:cs="Arial" w:eastAsia="Arial" w:hAnsi="Arial"/>
          <w:sz w:val="17"/>
          <w:szCs w:val="17"/>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225" w:lineRule="exact"/>
        <w:rPr>
          <w:rFonts w:ascii="Arial" w:cs="Arial" w:eastAsia="Arial" w:hAnsi="Arial"/>
          <w:sz w:val="18"/>
          <w:szCs w:val="18"/>
          <w:color w:val="auto"/>
        </w:rPr>
      </w:pPr>
    </w:p>
    <w:p>
      <w:pPr>
        <w:ind w:left="319" w:hanging="319"/>
        <w:spacing w:after="0"/>
        <w:tabs>
          <w:tab w:leader="none" w:pos="31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225" w:lineRule="exact"/>
        <w:rPr>
          <w:rFonts w:ascii="Arial" w:cs="Arial" w:eastAsia="Arial" w:hAnsi="Arial"/>
          <w:sz w:val="18"/>
          <w:szCs w:val="18"/>
          <w:color w:val="auto"/>
        </w:rPr>
      </w:pPr>
    </w:p>
    <w:p>
      <w:pPr>
        <w:ind w:left="319" w:hanging="319"/>
        <w:spacing w:after="0"/>
        <w:tabs>
          <w:tab w:leader="none" w:pos="31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Improvement in workforce diversity;</w:t>
      </w:r>
    </w:p>
    <w:p>
      <w:pPr>
        <w:spacing w:after="0" w:line="236" w:lineRule="exact"/>
        <w:rPr>
          <w:rFonts w:ascii="Arial" w:cs="Arial" w:eastAsia="Arial" w:hAnsi="Arial"/>
          <w:sz w:val="17"/>
          <w:szCs w:val="17"/>
          <w:color w:val="auto"/>
        </w:rPr>
      </w:pPr>
    </w:p>
    <w:p>
      <w:pPr>
        <w:ind w:left="279" w:hanging="279"/>
        <w:spacing w:after="0"/>
        <w:tabs>
          <w:tab w:leader="none" w:pos="27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Bookings;</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Sales;</w:t>
      </w:r>
    </w:p>
    <w:p>
      <w:pPr>
        <w:spacing w:after="0" w:line="225" w:lineRule="exact"/>
        <w:rPr>
          <w:rFonts w:ascii="Arial" w:cs="Arial" w:eastAsia="Arial" w:hAnsi="Arial"/>
          <w:sz w:val="18"/>
          <w:szCs w:val="18"/>
          <w:color w:val="auto"/>
        </w:rPr>
      </w:pPr>
    </w:p>
    <w:p>
      <w:pPr>
        <w:ind w:left="439" w:hanging="439"/>
        <w:spacing w:after="0"/>
        <w:tabs>
          <w:tab w:leader="none" w:pos="4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Expenses;</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225" w:lineRule="exact"/>
        <w:rPr>
          <w:rFonts w:ascii="Arial" w:cs="Arial" w:eastAsia="Arial" w:hAnsi="Arial"/>
          <w:sz w:val="18"/>
          <w:szCs w:val="18"/>
          <w:color w:val="auto"/>
        </w:rPr>
      </w:pPr>
    </w:p>
    <w:p>
      <w:pPr>
        <w:ind w:left="339" w:hanging="339"/>
        <w:spacing w:after="0"/>
        <w:tabs>
          <w:tab w:leader="none" w:pos="3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225" w:lineRule="exact"/>
        <w:rPr>
          <w:rFonts w:ascii="Arial" w:cs="Arial" w:eastAsia="Arial" w:hAnsi="Arial"/>
          <w:sz w:val="18"/>
          <w:szCs w:val="18"/>
          <w:color w:val="auto"/>
        </w:rPr>
      </w:pPr>
    </w:p>
    <w:p>
      <w:pPr>
        <w:ind w:left="279" w:hanging="279"/>
        <w:spacing w:after="0"/>
        <w:tabs>
          <w:tab w:leader="none" w:pos="27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299" w:hanging="299"/>
        <w:spacing w:after="0"/>
        <w:tabs>
          <w:tab w:leader="none" w:pos="29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Working capital targets and changes in working capital; and</w:t>
      </w:r>
    </w:p>
    <w:p>
      <w:pPr>
        <w:spacing w:after="0" w:line="236" w:lineRule="exact"/>
        <w:rPr>
          <w:rFonts w:ascii="Arial" w:cs="Arial" w:eastAsia="Arial" w:hAnsi="Arial"/>
          <w:sz w:val="17"/>
          <w:szCs w:val="17"/>
          <w:color w:val="auto"/>
        </w:rPr>
      </w:pPr>
    </w:p>
    <w:p>
      <w:pPr>
        <w:ind w:left="4699" w:right="3039" w:hanging="4699"/>
        <w:spacing w:after="0" w:line="449" w:lineRule="auto"/>
        <w:tabs>
          <w:tab w:leader="none" w:pos="26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 19</w:t>
      </w:r>
    </w:p>
    <w:p>
      <w:pPr>
        <w:sectPr>
          <w:pgSz w:w="11900" w:h="16838" w:orient="portrait"/>
          <w:cols w:equalWidth="0" w:num="1">
            <w:col w:w="9298"/>
          </w:cols>
          <w:pgMar w:left="1161" w:top="274" w:right="1440" w:bottom="1440" w:gutter="0" w:footer="0" w:header="0"/>
        </w:sectPr>
      </w:pPr>
    </w:p>
    <w:bookmarkStart w:id="360" w:name="page361"/>
    <w:bookmarkEnd w:id="36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18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76"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28.31.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 Award granted pursuant to Section 10 or Section 12 of the Plan, the payment of which is contingent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achieving certain performance goals established by the Committee.</w:t>
      </w:r>
    </w:p>
    <w:p>
      <w:pPr>
        <w:spacing w:after="0" w:line="16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granted to a Participant pursuant to Section 10 or Section 12, to receive Shares, the payment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achieving certain performance goals established by the Committee.</w:t>
      </w:r>
    </w:p>
    <w:p>
      <w:pPr>
        <w:spacing w:after="0" w:line="162"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28.34.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AnaptysBio, Inc. 2017 Equity Incentive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28.35. </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to be paid for Shares acquired under the Plan, other than Shares acquired upon exercise of an Option or SAR.</w:t>
      </w:r>
    </w:p>
    <w:p>
      <w:pPr>
        <w:spacing w:after="0" w:line="248"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28.37.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28.38. </w:t>
      </w: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28.39.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right="320" w:firstLine="456"/>
        <w:spacing w:after="0" w:line="303"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to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leave is for a period of not more than 90 days (x) unless reemployment upon the expiration of such leave is guaranteed by contract or statute, or (y) unless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61" w:name="page362"/>
    <w:bookmarkEnd w:id="36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otherwise pursuant to formal policy adopted from time to time by the Company and issued and promulgated to employees in writing. In the case of any Employee on a leave of absence or a reduction in hours worked (for illustrative purposes only, a change in schedule from that of full-time to part-time), the Committee may make such provisions respecting suspension of or modification of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military leave, he or she shall be given vesting credit with respect to Awards to the same extent as would have applied had the Participant continued to provide services to the Company throughout the leave on the same terms as he or she was providing services immediately prior to such leave. An employee shall have terminated employment as of the date he or she ceases provide services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change in status from an employee to a consultant or advisor shall not terminate the service provider’s Service, unless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its discretion. The Committee will have sole discretion to determine whether a Participant has ceased to provide Services and the effective date on which the Participant ceased to provide Services.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28.41.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and the common stock of any successor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28.42.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an Award granted pursuant to Section 8 or Section 12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28.43.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granted pursuant to Section 7 or Section 12 of the Plan.</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last corporation in the unbroken chain owns stock possessing fifty percent (50%) or more of the total combined voting power of all classes of stock in one of the other corporations in such chain.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28.45. </w:t>
      </w: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NOTICE OF RESTRICTED STOCK AWARD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GRANT NUMBER:</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Unless otherwise defined herein, the terms defined in the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meanings in this Notice of Restricted Stock Award and the electronic representation of this Notice of Restricted Stock Award established and maintained by the Company or a third party designated by AnaptysBio, Inc.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the opportunity to purchase Shares of Common Stock of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are subject to restrictions (the “</w:t>
      </w:r>
      <w:r>
        <w:rPr>
          <w:rFonts w:ascii="Arial" w:cs="Arial" w:eastAsia="Arial" w:hAnsi="Arial"/>
          <w:sz w:val="18"/>
          <w:szCs w:val="18"/>
          <w:b w:val="1"/>
          <w:bCs w:val="1"/>
          <w:i w:val="1"/>
          <w:iCs w:val="1"/>
          <w:color w:val="auto"/>
        </w:rPr>
        <w:t>Restricted Shares</w:t>
      </w:r>
      <w:r>
        <w:rPr>
          <w:rFonts w:ascii="Arial" w:cs="Arial" w:eastAsia="Arial" w:hAnsi="Arial"/>
          <w:sz w:val="18"/>
          <w:szCs w:val="18"/>
          <w:color w:val="auto"/>
        </w:rPr>
        <w:t>”) and the terms and conditions of the Plan, this Notice and the attached Restricted Stock Purchase Agreement (the “</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 of Restricted Shares Awarded: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per Restricted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Fair Market Value of Award: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per Restricted Share: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Purchase Price for all Restricted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the limitations set forth in this Notice, the Plan and the Restricted Stock Purchase Agreement, the Restricted Shares will vest and the right of repurchase will lapse, in whole or in part, in accordance with the following schedule:</w:t>
      </w:r>
    </w:p>
    <w:p>
      <w:pPr>
        <w:spacing w:after="0" w:line="181" w:lineRule="exact"/>
        <w:rPr>
          <w:sz w:val="20"/>
          <w:szCs w:val="20"/>
          <w:color w:val="auto"/>
        </w:rPr>
      </w:pPr>
    </w:p>
    <w:p>
      <w:pPr>
        <w:sectPr>
          <w:pgSz w:w="11900" w:h="16838" w:orient="portrait"/>
          <w:cols w:equalWidth="0" w:num="2">
            <w:col w:w="4080" w:space="720"/>
            <w:col w:w="6620"/>
          </w:cols>
          <w:pgMar w:left="240" w:top="270" w:right="239" w:bottom="1440" w:gutter="0" w:footer="0" w:header="0"/>
          <w:type w:val="continuous"/>
        </w:sectPr>
      </w:pPr>
    </w:p>
    <w:p>
      <w:pPr>
        <w:ind w:right="180"/>
        <w:spacing w:after="0" w:line="277" w:lineRule="auto"/>
        <w:rPr>
          <w:sz w:val="20"/>
          <w:szCs w:val="20"/>
          <w:color w:val="auto"/>
        </w:rPr>
      </w:pPr>
      <w:r>
        <w:rPr>
          <w:rFonts w:ascii="Arial" w:cs="Arial" w:eastAsia="Arial" w:hAnsi="Arial"/>
          <w:sz w:val="18"/>
          <w:szCs w:val="18"/>
          <w:color w:val="auto"/>
        </w:rPr>
        <w:t>By accepting (whether in writing, electronically or otherwise) the opportunity to purchase the Restricted Shares, Participant acknowledges and agrees to the following:</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Participant understands that Participant’s employment or consulting relationship or service with the Company or a Parent or Subsidiary is for an unspecified duration, can be terminated at any time (i.e., is “at-will”), and that nothing in this Notice, the Restricted Stock Purchase Agreement or the Plan changes the at-will nature of that relationship. Participant acknowledges that the vesting of the Restricted Shares pursuant to this Notice is earned only by continuing Service as an Employee, Director or Consultant. Participant acknowledges and agrees that the Vesting Schedule may change prospectively in the event Participant’s service status changes between full and part-time status and/or in the event Participant is on an approved leave of absence in accordance with Company policies relating to work schedules and vesting of awards or as determined by the Committee. Participant also understands that this Notice is subject to the terms and conditions of both the Restricted Stock Purchase Agreement and the Plan, both of which are incorporated herein by reference. Participant has read both the Restricted Stock Purchase Agreement and the Plan. By acceptance of this opportunity to purchase the Restricted Shares, Participant consents to the electronic delivery of the Notice, the Restricted Stock Purchase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Restricted Shares. Electronic delivery may include the delivery of a link to the Company intranet or the internet site of a third party involved in administering the Plan, the delivery of the document via e-mail or such other delivery determined at the Company’s discretion. If the Restricted Stock Purchase Agreement is not executed by Participant within thirty (30) days of the Date of Grant above, then this grant will be void.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4560" w:type="dxa"/>
            <w:vAlign w:val="bottom"/>
          </w:tcPr>
          <w:p>
            <w:pPr>
              <w:spacing w:after="0"/>
              <w:rPr>
                <w:sz w:val="20"/>
                <w:szCs w:val="20"/>
                <w:color w:val="auto"/>
              </w:rPr>
            </w:pPr>
          </w:p>
        </w:tc>
        <w:tc>
          <w:tcPr>
            <w:tcW w:w="5600" w:type="dxa"/>
            <w:vAlign w:val="bottom"/>
            <w:gridSpan w:val="2"/>
          </w:tcPr>
          <w:p>
            <w:pPr>
              <w:ind w:left="66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r>
      <w:tr>
        <w:trPr>
          <w:trHeight w:val="439"/>
        </w:trPr>
        <w:tc>
          <w:tcPr>
            <w:tcW w:w="1260" w:type="dxa"/>
            <w:vAlign w:val="bottom"/>
          </w:tcPr>
          <w:p>
            <w:pPr>
              <w:spacing w:after="0"/>
              <w:rPr>
                <w:sz w:val="20"/>
                <w:szCs w:val="20"/>
                <w:color w:val="auto"/>
              </w:rPr>
            </w:pPr>
            <w:r>
              <w:rPr>
                <w:rFonts w:ascii="Arial" w:cs="Arial" w:eastAsia="Arial" w:hAnsi="Arial"/>
                <w:sz w:val="18"/>
                <w:szCs w:val="18"/>
                <w:color w:val="auto"/>
              </w:rPr>
              <w:t>Printed Name: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Its:</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363" w:name="page364"/>
    <w:bookmarkEnd w:id="3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PURCHASE AGREEMENT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THIS RESTRICTED STOCK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AnaptysBio,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Participant pursuant to the Company’s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Unless otherwise defined herein, the terms defined in the Plan will have the same meanings in this Agreement.</w:t>
      </w:r>
    </w:p>
    <w:p>
      <w:pPr>
        <w:spacing w:after="0" w:line="181" w:lineRule="exact"/>
        <w:rPr>
          <w:sz w:val="20"/>
          <w:szCs w:val="20"/>
          <w:color w:val="auto"/>
        </w:rPr>
      </w:pPr>
    </w:p>
    <w:p>
      <w:pPr>
        <w:ind w:right="120" w:firstLine="464"/>
        <w:spacing w:after="0" w:line="255" w:lineRule="auto"/>
        <w:tabs>
          <w:tab w:leader="none" w:pos="636" w:val="left"/>
        </w:tabs>
        <w:numPr>
          <w:ilvl w:val="0"/>
          <w:numId w:val="332"/>
        </w:numPr>
        <w:rPr>
          <w:rFonts w:ascii="Arial" w:cs="Arial" w:eastAsia="Arial" w:hAnsi="Arial"/>
          <w:sz w:val="18"/>
          <w:szCs w:val="18"/>
          <w:b w:val="1"/>
          <w:bCs w:val="1"/>
          <w:color w:val="auto"/>
        </w:rPr>
      </w:pPr>
      <w:r>
        <w:rPr>
          <w:rFonts w:ascii="Arial" w:cs="Arial" w:eastAsia="Arial" w:hAnsi="Arial"/>
          <w:sz w:val="18"/>
          <w:szCs w:val="18"/>
          <w:u w:val="single" w:color="auto"/>
          <w:color w:val="auto"/>
        </w:rPr>
        <w:t>Sale of Stock</w:t>
      </w:r>
      <w:r>
        <w:rPr>
          <w:rFonts w:ascii="Arial" w:cs="Arial" w:eastAsia="Arial" w:hAnsi="Arial"/>
          <w:sz w:val="18"/>
          <w:szCs w:val="18"/>
          <w:color w:val="auto"/>
        </w:rPr>
        <w:t>. Subject to the terms and conditions of this Agreement, on the Purchase Date (as defined below) the Company will issue and sell to Participant, and Participant agrees to purchase from the Company the number of Shares shown on the Notice of Restricted Stock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at the purchase price per Share set forth in the Notice. The term “Shares” refers to the purchased Shares and all securities received in replacement of or in connection with the Shares pursuant to stock dividends or splits, all securities received in replacement of the Shares in a recapitalization, merger, reorganization, exchange or the like, and all new, substituted or additional securities or other properties to which Participant is entitled by reason of Participant’s ownership of the Shares.</w:t>
      </w:r>
    </w:p>
    <w:p>
      <w:pPr>
        <w:spacing w:after="0" w:line="193" w:lineRule="exact"/>
        <w:rPr>
          <w:rFonts w:ascii="Arial" w:cs="Arial" w:eastAsia="Arial" w:hAnsi="Arial"/>
          <w:sz w:val="18"/>
          <w:szCs w:val="18"/>
          <w:b w:val="1"/>
          <w:bCs w:val="1"/>
          <w:color w:val="auto"/>
        </w:rPr>
      </w:pPr>
    </w:p>
    <w:p>
      <w:pPr>
        <w:ind w:firstLine="464"/>
        <w:spacing w:after="0" w:line="291" w:lineRule="auto"/>
        <w:tabs>
          <w:tab w:leader="none" w:pos="636" w:val="left"/>
        </w:tabs>
        <w:numPr>
          <w:ilvl w:val="0"/>
          <w:numId w:val="332"/>
        </w:numPr>
        <w:rPr>
          <w:rFonts w:ascii="Arial" w:cs="Arial" w:eastAsia="Arial" w:hAnsi="Arial"/>
          <w:sz w:val="16"/>
          <w:szCs w:val="16"/>
          <w:b w:val="1"/>
          <w:bCs w:val="1"/>
          <w:color w:val="auto"/>
        </w:rPr>
      </w:pPr>
      <w:r>
        <w:rPr>
          <w:rFonts w:ascii="Arial" w:cs="Arial" w:eastAsia="Arial" w:hAnsi="Arial"/>
          <w:sz w:val="16"/>
          <w:szCs w:val="16"/>
          <w:u w:val="single" w:color="auto"/>
          <w:color w:val="auto"/>
        </w:rPr>
        <w:t>Time and Place of Purchase</w:t>
      </w:r>
      <w:r>
        <w:rPr>
          <w:rFonts w:ascii="Arial" w:cs="Arial" w:eastAsia="Arial" w:hAnsi="Arial"/>
          <w:sz w:val="16"/>
          <w:szCs w:val="16"/>
          <w:color w:val="auto"/>
        </w:rPr>
        <w:t>. The purchase and sale of the Shares under this Agreement will occur at the principal office of the Company simultaneously with the execution of this Agreement by the parties, or on such other date as the Company and Participant will agree (the “</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On the Purchase Date (or as soon as reasonably practicable thereafter), the Company will issue a stock certificate registered in Participant’s name, or uncertificated shares designated for the Participant in book entry form on the records of the Company’s transfer agent, representing the Shares to be purchased by Participant against payment of the purchase price therefor by Participant by (a) check made payable to the Company, (b) cancellation of indebtedness of the Company to Participant, (c) Participant’s personal services that the Committee has determined have already been rendered to the Company and have a value not less than aggregate par value of the Shares to be issued Participant, or (d) a combination of the foregoing.</w:t>
      </w:r>
    </w:p>
    <w:p>
      <w:pPr>
        <w:spacing w:after="0" w:line="167" w:lineRule="exact"/>
        <w:rPr>
          <w:rFonts w:ascii="Arial" w:cs="Arial" w:eastAsia="Arial" w:hAnsi="Arial"/>
          <w:sz w:val="16"/>
          <w:szCs w:val="16"/>
          <w:b w:val="1"/>
          <w:bCs w:val="1"/>
          <w:color w:val="auto"/>
        </w:rPr>
      </w:pPr>
    </w:p>
    <w:p>
      <w:pPr>
        <w:ind w:right="280" w:firstLine="464"/>
        <w:spacing w:after="0" w:line="277" w:lineRule="auto"/>
        <w:tabs>
          <w:tab w:leader="none" w:pos="636" w:val="left"/>
        </w:tabs>
        <w:numPr>
          <w:ilvl w:val="0"/>
          <w:numId w:val="332"/>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Restrictions on Resale</w:t>
      </w:r>
      <w:r>
        <w:rPr>
          <w:rFonts w:ascii="Arial" w:cs="Arial" w:eastAsia="Arial" w:hAnsi="Arial"/>
          <w:sz w:val="18"/>
          <w:szCs w:val="18"/>
          <w:color w:val="auto"/>
        </w:rPr>
        <w:t>. By signing this Agreement, Participant agrees not to sell any Shares acquired pursuant to the Plan and this Agreement at a time when applicable laws, regulations or the Company or underwriter trading policies prohibit exercise or sale.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u w:val="single" w:color="auto"/>
          <w:color w:val="auto"/>
        </w:rPr>
        <w:t>Repurchase Right on Termination</w:t>
      </w:r>
      <w:r>
        <w:rPr>
          <w:rFonts w:ascii="Arial" w:cs="Arial" w:eastAsia="Arial" w:hAnsi="Arial"/>
          <w:sz w:val="17"/>
          <w:szCs w:val="17"/>
          <w:color w:val="auto"/>
        </w:rPr>
        <w:t>. For the purposes of this Agreement, a “</w:t>
      </w:r>
      <w:r>
        <w:rPr>
          <w:rFonts w:ascii="Arial" w:cs="Arial" w:eastAsia="Arial" w:hAnsi="Arial"/>
          <w:sz w:val="17"/>
          <w:szCs w:val="17"/>
          <w:b w:val="1"/>
          <w:bCs w:val="1"/>
          <w:i w:val="1"/>
          <w:iCs w:val="1"/>
          <w:color w:val="auto"/>
        </w:rPr>
        <w:t>Repurchase Event</w:t>
      </w:r>
      <w:r>
        <w:rPr>
          <w:rFonts w:ascii="Arial" w:cs="Arial" w:eastAsia="Arial" w:hAnsi="Arial"/>
          <w:sz w:val="17"/>
          <w:szCs w:val="17"/>
          <w:color w:val="auto"/>
        </w:rPr>
        <w:t>” will mean an occurrence of one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700" w:hanging="208"/>
        <w:spacing w:after="0"/>
        <w:tabs>
          <w:tab w:leader="none" w:pos="170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termination of Participant’s service, whether voluntary or involuntary and with or without cause;</w:t>
      </w:r>
    </w:p>
    <w:p>
      <w:pPr>
        <w:spacing w:after="0" w:line="225" w:lineRule="exact"/>
        <w:rPr>
          <w:rFonts w:ascii="Arial" w:cs="Arial" w:eastAsia="Arial" w:hAnsi="Arial"/>
          <w:sz w:val="18"/>
          <w:szCs w:val="18"/>
          <w:b w:val="1"/>
          <w:bCs w:val="1"/>
          <w:color w:val="auto"/>
        </w:rPr>
      </w:pPr>
    </w:p>
    <w:p>
      <w:pPr>
        <w:ind w:left="1760" w:hanging="268"/>
        <w:spacing w:after="0"/>
        <w:tabs>
          <w:tab w:leader="none" w:pos="176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resignation, retirement or death of Participant; or</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any attempted transfer by Participant of the Shares, or any interest therein, in violation of this Agreement.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occurrence of a Repurchase Event, the Company will have the right (but not an obligation) to purchase the Unvested Shares (as defined below) of Participant at a price equal to the Purchase Price per Share (the “</w:t>
      </w:r>
      <w:r>
        <w:rPr>
          <w:rFonts w:ascii="Arial" w:cs="Arial" w:eastAsia="Arial" w:hAnsi="Arial"/>
          <w:sz w:val="18"/>
          <w:szCs w:val="18"/>
          <w:b w:val="1"/>
          <w:bCs w:val="1"/>
          <w:i w:val="1"/>
          <w:iCs w:val="1"/>
          <w:color w:val="auto"/>
        </w:rPr>
        <w:t>Repurchase Right</w:t>
      </w:r>
      <w:r>
        <w:rPr>
          <w:rFonts w:ascii="Arial" w:cs="Arial" w:eastAsia="Arial" w:hAnsi="Arial"/>
          <w:sz w:val="18"/>
          <w:szCs w:val="18"/>
          <w:color w:val="auto"/>
        </w:rPr>
        <w:t>”). The Repurchase Right will lapse in accordance with the vesting schedule set forth in the Notice. For purposes of this Agreement,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Stock pursuant to which the Company’s Repurchase Right has not lapsed.</w:t>
      </w:r>
    </w:p>
    <w:p>
      <w:pPr>
        <w:sectPr>
          <w:pgSz w:w="11900" w:h="16838" w:orient="portrait"/>
          <w:cols w:equalWidth="0" w:num="1">
            <w:col w:w="11420"/>
          </w:cols>
          <w:pgMar w:left="240" w:top="270" w:right="239" w:bottom="1440" w:gutter="0" w:footer="0" w:header="0"/>
        </w:sectPr>
      </w:pPr>
    </w:p>
    <w:bookmarkStart w:id="364" w:name="page365"/>
    <w:bookmarkEnd w:id="364"/>
    <w:p>
      <w:pPr>
        <w:ind w:right="200" w:firstLine="913"/>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Participant acknowledges and agrees that the Vesting Schedule may change prospectively in the event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status changes between full and part-time status and/or in the event Participant is on an approved leave of absence in accordance with Company policies relating to work schedules and vesting of awards or as determined by the Committee. Participant acknowledges that the vesting of the Shares pursuant to this Notice and Agreement is earned only by continued Service. In case of any dispute as to whether termination of Service has occurred, the Committee will have sole discretion to determine whether such termination of Service has occurred and the effective date of such termination (including whether Participant may still be considered to be providing services while on an approved leave of absence).</w:t>
      </w:r>
    </w:p>
    <w:p>
      <w:pPr>
        <w:spacing w:after="0" w:line="15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u w:val="single" w:color="auto"/>
          <w:color w:val="auto"/>
        </w:rPr>
        <w:t>Exercise of Repurchase Right</w:t>
      </w:r>
      <w:r>
        <w:rPr>
          <w:rFonts w:ascii="Arial" w:cs="Arial" w:eastAsia="Arial" w:hAnsi="Arial"/>
          <w:sz w:val="17"/>
          <w:szCs w:val="17"/>
          <w:color w:val="auto"/>
        </w:rPr>
        <w:t>. Unless the Company provides written notice to Participant within 90 days from the date of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service to the Company that the Company does not intend to exercise its Repurchase Right with respect to some or all of the Unvested Shares, the Repurchase Right will be deemed automatically exercised by the Company as of the 90th day following such termination, provided that the Company may notify Participant that it is exercising its Repurchase Right as of a date prior to such 90th day. Unless Participant is otherwise notified by the Company pursuant to the preceding sentence that the Company does not intend to exercise its Repurchase Right as to some or all of the Unvested Shares, execution of this Agreement by Participant constitutes written notice to Participant of the Company’s intention to exercise its Repurchase Right with respect to all Unvested Shares to which such Repurchase Right applies at the time of termination of Participant’s Service. The Company, at its choice, may satisfy its payment obligation to Participant with respect to exercise of the Repurchase Right by (i) delivering a check to Participant in the amount of the purchase price for the Unvested Shares being repurchased, (ii) in the event Participant is indebted to the Company, canceling an amount of such indebtedness equal to the purchase price for the Unvested Shares being repurchased (if and to the extent permitted by applicable law), (iii) in the event Participant purchased Unvested Shares pursuant to Section 2(c), at the time of termination of Participant’s Service, Participant will forfeit all of Participant’s Unvested Shares or (iv) by a combination of (i) and (ii) so that the combined payment and cancellation of indebtedness equals such purchase price. In the event of any deemed automatic exercise of the Repurchase Right by canceling an amount of such indebtedness equal to the purchase price for the Unvested Shares being repurchased, such cancellation of indebtedness will be deemed automatically to occur as of the 90th day following termination of Participant’s employment or consulting relationship unless the Company otherwise satisfies its payment obligations. As a result of any repurchase of Unvested Shares pursuant to the Repurchase Right, the Company will become the legal and beneficial owner of the Unvested Shares being repurchased and will have all rights and interest therein or related thereto, and the Company will have the right to transfer to its own name the number of Unvested Shares being repurchased by the Company, without further action by Participant.</w:t>
      </w:r>
    </w:p>
    <w:p>
      <w:pPr>
        <w:spacing w:after="0" w:line="177"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u w:val="single" w:color="auto"/>
          <w:color w:val="auto"/>
        </w:rPr>
        <w:t>Acceptance of Restrictions</w:t>
      </w:r>
      <w:r>
        <w:rPr>
          <w:rFonts w:ascii="Arial" w:cs="Arial" w:eastAsia="Arial" w:hAnsi="Arial"/>
          <w:sz w:val="16"/>
          <w:szCs w:val="16"/>
          <w:color w:val="auto"/>
        </w:rPr>
        <w:t>. Acceptance of the Shares will constitute Participant’s agreement to such restrictions and the legending of his or</w:t>
      </w:r>
      <w:r>
        <w:rPr>
          <w:rFonts w:ascii="Arial" w:cs="Arial" w:eastAsia="Arial" w:hAnsi="Arial"/>
          <w:sz w:val="16"/>
          <w:szCs w:val="16"/>
          <w:b w:val="1"/>
          <w:bCs w:val="1"/>
          <w:color w:val="auto"/>
        </w:rPr>
        <w:t xml:space="preserve"> </w:t>
      </w:r>
      <w:r>
        <w:rPr>
          <w:rFonts w:ascii="Arial" w:cs="Arial" w:eastAsia="Arial" w:hAnsi="Arial"/>
          <w:sz w:val="16"/>
          <w:szCs w:val="16"/>
          <w:color w:val="auto"/>
        </w:rPr>
        <w:t>her certificates or the notation in the Company’s direct registration system for stock issuance and transfer of such restrictions and accompanying legends set forth in Section 4.1 with respect thereto. Notwithstanding such restrictions, however, so long as Participant is the holder of the Shares, or any portion thereof, he or she will be entitled to receive all dividends declared on and to vote the Shares and to all other rights of a stockholder with respect thereto.</w:t>
      </w:r>
    </w:p>
    <w:p>
      <w:pPr>
        <w:spacing w:after="0" w:line="151" w:lineRule="exact"/>
        <w:rPr>
          <w:sz w:val="20"/>
          <w:szCs w:val="20"/>
          <w:color w:val="auto"/>
        </w:rPr>
      </w:pPr>
    </w:p>
    <w:p>
      <w:pPr>
        <w:ind w:right="100" w:firstLine="913"/>
        <w:spacing w:after="0" w:line="303"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u w:val="single" w:color="auto"/>
          <w:color w:val="auto"/>
        </w:rPr>
        <w:t>Non-Transferability of Unvested Shares</w:t>
      </w:r>
      <w:r>
        <w:rPr>
          <w:rFonts w:ascii="Arial" w:cs="Arial" w:eastAsia="Arial" w:hAnsi="Arial"/>
          <w:sz w:val="16"/>
          <w:szCs w:val="16"/>
          <w:color w:val="auto"/>
        </w:rPr>
        <w:t>. In addition to any other limitation on transfer created by applicable securities laws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Company and Participant, Participant may not transfer any Unvested Shares, or any interest therein, unless consented to in writing by a duly authorized representative of the Company. Any purported transfer is void and of no effect, and no purported transferee thereof will be recognized as a holder of the Unvested Shares for any purpose whatsoever. Should such a transfer purport to occur, the Company may refuse to carry out the</w:t>
      </w:r>
    </w:p>
    <w:p>
      <w:pPr>
        <w:sectPr>
          <w:pgSz w:w="11900" w:h="16838" w:orient="portrait"/>
          <w:cols w:equalWidth="0" w:num="1">
            <w:col w:w="11420"/>
          </w:cols>
          <w:pgMar w:left="240" w:top="270" w:right="239" w:bottom="1440" w:gutter="0" w:footer="0" w:header="0"/>
        </w:sectPr>
      </w:pPr>
    </w:p>
    <w:bookmarkStart w:id="365" w:name="page366"/>
    <w:bookmarkEnd w:id="36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on its books, set aside the transfer, or exercise any other legal or equitable remedy. In the event the Company consents to a transfer of Unvested Shares, all transferees of Shares or any interest therein will receive and hold such Shares or interest subject to the provisions of this Agreement, including, insofar as applicable, the Repurchase Right. In the event of any purchase by the Company hereunder where the Shares or interest are held by a transferee, the transferee will be obligated, if requested by the Company, to transfer the Shares or interest to the Participant for consideration equal to the amount to be paid by the Company hereunder. In the event the Repurchase Right is deemed exercised by the Company, the Company may deem any transferee to have transferred the Shares or interest to Participant prior to their purchase by the Company, and payment of the purchase price by the Company to such transferee will be deemed to satisfy Participant’s obligation to pay such transferee for such Shares or interest, and also to satisfy the Company’s obligation to pay Participant for such Shares or interest.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u w:val="single" w:color="auto"/>
          <w:color w:val="auto"/>
        </w:rPr>
        <w:t>Assignment</w:t>
      </w:r>
      <w:r>
        <w:rPr>
          <w:rFonts w:ascii="Arial" w:cs="Arial" w:eastAsia="Arial" w:hAnsi="Arial"/>
          <w:sz w:val="18"/>
          <w:szCs w:val="18"/>
          <w:color w:val="auto"/>
        </w:rPr>
        <w:t>. The Repurchase Right may be assigned by the Company in whole or in part to any persons or organization.</w:t>
      </w:r>
    </w:p>
    <w:p>
      <w:pPr>
        <w:spacing w:after="0" w:line="229" w:lineRule="exact"/>
        <w:rPr>
          <w:sz w:val="20"/>
          <w:szCs w:val="20"/>
          <w:color w:val="auto"/>
        </w:rPr>
      </w:pPr>
    </w:p>
    <w:p>
      <w:pPr>
        <w:ind w:left="640" w:hanging="176"/>
        <w:spacing w:after="0"/>
        <w:tabs>
          <w:tab w:leader="none" w:pos="640" w:val="left"/>
        </w:tabs>
        <w:numPr>
          <w:ilvl w:val="0"/>
          <w:numId w:val="334"/>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Restrictive Legends and Stop Transfer Orders</w:t>
      </w:r>
      <w:r>
        <w:rPr>
          <w:rFonts w:ascii="Arial" w:cs="Arial" w:eastAsia="Arial" w:hAnsi="Arial"/>
          <w:sz w:val="18"/>
          <w:szCs w:val="18"/>
          <w:color w:val="auto"/>
        </w:rPr>
        <w:t>.</w:t>
      </w:r>
    </w:p>
    <w:p>
      <w:pPr>
        <w:spacing w:after="0" w:line="221"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Legends</w:t>
      </w:r>
      <w:r>
        <w:rPr>
          <w:rFonts w:ascii="Arial" w:cs="Arial" w:eastAsia="Arial" w:hAnsi="Arial"/>
          <w:sz w:val="17"/>
          <w:szCs w:val="17"/>
          <w:color w:val="auto"/>
        </w:rPr>
        <w:t>. The certificate or certificates or book entry or book entries representing the Shares will bear or be noted by the Company’s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with the following legend (as well as any legends required by applicable state and federal corporate and securities laws):</w:t>
      </w:r>
    </w:p>
    <w:p>
      <w:pPr>
        <w:spacing w:after="0" w:line="34"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SHARES REPRESENTED HEREBY MAY BE TRANSFERRED ONLY IN ACCORDANCE WITH THE TERMS OF AN AGREEMENT BETWEEN THE COMPANY AND THE STOCKHOLDER, A COPY OF WHICH IS ON FILE WITH THE SECRETARY OF THE COMPANY.</w:t>
      </w:r>
    </w:p>
    <w:p>
      <w:pPr>
        <w:spacing w:after="0" w:line="177" w:lineRule="exact"/>
        <w:rPr>
          <w:sz w:val="20"/>
          <w:szCs w:val="20"/>
          <w:color w:val="auto"/>
        </w:rPr>
      </w:pPr>
    </w:p>
    <w:p>
      <w:pPr>
        <w:jc w:val="both"/>
        <w:ind w:right="100" w:firstLine="913"/>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76"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will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the owner or to accord the right to vote or pay dividends to any purchaser or other transferee to whom such Shares will have been so transferred.</w:t>
      </w:r>
    </w:p>
    <w:p>
      <w:pPr>
        <w:spacing w:after="0" w:line="180" w:lineRule="exact"/>
        <w:rPr>
          <w:sz w:val="20"/>
          <w:szCs w:val="20"/>
          <w:color w:val="auto"/>
        </w:rPr>
      </w:pPr>
    </w:p>
    <w:p>
      <w:pPr>
        <w:ind w:right="40" w:firstLine="464"/>
        <w:spacing w:after="0" w:line="277" w:lineRule="auto"/>
        <w:tabs>
          <w:tab w:leader="none" w:pos="636" w:val="left"/>
        </w:tabs>
        <w:numPr>
          <w:ilvl w:val="0"/>
          <w:numId w:val="335"/>
        </w:numPr>
        <w:rPr>
          <w:rFonts w:ascii="Arial" w:cs="Arial" w:eastAsia="Arial" w:hAnsi="Arial"/>
          <w:sz w:val="18"/>
          <w:szCs w:val="18"/>
          <w:b w:val="1"/>
          <w:bCs w:val="1"/>
          <w:color w:val="auto"/>
        </w:rPr>
      </w:pPr>
      <w:r>
        <w:rPr>
          <w:rFonts w:ascii="Arial" w:cs="Arial" w:eastAsia="Arial" w:hAnsi="Arial"/>
          <w:sz w:val="18"/>
          <w:szCs w:val="18"/>
          <w:u w:val="single" w:color="auto"/>
          <w:color w:val="auto"/>
        </w:rPr>
        <w:t>No Rights as Employee, Director or Consultant</w:t>
      </w:r>
      <w:r>
        <w:rPr>
          <w:rFonts w:ascii="Arial" w:cs="Arial" w:eastAsia="Arial" w:hAnsi="Arial"/>
          <w:sz w:val="18"/>
          <w:szCs w:val="18"/>
          <w:color w:val="auto"/>
        </w:rPr>
        <w:t>. Nothing in this Agreement will affect in any manner whatsoever the right or power of the Company, or a Parent or Subsidiary of the Company, to terminate Participant</w:t>
      </w:r>
      <w:r>
        <w:rPr>
          <w:rFonts w:ascii="Arial" w:cs="Arial" w:eastAsia="Arial" w:hAnsi="Arial"/>
          <w:sz w:val="15"/>
          <w:szCs w:val="15"/>
          <w:color w:val="auto"/>
        </w:rPr>
        <w:t>’</w:t>
      </w:r>
      <w:r>
        <w:rPr>
          <w:rFonts w:ascii="Arial" w:cs="Arial" w:eastAsia="Arial" w:hAnsi="Arial"/>
          <w:sz w:val="18"/>
          <w:szCs w:val="18"/>
          <w:color w:val="auto"/>
        </w:rPr>
        <w:t>s service, for any reason, with or without cause.</w:t>
      </w:r>
    </w:p>
    <w:p>
      <w:pPr>
        <w:spacing w:after="0" w:line="170" w:lineRule="exact"/>
        <w:rPr>
          <w:rFonts w:ascii="Arial" w:cs="Arial" w:eastAsia="Arial" w:hAnsi="Arial"/>
          <w:sz w:val="18"/>
          <w:szCs w:val="18"/>
          <w:b w:val="1"/>
          <w:bCs w:val="1"/>
          <w:color w:val="auto"/>
        </w:rPr>
      </w:pPr>
    </w:p>
    <w:p>
      <w:pPr>
        <w:ind w:firstLine="464"/>
        <w:spacing w:after="0" w:line="272" w:lineRule="auto"/>
        <w:tabs>
          <w:tab w:leader="none" w:pos="636" w:val="left"/>
        </w:tabs>
        <w:numPr>
          <w:ilvl w:val="0"/>
          <w:numId w:val="335"/>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Participant hereby acknowledges that he or she has been informed that, with respect to the purchase of the Shares, an election may be filed by the Participant with the Internal Revenue Service, within 30 days of the purchase of the Shares, electing pursuant to Section 83(b) of the Code to be taxed currently on any difference between the purchase price of the Shares and their Fair Market Value on the date of purchase (the “</w:t>
      </w:r>
      <w:r>
        <w:rPr>
          <w:rFonts w:ascii="Arial" w:cs="Arial" w:eastAsia="Arial" w:hAnsi="Arial"/>
          <w:sz w:val="17"/>
          <w:szCs w:val="17"/>
          <w:b w:val="1"/>
          <w:bCs w:val="1"/>
          <w:i w:val="1"/>
          <w:iCs w:val="1"/>
          <w:color w:val="auto"/>
        </w:rPr>
        <w:t>Election</w:t>
      </w:r>
      <w:r>
        <w:rPr>
          <w:rFonts w:ascii="Arial" w:cs="Arial" w:eastAsia="Arial" w:hAnsi="Arial"/>
          <w:sz w:val="17"/>
          <w:szCs w:val="17"/>
          <w:color w:val="auto"/>
        </w:rPr>
        <w:t>”). Making the Election will result in recognition of taxable income to the Participant on the date of purchase, measured by the excess, if any, of the Fair Market Value of the Shares over the purchase price for the Shares. Absent such an Election, taxable income will be measured and recognized by Participant at the time or times on which the Company’s Repurchase Right lapses. Participant is strongly encouraged to seek the advice of his or her own tax consultants in connection with the purchase of the Shares and the advisability of filing of the</w:t>
      </w:r>
    </w:p>
    <w:p>
      <w:pPr>
        <w:sectPr>
          <w:pgSz w:w="11900" w:h="16838" w:orient="portrait"/>
          <w:cols w:equalWidth="0" w:num="1">
            <w:col w:w="11400"/>
          </w:cols>
          <w:pgMar w:left="240" w:top="273" w:right="259" w:bottom="1440" w:gutter="0" w:footer="0" w:header="0"/>
        </w:sectPr>
      </w:pPr>
    </w:p>
    <w:bookmarkStart w:id="366" w:name="page367"/>
    <w:bookmarkEnd w:id="366"/>
    <w:p>
      <w:pPr>
        <w:ind w:right="7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PARTICIPANT ACKNOWLEDGES THAT IT IS SOLELY PARTICIPANT’S RESPONSIBILITY, AND NOT THE COMPANY’S RESPONSIBILITY, TO TIMELY FILE THE ELECTION UNDER SECTION 83(b) OF THE CODE, EVEN IF PARTICIPANT REQUESTS THE COMPANY, OR ITS REPRESENTATIVE, TO MAKE THIS FILING ON PARTICIPANT’S BEHALF.</w:t>
      </w:r>
    </w:p>
    <w:p>
      <w:pPr>
        <w:spacing w:after="0" w:line="181" w:lineRule="exact"/>
        <w:rPr>
          <w:sz w:val="20"/>
          <w:szCs w:val="20"/>
          <w:color w:val="auto"/>
        </w:rPr>
      </w:pPr>
    </w:p>
    <w:p>
      <w:pPr>
        <w:ind w:left="640" w:hanging="176"/>
        <w:spacing w:after="0"/>
        <w:tabs>
          <w:tab w:leader="none" w:pos="640" w:val="left"/>
        </w:tabs>
        <w:numPr>
          <w:ilvl w:val="0"/>
          <w:numId w:val="336"/>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1"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Acknowledgement</w:t>
      </w:r>
      <w:r>
        <w:rPr>
          <w:rFonts w:ascii="Arial" w:cs="Arial" w:eastAsia="Arial" w:hAnsi="Arial"/>
          <w:sz w:val="18"/>
          <w:szCs w:val="18"/>
          <w:color w:val="auto"/>
        </w:rPr>
        <w:t>. The Company and Participant agree that the Restricted Shares are granted under and governed by the Notice,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by the provisions of the Plan (incorporated herein by reference). Participant: (i) acknowledges receipt of a copy of the Plan and the Plan prospectus, (ii) represents that Participant has carefully read and is familiar with their provisions, and (iii) hereby accepts the Restricted Shares subject to all of the terms and conditions set forth herein and those set forth in the Plan and the Notice.</w:t>
      </w:r>
    </w:p>
    <w:p>
      <w:pPr>
        <w:spacing w:after="0" w:line="18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the Plan will be addressed to the Company in care of its principal office, and any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to the Participant will be addressed to such Participant at the address maintained by the Company for such person or at such other address as the Participant may specify in writing to the Company.</w:t>
      </w:r>
    </w:p>
    <w:p>
      <w:pPr>
        <w:spacing w:after="0" w:line="17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U.S. Tax Consequences</w:t>
      </w:r>
      <w:r>
        <w:rPr>
          <w:rFonts w:ascii="Arial" w:cs="Arial" w:eastAsia="Arial" w:hAnsi="Arial"/>
          <w:sz w:val="18"/>
          <w:szCs w:val="18"/>
          <w:color w:val="auto"/>
        </w:rPr>
        <w:t>. Unless an Election (defined above) is made, upon vesting of Shares, Participant will include in taxable income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 between the fair market value of the vesting Shares, as determined on the date of their vesting, and the price paid for the Shares. This will be treated as ordinary income by Participant and will be subject to withholding by the Company when required by applicable law. In the absence of an Election (defined below), the Company will withhold a number of vesting Shares with a fair market value (determined on the date of their vesting) equal to the applicable amount the Company is required to withhold for income and employment taxes. If Participant makes an Election, then Participant must, prior to making the Election, pay in cash (or check) to the Company an amount equal to the amount the Company is required to withhold for income and employment taxes.</w:t>
      </w:r>
    </w:p>
    <w:p>
      <w:pPr>
        <w:spacing w:after="0" w:line="189"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u w:val="single" w:color="auto"/>
          <w:color w:val="auto"/>
        </w:rPr>
        <w:t>Withholding Taxes and Stock Withholding</w:t>
      </w:r>
      <w:r>
        <w:rPr>
          <w:rFonts w:ascii="Arial" w:cs="Arial" w:eastAsia="Arial" w:hAnsi="Arial"/>
          <w:sz w:val="17"/>
          <w:szCs w:val="17"/>
          <w:color w:val="auto"/>
        </w:rPr>
        <w:t>. Regardless of any action the Company or Participant’s actual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Participant acknowledges that the ultimate liability for all Tax-Related Items legally due by Participant is and remains Participant’s responsibility and that the Company and/or the Employer (1) make no representations or undertakings regarding the treatment of any Tax-Related Items in connection with any aspect of the Shares received under this award, including the award or vesting of such Shares, the subsequent sale of Shares under this award and the receipt of any dividends; and (2) do not commit to structure the terms of the award or any aspect of the Restricted Shares to reduce or eliminate Participant’s liability for Tax-Related Items. Participant acknowledges that if Participant is subject to Tax-Related Items in more than one jurisdiction, the Company and/or the Employer may be required to withhold or account for Tax-Related Items in more than one jurisdiction.</w:t>
      </w:r>
    </w:p>
    <w:p>
      <w:pPr>
        <w:spacing w:after="0" w:line="17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will only recognize Participant as a record holder of Shares if Participant has paid or made adequate arrangements satisfactory to the Company and/or the Employer to satisfy all withholding and payment on account obligations of the Company and/or the Employer. In this regard, Participant authorizes the Company and/or the Employer to withhold all applicable Tax-Related Items legally payable by Participant from Participant’s wages or other cash compensation paid to Participant by the Company and/or the Employer. With the Company’s consent, these arrangements may also include, if permissible under local law, (a) withholding Shares that otherwise would be released from the Repurchase Right when they vest, provided that the Company only withholds the amount of Shares</w:t>
      </w:r>
    </w:p>
    <w:p>
      <w:pPr>
        <w:sectPr>
          <w:pgSz w:w="11900" w:h="16838" w:orient="portrait"/>
          <w:cols w:equalWidth="0" w:num="1">
            <w:col w:w="11380"/>
          </w:cols>
          <w:pgMar w:left="240" w:top="273" w:right="279" w:bottom="1440" w:gutter="0" w:footer="0" w:header="0"/>
        </w:sectPr>
      </w:pPr>
    </w:p>
    <w:bookmarkStart w:id="367" w:name="page368"/>
    <w:bookmarkEnd w:id="36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satisfy the applicable statutory withholding amount, (b) having the Company withhold taxes from the proceeds of the sale of the Shares, either through a voluntary sale or through a mandatory sale arranged by the Company (on Participant’s behalf and Participant hereby authorizes such sales by this authorization), (c) Participant’s payment of a cash amount (including by check representing readily available funds or a wire transfer), or (d) any other arrangement approved by the Company; 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 constituted in accordance with Rule 16b-3 under the Exchange Act) shall establish the method of withholding from alternatives (a)-(d) above, and the Committee shall establish the method prior to the Tax-Related Items withholding event. The Fair Market Value of these Shares, determined as of the effective date when taxes otherwise would have been withheld in cash, will be applied as a credit against the withholding taxes. Participant shall pay to the Company or the Employer any amount of Tax-Related Items that the Company or the Employer may be required to withhold as a result of Participant’s participation in the Plan or Participant’s purchase of Shares that cannot be satisfied by the means previously described. Finally, Participant acknowledges that the Company has no obligation to deliver Shares to Participant until Participant has satisfied the obligations in connection with the Tax-Related Items as described in this Section.</w:t>
      </w:r>
    </w:p>
    <w:p>
      <w:pPr>
        <w:spacing w:after="0" w:line="176"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u w:val="single" w:color="auto"/>
          <w:color w:val="auto"/>
        </w:rPr>
        <w:t>Consent to Electronic Delivery of All Plan Documents and Disclosures</w:t>
      </w:r>
      <w:r>
        <w:rPr>
          <w:rFonts w:ascii="Arial" w:cs="Arial" w:eastAsia="Arial" w:hAnsi="Arial"/>
          <w:sz w:val="16"/>
          <w:szCs w:val="16"/>
          <w:color w:val="auto"/>
        </w:rPr>
        <w:t>. By Participant’s acceptance (whether in writing, electronically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of the Notice, Participant and the Company agree that this opportunity to purchase Restricted Shares is granted under and governed by the terms and conditions of the Plan, the Notice and this Agreement. Participant has reviewed the Plan, the Notice and this Agreement in their entirety, has had an opportunity to obtain the advice of counsel prior to executing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this opportunity to purchase Restricted Shares,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Restricted Shares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through Stock Administration. Finally, Participant understands that Participant is not required to consent to electronic delivery if local laws prohibit such consent.</w:t>
      </w:r>
    </w:p>
    <w:p>
      <w:pPr>
        <w:spacing w:after="0" w:line="387" w:lineRule="exact"/>
        <w:rPr>
          <w:sz w:val="20"/>
          <w:szCs w:val="20"/>
          <w:color w:val="auto"/>
        </w:rPr>
      </w:pPr>
    </w:p>
    <w:p>
      <w:pPr>
        <w:ind w:right="480" w:firstLine="913"/>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will he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instrument.</w:t>
      </w:r>
    </w:p>
    <w:p>
      <w:pPr>
        <w:sectPr>
          <w:pgSz w:w="11900" w:h="16838" w:orient="portrait"/>
          <w:cols w:equalWidth="0" w:num="1">
            <w:col w:w="11420"/>
          </w:cols>
          <w:pgMar w:left="240" w:top="274" w:right="239" w:bottom="1440" w:gutter="0" w:footer="0" w:header="0"/>
        </w:sectPr>
      </w:pPr>
    </w:p>
    <w:bookmarkStart w:id="368" w:name="page369"/>
    <w:bookmarkEnd w:id="368"/>
    <w:p>
      <w:pPr>
        <w:ind w:right="4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7.7 </w:t>
      </w:r>
      <w:r>
        <w:rPr>
          <w:rFonts w:ascii="Arial" w:cs="Arial" w:eastAsia="Arial" w:hAnsi="Arial"/>
          <w:sz w:val="18"/>
          <w:szCs w:val="18"/>
          <w:u w:val="single" w:color="auto"/>
          <w:color w:val="auto"/>
        </w:rPr>
        <w:t>Entire Agreement; Enforcement of Rights</w:t>
      </w:r>
      <w:r>
        <w:rPr>
          <w:rFonts w:ascii="Arial" w:cs="Arial" w:eastAsia="Arial" w:hAnsi="Arial"/>
          <w:sz w:val="18"/>
          <w:szCs w:val="18"/>
          <w:color w:val="auto"/>
        </w:rPr>
        <w:t>. This Agreement, the Plan and the Notice constitute the entire agreement and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w:t>
      </w:r>
    </w:p>
    <w:p>
      <w:pPr>
        <w:spacing w:after="0" w:line="184" w:lineRule="exact"/>
        <w:rPr>
          <w:sz w:val="20"/>
          <w:szCs w:val="20"/>
          <w:color w:val="auto"/>
        </w:rPr>
      </w:pPr>
    </w:p>
    <w:p>
      <w:pPr>
        <w:ind w:right="300" w:firstLine="913"/>
        <w:spacing w:after="0" w:line="289"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The issuance of Shares will be subject to and conditioned upon compliance by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with all applicable state and federal laws and regulations and with all applicable requirements of any stock exchange or automated quotation system on which the Company’s Common Stock may be listed or quoted at the time of such issuance or transfer.</w:t>
      </w:r>
    </w:p>
    <w:p>
      <w:pPr>
        <w:spacing w:after="0" w:line="15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7.9 </w:t>
      </w:r>
      <w:r>
        <w:rPr>
          <w:rFonts w:ascii="Arial" w:cs="Arial" w:eastAsia="Arial" w:hAnsi="Arial"/>
          <w:sz w:val="17"/>
          <w:szCs w:val="17"/>
          <w:u w:val="single" w:color="auto"/>
          <w:color w:val="auto"/>
        </w:rPr>
        <w:t>Governing Law and Venue; Severability</w:t>
      </w:r>
      <w:r>
        <w:rPr>
          <w:rFonts w:ascii="Arial" w:cs="Arial" w:eastAsia="Arial" w:hAnsi="Arial"/>
          <w:sz w:val="17"/>
          <w:szCs w:val="17"/>
          <w:color w:val="auto"/>
        </w:rPr>
        <w:t>. If one or more provisions of this Agreement are held to be unenforceable under applicable law,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to renegotiate such provision in good faith. In the event that the parties cannot reach a mutually agreeable and enforceable replacement for such provision, then (i) such provision will be excluded from this Agreement, (ii) the balance of this Agreement will be interpreted as if such provision were so excluded and (iii) the balance of this Agreement will be enforceable in accordance with its terms. This Agreement and all acts and transactions pursuant hereto and the rights and obligations of the parties hereto will be governed, construed and interpreted in accordance with the laws of the State of Delaware,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District of New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0"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will be deemed to be the product of all of the parties hereto, and no ambiguity will be construed in favor of or against any one of the parties hereto.</w:t>
      </w:r>
    </w:p>
    <w:p>
      <w:pPr>
        <w:spacing w:after="0" w:line="180" w:lineRule="exact"/>
        <w:rPr>
          <w:sz w:val="20"/>
          <w:szCs w:val="20"/>
          <w:color w:val="auto"/>
        </w:rPr>
      </w:pPr>
    </w:p>
    <w:p>
      <w:pPr>
        <w:ind w:right="60" w:firstLine="464"/>
        <w:spacing w:after="0" w:line="257" w:lineRule="auto"/>
        <w:tabs>
          <w:tab w:leader="none" w:pos="636" w:val="left"/>
        </w:tabs>
        <w:numPr>
          <w:ilvl w:val="0"/>
          <w:numId w:val="337"/>
        </w:numPr>
        <w:rPr>
          <w:rFonts w:ascii="Arial" w:cs="Arial" w:eastAsia="Arial" w:hAnsi="Arial"/>
          <w:sz w:val="18"/>
          <w:szCs w:val="18"/>
          <w:b w:val="1"/>
          <w:bCs w:val="1"/>
          <w:color w:val="auto"/>
        </w:rPr>
      </w:pPr>
      <w:r>
        <w:rPr>
          <w:rFonts w:ascii="Arial" w:cs="Arial" w:eastAsia="Arial" w:hAnsi="Arial"/>
          <w:sz w:val="18"/>
          <w:szCs w:val="18"/>
          <w:u w:val="single" w:color="auto"/>
          <w:color w:val="auto"/>
        </w:rPr>
        <w:t>Award Subject to Company Clawback or Recoupment</w:t>
      </w:r>
      <w:r>
        <w:rPr>
          <w:rFonts w:ascii="Arial" w:cs="Arial" w:eastAsia="Arial" w:hAnsi="Arial"/>
          <w:sz w:val="18"/>
          <w:szCs w:val="18"/>
          <w:color w:val="auto"/>
        </w:rPr>
        <w:t>. To the extent permitted by applicable law, the Shares shall be subject to clawback or recoupment pursuant to any compensation clawback or recoupment policy adopted by the Board or required by law during the term of Participant’s employment or other Service with the Company that is applicable to Participant. In addition to any other remedies available under such policy, applicable law may require the cancellation of Participant’s Shares (whether vested or unvested) and the recoupment of any gains realized with respect to Participant’s Shares.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ACCEPTING THIS RESTRICTED STOCK AWARD, PARTICIPANT AGREES TO ALL OF THE TERMS AND CONDITIONS DESCRIBED ABOVE AND IN THE PLAN.</w:t>
      </w:r>
    </w:p>
    <w:p>
      <w:pPr>
        <w:sectPr>
          <w:pgSz w:w="11900" w:h="16838" w:orient="portrait"/>
          <w:cols w:equalWidth="0" w:num="1">
            <w:col w:w="11420"/>
          </w:cols>
          <w:pgMar w:left="240" w:top="270" w:right="239" w:bottom="1440" w:gutter="0" w:footer="0" w:header="0"/>
        </w:sectPr>
      </w:pPr>
    </w:p>
    <w:bookmarkStart w:id="369" w:name="page370"/>
    <w:bookmarkEnd w:id="369"/>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AnaptysBio, Inc. hereby acknowledges receipt of (check as applicable):</w:t>
      </w:r>
    </w:p>
    <w:p>
      <w:pPr>
        <w:spacing w:after="0" w:line="237" w:lineRule="exact"/>
        <w:rPr>
          <w:sz w:val="20"/>
          <w:szCs w:val="20"/>
          <w:color w:val="auto"/>
        </w:rPr>
      </w:pPr>
    </w:p>
    <w:p>
      <w:pPr>
        <w:ind w:left="220" w:hanging="212"/>
        <w:spacing w:after="0"/>
        <w:tabs>
          <w:tab w:leader="none" w:pos="220" w:val="left"/>
        </w:tabs>
        <w:numPr>
          <w:ilvl w:val="0"/>
          <w:numId w:val="338"/>
        </w:numPr>
        <w:rPr>
          <w:rFonts w:ascii="MS PGothic" w:cs="MS PGothic" w:eastAsia="MS PGothic" w:hAnsi="MS PGothic"/>
          <w:sz w:val="18"/>
          <w:szCs w:val="18"/>
          <w:color w:val="auto"/>
        </w:rPr>
      </w:pPr>
      <w:r>
        <w:rPr>
          <w:rFonts w:ascii="Arial" w:cs="Arial" w:eastAsia="Arial" w:hAnsi="Arial"/>
          <w:sz w:val="18"/>
          <w:szCs w:val="18"/>
          <w:color w:val="auto"/>
        </w:rPr>
        <w:t>A check or wire transfer in the amount of $</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338"/>
        </w:numPr>
        <w:rPr>
          <w:rFonts w:ascii="MS PGothic" w:cs="MS PGothic" w:eastAsia="MS PGothic" w:hAnsi="MS PGothic"/>
          <w:sz w:val="18"/>
          <w:szCs w:val="18"/>
          <w:color w:val="auto"/>
        </w:rPr>
      </w:pPr>
      <w:r>
        <w:rPr>
          <w:rFonts w:ascii="Arial" w:cs="Arial" w:eastAsia="Arial" w:hAnsi="Arial"/>
          <w:sz w:val="18"/>
          <w:szCs w:val="18"/>
          <w:color w:val="auto"/>
        </w:rPr>
        <w:t>The cancellation of indebtedness in the amount of $</w:t>
      </w:r>
    </w:p>
    <w:p>
      <w:pPr>
        <w:sectPr>
          <w:pgSz w:w="11900" w:h="16838" w:orient="portrait"/>
          <w:cols w:equalWidth="0" w:num="1">
            <w:col w:w="10780"/>
          </w:cols>
          <w:pgMar w:left="240" w:top="270" w:right="879" w:bottom="1440" w:gutter="0" w:footer="0" w:header="0"/>
        </w:sectPr>
      </w:pPr>
    </w:p>
    <w:p>
      <w:pPr>
        <w:spacing w:after="0" w:line="19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Given 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as consideration for the book entry in Participant’s name or Certificate No.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of</w:t>
      </w:r>
    </w:p>
    <w:p>
      <w:pPr>
        <w:spacing w:after="0" w:line="66" w:lineRule="exact"/>
        <w:rPr>
          <w:sz w:val="20"/>
          <w:szCs w:val="20"/>
          <w:color w:val="auto"/>
        </w:rPr>
      </w:pPr>
    </w:p>
    <w:p>
      <w:pPr>
        <w:sectPr>
          <w:pgSz w:w="11900" w:h="16838" w:orient="portrait"/>
          <w:cols w:equalWidth="0" w:num="4">
            <w:col w:w="1160" w:space="720"/>
            <w:col w:w="5480" w:space="400"/>
            <w:col w:w="300" w:space="720"/>
            <w:col w:w="2000"/>
          </w:cols>
          <w:pgMar w:left="240" w:top="270" w:right="879" w:bottom="1440" w:gutter="0" w:footer="0" w:header="0"/>
          <w:type w:val="continuous"/>
        </w:sectPr>
      </w:pPr>
    </w:p>
    <w:p>
      <w:pPr>
        <w:spacing w:after="0"/>
        <w:rPr>
          <w:sz w:val="20"/>
          <w:szCs w:val="20"/>
          <w:color w:val="auto"/>
        </w:rPr>
      </w:pPr>
      <w:r>
        <w:rPr>
          <w:rFonts w:ascii="Arial" w:cs="Arial" w:eastAsia="Arial" w:hAnsi="Arial"/>
          <w:sz w:val="17"/>
          <w:szCs w:val="17"/>
          <w:color w:val="auto"/>
        </w:rPr>
        <w:t>AnaptysBio, Inc.</w:t>
      </w:r>
    </w:p>
    <w:p>
      <w:pPr>
        <w:sectPr>
          <w:pgSz w:w="11900" w:h="16838" w:orient="portrait"/>
          <w:cols w:equalWidth="0" w:num="1">
            <w:col w:w="10780"/>
          </w:cols>
          <w:pgMar w:left="240" w:top="270" w:right="879" w:bottom="1440" w:gutter="0" w:footer="0" w:header="0"/>
          <w:type w:val="continuous"/>
        </w:sectPr>
      </w:pPr>
    </w:p>
    <w:p>
      <w:pPr>
        <w:spacing w:after="0" w:line="202" w:lineRule="exact"/>
        <w:rPr>
          <w:sz w:val="20"/>
          <w:szCs w:val="20"/>
          <w:color w:val="auto"/>
        </w:rPr>
      </w:pPr>
    </w:p>
    <w:p>
      <w:pPr>
        <w:ind w:left="220" w:hanging="212"/>
        <w:spacing w:after="0"/>
        <w:tabs>
          <w:tab w:leader="none" w:pos="220" w:val="left"/>
        </w:tabs>
        <w:numPr>
          <w:ilvl w:val="0"/>
          <w:numId w:val="339"/>
        </w:numPr>
        <w:rPr>
          <w:rFonts w:ascii="MS PGothic" w:cs="MS PGothic" w:eastAsia="MS PGothic" w:hAnsi="MS PGothic"/>
          <w:sz w:val="16"/>
          <w:szCs w:val="16"/>
          <w:color w:val="auto"/>
        </w:rPr>
      </w:pPr>
      <w:r>
        <w:rPr>
          <w:rFonts w:ascii="Arial" w:cs="Arial" w:eastAsia="Arial" w:hAnsi="Arial"/>
          <w:sz w:val="16"/>
          <w:szCs w:val="16"/>
          <w:color w:val="auto"/>
        </w:rPr>
        <w:t>Other method as permitted by the Plan and specifically approved by the Board or Committee, and described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ANAPTYSBIO, INC.</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0780"/>
          </w:cols>
          <w:pgMar w:left="240" w:top="270" w:right="879" w:bottom="1440" w:gutter="0" w:footer="0" w:header="0"/>
          <w:type w:val="continuous"/>
        </w:sectPr>
      </w:pPr>
    </w:p>
    <w:bookmarkStart w:id="370" w:name="page371"/>
    <w:bookmarkEnd w:id="370"/>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AND CONSENT</w:t>
      </w:r>
    </w:p>
    <w:p>
      <w:pPr>
        <w:sectPr>
          <w:pgSz w:w="11900" w:h="16838" w:orient="portrait"/>
          <w:cols w:equalWidth="0" w:num="1">
            <w:col w:w="11320"/>
          </w:cols>
          <w:pgMar w:left="240" w:top="269" w:right="339" w:bottom="1440" w:gutter="0" w:footer="0" w:header="0"/>
        </w:sect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acknowledges the book entry in his or her name or receipt of a photocopy of Certificate No.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shares of</w:t>
      </w:r>
    </w:p>
    <w:p>
      <w:pPr>
        <w:spacing w:after="0" w:line="57" w:lineRule="exact"/>
        <w:rPr>
          <w:sz w:val="20"/>
          <w:szCs w:val="20"/>
          <w:color w:val="auto"/>
        </w:rPr>
      </w:pPr>
    </w:p>
    <w:p>
      <w:pPr>
        <w:sectPr>
          <w:pgSz w:w="11900" w:h="16838" w:orient="portrait"/>
          <w:cols w:equalWidth="0" w:num="3">
            <w:col w:w="8960" w:space="420"/>
            <w:col w:w="300" w:space="720"/>
            <w:col w:w="920"/>
          </w:cols>
          <w:pgMar w:left="240" w:top="269"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of AnaptysBio,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ectPr>
          <w:pgSz w:w="11900" w:h="16838" w:orient="portrait"/>
          <w:cols w:equalWidth="0" w:num="1">
            <w:col w:w="11320"/>
          </w:cols>
          <w:pgMar w:left="240" w:top="269" w:right="339" w:bottom="1440" w:gutter="0" w:footer="0" w:header="0"/>
          <w:type w:val="continuous"/>
        </w:sectPr>
      </w:pPr>
    </w:p>
    <w:p>
      <w:pPr>
        <w:spacing w:after="0" w:line="234"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undersigned further acknowledges that the Secretary of the Company, or his or her designee, is acting as escrow holder pursuant to the Restricted Stock Agreement that he or she has previously entered into with the Company. As escrow holder, the Secretary of the Company, or his or her designee, holds the original of the aforementioned certificate issued in the undersigned’s name. To facilitate any transfer of Shares to the Company pursuant to the Restricted Stock Agreement, the undersigned has executed the attached Assignment Separate from Certificate.</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31813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318135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type w:val="continuous"/>
        </w:sectPr>
      </w:pPr>
    </w:p>
    <w:bookmarkStart w:id="371" w:name="page372"/>
    <w:bookmarkEnd w:id="37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POWER AND ASSIGNMENT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0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FOR VALUE RECEIVED and pursuant to that certain Restricted Stock Agreement dated as of , ,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COMPLETE AT THE TIME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undersigned hereby sells, assigns and transfers unto , shares of the Common Stock of</w:t>
      </w:r>
    </w:p>
    <w:p>
      <w:pPr>
        <w:spacing w:after="0"/>
        <w:rPr>
          <w:sz w:val="20"/>
          <w:szCs w:val="20"/>
          <w:color w:val="auto"/>
        </w:rPr>
      </w:pPr>
      <w:r>
        <w:rPr>
          <w:rFonts w:ascii="Arial" w:cs="Arial" w:eastAsia="Arial" w:hAnsi="Arial"/>
          <w:sz w:val="16"/>
          <w:szCs w:val="16"/>
          <w:color w:val="auto"/>
        </w:rPr>
        <w:t>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standing in the undersigned’s name on the books of the Company represented hereby by book</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entry or by Certificate No(s).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COMPLETE AT THE TIME OF PURCHASE</w:t>
      </w:r>
      <w:r>
        <w:rPr>
          <w:rFonts w:ascii="Arial" w:cs="Arial" w:eastAsia="Arial" w:hAnsi="Arial"/>
          <w:sz w:val="18"/>
          <w:szCs w:val="18"/>
          <w:b w:val="1"/>
          <w:bCs w:val="1"/>
          <w:color w:val="auto"/>
        </w:rPr>
        <w:t>]</w:t>
      </w:r>
      <w:r>
        <w:rPr>
          <w:rFonts w:ascii="Arial" w:cs="Arial" w:eastAsia="Arial" w:hAnsi="Arial"/>
          <w:sz w:val="18"/>
          <w:szCs w:val="18"/>
          <w:color w:val="auto"/>
        </w:rPr>
        <w:t xml:space="preserve"> delivered herewith, and does hereby irrevocably constitute and appoint the Secretary of the Company as the undersigned’s attorney-in-fact, with full power of substitution, to transfer said stock on the books of the Company. THIS ASSIGNMENT MAY ONLY BE USED AS AUTHORIZED BY THE AGREEMENT AND ANY EXHIBITS THERETO.</w:t>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The purpose of this document is to enable the Company and/or its assignee(s)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the shares upon exercise of its “Repurchase Right” set forth in the Agreement without requiring additional action.</w:t>
      </w:r>
    </w:p>
    <w:p>
      <w:pPr>
        <w:sectPr>
          <w:pgSz w:w="11900" w:h="16838" w:orient="portrait"/>
          <w:cols w:equalWidth="0" w:num="1">
            <w:col w:w="11340"/>
          </w:cols>
          <w:pgMar w:left="240" w:top="269" w:right="319"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GRANT NUMBER:</w:t>
      </w:r>
    </w:p>
    <w:p>
      <w:pPr>
        <w:spacing w:after="0" w:line="21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Unless otherwise defined herein, the terms defined in the AnaptysBio,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meanings in this Notice of Restricted Stock Unit Award and the electronic representation of this Notice of Restricted Stock Unit Award established and maintained by the Company or a third party designated by AnaptysBio, Inc.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this Notice and the attached Restricted Stock Unit Award Agreement (hereinafter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including any applicable country-specific provisions in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Agreement.</w:t>
      </w:r>
    </w:p>
    <w:p>
      <w:pPr>
        <w:sectPr>
          <w:pgSz w:w="11900" w:h="16838" w:orient="portrait"/>
          <w:cols w:equalWidth="0" w:num="1">
            <w:col w:w="11420"/>
          </w:cols>
          <w:pgMar w:left="240" w:top="270" w:right="239" w:bottom="1440" w:gutter="0" w:footer="0" w:header="0"/>
        </w:sect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of RSUs: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Vesting Commencement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The date on which settlement of all RSUs granted hereunder occurs. This RSU expires earlier if Participant’s Service terminates earlier, as described in the Agreement.</w:t>
      </w:r>
    </w:p>
    <w:p>
      <w:pPr>
        <w:spacing w:after="0" w:line="34" w:lineRule="exact"/>
        <w:rPr>
          <w:sz w:val="20"/>
          <w:szCs w:val="20"/>
          <w:color w:val="auto"/>
        </w:rPr>
      </w:pPr>
    </w:p>
    <w:p>
      <w:pPr>
        <w:sectPr>
          <w:pgSz w:w="11900" w:h="16838" w:orient="portrait"/>
          <w:cols w:equalWidth="0" w:num="2">
            <w:col w:w="2800" w:space="720"/>
            <w:col w:w="790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8"/>
          <w:szCs w:val="18"/>
          <w:color w:val="auto"/>
        </w:rPr>
        <w:t>Subject to the limitations set forth in this Notice, the Plan and the Agreement, the RSUs will vest in accordance with the following schedule:</w:t>
      </w:r>
    </w:p>
    <w:p>
      <w:pPr>
        <w:spacing w:after="0" w:line="170" w:lineRule="exact"/>
        <w:rPr>
          <w:sz w:val="20"/>
          <w:szCs w:val="20"/>
          <w:color w:val="auto"/>
        </w:rPr>
      </w:pPr>
    </w:p>
    <w:p>
      <w:pPr>
        <w:sectPr>
          <w:pgSz w:w="11900" w:h="16838" w:orient="portrait"/>
          <w:cols w:equalWidth="0" w:num="2">
            <w:col w:w="2800" w:space="720"/>
            <w:col w:w="790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color w:val="auto"/>
        </w:rPr>
        <w:t>By accepting (whether in writing, electronically or otherwise) the RSUs, Participant acknowledges and agrees to the following: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Participant understands that Participant’s employment or consulting relationship or service with the Company or a Parent or Subsidiary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 will), except where otherwise prohibited by applicable law and that nothing in this Notice, the Agreement or the Plan changes the nature of that relationship. Participant acknowledges that the vesting of the RSUs pursuant to this Notice is earned only by continuing Service as an Employee, Director or Consultant. Participant agrees and acknowledges that the Vesting Schedule may change prospectively in the event that Participant’s service status changes between full and part time status in accordance with Company policies relating to work schedules and vesting of awards Participant also understands that this Notice is subject to the terms and conditions of both the Agreement and the Plan, both of which are incorporated herein by reference. Participant has read both the Agreement and the Plan. By accepting the RSUs, Participant consents to the electronic delivery as set forth in the Agreement.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5720" w:type="dxa"/>
            <w:vAlign w:val="bottom"/>
            <w:gridSpan w:val="2"/>
          </w:tcPr>
          <w:p>
            <w:pPr>
              <w:ind w:left="66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Its:</w:t>
            </w: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373" w:name="page374"/>
    <w:bookmarkEnd w:id="3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Unless otherwise defined herein, the terms defined in the AnaptysBio,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defined meanings in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Participant has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Plan, the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Agreement, including any applicable country-specific provisions in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Agreement.</w:t>
      </w:r>
    </w:p>
    <w:p>
      <w:pPr>
        <w:spacing w:after="0" w:line="177" w:lineRule="exact"/>
        <w:rPr>
          <w:sz w:val="20"/>
          <w:szCs w:val="20"/>
          <w:color w:val="auto"/>
        </w:rPr>
      </w:pPr>
    </w:p>
    <w:p>
      <w:pPr>
        <w:ind w:right="280" w:firstLine="8"/>
        <w:spacing w:after="0" w:line="313" w:lineRule="auto"/>
        <w:tabs>
          <w:tab w:leader="none" w:pos="18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of RSUs will be made within 30 days following the applicable date of vesting under the vesting schedule set forth in the Notice.</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of RSUs will be in Shares. No fractional RSUs or rights for fractional Shares shall be created pursuant to this Agreement.</w:t>
      </w:r>
    </w:p>
    <w:p>
      <w:pPr>
        <w:spacing w:after="0" w:line="138" w:lineRule="exact"/>
        <w:rPr>
          <w:rFonts w:ascii="Arial" w:cs="Arial" w:eastAsia="Arial" w:hAnsi="Arial"/>
          <w:sz w:val="17"/>
          <w:szCs w:val="17"/>
          <w:b w:val="1"/>
          <w:bCs w:val="1"/>
          <w:color w:val="auto"/>
        </w:rPr>
      </w:pPr>
    </w:p>
    <w:p>
      <w:pPr>
        <w:ind w:right="280" w:firstLine="8"/>
        <w:spacing w:after="0" w:line="282" w:lineRule="auto"/>
        <w:tabs>
          <w:tab w:leader="none" w:pos="18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will have no ownership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the RSUs and will have no rights to dividends or to vote such Shares.</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will not be credited to Participant.</w:t>
      </w:r>
    </w:p>
    <w:p>
      <w:pPr>
        <w:spacing w:after="0" w:line="225" w:lineRule="exact"/>
        <w:rPr>
          <w:rFonts w:ascii="Arial" w:cs="Arial" w:eastAsia="Arial" w:hAnsi="Arial"/>
          <w:sz w:val="18"/>
          <w:szCs w:val="18"/>
          <w:b w:val="1"/>
          <w:bCs w:val="1"/>
          <w:color w:val="auto"/>
        </w:rPr>
      </w:pPr>
    </w:p>
    <w:p>
      <w:pPr>
        <w:ind w:right="140" w:firstLine="8"/>
        <w:spacing w:after="0" w:line="266" w:lineRule="auto"/>
        <w:tabs>
          <w:tab w:leader="none" w:pos="18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RSUs</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will not be sold, assigned, transferred, pledged, hypothecated, or otherwise disposed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in any manner other than by will or by the laws of descent or distribution or court order or unless otherwise permitted by the Committee on a case-by-case basis.</w:t>
      </w:r>
    </w:p>
    <w:p>
      <w:pPr>
        <w:spacing w:after="0" w:line="176" w:lineRule="exact"/>
        <w:rPr>
          <w:rFonts w:ascii="Arial" w:cs="Arial" w:eastAsia="Arial" w:hAnsi="Arial"/>
          <w:sz w:val="18"/>
          <w:szCs w:val="18"/>
          <w:b w:val="1"/>
          <w:bCs w:val="1"/>
          <w:color w:val="auto"/>
        </w:rPr>
      </w:pPr>
    </w:p>
    <w:p>
      <w:pPr>
        <w:ind w:right="20" w:firstLine="8"/>
        <w:spacing w:after="0" w:line="288" w:lineRule="auto"/>
        <w:tabs>
          <w:tab w:leader="none" w:pos="180"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Participant’s Service terminates for any reason, all unvested RSUs will be forfeited to the Company forthwith, and all rights of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RSUs will immediately terminate without payment of any consideration to Participant. Participant’s Service will be considered terminated as of the date Participant is no longer providing services (regardless of the reason for such termination and whether or not later found to be invalid or in breach of employment laws in the jurisdiction where Participant is employed or the terms of Participant’s employment agreement, if any) and will not, subject to the laws applicable to Participant’s Award, be extended by any notice period mandated under local laws (e.g., Service would not include a period of “garden leave” or similar period). Participant acknowledges and agrees that the Vesting Schedule may change prospectively in the event Participant’s service status changes between full and part-time status and/or in the event Participant is on an approved leave of absence in accordance with Company policies relating to work schedules and vesting of awards or as determined by the Committee. Participant acknowledges that the vesting of the Shares pursuant to this Notice and Agreement is earned only by continued Service. In case of any dispute as to whether termination of Service has occurred, the Committee will have sole discretion to determine whether such termination of Service has occurred and the effective date of such termination (including whether Participant may still be considered to be providing services while on an approved leave of absence).</w:t>
      </w:r>
    </w:p>
    <w:p>
      <w:pPr>
        <w:spacing w:after="0" w:line="164" w:lineRule="exact"/>
        <w:rPr>
          <w:rFonts w:ascii="Arial" w:cs="Arial" w:eastAsia="Arial" w:hAnsi="Arial"/>
          <w:sz w:val="16"/>
          <w:szCs w:val="16"/>
          <w:b w:val="1"/>
          <w:bCs w:val="1"/>
          <w:color w:val="auto"/>
        </w:rPr>
      </w:pPr>
    </w:p>
    <w:p>
      <w:pPr>
        <w:ind w:left="180" w:hanging="172"/>
        <w:spacing w:after="0"/>
        <w:tabs>
          <w:tab w:leader="none" w:pos="18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Participant acknowledges that, regardless of any action taken by the Company or, if different, Participant’s employer (the</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Participant’s responsibility and may exceed the amount actually withheld by the</w:t>
      </w:r>
    </w:p>
    <w:p>
      <w:pPr>
        <w:sectPr>
          <w:pgSz w:w="11900" w:h="16838" w:orient="portrait"/>
          <w:cols w:equalWidth="0" w:num="1">
            <w:col w:w="11400"/>
          </w:cols>
          <w:pgMar w:left="240" w:top="270" w:right="259" w:bottom="1440" w:gutter="0" w:footer="0" w:header="0"/>
        </w:sectPr>
      </w:pPr>
    </w:p>
    <w:bookmarkStart w:id="374" w:name="page375"/>
    <w:bookmarkEnd w:id="37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the Employer. Participant further acknowledges that the Company and/or the Employer (1)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(2)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78"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71" w:lineRule="exact"/>
        <w:rPr>
          <w:sz w:val="20"/>
          <w:szCs w:val="20"/>
          <w:color w:val="auto"/>
        </w:rPr>
      </w:pPr>
    </w:p>
    <w:p>
      <w:pPr>
        <w:ind w:left="1480" w:hanging="567"/>
        <w:spacing w:after="0"/>
        <w:tabs>
          <w:tab w:leader="none" w:pos="14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withholding from Participant’s wages or other cash compensation paid to Participant by the Company and/or the Employer; or</w:t>
      </w:r>
    </w:p>
    <w:p>
      <w:pPr>
        <w:spacing w:after="0" w:line="142" w:lineRule="exact"/>
        <w:rPr>
          <w:rFonts w:ascii="Arial" w:cs="Arial" w:eastAsia="Arial" w:hAnsi="Arial"/>
          <w:sz w:val="17"/>
          <w:szCs w:val="17"/>
          <w:color w:val="auto"/>
        </w:rPr>
      </w:pPr>
    </w:p>
    <w:p>
      <w:pPr>
        <w:ind w:left="1480" w:right="500" w:hanging="567"/>
        <w:spacing w:after="0" w:line="277" w:lineRule="auto"/>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settlement of the RSUs either through a voluntary sale or through a mandatory sale arranged by the Company (on Participant’s behalf pursuant to this authorization); 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RSUs, provided the Company only withholds the amount of Shares necessary to satisfy the applicable statutory withholding amounts;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Participant’s payment of a cash amount (including by check representing readily available funds or a wire transfer);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other arrangement approved by the Committee;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 constituted in accordance with Rule 16b-3 under the Exchange Act) shall establish the method of withholding from alternatives (i)-(v) above, and the Committee shall establish the method prior to the Tax-Related Items withholding event. Depending on the withholding method, the Company may withhold or account for Tax-Related Items by considering applicable statutory withholding amounts or other applicable withholding rates, including maximum applicable rates, in which case Participant will receive a refund of any over-withheld amount in cash and will have no entitlement to the Common Stock equivalent. If the obligation for Tax-Related Items is satisfied by withholding in Shares, for tax purposes, Participant is deemed to have been issued the full number of Shares subject to the vested RSUs, notwithstanding that a number of the Shares are held back solely for the purpose of paying the Tax-Related Items. The Fair Market Value of these Shares, determined as of the effective date when taxes otherwise would have been withheld in cash, will be applied as a credit against the Tax-Related Items withholding.</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Finally, Participant agrees to pay to the Company or the Employer any amount of Tax-Related Items that the Company or the Employer may be required to withhold or account for as a result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75" w:name="page376"/>
    <w:bookmarkEnd w:id="375"/>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3" w:lineRule="exact"/>
        <w:rPr>
          <w:sz w:val="20"/>
          <w:szCs w:val="20"/>
          <w:color w:val="auto"/>
        </w:rPr>
      </w:pPr>
    </w:p>
    <w:p>
      <w:pPr>
        <w:ind w:left="180" w:hanging="172"/>
        <w:spacing w:after="0"/>
        <w:tabs>
          <w:tab w:leader="none" w:pos="18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Grant</w:t>
      </w:r>
      <w:r>
        <w:rPr>
          <w:rFonts w:ascii="Arial" w:cs="Arial" w:eastAsia="Arial" w:hAnsi="Arial"/>
          <w:sz w:val="18"/>
          <w:szCs w:val="18"/>
          <w:color w:val="auto"/>
        </w:rPr>
        <w:t>. By accepting the RSUs, Participant acknowledges, understands and agrees that:</w:t>
      </w:r>
    </w:p>
    <w:p>
      <w:pPr>
        <w:spacing w:after="0" w:line="229" w:lineRule="exact"/>
        <w:rPr>
          <w:rFonts w:ascii="Arial" w:cs="Arial" w:eastAsia="Arial" w:hAnsi="Arial"/>
          <w:sz w:val="18"/>
          <w:szCs w:val="18"/>
          <w:b w:val="1"/>
          <w:bCs w:val="1"/>
          <w:color w:val="auto"/>
        </w:rPr>
      </w:pPr>
    </w:p>
    <w:p>
      <w:pPr>
        <w:ind w:right="240" w:firstLine="464"/>
        <w:spacing w:after="0" w:line="277" w:lineRule="auto"/>
        <w:tabs>
          <w:tab w:leader="none" w:pos="70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all decisions with respect to future RSU or other grants, if any, will be at the sole discretion of the Company;</w:t>
      </w:r>
    </w:p>
    <w:p>
      <w:pPr>
        <w:spacing w:after="0" w:line="225" w:lineRule="exact"/>
        <w:rPr>
          <w:rFonts w:ascii="Arial" w:cs="Arial" w:eastAsia="Arial" w:hAnsi="Arial"/>
          <w:sz w:val="18"/>
          <w:szCs w:val="18"/>
          <w:color w:val="auto"/>
        </w:rPr>
      </w:pPr>
    </w:p>
    <w:p>
      <w:pPr>
        <w:ind w:right="520" w:firstLine="464"/>
        <w:spacing w:after="0" w:line="277" w:lineRule="auto"/>
        <w:tabs>
          <w:tab w:leader="none" w:pos="71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RSU grant and Participant’s participation in the Plan will not create a right to employment or be interpreted as forming an employment or services contract with the Company, the Employer or any Parent or Subsidiary;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intended to replace any pension rights or compensation;</w:t>
      </w:r>
    </w:p>
    <w:p>
      <w:pPr>
        <w:spacing w:after="0" w:line="225"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RSUs and the Shares subject to the RSUs,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25" w:lineRule="exact"/>
        <w:rPr>
          <w:rFonts w:ascii="Arial" w:cs="Arial" w:eastAsia="Arial" w:hAnsi="Arial"/>
          <w:sz w:val="18"/>
          <w:szCs w:val="18"/>
          <w:color w:val="auto"/>
        </w:rPr>
      </w:pPr>
    </w:p>
    <w:p>
      <w:pPr>
        <w:ind w:firstLine="464"/>
        <w:spacing w:after="0" w:line="255" w:lineRule="auto"/>
        <w:tabs>
          <w:tab w:leader="none" w:pos="67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Participant’s termination of Service, and in consideration of the grant of the RSUs to which Participant is otherwise not entitled, Participant irrevocably agrees never to institute any claim against the Company, or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93" w:lineRule="exact"/>
        <w:rPr>
          <w:rFonts w:ascii="Arial" w:cs="Arial" w:eastAsia="Arial" w:hAnsi="Arial"/>
          <w:sz w:val="18"/>
          <w:szCs w:val="18"/>
          <w:color w:val="auto"/>
        </w:rPr>
      </w:pPr>
    </w:p>
    <w:p>
      <w:pPr>
        <w:ind w:right="80" w:firstLine="464"/>
        <w:spacing w:after="0" w:line="264" w:lineRule="auto"/>
        <w:tabs>
          <w:tab w:leader="none" w:pos="67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76" w:name="page377"/>
    <w:bookmarkEnd w:id="376"/>
    <w:p>
      <w:pPr>
        <w:ind w:left="720" w:hanging="256"/>
        <w:spacing w:after="0"/>
        <w:tabs>
          <w:tab w:leader="none" w:pos="7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provisions apply only if Participant is providing services outside the United States: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343"/>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or salary for any purpose;</w:t>
      </w:r>
    </w:p>
    <w:p>
      <w:pPr>
        <w:spacing w:after="0" w:line="130" w:lineRule="exact"/>
        <w:rPr>
          <w:rFonts w:ascii="Arial" w:cs="Arial" w:eastAsia="Arial" w:hAnsi="Arial"/>
          <w:sz w:val="18"/>
          <w:szCs w:val="18"/>
          <w:color w:val="auto"/>
        </w:rPr>
      </w:pPr>
    </w:p>
    <w:p>
      <w:pPr>
        <w:ind w:left="1480" w:right="140" w:hanging="567"/>
        <w:spacing w:after="0" w:line="312" w:lineRule="auto"/>
        <w:tabs>
          <w:tab w:leader="none" w:pos="1480" w:val="left"/>
        </w:tabs>
        <w:numPr>
          <w:ilvl w:val="2"/>
          <w:numId w:val="343"/>
        </w:numPr>
        <w:rPr>
          <w:rFonts w:ascii="Arial" w:cs="Arial" w:eastAsia="Arial" w:hAnsi="Arial"/>
          <w:sz w:val="16"/>
          <w:szCs w:val="16"/>
          <w:color w:val="auto"/>
        </w:rPr>
      </w:pPr>
      <w:r>
        <w:rPr>
          <w:rFonts w:ascii="Arial" w:cs="Arial" w:eastAsia="Arial" w:hAnsi="Arial"/>
          <w:sz w:val="16"/>
          <w:szCs w:val="16"/>
          <w:color w:val="auto"/>
        </w:rPr>
        <w:t>Participant acknowledges and agrees that neither the Company, the Employer nor any Parent or Subsidiary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42" w:lineRule="exact"/>
        <w:rPr>
          <w:rFonts w:ascii="Arial" w:cs="Arial" w:eastAsia="Arial" w:hAnsi="Arial"/>
          <w:sz w:val="16"/>
          <w:szCs w:val="16"/>
          <w:color w:val="auto"/>
        </w:rPr>
      </w:pPr>
    </w:p>
    <w:p>
      <w:pPr>
        <w:ind w:right="120" w:firstLine="8"/>
        <w:spacing w:after="0" w:line="289" w:lineRule="auto"/>
        <w:tabs>
          <w:tab w:leader="none" w:pos="180"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2" w:lineRule="exact"/>
        <w:rPr>
          <w:rFonts w:ascii="Arial" w:cs="Arial" w:eastAsia="Arial" w:hAnsi="Arial"/>
          <w:sz w:val="17"/>
          <w:szCs w:val="17"/>
          <w:b w:val="1"/>
          <w:bCs w:val="1"/>
          <w:color w:val="auto"/>
        </w:rPr>
      </w:pPr>
    </w:p>
    <w:p>
      <w:pPr>
        <w:ind w:right="80" w:firstLine="8"/>
        <w:spacing w:after="0" w:line="340" w:lineRule="auto"/>
        <w:tabs>
          <w:tab w:leader="none" w:pos="180" w:val="left"/>
        </w:tabs>
        <w:numPr>
          <w:ilvl w:val="0"/>
          <w:numId w:val="34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Privacy</w:t>
      </w:r>
      <w:r>
        <w:rPr>
          <w:rFonts w:ascii="Arial" w:cs="Arial" w:eastAsia="Arial" w:hAnsi="Arial"/>
          <w:sz w:val="15"/>
          <w:szCs w:val="15"/>
          <w:b w:val="1"/>
          <w:bCs w:val="1"/>
          <w:i w:val="1"/>
          <w:iCs w:val="1"/>
          <w:color w:val="auto"/>
        </w:rPr>
        <w:t>. Participant hereby explicitly and unambiguously consents to the collection, use and transfer, in electronic or other form, of Participant’s personal data as described in this Agreement and any other RSU grant materials by and among, as applicable, the Employer, the Company and any Parent or Subsidiary for the exclusive purpose of implementing, administering and managing Participant’s participation in the Plan.</w:t>
      </w:r>
    </w:p>
    <w:p>
      <w:pPr>
        <w:spacing w:after="0" w:line="13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w:t>
      </w:r>
    </w:p>
    <w:p>
      <w:pPr>
        <w:spacing w:after="0" w:line="18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i w:val="1"/>
          <w:iCs w:val="1"/>
          <w:color w:val="auto"/>
        </w:rPr>
        <w:t>Participant understands that Data will be transferred to the stock plan service provider as may be designated by the Company from time to time,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the stock plan service provider as may be designated by the Company from time to time,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77" w:name="page378"/>
    <w:bookmarkEnd w:id="377"/>
    <w:p>
      <w:pPr>
        <w:ind w:right="40"/>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RSUs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9" w:lineRule="exact"/>
        <w:rPr>
          <w:sz w:val="20"/>
          <w:szCs w:val="20"/>
          <w:color w:val="auto"/>
        </w:rPr>
      </w:pPr>
    </w:p>
    <w:p>
      <w:pPr>
        <w:ind w:right="260" w:firstLine="8"/>
        <w:spacing w:after="0" w:line="282" w:lineRule="auto"/>
        <w:tabs>
          <w:tab w:leader="none" w:pos="27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If Participant has received this Agreement or any other document related to the Plan translated into a language other than English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translated version is different than the English version, the English version will control.</w:t>
      </w:r>
    </w:p>
    <w:p>
      <w:pPr>
        <w:spacing w:after="0" w:line="161" w:lineRule="exact"/>
        <w:rPr>
          <w:rFonts w:ascii="Arial" w:cs="Arial" w:eastAsia="Arial" w:hAnsi="Arial"/>
          <w:sz w:val="18"/>
          <w:szCs w:val="18"/>
          <w:b w:val="1"/>
          <w:bCs w:val="1"/>
          <w:color w:val="auto"/>
        </w:rPr>
      </w:pPr>
    </w:p>
    <w:p>
      <w:pPr>
        <w:ind w:right="40" w:firstLine="8"/>
        <w:spacing w:after="0" w:line="261" w:lineRule="auto"/>
        <w:tabs>
          <w:tab w:leader="none" w:pos="2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Appendix</w:t>
      </w:r>
      <w:r>
        <w:rPr>
          <w:rFonts w:ascii="Arial" w:cs="Arial" w:eastAsia="Arial" w:hAnsi="Arial"/>
          <w:sz w:val="18"/>
          <w:szCs w:val="18"/>
          <w:color w:val="auto"/>
        </w:rPr>
        <w:t>. Notwithstanding any provisions in this Agreement, the RSU grant will be subject to any special terms and conditions set forth in any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80" w:lineRule="exact"/>
        <w:rPr>
          <w:rFonts w:ascii="Arial" w:cs="Arial" w:eastAsia="Arial" w:hAnsi="Arial"/>
          <w:sz w:val="18"/>
          <w:szCs w:val="18"/>
          <w:b w:val="1"/>
          <w:bCs w:val="1"/>
          <w:color w:val="auto"/>
        </w:rPr>
      </w:pPr>
    </w:p>
    <w:p>
      <w:pPr>
        <w:ind w:firstLine="8"/>
        <w:spacing w:after="0" w:line="289" w:lineRule="auto"/>
        <w:tabs>
          <w:tab w:leader="none" w:pos="270"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color w:val="auto"/>
        </w:rPr>
        <w:t>. The Company reserves the right to impose other requirements on Participant’s participation in the Plan, on the RSUs</w:t>
      </w:r>
      <w:r>
        <w:rPr>
          <w:rFonts w:ascii="Arial" w:cs="Arial" w:eastAsia="Arial" w:hAnsi="Arial"/>
          <w:sz w:val="17"/>
          <w:szCs w:val="17"/>
          <w:b w:val="1"/>
          <w:bCs w:val="1"/>
          <w:color w:val="auto"/>
        </w:rPr>
        <w:t xml:space="preserve"> </w:t>
      </w:r>
      <w:r>
        <w:rPr>
          <w:rFonts w:ascii="Arial" w:cs="Arial" w:eastAsia="Arial" w:hAnsi="Arial"/>
          <w:sz w:val="17"/>
          <w:szCs w:val="17"/>
          <w:color w:val="auto"/>
        </w:rPr>
        <w:t>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58" w:lineRule="exact"/>
        <w:rPr>
          <w:rFonts w:ascii="Arial" w:cs="Arial" w:eastAsia="Arial" w:hAnsi="Arial"/>
          <w:sz w:val="17"/>
          <w:szCs w:val="17"/>
          <w:b w:val="1"/>
          <w:bCs w:val="1"/>
          <w:color w:val="auto"/>
        </w:rPr>
      </w:pPr>
    </w:p>
    <w:p>
      <w:pPr>
        <w:ind w:right="20" w:firstLine="8"/>
        <w:spacing w:after="0" w:line="261" w:lineRule="auto"/>
        <w:tabs>
          <w:tab w:leader="none" w:pos="27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this Agreement and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80" w:lineRule="exact"/>
        <w:rPr>
          <w:rFonts w:ascii="Arial" w:cs="Arial" w:eastAsia="Arial" w:hAnsi="Arial"/>
          <w:sz w:val="18"/>
          <w:szCs w:val="18"/>
          <w:b w:val="1"/>
          <w:bCs w:val="1"/>
          <w:color w:val="auto"/>
        </w:rPr>
      </w:pPr>
    </w:p>
    <w:p>
      <w:pPr>
        <w:ind w:right="120" w:firstLine="8"/>
        <w:spacing w:after="0" w:line="258" w:lineRule="auto"/>
        <w:tabs>
          <w:tab w:leader="none" w:pos="27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Plan and the Notice constitute the entire agreement and understanding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w:t>
      </w:r>
    </w:p>
    <w:p>
      <w:pPr>
        <w:spacing w:after="0" w:line="183" w:lineRule="exact"/>
        <w:rPr>
          <w:rFonts w:ascii="Arial" w:cs="Arial" w:eastAsia="Arial" w:hAnsi="Arial"/>
          <w:sz w:val="18"/>
          <w:szCs w:val="18"/>
          <w:b w:val="1"/>
          <w:bCs w:val="1"/>
          <w:color w:val="auto"/>
        </w:rPr>
      </w:pPr>
    </w:p>
    <w:p>
      <w:pPr>
        <w:ind w:right="60" w:firstLine="8"/>
        <w:spacing w:after="0" w:line="292" w:lineRule="auto"/>
        <w:tabs>
          <w:tab w:leader="none" w:pos="270"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will be subject to and conditioned upon compliance by the Company and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applicable state and federal laws and regulations and with all applicable requirements of any stock exchange or automated quotation system on which the Company’s Common Stock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shall have unilateral authority to amend the Plan and this RSU Agreement without Participant’s consent to the extent necessary to comply with securities or other laws applicable to issuance of Shares. Finally, the Shares issued pursuant to this RSU Agreement shall be endorsed with appropriate legends, if any, determined by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78" w:name="page379"/>
    <w:bookmarkEnd w:id="378"/>
    <w:p>
      <w:pPr>
        <w:ind w:firstLine="8"/>
        <w:spacing w:after="0" w:line="261" w:lineRule="auto"/>
        <w:tabs>
          <w:tab w:leader="none" w:pos="27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180" w:lineRule="exact"/>
        <w:rPr>
          <w:rFonts w:ascii="Arial" w:cs="Arial" w:eastAsia="Arial" w:hAnsi="Arial"/>
          <w:sz w:val="18"/>
          <w:szCs w:val="18"/>
          <w:b w:val="1"/>
          <w:bCs w:val="1"/>
          <w:color w:val="auto"/>
        </w:rPr>
      </w:pPr>
    </w:p>
    <w:p>
      <w:pPr>
        <w:ind w:right="420" w:firstLine="8"/>
        <w:spacing w:after="0" w:line="347" w:lineRule="auto"/>
        <w:tabs>
          <w:tab w:leader="none" w:pos="270"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Venue</w:t>
      </w:r>
      <w:r>
        <w:rPr>
          <w:rFonts w:ascii="Arial" w:cs="Arial" w:eastAsia="Arial" w:hAnsi="Arial"/>
          <w:sz w:val="16"/>
          <w:szCs w:val="16"/>
          <w:color w:val="auto"/>
        </w:rPr>
        <w:t>. This Agreement and all acts and transactions pursuant hereto and the rights and obligations of the parties hereto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Delaware, without giving effect to principles of conflicts of law.</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and all disputes relating to, concerning or arising from this Agreement, or relating to, concerning or arising from the relationship between the parties evidenced by the Plan or this Agreement, will be brought and heard exclusively in the United States District Court for the District of New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20" w:firstLine="8"/>
        <w:spacing w:after="0" w:line="282" w:lineRule="auto"/>
        <w:tabs>
          <w:tab w:leader="none" w:pos="27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color w:val="auto"/>
        </w:rPr>
        <w:t>. Nothing in this Agreement will affect in any manner whatsoever the right or power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 Parent or Subsidiary of the Company, to terminate Participant’s Service, for any reason, with or without Cause.</w:t>
      </w:r>
    </w:p>
    <w:p>
      <w:pPr>
        <w:spacing w:after="0" w:line="161" w:lineRule="exact"/>
        <w:rPr>
          <w:rFonts w:ascii="Arial" w:cs="Arial" w:eastAsia="Arial" w:hAnsi="Arial"/>
          <w:sz w:val="18"/>
          <w:szCs w:val="18"/>
          <w:b w:val="1"/>
          <w:bCs w:val="1"/>
          <w:color w:val="auto"/>
        </w:rPr>
      </w:pPr>
    </w:p>
    <w:p>
      <w:pPr>
        <w:ind w:firstLine="8"/>
        <w:spacing w:after="0" w:line="285" w:lineRule="auto"/>
        <w:tabs>
          <w:tab w:leader="none" w:pos="270"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color w:val="auto"/>
        </w:rPr>
        <w:t>. By Participant’s acceptance (whether in writing, electronically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Notice,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79" w:name="page380"/>
    <w:bookmarkEnd w:id="379"/>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documents are delivered (if Participant has provided an electronic mail address), at any time by notifying the Company of such revised or revoked consent by telephone, postal service or electronic mail through Stock Administration. Finally, Participant understands that Participant is not required to consent to electronic delivery if local laws prohibit such consent.</w:t>
      </w:r>
    </w:p>
    <w:p>
      <w:pPr>
        <w:spacing w:after="0" w:line="177" w:lineRule="exact"/>
        <w:rPr>
          <w:sz w:val="20"/>
          <w:szCs w:val="20"/>
          <w:color w:val="auto"/>
        </w:rPr>
      </w:pPr>
    </w:p>
    <w:p>
      <w:pPr>
        <w:ind w:firstLine="8"/>
        <w:spacing w:after="0" w:line="256" w:lineRule="auto"/>
        <w:tabs>
          <w:tab w:leader="none" w:pos="27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depending on Participant’s country, Participant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is advised to speak to Participant’s personal advisor on this matter.</w:t>
      </w:r>
    </w:p>
    <w:p>
      <w:pPr>
        <w:spacing w:after="0" w:line="187" w:lineRule="exact"/>
        <w:rPr>
          <w:rFonts w:ascii="Arial" w:cs="Arial" w:eastAsia="Arial" w:hAnsi="Arial"/>
          <w:sz w:val="18"/>
          <w:szCs w:val="18"/>
          <w:b w:val="1"/>
          <w:bCs w:val="1"/>
          <w:color w:val="auto"/>
        </w:rPr>
      </w:pPr>
    </w:p>
    <w:p>
      <w:pPr>
        <w:ind w:right="20" w:firstLine="8"/>
        <w:spacing w:after="0" w:line="270" w:lineRule="auto"/>
        <w:tabs>
          <w:tab w:leader="none" w:pos="27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 a termination of employment will be determined consistent with the rules relating to a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as defined in Section 409A of the Internal Revenue Code and the regulations thereunder (“</w:t>
      </w: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4" w:lineRule="exact"/>
        <w:rPr>
          <w:rFonts w:ascii="Arial" w:cs="Arial" w:eastAsia="Arial" w:hAnsi="Arial"/>
          <w:sz w:val="17"/>
          <w:szCs w:val="17"/>
          <w:b w:val="1"/>
          <w:bCs w:val="1"/>
          <w:color w:val="auto"/>
        </w:rPr>
      </w:pPr>
    </w:p>
    <w:p>
      <w:pPr>
        <w:ind w:firstLine="8"/>
        <w:spacing w:after="0" w:line="258" w:lineRule="auto"/>
        <w:tabs>
          <w:tab w:leader="none" w:pos="27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color w:val="auto"/>
        </w:rPr>
        <w:t>. The RSUs shall be subject to clawback or recoupment pursuant to any compensation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or recoupment policy adopted by the Board or required by law during the term of Participant’s employment or other Service that is applicable to executive officers, Employees, Directors or other service providers of the Company, and in addition to any other remedies available under such policy and applicable law may require the cancellation of Participant’s RSUs (whether vested or unvested) and the recoupment of any gains realized with respect to Participant’s RSUs.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BY ACCEPTING THIS AWARD OF RSUS, PARTICIPANT AGREES TO ALL OF THE TERMS AND CONDITIONS DESCRIBED ABOVE AND IN THE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80" w:name="page381"/>
    <w:bookmarkEnd w:id="38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COUNTRY SPECIFIC PROVISIONS FOR EMPLOYEES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w:t>
      </w:r>
    </w:p>
    <w:p>
      <w:pPr>
        <w:spacing w:after="0" w:line="1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Appendix also includes information relating to exchange control and other issues of which Participant should be aware with respect to Participant’s participation in the Plan. The information is based on the securities, exchange control and other laws in effect in the respective countries as January 2017. Such laws are often complex and change frequently. As a result, the Company strongly recommends that Participant not rely on the information herein as the only source of information relating to the consequences of Participant’s participation in the Plan because the information may be out of date at the time that Participant vests in the RSUs or sells Shares acquired under the Plan.</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the information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Finally, if Participant is a citizen or resident of a country, or is considered resident of a country, other than the one in which Participant is currently working, or Participant transfers employment and/or residency after the Date of Grant, the information contained herein may not apply to Participant in the same manner.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69" w:right="339" w:bottom="1440" w:gutter="0" w:footer="0" w:header="0"/>
        </w:sectPr>
      </w:pPr>
    </w:p>
    <w:bookmarkStart w:id="381" w:name="page382"/>
    <w:bookmarkEnd w:id="3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270"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Unless otherwise defined herein, the terms defined in the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meanings in this Notice of Stock Option Grant and the electronic representation of this Notice of Global Stock Option Grant established and maintained by the Company or a third party designated by the Company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option to purchase shares of Common Stock of the Company under the Plan subject to the terms and conditions of the Plan, this Notice and the Stock Option Award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including any applicable country-specific provisions in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Option Agreement.</w:t>
      </w:r>
    </w:p>
    <w:p>
      <w:pPr>
        <w:sectPr>
          <w:pgSz w:w="11900" w:h="16838" w:orient="portrait"/>
          <w:cols w:equalWidth="0" w:num="1">
            <w:col w:w="11420"/>
          </w:cols>
          <w:pgMar w:left="240" w:top="269" w:right="239" w:bottom="1440" w:gutter="0" w:footer="0" w:header="0"/>
        </w:sect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Grant Number: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Vesting Commencement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Number of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Type of Option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Non-Qualified Stock Option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Incentive Stock Option</w:t>
      </w:r>
    </w:p>
    <w:p>
      <w:pPr>
        <w:spacing w:after="0" w:line="117" w:lineRule="exact"/>
        <w:rPr>
          <w:sz w:val="20"/>
          <w:szCs w:val="20"/>
          <w:color w:val="auto"/>
        </w:rPr>
      </w:pPr>
    </w:p>
    <w:p>
      <w:pPr>
        <w:ind w:right="520" w:firstLine="764"/>
        <w:spacing w:after="0" w:line="277" w:lineRule="auto"/>
        <w:tabs>
          <w:tab w:leader="none" w:pos="8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20 ; This Option expires earlier if Participant’s Service terminates earlier, as described in the Stock Option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[Insert applicable vesting schedule]</w:t>
      </w:r>
    </w:p>
    <w:p>
      <w:pPr>
        <w:spacing w:after="0" w:line="200" w:lineRule="exact"/>
        <w:rPr>
          <w:sz w:val="20"/>
          <w:szCs w:val="20"/>
          <w:color w:val="auto"/>
        </w:rPr>
      </w:pPr>
    </w:p>
    <w:p>
      <w:pPr>
        <w:sectPr>
          <w:pgSz w:w="11900" w:h="16838" w:orient="portrait"/>
          <w:cols w:equalWidth="0" w:num="2">
            <w:col w:w="2980" w:space="720"/>
            <w:col w:w="7720"/>
          </w:cols>
          <w:pgMar w:left="240" w:top="26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By accepting (whether in writing, electronically or otherwise) the Option, Participant acknowledges and agrees to the following:</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Participant understands that Participant’s employment or consulting relationship or service with the Company or a Parent or Subsidiary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Option Agreement or the Plan changes the nature of that relationship. Participant acknowledges that the vesting of the Options pursuant to this Notice is earned only by continuing Service as an Employee, Director or Consultant. Furthermore, the period during which Participant may exercise the Option after such termination of Service will commence on the date Participant ceases to actively provide Services and will not be extended by any notice period mandated under employment laws in the jurisdiction where Participant is employed or terms of Participant’s employment agreement. Participant also understands that this Notice is subject to the terms and conditions of both the Option Agreement and the Plan, both of which are incorporated herein by reference. Participant has read both the Option Agreement and the Plan. By accepting this Option, Participant consents to the electronic delivery as set forth in the Option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5720" w:type="dxa"/>
            <w:vAlign w:val="bottom"/>
            <w:gridSpan w:val="2"/>
          </w:tcPr>
          <w:p>
            <w:pPr>
              <w:ind w:left="66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4"/>
                <w:szCs w:val="24"/>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560" w:type="dxa"/>
            <w:vAlign w:val="bottom"/>
            <w:tcBorders>
              <w:bottom w:val="single" w:sz="8" w:color="auto"/>
            </w:tcBorders>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Its:</w:t>
            </w: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383" w:name="page384"/>
    <w:bookmarkEnd w:id="3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 STOCK OPTION AWARD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defined in this Stock Option Award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any capitalized terms used herein will have the meaning ascribed to them in the AnaptysBio,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Participant has been granted an option to purchase Shares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of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subject to the terms and conditions of the Plan, the Notice of Stock Option Grant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Option Agreement, including any applicable country-specific provisions in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Option Agreement.</w:t>
      </w:r>
    </w:p>
    <w:p>
      <w:pPr>
        <w:spacing w:after="0" w:line="177" w:lineRule="exact"/>
        <w:rPr>
          <w:sz w:val="20"/>
          <w:szCs w:val="20"/>
          <w:color w:val="auto"/>
        </w:rPr>
      </w:pPr>
    </w:p>
    <w:p>
      <w:pPr>
        <w:ind w:right="240" w:firstLine="464"/>
        <w:spacing w:after="0" w:line="277" w:lineRule="auto"/>
        <w:tabs>
          <w:tab w:leader="none" w:pos="636"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Rights</w:t>
      </w:r>
      <w:r>
        <w:rPr>
          <w:rFonts w:ascii="Arial" w:cs="Arial" w:eastAsia="Arial" w:hAnsi="Arial"/>
          <w:sz w:val="17"/>
          <w:szCs w:val="17"/>
          <w:color w:val="auto"/>
        </w:rPr>
        <w:t>. Subject to the applicable provisions of the Plan and this Option Agreement, this Option may be exercised, in whole or in part,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schedule set forth in the Notice. Participant acknowledges and agrees that the Vesting Schedule may change prospectively in the event Participant’s service status changes between full and part-time status and/or in the event Participant is on an approved leave of absence in accordance with Company policies relating to work schedules and vesting of awards or as determined by the Committee. Participant acknowledges that the vesting of the Shares pursuant to this Notice and Agreement is earned only by continued Service.</w:t>
      </w:r>
    </w:p>
    <w:p>
      <w:pPr>
        <w:spacing w:after="0" w:line="168" w:lineRule="exact"/>
        <w:rPr>
          <w:rFonts w:ascii="Arial" w:cs="Arial" w:eastAsia="Arial" w:hAnsi="Arial"/>
          <w:sz w:val="17"/>
          <w:szCs w:val="17"/>
          <w:b w:val="1"/>
          <w:bCs w:val="1"/>
          <w:color w:val="auto"/>
        </w:rPr>
      </w:pPr>
    </w:p>
    <w:p>
      <w:pPr>
        <w:ind w:right="40" w:firstLine="464"/>
        <w:spacing w:after="0" w:line="277" w:lineRule="auto"/>
        <w:tabs>
          <w:tab w:leader="none" w:pos="636"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color w:val="auto"/>
        </w:rPr>
        <w:t>. Participant has been granted an Option for the number of Shares set forth in the Notice at the exercise price per Share in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set forth in the Notice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In the event of a conflict between the terms and conditions of the Plan and the terms and conditions of this Option Agreement, the terms and conditions of the Plan shall prevail. If designated in the Notice as an Incentive Stock Option (“</w:t>
      </w:r>
      <w:r>
        <w:rPr>
          <w:rFonts w:ascii="Arial" w:cs="Arial" w:eastAsia="Arial" w:hAnsi="Arial"/>
          <w:sz w:val="17"/>
          <w:szCs w:val="17"/>
          <w:b w:val="1"/>
          <w:bCs w:val="1"/>
          <w:i w:val="1"/>
          <w:iCs w:val="1"/>
          <w:color w:val="auto"/>
        </w:rPr>
        <w:t>ISO</w:t>
      </w:r>
      <w:r>
        <w:rPr>
          <w:rFonts w:ascii="Arial" w:cs="Arial" w:eastAsia="Arial" w:hAnsi="Arial"/>
          <w:sz w:val="17"/>
          <w:szCs w:val="17"/>
          <w:color w:val="auto"/>
        </w:rPr>
        <w:t>”), this Option is intended to qualify as an Incentive Stock Option under Section 422 of the Code. However, if this Option is intended to be an ISO, to the extent that it exceeds the U.S. $100,000 rule of Code Section 422(d) it shall be treated as a Nonqualified Stock Option (“</w:t>
      </w:r>
      <w:r>
        <w:rPr>
          <w:rFonts w:ascii="Arial" w:cs="Arial" w:eastAsia="Arial" w:hAnsi="Arial"/>
          <w:sz w:val="17"/>
          <w:szCs w:val="17"/>
          <w:b w:val="1"/>
          <w:bCs w:val="1"/>
          <w:i w:val="1"/>
          <w:iCs w:val="1"/>
          <w:color w:val="auto"/>
        </w:rPr>
        <w:t>NSO</w:t>
      </w:r>
      <w:r>
        <w:rPr>
          <w:rFonts w:ascii="Arial" w:cs="Arial" w:eastAsia="Arial" w:hAnsi="Arial"/>
          <w:sz w:val="17"/>
          <w:szCs w:val="17"/>
          <w:color w:val="auto"/>
        </w:rPr>
        <w:t>”).</w:t>
      </w:r>
    </w:p>
    <w:p>
      <w:pPr>
        <w:spacing w:after="0" w:line="168" w:lineRule="exact"/>
        <w:rPr>
          <w:rFonts w:ascii="Arial" w:cs="Arial" w:eastAsia="Arial" w:hAnsi="Arial"/>
          <w:sz w:val="17"/>
          <w:szCs w:val="17"/>
          <w:b w:val="1"/>
          <w:bCs w:val="1"/>
          <w:color w:val="auto"/>
        </w:rPr>
      </w:pPr>
    </w:p>
    <w:p>
      <w:pPr>
        <w:ind w:left="640" w:hanging="176"/>
        <w:spacing w:after="0"/>
        <w:tabs>
          <w:tab w:leader="none" w:pos="64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Period</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 w:firstLine="921"/>
        <w:spacing w:after="0" w:line="259" w:lineRule="auto"/>
        <w:tabs>
          <w:tab w:leader="none" w:pos="1157"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If Participant’s Service terminates for any reason except death or Disability, and other than for Cause, then this Option will expire at the close of business at Company headquarters on the date three months after Participant’s termination date. If Participant’s Service is terminated for Cause, this Option will expire upon the date of such termination. The Company determines when Participant’s Service terminates for all purposes under this Option Agreement.</w:t>
      </w:r>
    </w:p>
    <w:p>
      <w:pPr>
        <w:spacing w:after="0" w:line="186" w:lineRule="exact"/>
        <w:rPr>
          <w:rFonts w:ascii="Arial" w:cs="Arial" w:eastAsia="Arial" w:hAnsi="Arial"/>
          <w:sz w:val="18"/>
          <w:szCs w:val="18"/>
          <w:color w:val="auto"/>
        </w:rPr>
      </w:pPr>
    </w:p>
    <w:p>
      <w:pPr>
        <w:ind w:firstLine="921"/>
        <w:spacing w:after="0" w:line="257" w:lineRule="auto"/>
        <w:tabs>
          <w:tab w:leader="none" w:pos="1168"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If Participant dies before Participant’s Service terminates (or Participant dies within three months of Participant’s termination of Service other than for Cause (as defined in the Plan)), then this Option will expire at the close of business at Company headquarters on the date 12 months after the date of death (subject to the expiration details in Section 6). If Participant’s Service terminates because of Participant’s Disability, then this Option will expire at the close of business at Company headquarters on the date 12 months after Participant’s termination date (subject to the expiration details in Section 6).</w:t>
      </w:r>
    </w:p>
    <w:p>
      <w:pPr>
        <w:spacing w:after="0" w:line="188" w:lineRule="exact"/>
        <w:rPr>
          <w:rFonts w:ascii="Arial" w:cs="Arial" w:eastAsia="Arial" w:hAnsi="Arial"/>
          <w:sz w:val="18"/>
          <w:szCs w:val="18"/>
          <w:color w:val="auto"/>
        </w:rPr>
      </w:pPr>
    </w:p>
    <w:p>
      <w:pPr>
        <w:ind w:right="40" w:firstLine="921"/>
        <w:spacing w:after="0" w:line="342" w:lineRule="auto"/>
        <w:tabs>
          <w:tab w:leader="none" w:pos="1157"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No Notice</w:t>
      </w:r>
      <w:r>
        <w:rPr>
          <w:rFonts w:ascii="Arial" w:cs="Arial" w:eastAsia="Arial" w:hAnsi="Arial"/>
          <w:sz w:val="16"/>
          <w:szCs w:val="16"/>
          <w:color w:val="auto"/>
        </w:rPr>
        <w:t>. Participant is responsible for keeping track of these exercise periods following Participant’s termination of Service for any reason. The Company will not provide further notice of such periods. In no event shall this Option be exercised later than the Expiration Date set forth in the Notice.</w:t>
      </w:r>
    </w:p>
    <w:p>
      <w:pPr>
        <w:spacing w:after="0" w:line="119" w:lineRule="exact"/>
        <w:rPr>
          <w:rFonts w:ascii="Arial" w:cs="Arial" w:eastAsia="Arial" w:hAnsi="Arial"/>
          <w:sz w:val="16"/>
          <w:szCs w:val="16"/>
          <w:color w:val="auto"/>
        </w:rPr>
      </w:pPr>
    </w:p>
    <w:p>
      <w:pPr>
        <w:ind w:right="60" w:firstLine="921"/>
        <w:spacing w:after="0" w:line="282" w:lineRule="auto"/>
        <w:tabs>
          <w:tab w:leader="none" w:pos="1168"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purposes of this Option, Participant’s Service will be considered terminated as of the date Participant is no longer providing Services to the Company,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84" w:name="page385"/>
    <w:bookmarkEnd w:id="38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Parent or one of its Subsidiaries (regardless of the reason for such termination and whether or not later found to be invalid or in breach of employment laws in the jurisdiction where Participant is employed or the terms of Participant’s employment agreement, if any)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The Committee shall have the exclusive discretion to determine when Participant is no longer actively providing services for purposes of Participant’s Option (including whether Participant may still be considered to be providing services while on an approved leave of absence). Unless otherwise provided in this Option Agreement or determined by the Company, Participant’s right to vest in this Option under the Plan, if any, will terminate as of the Termination Date and will not be extended by any notice period (e.g., Participant’s period of services would not include any contractual notice period or any period of “garden leave” or similar period mandated under employment laws in the jurisdiction where Participant is employed or the terms of Participant’s employment agreement, if any). Following the Termination Date, Participant may exercise the Option only as set forth in the Notice and this Section, provided that the period (if any) during which Participant may exercise the Option after the Termination Date, if any, will commence on the date Participant ceases to provide services and will not be extended by any notice period mandated under employment laws in the jurisdiction where Participant is employed or terms of Participant’s employment agreement, if any. If Participant does not exercise this Option within the termination period set forth in the Notice or the termination periods set forth above, the Option shall terminate in its entirety. In no event, may any Option be exercised after the Expiration Date of the Option as set forth in the Notice.</w:t>
      </w:r>
    </w:p>
    <w:p>
      <w:pPr>
        <w:spacing w:after="0" w:line="165" w:lineRule="exact"/>
        <w:rPr>
          <w:sz w:val="20"/>
          <w:szCs w:val="20"/>
          <w:color w:val="auto"/>
        </w:rPr>
      </w:pPr>
    </w:p>
    <w:p>
      <w:pPr>
        <w:ind w:left="640" w:hanging="176"/>
        <w:spacing w:after="0"/>
        <w:tabs>
          <w:tab w:leader="none" w:pos="64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40" w:firstLine="921"/>
        <w:spacing w:after="0" w:line="259" w:lineRule="auto"/>
        <w:tabs>
          <w:tab w:leader="none" w:pos="1157"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86" w:lineRule="exact"/>
        <w:rPr>
          <w:rFonts w:ascii="Arial" w:cs="Arial" w:eastAsia="Arial" w:hAnsi="Arial"/>
          <w:sz w:val="18"/>
          <w:szCs w:val="18"/>
          <w:color w:val="auto"/>
        </w:rPr>
      </w:pPr>
    </w:p>
    <w:p>
      <w:pPr>
        <w:ind w:right="20" w:firstLine="921"/>
        <w:spacing w:after="0" w:line="270" w:lineRule="auto"/>
        <w:tabs>
          <w:tab w:leader="none" w:pos="1168" w:val="left"/>
        </w:tabs>
        <w:numPr>
          <w:ilvl w:val="1"/>
          <w:numId w:val="351"/>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This Option is exercisable by delivery of an exercise notice in a form specified by the Company (the “</w:t>
      </w:r>
      <w:r>
        <w:rPr>
          <w:rFonts w:ascii="Arial" w:cs="Arial" w:eastAsia="Arial" w:hAnsi="Arial"/>
          <w:sz w:val="17"/>
          <w:szCs w:val="17"/>
          <w:b w:val="1"/>
          <w:bCs w:val="1"/>
          <w:i w:val="1"/>
          <w:iCs w:val="1"/>
          <w:color w:val="auto"/>
        </w:rPr>
        <w:t>Exercise Notice</w:t>
      </w:r>
      <w:r>
        <w:rPr>
          <w:rFonts w:ascii="Arial" w:cs="Arial" w:eastAsia="Arial" w:hAnsi="Arial"/>
          <w:sz w:val="17"/>
          <w:szCs w:val="17"/>
          <w:color w:val="auto"/>
        </w:rPr>
        <w:t>”), which will state the election to exercise the Option, the number of Shares in respect of which the Option is being exercised (the “</w:t>
      </w:r>
      <w:r>
        <w:rPr>
          <w:rFonts w:ascii="Arial" w:cs="Arial" w:eastAsia="Arial" w:hAnsi="Arial"/>
          <w:sz w:val="17"/>
          <w:szCs w:val="17"/>
          <w:b w:val="1"/>
          <w:bCs w:val="1"/>
          <w:i w:val="1"/>
          <w:iCs w:val="1"/>
          <w:color w:val="auto"/>
        </w:rPr>
        <w:t>Exercised Shares</w:t>
      </w:r>
      <w:r>
        <w:rPr>
          <w:rFonts w:ascii="Arial" w:cs="Arial" w:eastAsia="Arial" w:hAnsi="Arial"/>
          <w:sz w:val="17"/>
          <w:szCs w:val="17"/>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Tax-Related Items (as defined in Section 9 below). This Option will be deemed to be exercised upon receipt by the Company of such fully executed Exercise Notice accompanied by such aggregate Exercise Price and payment of any Tax-Related Items. No Shares will be issued pursuant to the exercise of this Option unless such issuance and exercise complies with all relevant provisions of law and the requirements of any stock exchange or quotation service upon which the Shares are then listed. Assuming such compliance, for income tax purposes the Exercised Shares will be considered transferred to Participant on the date the Option is exercised with respect to such Exercised Shares.</w:t>
      </w:r>
    </w:p>
    <w:p>
      <w:pPr>
        <w:spacing w:after="0" w:line="177" w:lineRule="exact"/>
        <w:rPr>
          <w:rFonts w:ascii="Arial" w:cs="Arial" w:eastAsia="Arial" w:hAnsi="Arial"/>
          <w:sz w:val="17"/>
          <w:szCs w:val="17"/>
          <w:color w:val="auto"/>
        </w:rPr>
      </w:pPr>
    </w:p>
    <w:p>
      <w:pPr>
        <w:ind w:right="100" w:firstLine="921"/>
        <w:spacing w:after="0" w:line="259" w:lineRule="auto"/>
        <w:tabs>
          <w:tab w:leader="none" w:pos="1157"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Exercise by Another</w:t>
      </w:r>
      <w:r>
        <w:rPr>
          <w:rFonts w:ascii="Arial" w:cs="Arial" w:eastAsia="Arial" w:hAnsi="Arial"/>
          <w:sz w:val="18"/>
          <w:szCs w:val="18"/>
          <w:color w:val="auto"/>
        </w:rPr>
        <w:t>. If another person wants to exercise this Option after it has been transferred to him or her in compliance with this Agreement, that person must prove to the Company’s satisfaction that he or she is entitled to exercise this Option. That person must also complete the proper Exercise Notice form (as described above) and pay the Exercise Price (as described below) and any applicable tax withholding due upon exercise of the Option (as described below).</w:t>
      </w:r>
    </w:p>
    <w:p>
      <w:pPr>
        <w:spacing w:after="0" w:line="182" w:lineRule="exact"/>
        <w:rPr>
          <w:rFonts w:ascii="Arial" w:cs="Arial" w:eastAsia="Arial" w:hAnsi="Arial"/>
          <w:sz w:val="18"/>
          <w:szCs w:val="18"/>
          <w:color w:val="auto"/>
        </w:rPr>
      </w:pPr>
    </w:p>
    <w:p>
      <w:pPr>
        <w:ind w:right="820" w:firstLine="464"/>
        <w:spacing w:after="0" w:line="282" w:lineRule="auto"/>
        <w:tabs>
          <w:tab w:leader="none" w:pos="636"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Payment of the aggregate Exercise Price will be by any of the following, or a combination thereof, at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71" w:lineRule="exact"/>
        <w:rPr>
          <w:rFonts w:ascii="Arial" w:cs="Arial" w:eastAsia="Arial" w:hAnsi="Arial"/>
          <w:sz w:val="18"/>
          <w:szCs w:val="18"/>
          <w:b w:val="1"/>
          <w:bCs w:val="1"/>
          <w:color w:val="auto"/>
        </w:rPr>
      </w:pPr>
    </w:p>
    <w:p>
      <w:pPr>
        <w:ind w:left="1480" w:hanging="567"/>
        <w:spacing w:after="0"/>
        <w:tabs>
          <w:tab w:leader="none" w:pos="14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Participant’s personal check (or readily available funds), wire transfer, or a cashier’s check;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85" w:name="page386"/>
    <w:bookmarkEnd w:id="385"/>
    <w:p>
      <w:pPr>
        <w:ind w:firstLine="921"/>
        <w:spacing w:after="0" w:line="273" w:lineRule="auto"/>
        <w:tabs>
          <w:tab w:leader="none" w:pos="1168" w:val="left"/>
        </w:tabs>
        <w:numPr>
          <w:ilvl w:val="1"/>
          <w:numId w:val="3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78" w:lineRule="exact"/>
        <w:rPr>
          <w:rFonts w:ascii="Arial" w:cs="Arial" w:eastAsia="Arial" w:hAnsi="Arial"/>
          <w:sz w:val="17"/>
          <w:szCs w:val="17"/>
          <w:color w:val="auto"/>
        </w:rPr>
      </w:pPr>
    </w:p>
    <w:p>
      <w:pPr>
        <w:ind w:right="60" w:firstLine="921"/>
        <w:spacing w:after="0" w:line="259" w:lineRule="auto"/>
        <w:tabs>
          <w:tab w:leader="none" w:pos="115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cashless exercise through irrevocable directions to a securities broker approved by the Company to sell all or part of the Shares covered by this Option and to deliver to the Company from the sale proceeds an amount sufficient to pay the Option exercise price and any withholding taxes. The balance of the sale proceeds, if any, will be delivered to Participant. The directions must be given by signing a special notice of exercise form provided by the Company; or</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other method authorized by the Company.</w:t>
      </w:r>
    </w:p>
    <w:p>
      <w:pPr>
        <w:spacing w:after="0" w:line="221" w:lineRule="exact"/>
        <w:rPr>
          <w:rFonts w:ascii="Arial" w:cs="Arial" w:eastAsia="Arial" w:hAnsi="Arial"/>
          <w:sz w:val="18"/>
          <w:szCs w:val="18"/>
          <w:color w:val="auto"/>
        </w:rPr>
      </w:pPr>
    </w:p>
    <w:p>
      <w:pPr>
        <w:ind w:right="180" w:firstLine="464"/>
        <w:spacing w:after="0" w:line="261" w:lineRule="auto"/>
        <w:tabs>
          <w:tab w:leader="none" w:pos="636"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sold, assigned, transferred, pledged, hypothecated, or otherwise disposed of other than by</w:t>
      </w:r>
      <w:r>
        <w:rPr>
          <w:rFonts w:ascii="Arial" w:cs="Arial" w:eastAsia="Arial" w:hAnsi="Arial"/>
          <w:sz w:val="18"/>
          <w:szCs w:val="18"/>
          <w:b w:val="1"/>
          <w:bCs w:val="1"/>
          <w:color w:val="auto"/>
        </w:rPr>
        <w:t xml:space="preserve"> </w:t>
      </w:r>
      <w:r>
        <w:rPr>
          <w:rFonts w:ascii="Arial" w:cs="Arial" w:eastAsia="Arial" w:hAnsi="Arial"/>
          <w:sz w:val="18"/>
          <w:szCs w:val="18"/>
          <w:color w:val="auto"/>
        </w:rPr>
        <w:t>will or by the laws of 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80" w:lineRule="exact"/>
        <w:rPr>
          <w:rFonts w:ascii="Arial" w:cs="Arial" w:eastAsia="Arial" w:hAnsi="Arial"/>
          <w:sz w:val="18"/>
          <w:szCs w:val="18"/>
          <w:b w:val="1"/>
          <w:bCs w:val="1"/>
          <w:color w:val="auto"/>
        </w:rPr>
      </w:pPr>
    </w:p>
    <w:p>
      <w:pPr>
        <w:ind w:right="20" w:firstLine="464"/>
        <w:spacing w:after="0" w:line="261" w:lineRule="auto"/>
        <w:tabs>
          <w:tab w:leader="none" w:pos="636"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Corporate Transaction occurs and on or within thirteen (13) months after the effective time of such 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Service terminates (x) due to an involuntary termination of Participant’s Services (other than due to death or Disability) without Cause or (y) due to a voluntary termination of Participant’s Services by Participant for Good Reason (as defined below), then as of the date of termination of Service, the vesting and exercisability of Participant’s Option shall be accelerated in full.</w:t>
      </w:r>
    </w:p>
    <w:p>
      <w:pPr>
        <w:spacing w:after="0" w:line="184"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For purposes of this Option,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any of the following taken without Participant’s written consent and provided (a) the Company receives, within ninety (90) days following the date on which Participant knows of the occurrence of any of the events set forth in clauses (i) through (iii) below, written notice from Participant specifying the specific basis for Participant’s belief that Participant is entitled to terminate Service for Good Reason,</w:t>
      </w:r>
    </w:p>
    <w:p>
      <w:pPr>
        <w:ind w:right="20" w:firstLine="8"/>
        <w:spacing w:after="0" w:line="268" w:lineRule="auto"/>
        <w:tabs>
          <w:tab w:leader="none" w:pos="25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Company fails to cure the event constituting Good Reason within thirty (30) days after receipt of such written notice thereof, and (c) Participant terminates Service within thirty (30) days following expiration of such cure period: (i) the assignment to Participant of any duties or responsibilities that results in a material diminution in Participant’s function as in effect immediately prior to the effective date of the Corporate Transaction; provided, however, that a change in Participant’s title or reporting relationships shall not provide the basis for a voluntary termination for Good Reason; (ii) a reduction by the Company in Participant’s annual base salary as in effect on the effective date of the Corporate Transaction; provided, however, that Good Reason shall not be deemed to have occurred in the event of a reduction in Participant’s annual base salary that is pursuant to a salary reduction program affecting substantially all of the employee of the Company and that does not adversely affect Participant to a greater extent than other similarly situated employees; or (iii) a relocation of Participant’s primary business office to a location more than 50 miles from the location of Participant’s primary business office as of the effective date of the Corporate Transaction, except for travel required by Participant on the Company’s business to an extent substantially consistent with your business travel obligations prior to the effective date of the Corporate Transaction.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86" w:name="page387"/>
    <w:bookmarkEnd w:id="386"/>
    <w:p>
      <w:pPr>
        <w:ind w:right="220" w:firstLine="464"/>
        <w:spacing w:after="0" w:line="347" w:lineRule="auto"/>
        <w:tabs>
          <w:tab w:leader="none" w:pos="636" w:val="left"/>
        </w:tabs>
        <w:numPr>
          <w:ilvl w:val="0"/>
          <w:numId w:val="3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Option</w:t>
      </w:r>
      <w:r>
        <w:rPr>
          <w:rFonts w:ascii="Arial" w:cs="Arial" w:eastAsia="Arial" w:hAnsi="Arial"/>
          <w:sz w:val="16"/>
          <w:szCs w:val="16"/>
          <w:color w:val="auto"/>
        </w:rPr>
        <w:t>. This Option will in any event expire on the expiration date set forth in the Notice, which date is 10 years after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(five years after the Date of Grant if this option is designated as an ISO in the Notice of Stock Option Grant and Section 5.3 of the Plan applies).</w:t>
      </w:r>
    </w:p>
    <w:p>
      <w:pPr>
        <w:spacing w:after="0" w:line="116" w:lineRule="exact"/>
        <w:rPr>
          <w:rFonts w:ascii="Arial" w:cs="Arial" w:eastAsia="Arial" w:hAnsi="Arial"/>
          <w:sz w:val="16"/>
          <w:szCs w:val="16"/>
          <w:b w:val="1"/>
          <w:bCs w:val="1"/>
          <w:color w:val="auto"/>
        </w:rPr>
      </w:pPr>
    </w:p>
    <w:p>
      <w:pPr>
        <w:ind w:left="640" w:hanging="176"/>
        <w:spacing w:after="0"/>
        <w:tabs>
          <w:tab w:leader="none" w:pos="64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921"/>
        <w:spacing w:after="0" w:line="287" w:lineRule="auto"/>
        <w:tabs>
          <w:tab w:leader="none" w:pos="1157"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Exercising the Option</w:t>
      </w:r>
      <w:r>
        <w:rPr>
          <w:rFonts w:ascii="Arial" w:cs="Arial" w:eastAsia="Arial" w:hAnsi="Arial"/>
          <w:sz w:val="16"/>
          <w:szCs w:val="16"/>
          <w:color w:val="auto"/>
        </w:rPr>
        <w:t>. Participant acknowledges that, regardless of any action taken by the Company or a Parent or Subsidiary employing or retaining Participant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xml:space="preserve">”) is and remains Participant’s responsibility and may exceed the amount actually withheld by the Company or the Employer.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 </w:t>
      </w:r>
      <w:r>
        <w:rPr>
          <w:rFonts w:ascii="Arial" w:cs="Arial" w:eastAsia="Arial" w:hAnsi="Arial"/>
          <w:sz w:val="16"/>
          <w:szCs w:val="16"/>
          <w:i w:val="1"/>
          <w:iCs w:val="1"/>
          <w:color w:val="auto"/>
        </w:rPr>
        <w:t>PARTICIPANT SHOULD CONSULT A TAX ADVISER APPROPRIATELY QUALIFIED IN THE COUNTRY OR COUNTRIES IN WHICH</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PARTICIPANT RESIDES OR IS SUBJECT TO TAXATION BEFORE EXERCISING THE OPTION OR DISPOSING OF THE SHARES.</w:t>
      </w:r>
    </w:p>
    <w:p>
      <w:pPr>
        <w:spacing w:after="0" w:line="169"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71" w:lineRule="exact"/>
        <w:rPr>
          <w:sz w:val="20"/>
          <w:szCs w:val="20"/>
          <w:color w:val="auto"/>
        </w:rPr>
      </w:pPr>
    </w:p>
    <w:p>
      <w:pPr>
        <w:ind w:left="1920" w:hanging="440"/>
        <w:spacing w:after="0"/>
        <w:tabs>
          <w:tab w:leader="none" w:pos="19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withholding from Participant’s wages or other cash compensation paid to Participant by the Company and/or the Employer; or</w:t>
      </w:r>
    </w:p>
    <w:p>
      <w:pPr>
        <w:spacing w:after="0" w:line="142" w:lineRule="exact"/>
        <w:rPr>
          <w:rFonts w:ascii="Arial" w:cs="Arial" w:eastAsia="Arial" w:hAnsi="Arial"/>
          <w:sz w:val="17"/>
          <w:szCs w:val="17"/>
          <w:color w:val="auto"/>
        </w:rPr>
      </w:pPr>
    </w:p>
    <w:p>
      <w:pPr>
        <w:ind w:left="1920" w:right="280" w:hanging="440"/>
        <w:spacing w:after="0" w:line="342" w:lineRule="auto"/>
        <w:tabs>
          <w:tab w:leader="none" w:pos="192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at exercise of this Option either through a voluntary sale or through a mandatory sale arranged by the Company (on Participant’s behalf pursuant to this authorization) without further consent; or</w:t>
      </w:r>
    </w:p>
    <w:p>
      <w:pPr>
        <w:spacing w:after="0" w:line="29" w:lineRule="exact"/>
        <w:rPr>
          <w:rFonts w:ascii="Arial" w:cs="Arial" w:eastAsia="Arial" w:hAnsi="Arial"/>
          <w:sz w:val="16"/>
          <w:szCs w:val="16"/>
          <w:color w:val="auto"/>
        </w:rPr>
      </w:pPr>
    </w:p>
    <w:p>
      <w:pPr>
        <w:ind w:left="1920" w:right="80" w:hanging="440"/>
        <w:spacing w:after="0" w:line="277" w:lineRule="auto"/>
        <w:tabs>
          <w:tab w:leader="none" w:pos="19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withholding in Shares to be issued upon exercise of the Option, provided the Company only withholds from the amount of Shares necessary to satisfy the applicable statutory withholding amount;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Participant’s payment of a cash amount (including by check representing readily available funds or a wire transfer);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other arrangement approved by the Committee;</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387" w:name="page388"/>
    <w:bookmarkEnd w:id="387"/>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constituted in accordance with Rule 16b-3 under the Exchange Act) shall establish the method of withholding from alternatives (i)-(v) above, and the Committee shall establish the method prior to the Tax-Related Items withholding event.</w:t>
      </w:r>
    </w:p>
    <w:p>
      <w:pPr>
        <w:spacing w:after="0" w:line="170"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statutory withholding amounts or other applicable withholding rates, including maximum applicable rates, in which case Participant will receive a refund of any over-withheld amount in cash and will have no entitlement to the Common Stock equivalent. If the obligation for Tax-Related Items is satisfied by withholding in Shares, for tax purposes, Participant is deemed to have been issued the full member of Shares issued upon exercise of the Options; notwithstanding that a member of the Shares are held back solely for the purpose of paying the Tax-Related Items. The Fair Market Value of these Shares, determined as of the effective date of the Option exercise, will be applied as a credit against the Tax-Related Items withholding.</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87" w:lineRule="exact"/>
        <w:rPr>
          <w:sz w:val="20"/>
          <w:szCs w:val="20"/>
          <w:color w:val="auto"/>
        </w:rPr>
      </w:pPr>
    </w:p>
    <w:p>
      <w:pPr>
        <w:ind w:right="40" w:firstLine="921"/>
        <w:spacing w:after="0" w:line="302" w:lineRule="auto"/>
        <w:tabs>
          <w:tab w:leader="none" w:pos="1168"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For U.S. taxpayers, if Participant sells or otherwise disposes of any of the Shares acquired pursuant to an ISO on or before the later of (i) two years after the grant date, or (ii) one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of the current earnings paid to Participant.</w:t>
      </w:r>
    </w:p>
    <w:p>
      <w:pPr>
        <w:spacing w:after="0" w:line="150" w:lineRule="exact"/>
        <w:rPr>
          <w:rFonts w:ascii="Arial" w:cs="Arial" w:eastAsia="Arial" w:hAnsi="Arial"/>
          <w:sz w:val="16"/>
          <w:szCs w:val="16"/>
          <w:color w:val="auto"/>
        </w:rPr>
      </w:pPr>
    </w:p>
    <w:p>
      <w:pPr>
        <w:ind w:left="740" w:hanging="276"/>
        <w:spacing w:after="0"/>
        <w:tabs>
          <w:tab w:leader="none" w:pos="74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the Option, Participant acknowledges, understands and agrees that:</w:t>
      </w:r>
    </w:p>
    <w:p>
      <w:pPr>
        <w:spacing w:after="0" w:line="229" w:lineRule="exact"/>
        <w:rPr>
          <w:rFonts w:ascii="Arial" w:cs="Arial" w:eastAsia="Arial" w:hAnsi="Arial"/>
          <w:sz w:val="18"/>
          <w:szCs w:val="18"/>
          <w:b w:val="1"/>
          <w:bCs w:val="1"/>
          <w:color w:val="auto"/>
        </w:rPr>
      </w:pPr>
    </w:p>
    <w:p>
      <w:pPr>
        <w:ind w:right="620" w:firstLine="921"/>
        <w:spacing w:after="0" w:line="277" w:lineRule="auto"/>
        <w:tabs>
          <w:tab w:leader="none" w:pos="115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300" w:firstLine="921"/>
        <w:spacing w:after="0" w:line="277" w:lineRule="auto"/>
        <w:tabs>
          <w:tab w:leader="none" w:pos="116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Company;</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Option grant and Participant’s participation in the Plan will not create a right to employment or be interpreted as forming an employment or service contract with the Company, the Employer or any Parent or Subsidiary;</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jc w:val="both"/>
        <w:ind w:right="260" w:firstLine="921"/>
        <w:spacing w:after="0" w:line="264" w:lineRule="auto"/>
        <w:tabs>
          <w:tab w:leader="none" w:pos="116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88" w:name="page389"/>
    <w:bookmarkEnd w:id="388"/>
    <w:p>
      <w:pPr>
        <w:ind w:left="1180" w:hanging="259"/>
        <w:spacing w:after="0"/>
        <w:tabs>
          <w:tab w:leader="none" w:pos="11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future value of the Shares underlying the Option is unknown, indeterminable, and cannot be predicted with certainty;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if Participant exercises the Option and acquires Shares, the value of such Shares may increase or decrease in value, even below the Exercise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11" w:lineRule="exact"/>
        <w:rPr>
          <w:sz w:val="20"/>
          <w:szCs w:val="20"/>
          <w:color w:val="auto"/>
        </w:rPr>
      </w:pPr>
    </w:p>
    <w:p>
      <w:pPr>
        <w:ind w:firstLine="921"/>
        <w:spacing w:after="0" w:line="254" w:lineRule="auto"/>
        <w:tabs>
          <w:tab w:leader="none" w:pos="116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 resulting from Participant ceasing to provide employment or other services to the Company or the Employer (for any reason whatsoever, whether or not later found to be invalid or in breach of employment laws in the jurisdiction where Participant is employed or the terms of Participant’s employment agreement, if any), and in consideration of the grant of the Option to which Participant is otherwise not entitled, Participant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92" w:lineRule="exact"/>
        <w:rPr>
          <w:rFonts w:ascii="Arial" w:cs="Arial" w:eastAsia="Arial" w:hAnsi="Arial"/>
          <w:sz w:val="18"/>
          <w:szCs w:val="18"/>
          <w:color w:val="auto"/>
        </w:rPr>
      </w:pPr>
    </w:p>
    <w:p>
      <w:pPr>
        <w:ind w:right="60" w:firstLine="921"/>
        <w:spacing w:after="0" w:line="264" w:lineRule="auto"/>
        <w:tabs>
          <w:tab w:leader="none" w:pos="112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81" w:lineRule="exact"/>
        <w:rPr>
          <w:rFonts w:ascii="Arial" w:cs="Arial" w:eastAsia="Arial" w:hAnsi="Arial"/>
          <w:sz w:val="18"/>
          <w:szCs w:val="18"/>
          <w:color w:val="auto"/>
        </w:rPr>
      </w:pPr>
    </w:p>
    <w:p>
      <w:pPr>
        <w:ind w:left="1220" w:hanging="299"/>
        <w:spacing w:after="0"/>
        <w:tabs>
          <w:tab w:leader="none" w:pos="12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60"/>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w:t>
      </w:r>
    </w:p>
    <w:p>
      <w:pPr>
        <w:spacing w:after="0" w:line="142" w:lineRule="exact"/>
        <w:rPr>
          <w:rFonts w:ascii="Arial" w:cs="Arial" w:eastAsia="Arial" w:hAnsi="Arial"/>
          <w:sz w:val="17"/>
          <w:szCs w:val="17"/>
          <w:color w:val="auto"/>
        </w:rPr>
      </w:pPr>
    </w:p>
    <w:p>
      <w:pPr>
        <w:ind w:left="1920" w:right="80" w:hanging="440"/>
        <w:spacing w:after="0" w:line="259" w:lineRule="auto"/>
        <w:tabs>
          <w:tab w:leader="none" w:pos="1920" w:val="left"/>
        </w:tabs>
        <w:numPr>
          <w:ilvl w:val="2"/>
          <w:numId w:val="360"/>
        </w:numPr>
        <w:rPr>
          <w:rFonts w:ascii="Arial" w:cs="Arial" w:eastAsia="Arial" w:hAnsi="Arial"/>
          <w:sz w:val="18"/>
          <w:szCs w:val="18"/>
          <w:color w:val="auto"/>
        </w:rPr>
      </w:pPr>
      <w:r>
        <w:rPr>
          <w:rFonts w:ascii="Arial" w:cs="Arial" w:eastAsia="Arial" w:hAnsi="Arial"/>
          <w:sz w:val="18"/>
          <w:szCs w:val="18"/>
          <w:color w:val="auto"/>
        </w:rPr>
        <w:t>Participant acknowledges and agrees that neither the Company, the Employer nor any Parent or Subsidiary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82" w:lineRule="exact"/>
        <w:rPr>
          <w:rFonts w:ascii="Arial" w:cs="Arial" w:eastAsia="Arial" w:hAnsi="Arial"/>
          <w:sz w:val="18"/>
          <w:szCs w:val="18"/>
          <w:color w:val="auto"/>
        </w:rPr>
      </w:pPr>
    </w:p>
    <w:p>
      <w:pPr>
        <w:jc w:val="both"/>
        <w:ind w:right="120" w:firstLine="464"/>
        <w:spacing w:after="0" w:line="314" w:lineRule="auto"/>
        <w:tabs>
          <w:tab w:leader="none" w:pos="716"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46" w:lineRule="exact"/>
        <w:rPr>
          <w:rFonts w:ascii="Arial" w:cs="Arial" w:eastAsia="Arial" w:hAnsi="Arial"/>
          <w:sz w:val="16"/>
          <w:szCs w:val="16"/>
          <w:b w:val="1"/>
          <w:bCs w:val="1"/>
          <w:color w:val="auto"/>
        </w:rPr>
      </w:pPr>
    </w:p>
    <w:p>
      <w:pPr>
        <w:ind w:right="180" w:firstLine="464"/>
        <w:spacing w:after="0" w:line="259" w:lineRule="auto"/>
        <w:tabs>
          <w:tab w:leader="none" w:pos="726"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Participant hereby explicitly and unambiguously consents to the collection, use and transfer, in electronic or other form, of Participant’s personal data as described in this Option Agreement and any other Option grant materials by and among, as applicable, the Employer, the Company and any Parent or Subsidiary of for the exclusive purpose of implementing, administering and managing Participant’s participation in the Plan.</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Options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89" w:name="page390"/>
    <w:bookmarkEnd w:id="389"/>
    <w:p>
      <w:pPr>
        <w:ind w:right="2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entitlement to shares of stock awarded, canceled, exercised, vested, unvested or outstanding in Participant’s favor (“Data”), for the exclusive purpose of implementing, administering and managing the Plan.</w:t>
      </w:r>
    </w:p>
    <w:p>
      <w:pPr>
        <w:spacing w:after="0" w:line="17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b w:val="1"/>
          <w:bCs w:val="1"/>
          <w:i w:val="1"/>
          <w:iCs w:val="1"/>
          <w:color w:val="auto"/>
        </w:rPr>
        <w:t>Participant understands that Data will be transferred to the stock plan service provider as may be designated by the Company from time to time or its affiliates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the stock plan service provider as may be designated by the Company from time to time, and its affiliates,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6" w:lineRule="exact"/>
        <w:rPr>
          <w:sz w:val="20"/>
          <w:szCs w:val="20"/>
          <w:color w:val="auto"/>
        </w:rPr>
      </w:pPr>
    </w:p>
    <w:p>
      <w:pPr>
        <w:ind w:right="680" w:firstLine="464"/>
        <w:spacing w:after="0" w:line="347" w:lineRule="auto"/>
        <w:tabs>
          <w:tab w:leader="none" w:pos="726" w:val="left"/>
        </w:tabs>
        <w:numPr>
          <w:ilvl w:val="1"/>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color w:val="auto"/>
        </w:rPr>
        <w:t>. If Participant has received this Option Agreement, or any other document related to the Option and/or the Plan translated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language other than English and if the meaning of the translated version is different than the English version, the English version will control.</w:t>
      </w:r>
    </w:p>
    <w:p>
      <w:pPr>
        <w:spacing w:after="0" w:line="116" w:lineRule="exact"/>
        <w:rPr>
          <w:rFonts w:ascii="Arial" w:cs="Arial" w:eastAsia="Arial" w:hAnsi="Arial"/>
          <w:sz w:val="16"/>
          <w:szCs w:val="16"/>
          <w:b w:val="1"/>
          <w:bCs w:val="1"/>
          <w:color w:val="auto"/>
        </w:rPr>
      </w:pPr>
    </w:p>
    <w:p>
      <w:pPr>
        <w:ind w:firstLine="464"/>
        <w:spacing w:after="0" w:line="281" w:lineRule="auto"/>
        <w:tabs>
          <w:tab w:leader="none" w:pos="726" w:val="left"/>
        </w:tabs>
        <w:numPr>
          <w:ilvl w:val="1"/>
          <w:numId w:val="3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Appendix</w:t>
      </w:r>
      <w:r>
        <w:rPr>
          <w:rFonts w:ascii="Arial" w:cs="Arial" w:eastAsia="Arial" w:hAnsi="Arial"/>
          <w:sz w:val="17"/>
          <w:szCs w:val="17"/>
          <w:color w:val="auto"/>
        </w:rPr>
        <w:t>. Notwithstanding any provisions in this Option Agreement, the Option grant will be subject to any special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64" w:lineRule="exact"/>
        <w:rPr>
          <w:rFonts w:ascii="Arial" w:cs="Arial" w:eastAsia="Arial" w:hAnsi="Arial"/>
          <w:sz w:val="17"/>
          <w:szCs w:val="17"/>
          <w:b w:val="1"/>
          <w:bCs w:val="1"/>
          <w:color w:val="auto"/>
        </w:rPr>
      </w:pPr>
    </w:p>
    <w:p>
      <w:pPr>
        <w:jc w:val="both"/>
        <w:ind w:right="20" w:firstLine="464"/>
        <w:spacing w:after="0" w:line="314" w:lineRule="auto"/>
        <w:tabs>
          <w:tab w:leader="none" w:pos="726" w:val="left"/>
        </w:tabs>
        <w:numPr>
          <w:ilvl w:val="1"/>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42" w:lineRule="exact"/>
        <w:rPr>
          <w:rFonts w:ascii="Arial" w:cs="Arial" w:eastAsia="Arial" w:hAnsi="Arial"/>
          <w:sz w:val="16"/>
          <w:szCs w:val="16"/>
          <w:b w:val="1"/>
          <w:bCs w:val="1"/>
          <w:color w:val="auto"/>
        </w:rPr>
      </w:pPr>
    </w:p>
    <w:p>
      <w:pPr>
        <w:ind w:right="180" w:firstLine="464"/>
        <w:spacing w:after="0" w:line="293" w:lineRule="auto"/>
        <w:tabs>
          <w:tab w:leader="none" w:pos="726" w:val="left"/>
        </w:tabs>
        <w:numPr>
          <w:ilvl w:val="1"/>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color w:val="auto"/>
        </w:rPr>
        <w:t>. The Company and Participant agree that the Option is granted under and governed by the Notice, this Option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provisions of the Plan (incorporated herein by reference). Participant: (a) acknowledges receipt of a copy of the Plan and the Plan prospectus,</w:t>
      </w:r>
    </w:p>
    <w:p>
      <w:pPr>
        <w:spacing w:after="0" w:line="1" w:lineRule="exact"/>
        <w:rPr>
          <w:rFonts w:ascii="Arial" w:cs="Arial" w:eastAsia="Arial" w:hAnsi="Arial"/>
          <w:sz w:val="16"/>
          <w:szCs w:val="16"/>
          <w:b w:val="1"/>
          <w:bCs w:val="1"/>
          <w:color w:val="auto"/>
        </w:rPr>
      </w:pPr>
    </w:p>
    <w:p>
      <w:pPr>
        <w:ind w:right="660" w:firstLine="8"/>
        <w:spacing w:after="0" w:line="261" w:lineRule="auto"/>
        <w:tabs>
          <w:tab w:leader="none" w:pos="25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represents that Participant has carefully read and is familiar with their provisions, and (c) hereby accepts the Option subject to all of the terms and conditions set forth herein and those set forth in the Plan and the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90" w:name="page391"/>
    <w:bookmarkEnd w:id="390"/>
    <w:p>
      <w:pPr>
        <w:ind w:right="20" w:firstLine="464"/>
        <w:spacing w:after="0" w:line="277" w:lineRule="auto"/>
        <w:tabs>
          <w:tab w:leader="none" w:pos="726"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Enforcement of Rights</w:t>
      </w:r>
      <w:r>
        <w:rPr>
          <w:rFonts w:ascii="Arial" w:cs="Arial" w:eastAsia="Arial" w:hAnsi="Arial"/>
          <w:sz w:val="17"/>
          <w:szCs w:val="17"/>
          <w:color w:val="auto"/>
        </w:rPr>
        <w:t>. This Option Agreement, the Plan and the Notice constitute the entire agreement and understanding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relating to the subject matter herein and supersede all prior discussions between them. Any prior agreements, commitments or negotiations concerning the purchase of the Shares hereunder are superseded. No modification of or amendment to this Option Agreement, nor any waiver of any rights under this Option Agreement, will be effective unless in writing and signed by the parties to this Option Agreement. The failure by either party to enforce any rights under this Option Agreement will not be construed as a waiver of any rights of such party.</w:t>
      </w:r>
    </w:p>
    <w:p>
      <w:pPr>
        <w:spacing w:after="0" w:line="168" w:lineRule="exact"/>
        <w:rPr>
          <w:rFonts w:ascii="Arial" w:cs="Arial" w:eastAsia="Arial" w:hAnsi="Arial"/>
          <w:sz w:val="17"/>
          <w:szCs w:val="17"/>
          <w:b w:val="1"/>
          <w:bCs w:val="1"/>
          <w:color w:val="auto"/>
        </w:rPr>
      </w:pPr>
    </w:p>
    <w:p>
      <w:pPr>
        <w:ind w:right="20" w:firstLine="464"/>
        <w:spacing w:after="0" w:line="255" w:lineRule="auto"/>
        <w:tabs>
          <w:tab w:leader="none" w:pos="726"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color w:val="auto"/>
        </w:rPr>
        <w:t>. The issuance of Shares and any restriction on the sale of Shares will be subject to and conditioned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by the Company and Participant with all applicable state, federal and local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shall have unilateral authority to amend the Plan and this Option Agreement without Participant’s consent to the extent necessary to comply with securities or other laws applicable to issuance of Shares. Finally, the Shares issued pursuant to this Option Agreement shall be endorsed with appropriate legends, if any, determined by the Company.</w:t>
      </w:r>
    </w:p>
    <w:p>
      <w:pPr>
        <w:spacing w:after="0" w:line="185" w:lineRule="exact"/>
        <w:rPr>
          <w:rFonts w:ascii="Arial" w:cs="Arial" w:eastAsia="Arial" w:hAnsi="Arial"/>
          <w:sz w:val="18"/>
          <w:szCs w:val="18"/>
          <w:b w:val="1"/>
          <w:bCs w:val="1"/>
          <w:color w:val="auto"/>
        </w:rPr>
      </w:pPr>
    </w:p>
    <w:p>
      <w:pPr>
        <w:ind w:right="80" w:firstLine="464"/>
        <w:spacing w:after="0" w:line="261" w:lineRule="auto"/>
        <w:tabs>
          <w:tab w:leader="none" w:pos="726"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Option Agreement are held to be unenforceable, the parties agree to renegotiate such provision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80" w:lineRule="exact"/>
        <w:rPr>
          <w:rFonts w:ascii="Arial" w:cs="Arial" w:eastAsia="Arial" w:hAnsi="Arial"/>
          <w:sz w:val="18"/>
          <w:szCs w:val="18"/>
          <w:b w:val="1"/>
          <w:bCs w:val="1"/>
          <w:color w:val="auto"/>
        </w:rPr>
      </w:pPr>
    </w:p>
    <w:p>
      <w:pPr>
        <w:ind w:firstLine="464"/>
        <w:spacing w:after="0" w:line="347" w:lineRule="auto"/>
        <w:tabs>
          <w:tab w:leader="none" w:pos="726"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Venue</w:t>
      </w:r>
      <w:r>
        <w:rPr>
          <w:rFonts w:ascii="Arial" w:cs="Arial" w:eastAsia="Arial" w:hAnsi="Arial"/>
          <w:sz w:val="16"/>
          <w:szCs w:val="16"/>
          <w:color w:val="auto"/>
        </w:rPr>
        <w:t>. This Option Agreement and all acts and transactions pursuant hereto and the rights and obligations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will be governed, construed and interpreted in accordance with the laws of the State of Delaware, without giving effect to principles of conflicts of law.</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the United States District Court for the District of New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240" w:firstLine="464"/>
        <w:spacing w:after="0" w:line="282" w:lineRule="auto"/>
        <w:tabs>
          <w:tab w:leader="none" w:pos="726"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color w:val="auto"/>
        </w:rPr>
        <w:t>. Nothing in this Option Agreement will affect in any manner whatsoever the right or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 Parent or Subsidiary, to terminate Participant’s service, for any reason, with or without Cause.</w:t>
      </w:r>
    </w:p>
    <w:p>
      <w:pPr>
        <w:spacing w:after="0" w:line="161" w:lineRule="exact"/>
        <w:rPr>
          <w:rFonts w:ascii="Arial" w:cs="Arial" w:eastAsia="Arial" w:hAnsi="Arial"/>
          <w:sz w:val="18"/>
          <w:szCs w:val="18"/>
          <w:b w:val="1"/>
          <w:bCs w:val="1"/>
          <w:color w:val="auto"/>
        </w:rPr>
      </w:pPr>
    </w:p>
    <w:p>
      <w:pPr>
        <w:ind w:right="780" w:firstLine="464"/>
        <w:spacing w:after="0" w:line="347" w:lineRule="auto"/>
        <w:tabs>
          <w:tab w:leader="none" w:pos="726"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color w:val="auto"/>
        </w:rPr>
        <w:t>. By Participant’s signature and the signature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on the Notice, Participant and the Company agree that this Option is granted under and governed by the terms and conditions of the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91" w:name="page392"/>
    <w:bookmarkEnd w:id="39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the Notice and this Option Agreement. Participant has reviewed the Plan, the Notice and this Option Agreement in their entirety, has had an opportunity to obtain the advice of counsel prior to executing the Notice, and fully understands all provisions of the Plan, the Notice and this Option Agreement. Participant hereby agrees to accept as binding, conclusive and final all decisions or interpretations of the Committee upon any questions relating to the Plan, the Notice and the Option Agreement. Participant further agrees to notify the Company upon any change in the residence address indicated on the Notice. By acceptance of this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through Stock Administration. Finally, Participant understands that Participant is not required to consent to electronic delivery if local laws prohibit such consent.</w:t>
      </w:r>
    </w:p>
    <w:p>
      <w:pPr>
        <w:spacing w:after="0" w:line="187" w:lineRule="exact"/>
        <w:rPr>
          <w:sz w:val="20"/>
          <w:szCs w:val="20"/>
          <w:color w:val="auto"/>
        </w:rPr>
      </w:pPr>
    </w:p>
    <w:p>
      <w:pPr>
        <w:ind w:right="40" w:firstLine="464"/>
        <w:spacing w:after="0" w:line="256" w:lineRule="auto"/>
        <w:tabs>
          <w:tab w:leader="none" w:pos="726"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depending on Participant’s country, Participant may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is advised to speak to Participant’s personal advisor on this matter.</w:t>
      </w:r>
    </w:p>
    <w:p>
      <w:pPr>
        <w:spacing w:after="0" w:line="187" w:lineRule="exact"/>
        <w:rPr>
          <w:rFonts w:ascii="Arial" w:cs="Arial" w:eastAsia="Arial" w:hAnsi="Arial"/>
          <w:sz w:val="18"/>
          <w:szCs w:val="18"/>
          <w:b w:val="1"/>
          <w:bCs w:val="1"/>
          <w:color w:val="auto"/>
        </w:rPr>
      </w:pPr>
    </w:p>
    <w:p>
      <w:pPr>
        <w:ind w:right="240" w:firstLine="464"/>
        <w:spacing w:after="0" w:line="303" w:lineRule="auto"/>
        <w:tabs>
          <w:tab w:leader="none" w:pos="726"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Subject to Company Clawback or Recoupment</w:t>
      </w:r>
      <w:r>
        <w:rPr>
          <w:rFonts w:ascii="Arial" w:cs="Arial" w:eastAsia="Arial" w:hAnsi="Arial"/>
          <w:sz w:val="16"/>
          <w:szCs w:val="16"/>
          <w:color w:val="auto"/>
        </w:rPr>
        <w:t>. To the extent permitted by applicable law, the Option shall be subject to clawback or</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pursuant to any compensation 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51"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BY ACCEPTING THIS OPTION, PARTICIPANT AGREES TO ALL OF THE TERMS AND CONDITIONS DESCRIBED ABOVE AND IN THIS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92" w:name="page393"/>
    <w:bookmarkEnd w:id="3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COUNTRY SPECIFIC PROVISIONS FOR EMPLOYEES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Appendix includes additional terms and conditions that govern the Option granted to Participant under the Plan if Participant resides and/or works in one of the countries below. This Appendix forms part of the Option Agreement. Any capitalized term used in this Appendix without definition will have the meaning ascribed to it in the Notice, the Option Agreement or the Plan, as applicable.</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also includes information relating to exchange control and other issues of which Participant should be aware with respect to Participant’s participation in the Plan. The information is based on the securities, exchange control and other laws in effect in the respective countries as of January 2017. Such laws are often complex and change frequently. As a result, the Company strongly recommends that Participant not rely on the information herein as the only source of information relating to the consequences of Participant’s participation in the Plan because the information may be out of date at the time that Participant exercises the Option or sells Shares acquired under the Plan.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the information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Finally, if Participant is a citizen or resident of a country, or is considered resident of a country, other than the one in which Participant is currently working, or Participant transfers employment and/or residency after the Date of Grant, the information contained herein may not apply to Participant in the same manner.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69" w:right="259" w:bottom="144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AWARD AGREEMENT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0" w:right="1440"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07" w:lineRule="exact"/>
        <w:rPr>
          <w:sz w:val="20"/>
          <w:szCs w:val="20"/>
          <w:color w:val="auto"/>
        </w:rPr>
      </w:pPr>
    </w:p>
    <w:p>
      <w:pPr>
        <w:ind w:right="20" w:firstLine="464"/>
        <w:spacing w:after="0" w:line="268" w:lineRule="auto"/>
        <w:tabs>
          <w:tab w:leader="none" w:pos="636"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Establishment of Plan</w:t>
      </w:r>
      <w:r>
        <w:rPr>
          <w:rFonts w:ascii="Arial" w:cs="Arial" w:eastAsia="Arial" w:hAnsi="Arial"/>
          <w:sz w:val="17"/>
          <w:szCs w:val="17"/>
          <w:color w:val="auto"/>
        </w:rPr>
        <w:t>.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proposes to grant options to purchase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to eligible employees of the Company and its Participating Corporations pursuant to this Plan. The Company intends this Plan to qualify as an “employee stock purchase plan” under Code Section 423 (including any amendments to or replacements of such Section), and this Plan shall be so construed. Any term not expressly defined in this Plan but defined for purposes of Code Section 423 shall have the same definition herein. However, with regard to offers of options for purchase of the Common Stock under the Plan to employees outside the United States working for a Subsidiary or an affiliate of the Company that is not a Subsidiary, the Board may offer a subplan or an option that is not intended to meet the Code Section 423 requirements, provided, if necessary under Code Section 423, that the other terms and conditions of the Plan are met. Subject to Section 14, a total of Two Hundred Eighteen Thousand (218,000) shares of Common Stock is reserved for issuance under this Plan. In addition, on each January 1 for the first ten (10) calendar years after the first Offering Date, the aggregate number of shares of Common Stock reserved for issuance under the Plan shall be increased automatically by the number of shares equal to one percent (1%) of the total number of outstanding shares of the Company Common Stock on the immediately preceding December 31 (</w:t>
      </w:r>
      <w:r>
        <w:rPr>
          <w:rFonts w:ascii="Arial" w:cs="Arial" w:eastAsia="Arial" w:hAnsi="Arial"/>
          <w:sz w:val="17"/>
          <w:szCs w:val="17"/>
          <w:u w:val="single" w:color="auto"/>
          <w:color w:val="auto"/>
        </w:rPr>
        <w:t>rounded down to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nearest whole 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or the Committee may in its sole discretion reduce the amount of the increase in any particular year;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aggregate number of shares issued over the term of this Plan shall not exceed Two Million One Hundred Eighty Thousand (2,180,000) shares of Common Stock. The number of shares reserved for issuance under this Plan and the maximum number of shares that may be issued under this Plan shall be subject to adjustments effected in accordance with Section 14 of this Plan. Capitalized terms not defined elsewhere in the text are defined in Section 27.</w:t>
      </w:r>
    </w:p>
    <w:p>
      <w:pPr>
        <w:spacing w:after="0" w:line="183" w:lineRule="exact"/>
        <w:rPr>
          <w:rFonts w:ascii="Arial" w:cs="Arial" w:eastAsia="Arial" w:hAnsi="Arial"/>
          <w:sz w:val="17"/>
          <w:szCs w:val="17"/>
          <w:b w:val="1"/>
          <w:bCs w:val="1"/>
          <w:color w:val="auto"/>
        </w:rPr>
      </w:pPr>
    </w:p>
    <w:p>
      <w:pPr>
        <w:ind w:right="80" w:firstLine="464"/>
        <w:spacing w:after="0" w:line="266" w:lineRule="auto"/>
        <w:tabs>
          <w:tab w:leader="none" w:pos="636"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Plan is to provide eligible employees of the Company and Participating Corporations with a means of acquiring an</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interest in the Company through payroll deductions, to enhance such employees’ sense of participation in the affairs of the Company and Participating Corporations, and to provide an incentive for continued employment.</w:t>
      </w:r>
    </w:p>
    <w:p>
      <w:pPr>
        <w:spacing w:after="0" w:line="176" w:lineRule="exact"/>
        <w:rPr>
          <w:rFonts w:ascii="Arial" w:cs="Arial" w:eastAsia="Arial" w:hAnsi="Arial"/>
          <w:sz w:val="18"/>
          <w:szCs w:val="18"/>
          <w:b w:val="1"/>
          <w:bCs w:val="1"/>
          <w:color w:val="auto"/>
        </w:rPr>
      </w:pPr>
    </w:p>
    <w:p>
      <w:pPr>
        <w:ind w:left="640" w:hanging="176"/>
        <w:spacing w:after="0"/>
        <w:tabs>
          <w:tab w:leader="none" w:pos="640"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Plan will be administered by the Compensation Committee of the Board or by the Board (either referred to herein as the</w:t>
      </w:r>
    </w:p>
    <w:p>
      <w:pPr>
        <w:spacing w:after="0" w:line="3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Subject to the provisions of this Plan and the limitations of Section 423 of the Code or any successor provision in the Code, all questions of interpretation or application of this Plan shall be determined by the Committee and its decisions shall be final and binding upon all Participants. The Committee will have full and exclusive discretionary authority to construe, interpret and apply the terms of the Plan, to determine eligibility and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and/or procedures relating to the operation and administration of the Plan to accommodate requirements of local law and procedures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the Board or its committees. All expenses incurred in connection with the administration of this Plan shall be paid by the Company. For purposes of this Plan, the Committee may designate separate offerings 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95" w:name="page396"/>
    <w:bookmarkEnd w:id="39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(the terms of which need not be identical) in which eligible employees of one or more Participating Corporations will participate, even if the dates of the applicable Offering Periods of each such offering are identical.</w:t>
      </w:r>
    </w:p>
    <w:p>
      <w:pPr>
        <w:spacing w:after="0" w:line="166" w:lineRule="exact"/>
        <w:rPr>
          <w:sz w:val="20"/>
          <w:szCs w:val="20"/>
          <w:color w:val="auto"/>
        </w:rPr>
      </w:pPr>
    </w:p>
    <w:p>
      <w:pPr>
        <w:ind w:firstLine="464"/>
        <w:spacing w:after="0" w:line="282" w:lineRule="auto"/>
        <w:tabs>
          <w:tab w:leader="none" w:pos="636"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or the Participating Corporations is eligible to participate in an Offering Period under this Plan except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(other than where prohibited by applicable law):</w:t>
      </w:r>
    </w:p>
    <w:p>
      <w:pPr>
        <w:spacing w:after="0" w:line="165" w:lineRule="exact"/>
        <w:rPr>
          <w:rFonts w:ascii="Arial" w:cs="Arial" w:eastAsia="Arial" w:hAnsi="Arial"/>
          <w:sz w:val="18"/>
          <w:szCs w:val="18"/>
          <w:b w:val="1"/>
          <w:bCs w:val="1"/>
          <w:color w:val="auto"/>
        </w:rPr>
      </w:pPr>
    </w:p>
    <w:p>
      <w:pPr>
        <w:ind w:right="220" w:firstLine="921"/>
        <w:spacing w:after="0" w:line="277" w:lineRule="auto"/>
        <w:tabs>
          <w:tab w:leader="none" w:pos="115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225" w:lineRule="exact"/>
        <w:rPr>
          <w:rFonts w:ascii="Arial" w:cs="Arial" w:eastAsia="Arial" w:hAnsi="Arial"/>
          <w:sz w:val="18"/>
          <w:szCs w:val="18"/>
          <w:color w:val="auto"/>
        </w:rPr>
      </w:pPr>
    </w:p>
    <w:p>
      <w:pPr>
        <w:jc w:val="both"/>
        <w:ind w:right="180" w:firstLine="921"/>
        <w:spacing w:after="0" w:line="257" w:lineRule="auto"/>
        <w:tabs>
          <w:tab w:leader="none" w:pos="116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employees who,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of its Participating Corporations or who, as a result of being granted an option under this Plan with respect to such Offering Period, would own stock or hold options to purchase stock possessing five percent (5%) or more of the total combined voting power or value of all classes of stock of the Company or any of its Participating Corporations;</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employees who do not meet any other eligibility requirements that the Committee may choose to impose (within the limits permitted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 and</w:t>
      </w:r>
    </w:p>
    <w:p>
      <w:pPr>
        <w:spacing w:after="0" w:line="210" w:lineRule="exact"/>
        <w:rPr>
          <w:rFonts w:ascii="Arial" w:cs="Arial" w:eastAsia="Arial" w:hAnsi="Arial"/>
          <w:sz w:val="16"/>
          <w:szCs w:val="16"/>
          <w:color w:val="auto"/>
        </w:rPr>
      </w:pPr>
    </w:p>
    <w:p>
      <w:pPr>
        <w:ind w:right="160" w:firstLine="921"/>
        <w:spacing w:after="0" w:line="277" w:lineRule="auto"/>
        <w:tabs>
          <w:tab w:leader="none" w:pos="113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individuals who provide services to the Company or any of its Participating Corporations as independent contractors who are reclassified as common law employees for any reason </w:t>
      </w:r>
      <w:r>
        <w:rPr>
          <w:rFonts w:ascii="Arial" w:cs="Arial" w:eastAsia="Arial" w:hAnsi="Arial"/>
          <w:sz w:val="18"/>
          <w:szCs w:val="18"/>
          <w:u w:val="single" w:color="auto"/>
          <w:color w:val="auto"/>
        </w:rPr>
        <w:t>except for</w:t>
      </w:r>
      <w:r>
        <w:rPr>
          <w:rFonts w:ascii="Arial" w:cs="Arial" w:eastAsia="Arial" w:hAnsi="Arial"/>
          <w:sz w:val="18"/>
          <w:szCs w:val="18"/>
          <w:color w:val="auto"/>
        </w:rPr>
        <w:t xml:space="preserve"> federal income and employment tax purposes.</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foregoing notwithstanding, an individual shall not be eligible if his or her participation in the Plan is prohibited by the law of any country that has jurisdiction over him or her or if he or she is subject to a collective bargaining agreement that does not provide for participation in the Plan.</w:t>
      </w:r>
    </w:p>
    <w:p>
      <w:pPr>
        <w:spacing w:after="0" w:line="143" w:lineRule="exact"/>
        <w:rPr>
          <w:sz w:val="20"/>
          <w:szCs w:val="20"/>
          <w:color w:val="auto"/>
        </w:rPr>
      </w:pPr>
    </w:p>
    <w:p>
      <w:pPr>
        <w:ind w:left="640" w:hanging="176"/>
        <w:spacing w:after="0"/>
        <w:tabs>
          <w:tab w:leader="none" w:pos="64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21"/>
        <w:spacing w:after="0" w:line="255" w:lineRule="auto"/>
        <w:tabs>
          <w:tab w:leader="none" w:pos="115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While the Plan is in effect, the Committee shall determine the duration and commencement date of each Offering Period, provided that an Offering Period shall in no event be longer than twenty-seven (27) months, except as otherwise provided by an applicable subplan. Offering Periods may be consecutive or overlapping. Each Offering Period may consist of one or more Purchase Periods during which payroll deductions of Participants are accumulated under this Plan. While the Plan is in effect, the Committee shall determine the duration and commencement date of each Offering Period and Purchase Period, provided that a Purchase Period shall in no event end later than the close of the Offering Period in which it begins. Purchase Periods shall be consecutive.</w:t>
      </w:r>
    </w:p>
    <w:p>
      <w:pPr>
        <w:spacing w:after="0" w:line="193" w:lineRule="exact"/>
        <w:rPr>
          <w:rFonts w:ascii="Arial" w:cs="Arial" w:eastAsia="Arial" w:hAnsi="Arial"/>
          <w:sz w:val="18"/>
          <w:szCs w:val="18"/>
          <w:color w:val="auto"/>
        </w:rPr>
      </w:pPr>
    </w:p>
    <w:p>
      <w:pPr>
        <w:ind w:right="260" w:firstLine="921"/>
        <w:spacing w:after="0" w:line="264" w:lineRule="auto"/>
        <w:tabs>
          <w:tab w:leader="none" w:pos="1168"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time and duration of the Offering Periods and the Purchase Periods and shall be determined by the Committee; provided that any Offering Period shall in no event be longer than twenty-seven (27) months; and provided, further, that a single Offering Period may consist of one or more Purchase Periods.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96" w:name="page397"/>
    <w:bookmarkEnd w:id="396"/>
    <w:p>
      <w:pPr>
        <w:ind w:left="600" w:hanging="176"/>
        <w:spacing w:after="0"/>
        <w:tabs>
          <w:tab w:leader="none" w:pos="60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in this Plan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0" w:right="260" w:firstLine="921"/>
        <w:spacing w:after="0" w:line="259" w:lineRule="auto"/>
        <w:tabs>
          <w:tab w:leader="none" w:pos="111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 eligible employee determined in accordance with Section 4 may elect to become a Participant in an Offering Period by submitting a subscription agreement, or electronic representation thereof, to the Company and/or via an authorized third party administrator’s (the “</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standard process, prior to the commencement of the Offering Period to which such agreement relates in accordance with such rules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determine.</w:t>
      </w:r>
    </w:p>
    <w:p>
      <w:pPr>
        <w:spacing w:after="0" w:line="186" w:lineRule="exact"/>
        <w:rPr>
          <w:rFonts w:ascii="Arial" w:cs="Arial" w:eastAsia="Arial" w:hAnsi="Arial"/>
          <w:sz w:val="18"/>
          <w:szCs w:val="18"/>
          <w:color w:val="auto"/>
        </w:rPr>
      </w:pPr>
    </w:p>
    <w:p>
      <w:pPr>
        <w:ind w:left="-40" w:right="20" w:firstLine="921"/>
        <w:spacing w:after="0" w:line="293" w:lineRule="auto"/>
        <w:tabs>
          <w:tab w:leader="none" w:pos="112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Once an employee becomes a Participant in an Offering Period, then such Participant will automatically participate in each subsequent Offering Period commencing immediately following the last day of such prior Offering Period at the same contribution level unless the Participant withdraws or is deemed to withdraw from this Plan or terminates further participation in the Offering Period as set forth in Section 11 below or otherwise notifies the Company of a change in the Participant’s contribution letter by filing an additional subscription agreement or electronic representation thereof with the Company and/or the Third Party Administrator, prior to the next Offering Period. A Participant that is automatically enrolled in a subsequent Offering Period pursuant to this section is not required to file any additional subscription agreement in order to continue participation in this Plan.</w:t>
      </w:r>
    </w:p>
    <w:p>
      <w:pPr>
        <w:spacing w:after="0" w:line="160" w:lineRule="exact"/>
        <w:rPr>
          <w:rFonts w:ascii="Arial" w:cs="Arial" w:eastAsia="Arial" w:hAnsi="Arial"/>
          <w:sz w:val="16"/>
          <w:szCs w:val="16"/>
          <w:color w:val="auto"/>
        </w:rPr>
      </w:pPr>
    </w:p>
    <w:p>
      <w:pPr>
        <w:ind w:left="-40" w:firstLine="464"/>
        <w:spacing w:after="0" w:line="271" w:lineRule="auto"/>
        <w:tabs>
          <w:tab w:leader="none" w:pos="596"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Grant of Option on Enrollment</w:t>
      </w:r>
      <w:r>
        <w:rPr>
          <w:rFonts w:ascii="Arial" w:cs="Arial" w:eastAsia="Arial" w:hAnsi="Arial"/>
          <w:sz w:val="17"/>
          <w:szCs w:val="17"/>
          <w:color w:val="auto"/>
        </w:rPr>
        <w:t>. Becoming a Participant with respect to an Offering Period will constitute the grant (as of the Offering Date)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to such Participant of an option to purchase on the Purchase Date up to that number of shares of Common Stock determined by a fraction, the numerator of which is the amount of the contribution level for such Participant multiplied by such Participant’s Compensation (as defined in Section 9 below) during such Purchase Period and the denominator of which is the lower of (i) eighty-five percent (85%) of the Fair Market Value of a share of the Common Stock on the Offering Date (but in no event less than the par value of a share of the Company’s Common Stock), or (ii) eighty-five percent (85%) of the Fair Market Value of a share of the Common Stock on the Purchase Date (but in no event less than the par value of a share of the Common Stock) </w:t>
      </w:r>
      <w:r>
        <w:rPr>
          <w:rFonts w:ascii="Arial" w:cs="Arial" w:eastAsia="Arial" w:hAnsi="Arial"/>
          <w:sz w:val="17"/>
          <w:szCs w:val="17"/>
          <w:b w:val="1"/>
          <w:b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however</w:t>
      </w:r>
      <w:r>
        <w:rPr>
          <w:rFonts w:ascii="Arial" w:cs="Arial" w:eastAsia="Arial" w:hAnsi="Arial"/>
          <w:sz w:val="17"/>
          <w:szCs w:val="17"/>
          <w:color w:val="auto"/>
        </w:rPr>
        <w:t>, that the number of shares of Common Stock subject to any option granted pursuant to this Plan shall not exceed the lesser of (x)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74" w:lineRule="exact"/>
        <w:rPr>
          <w:rFonts w:ascii="Arial" w:cs="Arial" w:eastAsia="Arial" w:hAnsi="Arial"/>
          <w:sz w:val="17"/>
          <w:szCs w:val="17"/>
          <w:b w:val="1"/>
          <w:bCs w:val="1"/>
          <w:color w:val="auto"/>
        </w:rPr>
      </w:pPr>
    </w:p>
    <w:p>
      <w:pPr>
        <w:ind w:left="600" w:hanging="176"/>
        <w:spacing w:after="0"/>
        <w:tabs>
          <w:tab w:leader="none" w:pos="60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in any Offering Period shall be eighty-five percent (85%) of the lesser of:</w:t>
      </w:r>
    </w:p>
    <w:p>
      <w:pPr>
        <w:spacing w:after="0" w:line="229" w:lineRule="exact"/>
        <w:rPr>
          <w:rFonts w:ascii="Arial" w:cs="Arial" w:eastAsia="Arial" w:hAnsi="Arial"/>
          <w:sz w:val="18"/>
          <w:szCs w:val="18"/>
          <w:b w:val="1"/>
          <w:bCs w:val="1"/>
          <w:color w:val="auto"/>
        </w:rPr>
      </w:pPr>
    </w:p>
    <w:p>
      <w:pPr>
        <w:ind w:left="1120" w:hanging="239"/>
        <w:spacing w:after="0"/>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221" w:lineRule="exact"/>
        <w:rPr>
          <w:rFonts w:ascii="Arial" w:cs="Arial" w:eastAsia="Arial" w:hAnsi="Arial"/>
          <w:sz w:val="18"/>
          <w:szCs w:val="18"/>
          <w:color w:val="auto"/>
        </w:rPr>
      </w:pPr>
    </w:p>
    <w:p>
      <w:pPr>
        <w:ind w:left="600" w:hanging="176"/>
        <w:spacing w:after="0"/>
        <w:tabs>
          <w:tab w:leader="none" w:pos="60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Payroll Deduction Changes; Share Issuances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0" w:right="220" w:firstLine="921"/>
        <w:spacing w:after="0" w:line="293" w:lineRule="auto"/>
        <w:tabs>
          <w:tab w:leader="none" w:pos="111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Purchase Price of the shares is accumulated by regular payroll deductions made during each Offering Period, unless the Committee determines that contributions may be made in another form (including payment by check at the end of a Purchase Period). The deductions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and regular hourly wages (or in foreign jurisdictions, equivalent cash compensation); however, the Committee may at any time prior to the beginning of an Offering Period determine that for that and future Offering Periods, Compensation shall mean all W-2 cash compensation, including without limitation base salary or regular hourly wages, bonuses, incentive compensation,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0" w:right="279" w:bottom="1440" w:gutter="0" w:footer="0" w:header="0"/>
        </w:sectPr>
      </w:pPr>
    </w:p>
    <w:bookmarkStart w:id="397" w:name="page398"/>
    <w:bookmarkEnd w:id="397"/>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commissions, overtime, shift premiums, plus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salary deductions) shall be treated as if the Participant did not make such election. Payroll deductions shall commence on the first payday following the last Purchase Date (or the first payday following the commencement of the initial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178" w:lineRule="exact"/>
        <w:rPr>
          <w:sz w:val="20"/>
          <w:szCs w:val="20"/>
          <w:color w:val="auto"/>
        </w:rPr>
      </w:pPr>
    </w:p>
    <w:p>
      <w:pPr>
        <w:ind w:firstLine="921"/>
        <w:spacing w:after="0" w:line="293" w:lineRule="auto"/>
        <w:tabs>
          <w:tab w:leader="none" w:pos="116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Subject to Section 25 below and to the rules of the Committee, a Participant may decrease the rate of payroll deductions during an Offering Period by filing with the Company or a third party designated by the Company a new authorization for payroll deductions, with the new rate to become effective as soon as reasonably practicable and continuing for the remainder of the Offering Period unless changed as described below. A decrease in the rate of payroll deductions may be made twice during an Offering Period or more or less frequently under rules determined by the Committee. A Participant may increase or decrease the rate of payroll deductions for any subsequent Offering Period by filing with the Company or a third party designated by the Company a new authorization for payroll deductions prior to the beginning of such Offering Period, or such other time period as specified by the Committee.</w:t>
      </w:r>
    </w:p>
    <w:p>
      <w:pPr>
        <w:spacing w:after="0" w:line="164" w:lineRule="exact"/>
        <w:rPr>
          <w:rFonts w:ascii="Arial" w:cs="Arial" w:eastAsia="Arial" w:hAnsi="Arial"/>
          <w:sz w:val="16"/>
          <w:szCs w:val="16"/>
          <w:color w:val="auto"/>
        </w:rPr>
      </w:pPr>
    </w:p>
    <w:p>
      <w:pPr>
        <w:ind w:right="120" w:firstLine="921"/>
        <w:spacing w:after="0" w:line="255" w:lineRule="auto"/>
        <w:tabs>
          <w:tab w:leader="none" w:pos="115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Subject to Section 25 below and to the rules of the Committee, a Participant may reduce his or her payroll deduction percentage to zero during an Offering Period by filing with the Company a request for cessation of payroll deductions, and after such reduction becomes effective no further payroll deductions will be made for the duration of the Offering Period. Payroll deductions credited to the Participant’s account prior to the effective date of the request shall be used to purchase shares of Common Stock in accordance with Section (e) below. A reduction of the payroll deduction percentage to zero shall be treated as such Participant’s withdrawal from such Offering Period, and the Plan, effective as of the day after the next Purchase Date following the filing date of such request with the Company.</w:t>
      </w:r>
    </w:p>
    <w:p>
      <w:pPr>
        <w:spacing w:after="0" w:line="193"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payroll deductions made for a Participant are credited to his or her account under this Plan and are deposited with the general funds of the Company, and the Company shall not be obligated to segregate such payroll deductions, except to the extent required to be segregated due to local legal restrictions outside the United States. No interest accrues on the payroll deductions. All payroll deductions received or held by the Company may be used by the Company for any corporate purpose.</w:t>
      </w:r>
    </w:p>
    <w:p>
      <w:pPr>
        <w:spacing w:after="0" w:line="186" w:lineRule="exact"/>
        <w:rPr>
          <w:rFonts w:ascii="Arial" w:cs="Arial" w:eastAsia="Arial" w:hAnsi="Arial"/>
          <w:sz w:val="18"/>
          <w:szCs w:val="18"/>
          <w:color w:val="auto"/>
        </w:rPr>
      </w:pPr>
    </w:p>
    <w:p>
      <w:pPr>
        <w:ind w:right="20" w:firstLine="921"/>
        <w:spacing w:after="0" w:line="269" w:lineRule="auto"/>
        <w:tabs>
          <w:tab w:leader="none" w:pos="115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On each Purchase Date, so long as this Plan remains in effect and provided that the Participant has not submitted a signed and completed withdrawal form before that date which notifies the Company and/or the Third Party Administrator that the Participant wishes to withdraw from that Offering Period under this Plan and have all payroll deductions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shall be as specified in Section 8 of this Plan. Any amount remaining in a Participant’s account on a Purchase Date which is less than the amount necessary to purchase a full share of Common Stock shall be carried forward into the next Purchase Period or Offering Period, as the case may be (except to the extent required due to local legal requirements outside the United States), as otherwise determined by the Committee.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98" w:name="page399"/>
    <w:bookmarkEnd w:id="398"/>
    <w:p>
      <w:pPr>
        <w:ind w:left="-40" w:right="540" w:firstLine="921"/>
        <w:spacing w:after="0" w:line="277" w:lineRule="auto"/>
        <w:tabs>
          <w:tab w:leader="none" w:pos="1098" w:val="left"/>
        </w:tabs>
        <w:numPr>
          <w:ilvl w:val="1"/>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promptly as practicable after the Purchase Date, the Company shall issue shares for the Participant’s benefit representing the shares purchased upon exercise of his or her option.</w:t>
      </w:r>
    </w:p>
    <w:p>
      <w:pPr>
        <w:spacing w:after="0" w:line="170" w:lineRule="exact"/>
        <w:rPr>
          <w:rFonts w:ascii="Arial" w:cs="Arial" w:eastAsia="Arial" w:hAnsi="Arial"/>
          <w:sz w:val="18"/>
          <w:szCs w:val="18"/>
          <w:color w:val="auto"/>
        </w:rPr>
      </w:pPr>
    </w:p>
    <w:p>
      <w:pPr>
        <w:ind w:left="-40" w:right="100" w:firstLine="921"/>
        <w:spacing w:after="0" w:line="277" w:lineRule="auto"/>
        <w:tabs>
          <w:tab w:leader="none" w:pos="112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70" w:lineRule="exact"/>
        <w:rPr>
          <w:rFonts w:ascii="Arial" w:cs="Arial" w:eastAsia="Arial" w:hAnsi="Arial"/>
          <w:sz w:val="18"/>
          <w:szCs w:val="18"/>
          <w:color w:val="auto"/>
        </w:rPr>
      </w:pPr>
    </w:p>
    <w:p>
      <w:pPr>
        <w:ind w:left="-40" w:firstLine="921"/>
        <w:spacing w:after="0" w:line="255" w:lineRule="auto"/>
        <w:tabs>
          <w:tab w:leader="none" w:pos="112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for the satisfaction of any withholding tax obligations that arise in connection with the Plan. The Company or any Subsidiary, as applicable, may withhold, by any method permissible under applicable law, the amount necessary for the Company or any Subsidiary, as applicable, to meet applicable withholding obligations, including any withholding required to make available to the Company or any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89" w:lineRule="exact"/>
        <w:rPr>
          <w:rFonts w:ascii="Arial" w:cs="Arial" w:eastAsia="Arial" w:hAnsi="Arial"/>
          <w:sz w:val="18"/>
          <w:szCs w:val="18"/>
          <w:color w:val="auto"/>
        </w:rPr>
      </w:pPr>
    </w:p>
    <w:p>
      <w:pPr>
        <w:ind w:left="700" w:hanging="276"/>
        <w:spacing w:after="0"/>
        <w:tabs>
          <w:tab w:leader="none" w:pos="70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0" w:right="20" w:firstLine="921"/>
        <w:spacing w:after="0" w:line="273" w:lineRule="auto"/>
        <w:tabs>
          <w:tab w:leader="none" w:pos="1118" w:val="left"/>
        </w:tabs>
        <w:numPr>
          <w:ilvl w:val="1"/>
          <w:numId w:val="373"/>
        </w:numPr>
        <w:rPr>
          <w:rFonts w:ascii="Arial" w:cs="Arial" w:eastAsia="Arial" w:hAnsi="Arial"/>
          <w:sz w:val="17"/>
          <w:szCs w:val="17"/>
          <w:color w:val="auto"/>
        </w:rPr>
      </w:pPr>
      <w:r>
        <w:rPr>
          <w:rFonts w:ascii="Arial" w:cs="Arial" w:eastAsia="Arial" w:hAnsi="Arial"/>
          <w:sz w:val="17"/>
          <w:szCs w:val="17"/>
          <w:color w:val="auto"/>
        </w:rPr>
        <w:t>No Participant shall be entitled to purchase stock under any Offering Period at a rate which, when aggregated with such Participant’s rights to purchase stock, that are also outstanding in the same calendar year(s) (whether under other Offering Periods or other employee stock purchase plans of the Company, its Parent and its Subsidiaries), exceeds $25,000 in Fair Market Value, determined as of the Offering Date, (or such other limit as may be imposed by the Code) for each calendar year in which such Offering Period is in effect (hereinafter the “Maximum Share Amount”). The Company may automatically suspend the payroll deductions of any Participant as necessary to enforce such limit provided that when the Company automatically resumes such payroll deductions, the Company must apply the rate in effect immediately prior to such suspension.</w:t>
      </w:r>
    </w:p>
    <w:p>
      <w:pPr>
        <w:spacing w:after="0" w:line="178" w:lineRule="exact"/>
        <w:rPr>
          <w:rFonts w:ascii="Arial" w:cs="Arial" w:eastAsia="Arial" w:hAnsi="Arial"/>
          <w:sz w:val="17"/>
          <w:szCs w:val="17"/>
          <w:color w:val="auto"/>
        </w:rPr>
      </w:pPr>
    </w:p>
    <w:p>
      <w:pPr>
        <w:ind w:left="-40" w:right="20" w:firstLine="921"/>
        <w:spacing w:after="0" w:line="273" w:lineRule="auto"/>
        <w:tabs>
          <w:tab w:leader="none" w:pos="1128"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The Committee may, in its sole discretion, set a lower maximum number of shares which may be purchased by any Participant during any Offering Period than that determined under Section 10(a) above, which shall then be the Maximum Share Amount for subsequent Offering Periods; provided, however, in no event shall a Participant be permitted to purchase more than One Thousand Five Hundred (1,500) Shares during any one Purchase Period, irrespective of the Maximum Share Amount set forth in (a) and (b) hereof. If a new Maximum Share Amount is set, then all Participants will be notified of such Maximum Share Amount prior to the commencement of the next Offering Period for which it is to be effective. The Maximum Share Amount shall continue to apply with respect to all succeeding Offering Periods unless revised by the Committee as set forth above.</w:t>
      </w:r>
    </w:p>
    <w:p>
      <w:pPr>
        <w:spacing w:after="0" w:line="178" w:lineRule="exact"/>
        <w:rPr>
          <w:rFonts w:ascii="Arial" w:cs="Arial" w:eastAsia="Arial" w:hAnsi="Arial"/>
          <w:sz w:val="17"/>
          <w:szCs w:val="17"/>
          <w:color w:val="auto"/>
        </w:rPr>
      </w:pPr>
    </w:p>
    <w:p>
      <w:pPr>
        <w:ind w:left="-40" w:right="20" w:firstLine="921"/>
        <w:spacing w:after="0" w:line="259" w:lineRule="auto"/>
        <w:tabs>
          <w:tab w:leader="none" w:pos="111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written notice of such reduction of the number of shares to be purchased under a Participant’s option to each Participant affected.</w:t>
      </w:r>
    </w:p>
    <w:p>
      <w:pPr>
        <w:spacing w:after="0" w:line="186" w:lineRule="exact"/>
        <w:rPr>
          <w:rFonts w:ascii="Arial" w:cs="Arial" w:eastAsia="Arial" w:hAnsi="Arial"/>
          <w:sz w:val="18"/>
          <w:szCs w:val="18"/>
          <w:color w:val="auto"/>
        </w:rPr>
      </w:pPr>
    </w:p>
    <w:p>
      <w:pPr>
        <w:ind w:left="-40" w:right="100" w:firstLine="921"/>
        <w:spacing w:after="0" w:line="277" w:lineRule="auto"/>
        <w:tabs>
          <w:tab w:leader="none" w:pos="112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payroll deductions accumulated in a Participant’s account which are not used to purchase stock due to the limitations in this Section 10, and not covered by Section 9(e), shall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3" w:right="279" w:bottom="1440" w:gutter="0" w:footer="0" w:header="0"/>
        </w:sectPr>
      </w:pPr>
    </w:p>
    <w:bookmarkStart w:id="399" w:name="page400"/>
    <w:bookmarkEnd w:id="399"/>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returned to the Participant as soon as administratively practicable after the end of the applicable Purchase Period, without interest (except to the extent required due to local legal requirements outside the United States).</w:t>
      </w:r>
    </w:p>
    <w:p>
      <w:pPr>
        <w:spacing w:after="0" w:line="166" w:lineRule="exact"/>
        <w:rPr>
          <w:sz w:val="20"/>
          <w:szCs w:val="20"/>
          <w:color w:val="auto"/>
        </w:rPr>
      </w:pPr>
    </w:p>
    <w:p>
      <w:pPr>
        <w:ind w:left="720" w:hanging="256"/>
        <w:spacing w:after="0"/>
        <w:tabs>
          <w:tab w:leader="none" w:pos="72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300" w:firstLine="921"/>
        <w:spacing w:after="0" w:line="277" w:lineRule="auto"/>
        <w:tabs>
          <w:tab w:leader="none" w:pos="1158"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Each Participant may withdraw from an Offering Period under this Plan pursuant to a method specified by the Company. Such withdrawal may be elected at any time prior to the end of an Offering Period, or such other time period as specified by the Committee.</w:t>
      </w:r>
    </w:p>
    <w:p>
      <w:pPr>
        <w:spacing w:after="0" w:line="170" w:lineRule="exact"/>
        <w:rPr>
          <w:rFonts w:ascii="Arial" w:cs="Arial" w:eastAsia="Arial" w:hAnsi="Arial"/>
          <w:sz w:val="18"/>
          <w:szCs w:val="18"/>
          <w:color w:val="auto"/>
        </w:rPr>
      </w:pPr>
    </w:p>
    <w:p>
      <w:pPr>
        <w:ind w:right="100" w:firstLine="921"/>
        <w:spacing w:after="0" w:line="257" w:lineRule="auto"/>
        <w:tabs>
          <w:tab w:leader="none" w:pos="1168" w:val="left"/>
        </w:tabs>
        <w:numPr>
          <w:ilvl w:val="1"/>
          <w:numId w:val="374"/>
        </w:numPr>
        <w:rPr>
          <w:rFonts w:ascii="Arial" w:cs="Arial" w:eastAsia="Arial" w:hAnsi="Arial"/>
          <w:sz w:val="18"/>
          <w:szCs w:val="18"/>
          <w:color w:val="auto"/>
        </w:rPr>
      </w:pPr>
      <w:r>
        <w:rPr>
          <w:rFonts w:ascii="Arial" w:cs="Arial" w:eastAsia="Arial" w:hAnsi="Arial"/>
          <w:sz w:val="18"/>
          <w:szCs w:val="18"/>
          <w:color w:val="auto"/>
        </w:rPr>
        <w:t>Upon withdrawal from this Plan, the accumulated payroll deductions shall be returned to the withdrawn Participant, without interest,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payroll deductions in the same manner as set forth in Section 6 above for initial participation in this Plan.</w:t>
      </w:r>
    </w:p>
    <w:p>
      <w:pPr>
        <w:spacing w:after="0" w:line="188" w:lineRule="exact"/>
        <w:rPr>
          <w:rFonts w:ascii="Arial" w:cs="Arial" w:eastAsia="Arial" w:hAnsi="Arial"/>
          <w:sz w:val="18"/>
          <w:szCs w:val="18"/>
          <w:color w:val="auto"/>
        </w:rPr>
      </w:pPr>
    </w:p>
    <w:p>
      <w:pPr>
        <w:ind w:right="120" w:firstLine="921"/>
        <w:spacing w:after="0" w:line="259" w:lineRule="auto"/>
        <w:tabs>
          <w:tab w:leader="none" w:pos="1154"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82" w:lineRule="exact"/>
        <w:rPr>
          <w:rFonts w:ascii="Arial" w:cs="Arial" w:eastAsia="Arial" w:hAnsi="Arial"/>
          <w:sz w:val="18"/>
          <w:szCs w:val="18"/>
          <w:color w:val="auto"/>
        </w:rPr>
      </w:pPr>
    </w:p>
    <w:p>
      <w:pPr>
        <w:ind w:right="100" w:firstLine="464"/>
        <w:spacing w:after="0" w:line="271" w:lineRule="auto"/>
        <w:tabs>
          <w:tab w:leader="none" w:pos="726"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Termination of a Participant’s employment for any reason, including retirement, death, disability, or the failure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to remain an eligible employee of the Company or of a Participating Corporation, immediately terminates his or her participation in this Plan. In such event, accumulated payroll deductions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provided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74" w:lineRule="exact"/>
        <w:rPr>
          <w:rFonts w:ascii="Arial" w:cs="Arial" w:eastAsia="Arial" w:hAnsi="Arial"/>
          <w:sz w:val="17"/>
          <w:szCs w:val="17"/>
          <w:b w:val="1"/>
          <w:bCs w:val="1"/>
          <w:color w:val="auto"/>
        </w:rPr>
      </w:pPr>
    </w:p>
    <w:p>
      <w:pPr>
        <w:ind w:right="340" w:firstLine="464"/>
        <w:spacing w:after="0" w:line="261" w:lineRule="auto"/>
        <w:tabs>
          <w:tab w:leader="none" w:pos="726"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Payroll Deductions</w:t>
      </w:r>
      <w:r>
        <w:rPr>
          <w:rFonts w:ascii="Arial" w:cs="Arial" w:eastAsia="Arial" w:hAnsi="Arial"/>
          <w:sz w:val="18"/>
          <w:szCs w:val="18"/>
          <w:color w:val="auto"/>
        </w:rPr>
        <w:t>. 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payroll deductions credited to such Participant’s account. No interest shall accrue on the payroll deductions of a Participant in this Plan (except to the extent required due to local legal requirements outside the United States).</w:t>
      </w:r>
    </w:p>
    <w:p>
      <w:pPr>
        <w:spacing w:after="0" w:line="180" w:lineRule="exact"/>
        <w:rPr>
          <w:rFonts w:ascii="Arial" w:cs="Arial" w:eastAsia="Arial" w:hAnsi="Arial"/>
          <w:sz w:val="18"/>
          <w:szCs w:val="18"/>
          <w:b w:val="1"/>
          <w:bCs w:val="1"/>
          <w:color w:val="auto"/>
        </w:rPr>
      </w:pPr>
    </w:p>
    <w:p>
      <w:pPr>
        <w:ind w:firstLine="464"/>
        <w:spacing w:after="0" w:line="261" w:lineRule="auto"/>
        <w:tabs>
          <w:tab w:leader="none" w:pos="726"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Capital Changes</w:t>
      </w:r>
      <w:r>
        <w:rPr>
          <w:rFonts w:ascii="Arial" w:cs="Arial" w:eastAsia="Arial" w:hAnsi="Arial"/>
          <w:sz w:val="18"/>
          <w:szCs w:val="18"/>
          <w:color w:val="auto"/>
        </w:rPr>
        <w:t>. If the number of outstanding Shares is changed by a stock dividend, recapitalization, stock split, reverse stock split, subdivision,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reclassification or similar change in the capital structure of the Company, without consideration, then the Committee shall adjust the number and class of Common Stock that may be delivered under the Plan, the Purchase Price and the number of shares of Common Stock covered by each option under the Plan which has not yet been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00" w:name="page401"/>
    <w:bookmarkEnd w:id="40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exercised, and the numerical limits of Sections 1 and 10 shall be proportionately adjusted, subject to any required action by the Board or the stockholders of the Company and in compliance with applicable securities laws; provided that fractions of a Share will not be issued.</w:t>
      </w:r>
    </w:p>
    <w:p>
      <w:pPr>
        <w:spacing w:after="0" w:line="166" w:lineRule="exact"/>
        <w:rPr>
          <w:sz w:val="20"/>
          <w:szCs w:val="20"/>
          <w:color w:val="auto"/>
        </w:rPr>
      </w:pPr>
    </w:p>
    <w:p>
      <w:pPr>
        <w:jc w:val="both"/>
        <w:ind w:firstLine="464"/>
        <w:spacing w:after="0" w:line="314" w:lineRule="auto"/>
        <w:tabs>
          <w:tab w:leader="none" w:pos="726"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Nonassignability</w:t>
      </w:r>
      <w:r>
        <w:rPr>
          <w:rFonts w:ascii="Arial" w:cs="Arial" w:eastAsia="Arial" w:hAnsi="Arial"/>
          <w:sz w:val="16"/>
          <w:szCs w:val="16"/>
          <w:color w:val="auto"/>
        </w:rPr>
        <w:t>. Neither payroll deductions credited to a Participant’s account nor any rights with regard to the exercise of an option or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42" w:lineRule="exact"/>
        <w:rPr>
          <w:rFonts w:ascii="Arial" w:cs="Arial" w:eastAsia="Arial" w:hAnsi="Arial"/>
          <w:sz w:val="16"/>
          <w:szCs w:val="16"/>
          <w:b w:val="1"/>
          <w:bCs w:val="1"/>
          <w:color w:val="auto"/>
        </w:rPr>
      </w:pPr>
    </w:p>
    <w:p>
      <w:pPr>
        <w:ind w:right="40" w:firstLine="464"/>
        <w:spacing w:after="0" w:line="256" w:lineRule="auto"/>
        <w:tabs>
          <w:tab w:leader="none" w:pos="726"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Use of Participant Funds and Reports</w:t>
      </w:r>
      <w:r>
        <w:rPr>
          <w:rFonts w:ascii="Arial" w:cs="Arial" w:eastAsia="Arial" w:hAnsi="Arial"/>
          <w:sz w:val="18"/>
          <w:szCs w:val="18"/>
          <w:color w:val="auto"/>
        </w:rPr>
        <w:t>. The Company may use all payroll deductions received or held by it under the Plan for any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the Company will not be required to segregate Participant payroll deductions (except to the extent required due to local legal requirements outside the United States). Until Shares are issued, Participants will only have the rights of an unsecured creditor. Each Participant shall receive, or have access to, promptly after the end of each Purchase Period a report of his or her account setting forth the total payroll deductions accumulated, the number of shares purchased, the Purchase Price thereof and the remaining cash balance, if any, carried forward or refunded, as determined by the Committee, to the next Purchase Period or Offering Period, as the case may be.</w:t>
      </w:r>
    </w:p>
    <w:p>
      <w:pPr>
        <w:spacing w:after="0" w:line="187" w:lineRule="exact"/>
        <w:rPr>
          <w:rFonts w:ascii="Arial" w:cs="Arial" w:eastAsia="Arial" w:hAnsi="Arial"/>
          <w:sz w:val="18"/>
          <w:szCs w:val="18"/>
          <w:b w:val="1"/>
          <w:bCs w:val="1"/>
          <w:color w:val="auto"/>
        </w:rPr>
      </w:pPr>
    </w:p>
    <w:p>
      <w:pPr>
        <w:ind w:right="20" w:firstLine="464"/>
        <w:spacing w:after="0" w:line="298" w:lineRule="auto"/>
        <w:tabs>
          <w:tab w:leader="none" w:pos="726"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Notice of Disposition</w:t>
      </w:r>
      <w:r>
        <w:rPr>
          <w:rFonts w:ascii="Arial" w:cs="Arial" w:eastAsia="Arial" w:hAnsi="Arial"/>
          <w:sz w:val="16"/>
          <w:szCs w:val="16"/>
          <w:color w:val="auto"/>
        </w:rPr>
        <w:t>. Each U.S. taxpayer Participant shall notify the Company in writing if the Participant disposes of any of the shares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in any Offering Period pursuant to this Plan if such disposition occurs within two (2) years from the Offering Date or within one (1) year from the Purchase Date on which such shares were purchased (the “</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54" w:lineRule="exact"/>
        <w:rPr>
          <w:rFonts w:ascii="Arial" w:cs="Arial" w:eastAsia="Arial" w:hAnsi="Arial"/>
          <w:sz w:val="16"/>
          <w:szCs w:val="16"/>
          <w:b w:val="1"/>
          <w:bCs w:val="1"/>
          <w:color w:val="auto"/>
        </w:rPr>
      </w:pPr>
    </w:p>
    <w:p>
      <w:pPr>
        <w:ind w:right="20" w:firstLine="464"/>
        <w:spacing w:after="0" w:line="266" w:lineRule="auto"/>
        <w:tabs>
          <w:tab w:leader="none" w:pos="726"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to Continued Employment</w:t>
      </w:r>
      <w:r>
        <w:rPr>
          <w:rFonts w:ascii="Arial" w:cs="Arial" w:eastAsia="Arial" w:hAnsi="Arial"/>
          <w:sz w:val="18"/>
          <w:szCs w:val="18"/>
          <w:color w:val="auto"/>
        </w:rPr>
        <w:t>. Neither this Plan nor the grant of any option hereunder shall confer any right on any employee to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 of the Company or any Participating Corporation, or restrict the right of the Company or any Participating Corporation to terminate such employee’s employment.</w:t>
      </w:r>
    </w:p>
    <w:p>
      <w:pPr>
        <w:spacing w:after="0" w:line="176" w:lineRule="exact"/>
        <w:rPr>
          <w:rFonts w:ascii="Arial" w:cs="Arial" w:eastAsia="Arial" w:hAnsi="Arial"/>
          <w:sz w:val="18"/>
          <w:szCs w:val="18"/>
          <w:b w:val="1"/>
          <w:bCs w:val="1"/>
          <w:color w:val="auto"/>
        </w:rPr>
      </w:pPr>
    </w:p>
    <w:p>
      <w:pPr>
        <w:ind w:right="20" w:firstLine="464"/>
        <w:spacing w:after="0" w:line="298" w:lineRule="auto"/>
        <w:tabs>
          <w:tab w:leader="none" w:pos="726"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Equal Rights And Privileges</w:t>
      </w:r>
      <w:r>
        <w:rPr>
          <w:rFonts w:ascii="Arial" w:cs="Arial" w:eastAsia="Arial" w:hAnsi="Arial"/>
          <w:sz w:val="16"/>
          <w:szCs w:val="16"/>
          <w:color w:val="auto"/>
        </w:rPr>
        <w:t>. All eligible employees granted an option under this Plan that is intended to meet the Code Section 423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shall, without further act or amendment by the Company or the Committee, be reformed to comply with the requirements of Section 423. This Section 19 shall take precedence over all other provisions in this Plan.</w:t>
      </w:r>
    </w:p>
    <w:p>
      <w:pPr>
        <w:spacing w:after="0" w:line="154" w:lineRule="exact"/>
        <w:rPr>
          <w:rFonts w:ascii="Arial" w:cs="Arial" w:eastAsia="Arial" w:hAnsi="Arial"/>
          <w:sz w:val="16"/>
          <w:szCs w:val="16"/>
          <w:b w:val="1"/>
          <w:bCs w:val="1"/>
          <w:color w:val="auto"/>
        </w:rPr>
      </w:pPr>
    </w:p>
    <w:p>
      <w:pPr>
        <w:ind w:right="160" w:firstLine="464"/>
        <w:spacing w:after="0" w:line="347" w:lineRule="auto"/>
        <w:tabs>
          <w:tab w:leader="none" w:pos="726"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or other communications by a Participant to the Company under or in connection with this Plan shall be deemed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given when received in the form specified by the Company at the location, or by the person, designated by the Company for the receipt thereof.</w:t>
      </w:r>
    </w:p>
    <w:p>
      <w:pPr>
        <w:spacing w:after="0" w:line="116" w:lineRule="exact"/>
        <w:rPr>
          <w:rFonts w:ascii="Arial" w:cs="Arial" w:eastAsia="Arial" w:hAnsi="Arial"/>
          <w:sz w:val="16"/>
          <w:szCs w:val="16"/>
          <w:b w:val="1"/>
          <w:bCs w:val="1"/>
          <w:color w:val="auto"/>
        </w:rPr>
      </w:pPr>
    </w:p>
    <w:p>
      <w:pPr>
        <w:ind w:right="200" w:firstLine="464"/>
        <w:spacing w:after="0" w:line="261" w:lineRule="auto"/>
        <w:tabs>
          <w:tab w:leader="none" w:pos="726"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Term; Stockholder Approval</w:t>
      </w:r>
      <w:r>
        <w:rPr>
          <w:rFonts w:ascii="Arial" w:cs="Arial" w:eastAsia="Arial" w:hAnsi="Arial"/>
          <w:sz w:val="18"/>
          <w:szCs w:val="18"/>
          <w:color w:val="auto"/>
        </w:rPr>
        <w:t>. This Plan will become effective on the Effective Date. This Plan shall be approved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Committee may delay any Purchase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01" w:name="page402"/>
    <w:bookmarkEnd w:id="40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and postpone the commencement of any Offering Period subsequent to such Purchase Date as deemed necessary or desirable to obtain such approval (provided that if a Purchase Date would occur more than twenty-four (24)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first Purchase Date under the Plan.</w:t>
      </w:r>
    </w:p>
    <w:p>
      <w:pPr>
        <w:spacing w:after="0" w:line="174" w:lineRule="exact"/>
        <w:rPr>
          <w:sz w:val="20"/>
          <w:szCs w:val="20"/>
          <w:color w:val="auto"/>
        </w:rPr>
      </w:pPr>
    </w:p>
    <w:p>
      <w:pPr>
        <w:ind w:left="740" w:hanging="276"/>
        <w:spacing w:after="0"/>
        <w:tabs>
          <w:tab w:leader="none" w:pos="74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229" w:lineRule="exact"/>
        <w:rPr>
          <w:rFonts w:ascii="Arial" w:cs="Arial" w:eastAsia="Arial" w:hAnsi="Arial"/>
          <w:sz w:val="18"/>
          <w:szCs w:val="18"/>
          <w:b w:val="1"/>
          <w:bCs w:val="1"/>
          <w:color w:val="auto"/>
        </w:rPr>
      </w:pPr>
    </w:p>
    <w:p>
      <w:pPr>
        <w:ind w:right="180" w:firstLine="921"/>
        <w:spacing w:after="0" w:line="297" w:lineRule="auto"/>
        <w:tabs>
          <w:tab w:leader="none" w:pos="1158" w:val="left"/>
        </w:tabs>
        <w:numPr>
          <w:ilvl w:val="1"/>
          <w:numId w:val="376"/>
        </w:numPr>
        <w:rPr>
          <w:rFonts w:ascii="Arial" w:cs="Arial" w:eastAsia="Arial" w:hAnsi="Arial"/>
          <w:sz w:val="16"/>
          <w:szCs w:val="16"/>
          <w:color w:val="auto"/>
        </w:rPr>
      </w:pPr>
      <w:r>
        <w:rPr>
          <w:rFonts w:ascii="Arial" w:cs="Arial" w:eastAsia="Arial" w:hAnsi="Arial"/>
          <w:sz w:val="16"/>
          <w:szCs w:val="16"/>
          <w:color w:val="auto"/>
        </w:rPr>
        <w:t>If provided in the subscription agreement, a Participant may file a written or electronic designation of a beneficiary who is to receive any shares and cash, if any, from the Participant’s account under this Plan in the event of such Participant’s death subsequent to the end of a Purchase Period but prior to delivery to him of such shares and cash. In addition, a Participant may file a written or electronic designation of a beneficiary who is to receive any cash from the Participant’s account under this Plan in the event of such Participant’s death prior to a Purchase Date. Such form shall be valid only if it was filed with the Company and/or the Third Party Administrator at the prescribed location before the Participant’s death.</w:t>
      </w:r>
    </w:p>
    <w:p>
      <w:pPr>
        <w:spacing w:after="0" w:line="158" w:lineRule="exact"/>
        <w:rPr>
          <w:rFonts w:ascii="Arial" w:cs="Arial" w:eastAsia="Arial" w:hAnsi="Arial"/>
          <w:sz w:val="16"/>
          <w:szCs w:val="16"/>
          <w:color w:val="auto"/>
        </w:rPr>
      </w:pPr>
    </w:p>
    <w:p>
      <w:pPr>
        <w:ind w:firstLine="921"/>
        <w:spacing w:after="0" w:line="273" w:lineRule="auto"/>
        <w:tabs>
          <w:tab w:leader="none" w:pos="1168" w:val="left"/>
        </w:tabs>
        <w:numPr>
          <w:ilvl w:val="1"/>
          <w:numId w:val="376"/>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if no such executor or administrator has been appointed (to the knowledge of the Company), the Company, in its discretion, may deliver such shares or cash to the spouse or, if no spouse is known to the Company, then to any one or more dependents or relatives of the Participant, or if no spouse, dependent or relative is known to the Company, then to such other person as the Company may designate.</w:t>
      </w:r>
    </w:p>
    <w:p>
      <w:pPr>
        <w:spacing w:after="0" w:line="174" w:lineRule="exact"/>
        <w:rPr>
          <w:rFonts w:ascii="Arial" w:cs="Arial" w:eastAsia="Arial" w:hAnsi="Arial"/>
          <w:sz w:val="17"/>
          <w:szCs w:val="17"/>
          <w:color w:val="auto"/>
        </w:rPr>
      </w:pPr>
    </w:p>
    <w:p>
      <w:pPr>
        <w:ind w:right="200" w:firstLine="464"/>
        <w:spacing w:after="0" w:line="256" w:lineRule="auto"/>
        <w:tabs>
          <w:tab w:leader="none" w:pos="726"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 Limitation on Sale of Shares</w:t>
      </w:r>
      <w:r>
        <w:rPr>
          <w:rFonts w:ascii="Arial" w:cs="Arial" w:eastAsia="Arial" w:hAnsi="Arial"/>
          <w:sz w:val="18"/>
          <w:szCs w:val="18"/>
          <w:color w:val="auto"/>
        </w:rPr>
        <w:t>. Shares shall not be issued with respect to an option unless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option and the issuance and delivery of such shares pursuant thereto shall comply with all applicable provisions of law, domestic or foreign, including, without limitation, the Securities Act,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87" w:lineRule="exact"/>
        <w:rPr>
          <w:rFonts w:ascii="Arial" w:cs="Arial" w:eastAsia="Arial" w:hAnsi="Arial"/>
          <w:sz w:val="18"/>
          <w:szCs w:val="18"/>
          <w:b w:val="1"/>
          <w:bCs w:val="1"/>
          <w:color w:val="auto"/>
        </w:rPr>
      </w:pPr>
    </w:p>
    <w:p>
      <w:pPr>
        <w:ind w:left="740" w:hanging="276"/>
        <w:spacing w:after="0"/>
        <w:tabs>
          <w:tab w:leader="none" w:pos="74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The Plan shall be governed by the substantive laws (excluding the conflict of laws rules) of the State of Delaware.</w:t>
      </w:r>
    </w:p>
    <w:p>
      <w:pPr>
        <w:spacing w:after="0" w:line="225" w:lineRule="exact"/>
        <w:rPr>
          <w:rFonts w:ascii="Arial" w:cs="Arial" w:eastAsia="Arial" w:hAnsi="Arial"/>
          <w:sz w:val="18"/>
          <w:szCs w:val="18"/>
          <w:b w:val="1"/>
          <w:bCs w:val="1"/>
          <w:color w:val="auto"/>
        </w:rPr>
      </w:pPr>
    </w:p>
    <w:p>
      <w:pPr>
        <w:ind w:right="20" w:firstLine="464"/>
        <w:spacing w:after="0" w:line="277" w:lineRule="auto"/>
        <w:tabs>
          <w:tab w:leader="none" w:pos="726"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or Termination</w:t>
      </w:r>
      <w:r>
        <w:rPr>
          <w:rFonts w:ascii="Arial" w:cs="Arial" w:eastAsia="Arial" w:hAnsi="Arial"/>
          <w:sz w:val="17"/>
          <w:szCs w:val="17"/>
          <w:color w:val="auto"/>
        </w:rPr>
        <w:t>. The Committee, in its sole discretion, may amend, suspend, or terminate the Plan, or any part thereof,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and for any reason.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02" w:name="page403"/>
    <w:bookmarkEnd w:id="4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establish rules to change the Purchase Periods and Offering Periods, limit the frequency and/or number of changes in the amount withheld during a Purchase Period or an Offering Period, establish the exchange ratio applicable to amounts withheld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withheld from the Participant’s base salary or regular hourly wages,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Committee determines that the ongoing operation of the Plan may result in unfavorable financial accounting consequences, the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 action; (iv) reducing the maximum percentage of compensation a participant may elect to set aside as payroll deductions; and (v) reducing the maximum number of shares of Common Stock a Participant may purchase during any Offering Period. Such modifications or amendments will not require approval of the stockholders of the Company or the consent of any Participants.</w:t>
      </w:r>
    </w:p>
    <w:p>
      <w:pPr>
        <w:spacing w:after="0" w:line="167" w:lineRule="exact"/>
        <w:rPr>
          <w:sz w:val="20"/>
          <w:szCs w:val="20"/>
          <w:color w:val="auto"/>
        </w:rPr>
      </w:pPr>
    </w:p>
    <w:p>
      <w:pPr>
        <w:ind w:right="280" w:firstLine="464"/>
        <w:spacing w:after="0" w:line="298" w:lineRule="auto"/>
        <w:tabs>
          <w:tab w:leader="none" w:pos="726" w:val="left"/>
        </w:tabs>
        <w:numPr>
          <w:ilvl w:val="0"/>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Transactions</w:t>
      </w:r>
      <w:r>
        <w:rPr>
          <w:rFonts w:ascii="Arial" w:cs="Arial" w:eastAsia="Arial" w:hAnsi="Arial"/>
          <w:sz w:val="16"/>
          <w:szCs w:val="16"/>
          <w:color w:val="auto"/>
        </w:rPr>
        <w:t>. In the event of a Corporate Transaction (as defined below), each outstanding right to purchase Common Stock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(the “</w:t>
      </w:r>
      <w:r>
        <w:rPr>
          <w:rFonts w:ascii="Arial" w:cs="Arial" w:eastAsia="Arial" w:hAnsi="Arial"/>
          <w:sz w:val="16"/>
          <w:szCs w:val="16"/>
          <w:b w:val="1"/>
          <w:bCs w:val="1"/>
          <w:i w:val="1"/>
          <w:iCs w:val="1"/>
          <w:color w:val="auto"/>
        </w:rPr>
        <w:t>New Purchase Date</w:t>
      </w:r>
      <w:r>
        <w:rPr>
          <w:rFonts w:ascii="Arial" w:cs="Arial" w:eastAsia="Arial" w:hAnsi="Arial"/>
          <w:sz w:val="16"/>
          <w:szCs w:val="16"/>
          <w:color w:val="auto"/>
        </w:rPr>
        <w:t>”) and will end on the New Purchase Date. The New Purchase Date shall occur on or prior to the consummation of the Corporate Transaction, and the Plan shall terminate on the consummation of the Corporate Transaction.</w:t>
      </w:r>
    </w:p>
    <w:p>
      <w:pPr>
        <w:spacing w:after="0" w:line="154" w:lineRule="exact"/>
        <w:rPr>
          <w:rFonts w:ascii="Arial" w:cs="Arial" w:eastAsia="Arial" w:hAnsi="Arial"/>
          <w:sz w:val="16"/>
          <w:szCs w:val="16"/>
          <w:b w:val="1"/>
          <w:bCs w:val="1"/>
          <w:color w:val="auto"/>
        </w:rPr>
      </w:pPr>
    </w:p>
    <w:p>
      <w:pPr>
        <w:ind w:left="740" w:hanging="276"/>
        <w:spacing w:after="0"/>
        <w:tabs>
          <w:tab w:leader="none" w:pos="7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225" w:lineRule="exact"/>
        <w:rPr>
          <w:rFonts w:ascii="Arial" w:cs="Arial" w:eastAsia="Arial" w:hAnsi="Arial"/>
          <w:sz w:val="18"/>
          <w:szCs w:val="18"/>
          <w:color w:val="auto"/>
        </w:rPr>
      </w:pPr>
    </w:p>
    <w:p>
      <w:pPr>
        <w:ind w:right="200" w:firstLine="921"/>
        <w:spacing w:after="0" w:line="259" w:lineRule="auto"/>
        <w:tabs>
          <w:tab w:leader="none" w:pos="116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403" w:name="page404"/>
    <w:bookmarkEnd w:id="40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8" w:lineRule="exact"/>
        <w:rPr>
          <w:sz w:val="20"/>
          <w:szCs w:val="20"/>
          <w:color w:val="auto"/>
        </w:rPr>
      </w:pPr>
    </w:p>
    <w:p>
      <w:pPr>
        <w:ind w:right="80" w:firstLine="921"/>
        <w:spacing w:after="0" w:line="277" w:lineRule="auto"/>
        <w:tabs>
          <w:tab w:leader="none" w:pos="115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date on which the Registration Statement covering the initial public offering of the shares of Common Stock is declared effective by the U.S. Securities and Exchange Commission.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Securities Exchange Act of 1934, as amended.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225" w:lineRule="exact"/>
        <w:rPr>
          <w:rFonts w:ascii="Arial" w:cs="Arial" w:eastAsia="Arial" w:hAnsi="Arial"/>
          <w:sz w:val="18"/>
          <w:szCs w:val="18"/>
          <w:color w:val="auto"/>
        </w:rPr>
      </w:pPr>
    </w:p>
    <w:p>
      <w:pPr>
        <w:ind w:right="40" w:firstLine="1492"/>
        <w:spacing w:after="0" w:line="264" w:lineRule="auto"/>
        <w:tabs>
          <w:tab w:leader="none" w:pos="169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 or</w:t>
      </w:r>
    </w:p>
    <w:p>
      <w:pPr>
        <w:spacing w:after="0" w:line="181" w:lineRule="exact"/>
        <w:rPr>
          <w:rFonts w:ascii="Arial" w:cs="Arial" w:eastAsia="Arial" w:hAnsi="Arial"/>
          <w:sz w:val="18"/>
          <w:szCs w:val="18"/>
          <w:color w:val="auto"/>
        </w:rPr>
      </w:pPr>
    </w:p>
    <w:p>
      <w:pPr>
        <w:ind w:right="40" w:firstLine="1492"/>
        <w:spacing w:after="0" w:line="342" w:lineRule="auto"/>
        <w:tabs>
          <w:tab w:leader="none" w:pos="1748" w:val="left"/>
        </w:tabs>
        <w:numPr>
          <w:ilvl w:val="1"/>
          <w:numId w:val="378"/>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123" w:lineRule="exact"/>
        <w:rPr>
          <w:rFonts w:ascii="Arial" w:cs="Arial" w:eastAsia="Arial" w:hAnsi="Arial"/>
          <w:sz w:val="16"/>
          <w:szCs w:val="16"/>
          <w:color w:val="auto"/>
        </w:rPr>
      </w:pPr>
    </w:p>
    <w:p>
      <w:pPr>
        <w:ind w:firstLine="1492"/>
        <w:spacing w:after="0" w:line="264" w:lineRule="auto"/>
        <w:tabs>
          <w:tab w:leader="none" w:pos="179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and</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none of the foregoing is applicable, by the Committee in good faith.</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225" w:lineRule="exact"/>
        <w:rPr>
          <w:rFonts w:ascii="Arial" w:cs="Arial" w:eastAsia="Arial" w:hAnsi="Arial"/>
          <w:sz w:val="18"/>
          <w:szCs w:val="18"/>
          <w:color w:val="auto"/>
        </w:rPr>
      </w:pPr>
    </w:p>
    <w:p>
      <w:pPr>
        <w:ind w:right="720" w:firstLine="921"/>
        <w:spacing w:after="0" w:line="277" w:lineRule="auto"/>
        <w:tabs>
          <w:tab w:leader="none" w:pos="112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225"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6(a).</w:t>
      </w:r>
    </w:p>
    <w:p>
      <w:pPr>
        <w:spacing w:after="0" w:line="170" w:lineRule="exact"/>
        <w:rPr>
          <w:rFonts w:ascii="Arial" w:cs="Arial" w:eastAsia="Arial" w:hAnsi="Arial"/>
          <w:sz w:val="18"/>
          <w:szCs w:val="18"/>
          <w:color w:val="auto"/>
        </w:rPr>
      </w:pPr>
    </w:p>
    <w:p>
      <w:pPr>
        <w:ind w:right="400" w:firstLine="921"/>
        <w:spacing w:after="0" w:line="277" w:lineRule="auto"/>
        <w:tabs>
          <w:tab w:leader="none" w:pos="112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Parents or Subsidiary that the Board designates from time to time as a corporation that shall participate in this Plan.</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AnaptysBio, Inc. 2017 Employee Stock Purchase Plan.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U.S. business day of each Purchase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404" w:name="page405"/>
    <w:bookmarkEnd w:id="404"/>
    <w:p>
      <w:pPr>
        <w:ind w:right="120" w:firstLine="921"/>
        <w:spacing w:after="0" w:line="277" w:lineRule="auto"/>
        <w:tabs>
          <w:tab w:leader="none" w:pos="11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shall mean the price at which Participants may purchase a share of Common Stock under the Plan, as determined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8.</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16"/>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w:t>
            </w:r>
            <w:r>
              <w:rPr>
                <w:rFonts w:ascii="Arial" w:cs="Arial" w:eastAsia="Arial" w:hAnsi="Arial"/>
                <w:sz w:val="15"/>
                <w:szCs w:val="15"/>
                <w:b w:val="1"/>
                <w:bCs w:val="1"/>
                <w:color w:val="auto"/>
              </w:rPr>
              <w:t>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tc>
        <w:tc>
          <w:tcPr>
            <w:tcW w:w="5920" w:type="dxa"/>
            <w:vAlign w:val="bottom"/>
            <w:gridSpan w:val="6"/>
          </w:tcPr>
          <w:p>
            <w:pPr>
              <w:ind w:left="5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NROLLMENT</w:t>
            </w:r>
            <w:r>
              <w:rPr>
                <w:rFonts w:ascii="Arial" w:cs="Arial" w:eastAsia="Arial" w:hAnsi="Arial"/>
                <w:sz w:val="18"/>
                <w:szCs w:val="18"/>
                <w:b w:val="1"/>
                <w:bCs w:val="1"/>
                <w:color w:val="auto"/>
              </w:rPr>
              <w:t>/C</w:t>
            </w:r>
            <w:r>
              <w:rPr>
                <w:rFonts w:ascii="Arial" w:cs="Arial" w:eastAsia="Arial" w:hAnsi="Arial"/>
                <w:sz w:val="15"/>
                <w:szCs w:val="15"/>
                <w:b w:val="1"/>
                <w:bCs w:val="1"/>
                <w:color w:val="auto"/>
              </w:rPr>
              <w:t>HANGE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ORM</w:t>
            </w:r>
          </w:p>
        </w:tc>
      </w:tr>
      <w:tr>
        <w:trPr>
          <w:trHeight w:val="234"/>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(“ESPP”)</w:t>
            </w: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73"/>
        </w:trPr>
        <w:tc>
          <w:tcPr>
            <w:tcW w:w="15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w:t>
            </w:r>
          </w:p>
        </w:tc>
        <w:tc>
          <w:tcPr>
            <w:tcW w:w="3940" w:type="dxa"/>
            <w:vAlign w:val="bottom"/>
            <w:gridSpan w:val="3"/>
          </w:tcPr>
          <w:p>
            <w:pPr>
              <w:ind w:left="2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HECK</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ESIRED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CTION</w:t>
            </w:r>
            <w:r>
              <w:rPr>
                <w:rFonts w:ascii="Arial" w:cs="Arial" w:eastAsia="Arial" w:hAnsi="Arial"/>
                <w:sz w:val="18"/>
                <w:szCs w:val="18"/>
                <w:color w:val="auto"/>
              </w:rPr>
              <w:t>:</w:t>
            </w:r>
          </w:p>
        </w:tc>
        <w:tc>
          <w:tcPr>
            <w:tcW w:w="5920" w:type="dxa"/>
            <w:vAlign w:val="bottom"/>
            <w:gridSpan w:val="6"/>
          </w:tcPr>
          <w:p>
            <w:pPr>
              <w:ind w:left="1700"/>
              <w:spacing w:after="0"/>
              <w:rPr>
                <w:sz w:val="20"/>
                <w:szCs w:val="20"/>
                <w:color w:val="auto"/>
              </w:rPr>
            </w:pPr>
            <w:r>
              <w:rPr>
                <w:rFonts w:ascii="Arial" w:cs="Arial" w:eastAsia="Arial" w:hAnsi="Arial"/>
                <w:sz w:val="15"/>
                <w:szCs w:val="15"/>
                <w:b w:val="1"/>
                <w:bCs w:val="1"/>
                <w:color w:val="auto"/>
              </w:rPr>
              <w:t xml:space="preserve">AND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OMPLETE </w:t>
            </w:r>
            <w:r>
              <w:rPr>
                <w:rFonts w:ascii="Arial" w:cs="Arial" w:eastAsia="Arial" w:hAnsi="Arial"/>
                <w:sz w:val="18"/>
                <w:szCs w:val="18"/>
                <w:b w:val="1"/>
                <w:bCs w:val="1"/>
                <w:color w:val="auto"/>
              </w:rPr>
              <w:t>S</w:t>
            </w:r>
            <w:r>
              <w:rPr>
                <w:rFonts w:ascii="Arial" w:cs="Arial" w:eastAsia="Arial" w:hAnsi="Arial"/>
                <w:sz w:val="15"/>
                <w:szCs w:val="15"/>
                <w:b w:val="1"/>
                <w:bCs w:val="1"/>
                <w:color w:val="auto"/>
              </w:rPr>
              <w:t>ECTIONS</w:t>
            </w:r>
            <w:r>
              <w:rPr>
                <w:rFonts w:ascii="Arial" w:cs="Arial" w:eastAsia="Arial" w:hAnsi="Arial"/>
                <w:sz w:val="18"/>
                <w:szCs w:val="18"/>
                <w:color w:val="auto"/>
              </w:rPr>
              <w:t>:</w:t>
            </w:r>
          </w:p>
        </w:tc>
      </w:tr>
      <w:tr>
        <w:trPr>
          <w:trHeight w:val="291"/>
        </w:trPr>
        <w:tc>
          <w:tcPr>
            <w:tcW w:w="156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CTIONS</w:t>
            </w:r>
          </w:p>
        </w:tc>
        <w:tc>
          <w:tcPr>
            <w:tcW w:w="3940" w:type="dxa"/>
            <w:vAlign w:val="bottom"/>
            <w:gridSpan w:val="3"/>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Enroll in the ESPP</w:t>
            </w:r>
          </w:p>
        </w:tc>
        <w:tc>
          <w:tcPr>
            <w:tcW w:w="1820" w:type="dxa"/>
            <w:vAlign w:val="bottom"/>
          </w:tcPr>
          <w:p>
            <w:pPr>
              <w:ind w:left="1700"/>
              <w:spacing w:after="0"/>
              <w:rPr>
                <w:sz w:val="20"/>
                <w:szCs w:val="20"/>
                <w:color w:val="auto"/>
              </w:rPr>
            </w:pPr>
            <w:r>
              <w:rPr>
                <w:rFonts w:ascii="Arial" w:cs="Arial" w:eastAsia="Arial" w:hAnsi="Arial"/>
                <w:sz w:val="18"/>
                <w:szCs w:val="18"/>
                <w:color w:val="auto"/>
                <w:w w:val="99"/>
              </w:rPr>
              <w:t>2</w:t>
            </w:r>
          </w:p>
        </w:tc>
        <w:tc>
          <w:tcPr>
            <w:tcW w:w="280" w:type="dxa"/>
            <w:vAlign w:val="bottom"/>
          </w:tcPr>
          <w:p>
            <w:pPr>
              <w:jc w:val="right"/>
              <w:spacing w:after="0"/>
              <w:rPr>
                <w:sz w:val="20"/>
                <w:szCs w:val="20"/>
                <w:color w:val="auto"/>
              </w:rPr>
            </w:pPr>
            <w:r>
              <w:rPr>
                <w:rFonts w:ascii="Arial" w:cs="Arial" w:eastAsia="Arial" w:hAnsi="Arial"/>
                <w:sz w:val="18"/>
                <w:szCs w:val="18"/>
                <w:color w:val="auto"/>
                <w:w w:val="93"/>
              </w:rPr>
              <w:t>+ 3</w:t>
            </w:r>
          </w:p>
        </w:tc>
        <w:tc>
          <w:tcPr>
            <w:tcW w:w="2000" w:type="dxa"/>
            <w:vAlign w:val="bottom"/>
            <w:gridSpan w:val="3"/>
          </w:tcPr>
          <w:p>
            <w:pPr>
              <w:ind w:left="20"/>
              <w:spacing w:after="0"/>
              <w:rPr>
                <w:sz w:val="20"/>
                <w:szCs w:val="20"/>
                <w:color w:val="auto"/>
              </w:rPr>
            </w:pPr>
            <w:r>
              <w:rPr>
                <w:rFonts w:ascii="Arial" w:cs="Arial" w:eastAsia="Arial" w:hAnsi="Arial"/>
                <w:sz w:val="18"/>
                <w:szCs w:val="18"/>
                <w:color w:val="auto"/>
              </w:rPr>
              <w:t>+ 4 + 16</w:t>
            </w:r>
          </w:p>
        </w:tc>
        <w:tc>
          <w:tcPr>
            <w:tcW w:w="182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3940" w:type="dxa"/>
            <w:vAlign w:val="bottom"/>
            <w:gridSpan w:val="3"/>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Elect / Change Contribution Percentage</w:t>
            </w:r>
          </w:p>
        </w:tc>
        <w:tc>
          <w:tcPr>
            <w:tcW w:w="1820" w:type="dxa"/>
            <w:vAlign w:val="bottom"/>
          </w:tcPr>
          <w:p>
            <w:pPr>
              <w:ind w:left="1700"/>
              <w:spacing w:after="0"/>
              <w:rPr>
                <w:sz w:val="20"/>
                <w:szCs w:val="20"/>
                <w:color w:val="auto"/>
              </w:rPr>
            </w:pPr>
            <w:r>
              <w:rPr>
                <w:rFonts w:ascii="Arial" w:cs="Arial" w:eastAsia="Arial" w:hAnsi="Arial"/>
                <w:sz w:val="18"/>
                <w:szCs w:val="18"/>
                <w:color w:val="auto"/>
                <w:w w:val="99"/>
              </w:rPr>
              <w:t>2</w:t>
            </w:r>
          </w:p>
        </w:tc>
        <w:tc>
          <w:tcPr>
            <w:tcW w:w="280" w:type="dxa"/>
            <w:vAlign w:val="bottom"/>
          </w:tcPr>
          <w:p>
            <w:pPr>
              <w:jc w:val="right"/>
              <w:spacing w:after="0"/>
              <w:rPr>
                <w:sz w:val="20"/>
                <w:szCs w:val="20"/>
                <w:color w:val="auto"/>
              </w:rPr>
            </w:pPr>
            <w:r>
              <w:rPr>
                <w:rFonts w:ascii="Arial" w:cs="Arial" w:eastAsia="Arial" w:hAnsi="Arial"/>
                <w:sz w:val="18"/>
                <w:szCs w:val="18"/>
                <w:color w:val="auto"/>
                <w:w w:val="93"/>
              </w:rPr>
              <w:t>+ 4</w:t>
            </w:r>
          </w:p>
        </w:tc>
        <w:tc>
          <w:tcPr>
            <w:tcW w:w="380" w:type="dxa"/>
            <w:vAlign w:val="bottom"/>
          </w:tcPr>
          <w:p>
            <w:pPr>
              <w:ind w:left="20"/>
              <w:spacing w:after="0"/>
              <w:rPr>
                <w:sz w:val="20"/>
                <w:szCs w:val="20"/>
                <w:color w:val="auto"/>
              </w:rPr>
            </w:pPr>
            <w:r>
              <w:rPr>
                <w:rFonts w:ascii="Arial" w:cs="Arial" w:eastAsia="Arial" w:hAnsi="Arial"/>
                <w:sz w:val="18"/>
                <w:szCs w:val="18"/>
                <w:color w:val="auto"/>
                <w:w w:val="95"/>
              </w:rPr>
              <w:t>+ 16</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83"/>
        </w:trPr>
        <w:tc>
          <w:tcPr>
            <w:tcW w:w="1560" w:type="dxa"/>
            <w:vAlign w:val="bottom"/>
          </w:tcPr>
          <w:p>
            <w:pPr>
              <w:spacing w:after="0"/>
              <w:rPr>
                <w:sz w:val="24"/>
                <w:szCs w:val="24"/>
                <w:color w:val="auto"/>
              </w:rPr>
            </w:pPr>
          </w:p>
        </w:tc>
        <w:tc>
          <w:tcPr>
            <w:tcW w:w="3940" w:type="dxa"/>
            <w:vAlign w:val="bottom"/>
            <w:gridSpan w:val="3"/>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Withdraw from Plan</w:t>
            </w:r>
          </w:p>
        </w:tc>
        <w:tc>
          <w:tcPr>
            <w:tcW w:w="1820" w:type="dxa"/>
            <w:vAlign w:val="bottom"/>
          </w:tcPr>
          <w:p>
            <w:pPr>
              <w:ind w:left="1700"/>
              <w:spacing w:after="0"/>
              <w:rPr>
                <w:sz w:val="20"/>
                <w:szCs w:val="20"/>
                <w:color w:val="auto"/>
              </w:rPr>
            </w:pPr>
            <w:r>
              <w:rPr>
                <w:rFonts w:ascii="Arial" w:cs="Arial" w:eastAsia="Arial" w:hAnsi="Arial"/>
                <w:sz w:val="18"/>
                <w:szCs w:val="18"/>
                <w:color w:val="auto"/>
                <w:w w:val="99"/>
              </w:rPr>
              <w:t>2</w:t>
            </w:r>
          </w:p>
        </w:tc>
        <w:tc>
          <w:tcPr>
            <w:tcW w:w="280" w:type="dxa"/>
            <w:vAlign w:val="bottom"/>
          </w:tcPr>
          <w:p>
            <w:pPr>
              <w:jc w:val="right"/>
              <w:spacing w:after="0"/>
              <w:rPr>
                <w:sz w:val="20"/>
                <w:szCs w:val="20"/>
                <w:color w:val="auto"/>
              </w:rPr>
            </w:pPr>
            <w:r>
              <w:rPr>
                <w:rFonts w:ascii="Arial" w:cs="Arial" w:eastAsia="Arial" w:hAnsi="Arial"/>
                <w:sz w:val="18"/>
                <w:szCs w:val="18"/>
                <w:color w:val="auto"/>
                <w:w w:val="93"/>
              </w:rPr>
              <w:t>+ 5</w:t>
            </w:r>
          </w:p>
        </w:tc>
        <w:tc>
          <w:tcPr>
            <w:tcW w:w="380" w:type="dxa"/>
            <w:vAlign w:val="bottom"/>
          </w:tcPr>
          <w:p>
            <w:pPr>
              <w:ind w:left="20"/>
              <w:spacing w:after="0"/>
              <w:rPr>
                <w:sz w:val="20"/>
                <w:szCs w:val="20"/>
                <w:color w:val="auto"/>
              </w:rPr>
            </w:pPr>
            <w:r>
              <w:rPr>
                <w:rFonts w:ascii="Arial" w:cs="Arial" w:eastAsia="Arial" w:hAnsi="Arial"/>
                <w:sz w:val="18"/>
                <w:szCs w:val="18"/>
                <w:color w:val="auto"/>
                <w:w w:val="95"/>
              </w:rPr>
              <w:t>+ 16</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7"/>
        </w:trPr>
        <w:tc>
          <w:tcPr>
            <w:tcW w:w="15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w:t>
            </w:r>
          </w:p>
        </w:tc>
        <w:tc>
          <w:tcPr>
            <w:tcW w:w="820" w:type="dxa"/>
            <w:vAlign w:val="bottom"/>
          </w:tcPr>
          <w:p>
            <w:pPr>
              <w:ind w:left="260"/>
              <w:spacing w:after="0"/>
              <w:rPr>
                <w:sz w:val="20"/>
                <w:szCs w:val="20"/>
                <w:color w:val="auto"/>
              </w:rPr>
            </w:pPr>
            <w:r>
              <w:rPr>
                <w:rFonts w:ascii="Arial" w:cs="Arial" w:eastAsia="Arial" w:hAnsi="Arial"/>
                <w:sz w:val="18"/>
                <w:szCs w:val="18"/>
                <w:color w:val="auto"/>
              </w:rPr>
              <w:t>Name:</w:t>
            </w:r>
          </w:p>
        </w:tc>
        <w:tc>
          <w:tcPr>
            <w:tcW w:w="3120" w:type="dxa"/>
            <w:vAlign w:val="bottom"/>
            <w:tcBorders>
              <w:bottom w:val="single" w:sz="8" w:color="auto"/>
            </w:tcBorders>
            <w:gridSpan w:val="2"/>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Employee ID:</w:t>
            </w:r>
          </w:p>
        </w:tc>
      </w:tr>
      <w:tr>
        <w:trPr>
          <w:trHeight w:val="318"/>
        </w:trPr>
        <w:tc>
          <w:tcPr>
            <w:tcW w:w="156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ERSONAL</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p>
        </w:tc>
        <w:tc>
          <w:tcPr>
            <w:tcW w:w="3940" w:type="dxa"/>
            <w:vAlign w:val="bottom"/>
            <w:gridSpan w:val="3"/>
          </w:tcPr>
          <w:p>
            <w:pPr>
              <w:ind w:left="260"/>
              <w:spacing w:after="0"/>
              <w:rPr>
                <w:sz w:val="20"/>
                <w:szCs w:val="20"/>
                <w:color w:val="auto"/>
              </w:rPr>
            </w:pPr>
            <w:r>
              <w:rPr>
                <w:rFonts w:ascii="Arial" w:cs="Arial" w:eastAsia="Arial" w:hAnsi="Arial"/>
                <w:sz w:val="18"/>
                <w:szCs w:val="18"/>
                <w:color w:val="auto"/>
              </w:rPr>
              <w:t>Home Address: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180340</wp:posOffset>
            </wp:positionV>
            <wp:extent cx="39147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9147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Work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-10160</wp:posOffset>
            </wp:positionV>
            <wp:extent cx="32861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28612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NROLL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LECT</w:t>
      </w:r>
      <w:r>
        <w:rPr>
          <w:rFonts w:ascii="Arial" w:cs="Arial" w:eastAsia="Arial" w:hAnsi="Arial"/>
          <w:sz w:val="18"/>
          <w:szCs w:val="18"/>
          <w:b w:val="1"/>
          <w:bCs w:val="1"/>
          <w:color w:val="auto"/>
        </w:rPr>
        <w:t>/C</w:t>
      </w:r>
      <w:r>
        <w:rPr>
          <w:rFonts w:ascii="Arial" w:cs="Arial" w:eastAsia="Arial" w:hAnsi="Arial"/>
          <w:sz w:val="15"/>
          <w:szCs w:val="15"/>
          <w:b w:val="1"/>
          <w:bCs w:val="1"/>
          <w:color w:val="auto"/>
        </w:rPr>
        <w:t>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ERCENTAGE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 w:hanging="2"/>
        <w:spacing w:after="0" w:line="273" w:lineRule="auto"/>
        <w:tabs>
          <w:tab w:leader="none" w:pos="344" w:val="left"/>
        </w:tabs>
        <w:numPr>
          <w:ilvl w:val="0"/>
          <w:numId w:val="380"/>
        </w:numPr>
        <w:rPr>
          <w:rFonts w:ascii="MS PGothic" w:cs="MS PGothic" w:eastAsia="MS PGothic" w:hAnsi="MS PGothic"/>
          <w:sz w:val="17"/>
          <w:szCs w:val="17"/>
          <w:color w:val="auto"/>
        </w:rPr>
      </w:pPr>
      <w:r>
        <w:rPr>
          <w:rFonts w:ascii="Arial" w:cs="Arial" w:eastAsia="Arial" w:hAnsi="Arial"/>
          <w:sz w:val="17"/>
          <w:szCs w:val="17"/>
          <w:color w:val="auto"/>
        </w:rPr>
        <w:t>I hereby elect to participate in the ESPP, effective at the beginning of the next Offering Period. I elect to purchase shares of the Common Stock of the Company pursuant to the ESPP and any sub-plan thereto for my country of residence (if any) (the “Sub-Plan”) (together, the “ESPP”), this Enrollment/Change Form and any appendix to this Enrollment/Change Form for my country (if any) (the “Appendix”). I understand that the shares purchased on my behalf will be issued in street name and be deposited directly into my brokerage account at the Company’s captive broker. I hereby agree to take all steps, and sign all forms, required to establish an account with the Company’s captive broker for this purpose.</w:t>
      </w:r>
    </w:p>
    <w:p>
      <w:pPr>
        <w:spacing w:after="0" w:line="84" w:lineRule="exact"/>
        <w:rPr>
          <w:sz w:val="20"/>
          <w:szCs w:val="20"/>
          <w:color w:val="auto"/>
        </w:rPr>
      </w:pPr>
    </w:p>
    <w:p>
      <w:pPr>
        <w:ind w:left="2" w:right="100"/>
        <w:spacing w:after="0" w:line="264" w:lineRule="auto"/>
        <w:rPr>
          <w:sz w:val="20"/>
          <w:szCs w:val="20"/>
          <w:color w:val="auto"/>
        </w:rPr>
      </w:pPr>
      <w:r>
        <w:rPr>
          <w:rFonts w:ascii="Arial" w:cs="Arial" w:eastAsia="Arial" w:hAnsi="Arial"/>
          <w:sz w:val="18"/>
          <w:szCs w:val="18"/>
          <w:color w:val="auto"/>
        </w:rPr>
        <w:t>My participation will continue as long as I remain eligible, unless I withdraw from the ESPP by filing a new Enrollment/Change Form with the Company. I understand that, if I am subject to tax in the U.S., I must notify the Company of any disposition of shares purchased under the ESPP.</w:t>
      </w:r>
    </w:p>
    <w:p>
      <w:pPr>
        <w:spacing w:after="0" w:line="87" w:lineRule="exact"/>
        <w:rPr>
          <w:sz w:val="20"/>
          <w:szCs w:val="20"/>
          <w:color w:val="auto"/>
        </w:rPr>
      </w:pPr>
    </w:p>
    <w:p>
      <w:pPr>
        <w:ind w:left="2"/>
        <w:spacing w:after="0" w:line="297" w:lineRule="auto"/>
        <w:rPr>
          <w:sz w:val="20"/>
          <w:szCs w:val="20"/>
          <w:color w:val="auto"/>
        </w:rPr>
      </w:pPr>
      <w:r>
        <w:rPr>
          <w:rFonts w:ascii="Arial" w:cs="Arial" w:eastAsia="Arial" w:hAnsi="Arial"/>
          <w:sz w:val="16"/>
          <w:szCs w:val="16"/>
          <w:color w:val="auto"/>
        </w:rPr>
        <w:t xml:space="preserve">I hereby authorize the Company or the Parent, Subsidiary or Affiliate employing me (the “Employer”) to withhold from each of my paychecks such amount as is necessary to equal at the end of the applicable Offering Period the percentage of my compensation (as defined in the ESPP) paid to me during such Offering Period as indicated below, so long as I continue to participate in the ESPP.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 must be a whole number (from 1%, up to a maximum of 15%, with respect to enrollment or an increase in Contribution percentage; and from 0%, up to a maximum of 14%, for a decrease in Contribution percentage).</w:t>
      </w:r>
    </w:p>
    <w:p>
      <w:pPr>
        <w:spacing w:after="0" w:line="64" w:lineRule="exact"/>
        <w:rPr>
          <w:sz w:val="20"/>
          <w:szCs w:val="20"/>
          <w:color w:val="auto"/>
        </w:rPr>
      </w:pPr>
    </w:p>
    <w:p>
      <w:pPr>
        <w:ind w:left="2"/>
        <w:spacing w:after="0"/>
        <w:tabs>
          <w:tab w:leader="none" w:pos="2822" w:val="left"/>
        </w:tabs>
        <w:rPr>
          <w:sz w:val="20"/>
          <w:szCs w:val="20"/>
          <w:color w:val="auto"/>
        </w:rPr>
      </w:pPr>
      <w:r>
        <w:rPr>
          <w:rFonts w:ascii="Arial" w:cs="Arial" w:eastAsia="Arial" w:hAnsi="Arial"/>
          <w:sz w:val="18"/>
          <w:szCs w:val="18"/>
          <w:color w:val="auto"/>
        </w:rPr>
        <w:t>Designated contribution percentage:</w:t>
      </w:r>
      <w:r>
        <w:rPr>
          <w:sz w:val="20"/>
          <w:szCs w:val="20"/>
          <w:color w:val="auto"/>
        </w:rPr>
        <w:tab/>
      </w:r>
      <w:r>
        <w:rPr>
          <w:rFonts w:ascii="Arial" w:cs="Arial" w:eastAsia="Arial" w:hAnsi="Arial"/>
          <w:sz w:val="15"/>
          <w:szCs w:val="15"/>
          <w:color w:val="auto"/>
        </w:rPr>
        <w:t>%</w:t>
      </w:r>
    </w:p>
    <w:p>
      <w:pPr>
        <w:spacing w:after="0" w:line="98" w:lineRule="exact"/>
        <w:rPr>
          <w:sz w:val="20"/>
          <w:szCs w:val="20"/>
          <w:color w:val="auto"/>
        </w:rPr>
      </w:pPr>
    </w:p>
    <w:p>
      <w:pPr>
        <w:sectPr>
          <w:pgSz w:w="11900" w:h="16838" w:orient="portrait"/>
          <w:cols w:equalWidth="0" w:num="2">
            <w:col w:w="1260" w:space="558"/>
            <w:col w:w="9602"/>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w:t>
      </w:r>
    </w:p>
    <w:p>
      <w:pPr>
        <w:spacing w:after="0" w:line="12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ITHDRAW FROM</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p>
    <w:p>
      <w:pPr>
        <w:spacing w:after="0" w:line="20" w:lineRule="exact"/>
        <w:rPr>
          <w:sz w:val="20"/>
          <w:szCs w:val="20"/>
          <w:color w:val="auto"/>
        </w:rPr>
      </w:pPr>
      <w:r>
        <w:rPr>
          <w:sz w:val="20"/>
          <w:szCs w:val="20"/>
          <w:color w:val="auto"/>
        </w:rPr>
        <w:br w:type="column"/>
      </w:r>
    </w:p>
    <w:p>
      <w:pPr>
        <w:ind w:left="2"/>
        <w:spacing w:after="0" w:line="187" w:lineRule="exact"/>
        <w:rPr>
          <w:sz w:val="20"/>
          <w:szCs w:val="20"/>
          <w:color w:val="auto"/>
        </w:rPr>
      </w:pPr>
      <w:r>
        <w:rPr>
          <w:rFonts w:ascii="Arial" w:cs="Arial" w:eastAsia="Arial" w:hAnsi="Arial"/>
          <w:sz w:val="18"/>
          <w:szCs w:val="18"/>
          <w:color w:val="auto"/>
        </w:rPr>
        <w:t xml:space="preserve">If this is a change to my current enrollment, this represents an </w:t>
      </w:r>
      <w:r>
        <w:rPr>
          <w:rFonts w:ascii="MS PGothic" w:cs="MS PGothic" w:eastAsia="MS PGothic" w:hAnsi="MS PGothic"/>
          <w:sz w:val="18"/>
          <w:szCs w:val="18"/>
          <w:color w:val="auto"/>
        </w:rPr>
        <w:t>☐</w:t>
      </w:r>
      <w:r>
        <w:rPr>
          <w:rFonts w:ascii="Arial" w:cs="Arial" w:eastAsia="Arial" w:hAnsi="Arial"/>
          <w:sz w:val="18"/>
          <w:szCs w:val="18"/>
          <w:color w:val="auto"/>
        </w:rPr>
        <w:t xml:space="preserve">-increase </w:t>
      </w:r>
      <w:r>
        <w:rPr>
          <w:rFonts w:ascii="MS PGothic" w:cs="MS PGothic" w:eastAsia="MS PGothic" w:hAnsi="MS PGothic"/>
          <w:sz w:val="18"/>
          <w:szCs w:val="18"/>
          <w:color w:val="auto"/>
        </w:rPr>
        <w:t>☐</w:t>
      </w:r>
      <w:r>
        <w:rPr>
          <w:rFonts w:ascii="Arial" w:cs="Arial" w:eastAsia="Arial" w:hAnsi="Arial"/>
          <w:sz w:val="18"/>
          <w:szCs w:val="18"/>
          <w:color w:val="auto"/>
        </w:rPr>
        <w:t>-decrease to my Contribution percentage.</w:t>
      </w:r>
    </w:p>
    <w:p>
      <w:pPr>
        <w:spacing w:after="0" w:line="159" w:lineRule="exact"/>
        <w:rPr>
          <w:sz w:val="20"/>
          <w:szCs w:val="20"/>
          <w:color w:val="auto"/>
        </w:rPr>
      </w:pPr>
    </w:p>
    <w:p>
      <w:pPr>
        <w:ind w:left="542" w:right="60" w:hanging="539"/>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may not increase your Contributions at any time within an Offering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 increase in your Contribution percentage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can only take effect with the next Offering Period</w:t>
      </w:r>
      <w:r>
        <w:rPr>
          <w:rFonts w:ascii="Arial" w:cs="Arial" w:eastAsia="Arial" w:hAnsi="Arial"/>
          <w:sz w:val="18"/>
          <w:szCs w:val="18"/>
          <w:color w:val="auto"/>
        </w:rPr>
        <w:t>.</w:t>
      </w:r>
    </w:p>
    <w:p>
      <w:pPr>
        <w:spacing w:after="0" w:line="71" w:lineRule="exact"/>
        <w:rPr>
          <w:sz w:val="20"/>
          <w:szCs w:val="20"/>
          <w:color w:val="auto"/>
        </w:rPr>
      </w:pPr>
    </w:p>
    <w:p>
      <w:pPr>
        <w:ind w:left="542" w:right="40"/>
        <w:spacing w:after="0" w:line="259" w:lineRule="auto"/>
        <w:rPr>
          <w:sz w:val="20"/>
          <w:szCs w:val="20"/>
          <w:color w:val="auto"/>
        </w:rPr>
      </w:pPr>
      <w:r>
        <w:rPr>
          <w:rFonts w:ascii="Arial" w:cs="Arial" w:eastAsia="Arial" w:hAnsi="Arial"/>
          <w:sz w:val="18"/>
          <w:szCs w:val="18"/>
          <w:color w:val="auto"/>
        </w:rPr>
        <w:t>You may decrease your previously elected Contribution percentage only twice within an Offering Period to be effective during that Offering Period. If you decrease your percentage to 0%, any previously accumulated contributions will be used to purchase shares on the next Purchase Date) pursuant to Section 9 of the ESPP. A change will become effective as soon as reasonably practicable after the form is received by the Company.</w:t>
      </w:r>
    </w:p>
    <w:p>
      <w:pPr>
        <w:spacing w:after="0" w:line="92" w:lineRule="exact"/>
        <w:rPr>
          <w:sz w:val="20"/>
          <w:szCs w:val="20"/>
          <w:color w:val="auto"/>
        </w:rPr>
      </w:pPr>
    </w:p>
    <w:p>
      <w:pPr>
        <w:ind w:left="262" w:right="120" w:hanging="262"/>
        <w:spacing w:after="0" w:line="286" w:lineRule="auto"/>
        <w:tabs>
          <w:tab w:leader="none" w:pos="262" w:val="left"/>
        </w:tabs>
        <w:numPr>
          <w:ilvl w:val="0"/>
          <w:numId w:val="381"/>
        </w:numPr>
        <w:rPr>
          <w:rFonts w:ascii="MS PGothic" w:cs="MS PGothic" w:eastAsia="MS PGothic" w:hAnsi="MS PGothic"/>
          <w:sz w:val="17"/>
          <w:szCs w:val="17"/>
          <w:color w:val="auto"/>
        </w:rPr>
      </w:pPr>
      <w:r>
        <w:rPr>
          <w:rFonts w:ascii="Arial" w:cs="Arial" w:eastAsia="Arial" w:hAnsi="Arial"/>
          <w:sz w:val="17"/>
          <w:szCs w:val="17"/>
          <w:color w:val="auto"/>
        </w:rPr>
        <w:t xml:space="preserve">I hereby elect to </w:t>
      </w:r>
      <w:r>
        <w:rPr>
          <w:rFonts w:ascii="Arial" w:cs="Arial" w:eastAsia="Arial" w:hAnsi="Arial"/>
          <w:sz w:val="17"/>
          <w:szCs w:val="17"/>
          <w:u w:val="single" w:color="auto"/>
          <w:color w:val="auto"/>
        </w:rPr>
        <w:t>withdraw from, and discontinue my participation in, the ESPP</w:t>
      </w:r>
      <w:r>
        <w:rPr>
          <w:rFonts w:ascii="Arial" w:cs="Arial" w:eastAsia="Arial" w:hAnsi="Arial"/>
          <w:sz w:val="17"/>
          <w:szCs w:val="17"/>
          <w:color w:val="auto"/>
        </w:rPr>
        <w:t>, effective as soon as reasonably practicable after this form is received by the Company. Accumulated Contributions will be returned to me without interest (except to the extent required due to local legal requirements outside the United States), pursuant to Section 11 of the ESPP.</w:t>
      </w:r>
    </w:p>
    <w:p>
      <w:pPr>
        <w:spacing w:after="0" w:line="193" w:lineRule="exact"/>
        <w:rPr>
          <w:sz w:val="20"/>
          <w:szCs w:val="20"/>
          <w:color w:val="auto"/>
        </w:rPr>
      </w:pPr>
    </w:p>
    <w:p>
      <w:pPr>
        <w:ind w:left="2" w:right="20"/>
        <w:spacing w:after="0" w:line="264" w:lineRule="auto"/>
        <w:rPr>
          <w:sz w:val="20"/>
          <w:szCs w:val="20"/>
          <w:color w:val="auto"/>
        </w:rPr>
      </w:pPr>
      <w:r>
        <w:rPr>
          <w:rFonts w:ascii="Arial" w:cs="Arial" w:eastAsia="Arial" w:hAnsi="Arial"/>
          <w:sz w:val="18"/>
          <w:szCs w:val="18"/>
          <w:color w:val="auto"/>
        </w:rPr>
        <w:t>By enrolling in the ESPP, I understand, acknowledge and agree that (a) the ESPP is established voluntarily by the Company, it is discretionary in nature and it may be amended, terminated or modified at any time, to the extent permitted by the ESPP; (b) the grant of the right to purchase</w:t>
      </w:r>
    </w:p>
    <w:p>
      <w:pPr>
        <w:sectPr>
          <w:pgSz w:w="11900" w:h="16838" w:orient="portrait"/>
          <w:cols w:equalWidth="0" w:num="2">
            <w:col w:w="1520" w:space="298"/>
            <w:col w:w="9602"/>
          </w:cols>
          <w:pgMar w:left="240" w:top="270" w:right="239" w:bottom="1440" w:gutter="0" w:footer="0" w:header="0"/>
          <w:type w:val="continuous"/>
        </w:sectPr>
      </w:pPr>
    </w:p>
    <w:bookmarkStart w:id="406" w:name="page407"/>
    <w:bookmarkEnd w:id="4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RIVACY</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shares of Common Stock under the ESPP is voluntary and does not create any contractual or other right to receive future rights to purchase shares of Common Stock, or benefits in lieu of rights to purchase shares, even if rights to purchase shares have been granted in the past; (c) all decisions with respect to future grants of rights to purchase shares of Common Stock under the ESPP, if any, will be at the sole discretion of the Company; (d) the grant of rights to purchase shares of Common Stock under the ESPP and my participation in the ESPP shall not create a right to employment or be interpreted as forming an employment or service agreement with the Company; (e) the grant of rights to purchase shares of Common Stock under the ESPP and my participation in the ESPP shall not interfere with the ability of the Employer to terminate my employment relationship at any time with or without cause; (f) I am voluntarily participating in the ESPP; (g) the rights to purchase shares of Common Stock and the shares purchased under the ESPP, and the income and value of same, are not intended to replace any pension rights or compensation; (h) the rights to purchase shares of Common Stock and the shares purchased under the ESPP, and the income and value of same, are not part of normal or expected compensation for purposes of, including, but not limited to, calculating any severance, resignation, termination, redundancy, dismissal, end of service payments, bonuses, long-service awards, pension or retirement benefits or similar payments; (i) unless otherwise agreed with the Company, the rights to purchase shares of Common Stock and the shares purchased under the ESPP, and the income and value of same, are not granted as consideration for, or in connection with, any service I may provide as a director of the Subsidiary or Affiliate; (j) the future value of the underlying shares purchased or to be purchased under the ESPP is unknown, indeterminable and cannot be predicted with certainty, and the value of the shares of Common Stock purchased under the ESPP may increase or decrease in the future, even below the Purchase Price; (k) no claim or entitlement to compensation or damages shall arise from termination of the right to purchase shares of Common Stock under the ESPP resulting from termination of my employment (for any reason whatsoever and whether or not later found to be invalid or in breach of employment laws in the jurisdiction where I am employed or the terms of my employment agreement, if any) and in consideration of the grant of rights to purchase shares of Common Stock under the ESPP, I irrevocably agree never to institute any claim against the Company, the Parent, the Employer or any other Subsidiary or Affiliate, I hereby waive my ability, if any, to bring any such claim, and I release the Company, the Parent, the Employer or any other Subsidiary or Affiliate from any such claim; if, notwithstanding the foregoing, any such claim is allowed by a court of competent jurisdiction, then, by enrolling in the ESPP, I shall be deemed irrevocably to have agreed not to pursue such claim and agree to execute any and all documents necessary to request dismissal or withdrawal of such claims; (l) in the event of termination of my employment (for any reason whatsoever, whether or not later found to be invalid or in breach of employment laws in the jurisdiction where I am employed or the terms of my employment agreement, if any), my right to participate in the ESPP and my right to purchase shares of Common Stock, if any, will terminate effective as of the date I cease to actively provide services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 (m) unless otherwise provided in the ESPP or by the Company in its discretion, the right to purchase shares of Common Stock and the benefits evidenced by this Enrollment/Change Form do not create any entitlement to have the ESPP or any such benefits granted thereunder transferred to, or assumed by, another company nor to be exchanged, cashed out or substituted for, in connection with any Corporate Transaction affecting the Common Stock; and (n) if I am providing services outside the United States: (1) the rights to purchase shares of Common Stock and the shares purchased under the ESPP, and the income and value of same, are not part of normal or expected compensation or salary for any purpose, and (2) neither the Company, the Parent, the Employer nor any other Subsidiary or Affiliate shall be liable for any foreign exchange rate fluctuation between my local currency and the United States Dollar that may affect the value of the rights to purchase shares of Common Stock, the shares purchased under the ESPP or any amounts due to me pursuant to the sale of any shares of Common Stock acquired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-5594985</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 hereby explicitly, voluntarily and unambiguously consent to the collection, use and transfer, in electronic or other form, of my personal data as described in this Enrollment/Change Form and any other ESPP grant materials by and among, as applicable, the Employer, the</w:t>
      </w:r>
    </w:p>
    <w:p>
      <w:pPr>
        <w:spacing w:after="0" w:line="11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1160" w:space="520"/>
            <w:col w:w="9740"/>
          </w:cols>
          <w:pgMar w:left="240" w:top="274" w:right="239" w:bottom="1440" w:gutter="0" w:footer="0" w:header="0"/>
        </w:sectPr>
      </w:pPr>
    </w:p>
    <w:bookmarkStart w:id="407" w:name="page408"/>
    <w:bookmarkEnd w:id="4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ESPONSIBILITY</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FOR </w:t>
      </w:r>
      <w:r>
        <w:rPr>
          <w:rFonts w:ascii="Arial" w:cs="Arial" w:eastAsia="Arial" w:hAnsi="Arial"/>
          <w:sz w:val="18"/>
          <w:szCs w:val="18"/>
          <w:b w:val="1"/>
          <w:bCs w:val="1"/>
          <w:color w:val="auto"/>
        </w:rPr>
        <w:t>T</w:t>
      </w:r>
      <w:r>
        <w:rPr>
          <w:rFonts w:ascii="Arial" w:cs="Arial" w:eastAsia="Arial" w:hAnsi="Arial"/>
          <w:sz w:val="15"/>
          <w:szCs w:val="15"/>
          <w:b w:val="1"/>
          <w:bCs w:val="1"/>
          <w:color w:val="auto"/>
        </w:rPr>
        <w:t>AXES</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b w:val="1"/>
          <w:bCs w:val="1"/>
          <w:i w:val="1"/>
          <w:iCs w:val="1"/>
          <w:color w:val="auto"/>
        </w:rPr>
        <w:t>Company, the Parent and any of its other Subsidiaries or Affiliates or any third parties assisting in the implementation, administration and management of my participation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-387985</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 understand that the Company and the Employer may hold certain personal information about me, including, but not limited to, my name, home address and telephone number, date of birth, social insurance number or other identification number, salary, nationality, job title, any shares of stock or directorships held in the Company, the fact and conditions of my participation in the ESPP, details of all rights to purchase shares or any other entitlement to shares of Common Stock awarded, cancelled, exercised, vested, unvested or outstanding in my favor (“Data”), for the exclusive purpose of implementing, administering and managing the ESPP.</w:t>
      </w:r>
    </w:p>
    <w:p>
      <w:pPr>
        <w:spacing w:after="0" w:line="99"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b w:val="1"/>
          <w:bCs w:val="1"/>
          <w:i w:val="1"/>
          <w:iCs w:val="1"/>
          <w:color w:val="auto"/>
        </w:rPr>
        <w:t>I also authorize any transfer of Data, as may be required, to the stock plan service provider that may be designated by the Company from time to time, which is assisting the Company with the implementation, administration and management of the ESPP and/or with whom any shares of Common Stock acquired under the ESPP are deposited. I acknowledge that these recipients may be located in my country or elsewhere, and that the recipient’s country (e.g., the United States) may have different data privacy laws and protections to my country, which may not give the same level of protection to Data. I understand that, if I reside outside the United States, I may request a list with the names and addresses of any potential recipients of Data by contacting my local human resources representative. I authorize the Company, the designated broker and any other possible recipients which may assist the Company (presently or in the future) with implementing, administering and managing my participation in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if I reside outside the United States,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service and career with the Company and/or the Employer will not be adversely affected; the only adverse consequence of refusing or withdrawing my consent is that the Company would not be able to grant future rights to purchase shares of Common Stock or other equity awards to me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w:t>
      </w:r>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 acknowledge that, regardless of any action taken by the Company or the Employer, the ultimate liability for all income tax, social insurance, payroll tax, fringe benefits tax, payment on account or other tax-related items related to my participation in the ESPP and legally applicable to me (“Tax-Related Items”) is and remains my responsibility and may exceed the amount actually withheld by the Company or the Employer. I further acknowledge that the Company and/or the Employer (1) make no representations or undertakings regarding the treatment of any Tax-Related Items in connection with any aspect of the ESPP, including, but not limited to, my enrollment in the ESPP, the grant of rights to purchase shares of Common Stock, the purchase of shares of Common Stock, the issuance of Common Stock purchased, the sale of shares of Common Stock purchased under the ESPP or the receipt of any dividends; and (2) do not commit to and are under no obligation to structure the terms of the ESPP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Prior to any relevant taxable or tax withholding event, as applicable, I agree to make adequate arrangements satisfactory to the Company and/or the Employer to satisfy all Tax-Related Items. In this regard, I authorize the Company and/or the Employer to satisfy their withholding obligations with regard to all Tax-Related Items by one or a combination of the following: (a) withholding from my wages or other cash compensation payable to me by the Company and/or</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1300" w:space="460"/>
            <w:col w:w="9660"/>
          </w:cols>
          <w:pgMar w:left="240" w:top="273" w:right="239" w:bottom="1440" w:gutter="0" w:footer="0" w:header="0"/>
        </w:sectPr>
      </w:pPr>
    </w:p>
    <w:bookmarkStart w:id="408" w:name="page409"/>
    <w:bookmarkEnd w:id="4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 xml:space="preserve"> &amp; L</w:t>
      </w:r>
      <w:r>
        <w:rPr>
          <w:rFonts w:ascii="Arial" w:cs="Arial" w:eastAsia="Arial" w:hAnsi="Arial"/>
          <w:sz w:val="15"/>
          <w:szCs w:val="15"/>
          <w:b w:val="1"/>
          <w:bCs w:val="1"/>
          <w:color w:val="auto"/>
        </w:rPr>
        <w:t>ANGUAGE</w:t>
      </w:r>
    </w:p>
    <w:p>
      <w:pPr>
        <w:spacing w:after="0" w:line="20" w:lineRule="exact"/>
        <w:rPr>
          <w:sz w:val="20"/>
          <w:szCs w:val="20"/>
          <w:color w:val="auto"/>
        </w:rPr>
      </w:pPr>
      <w:r>
        <w:rPr>
          <w:sz w:val="20"/>
          <w:szCs w:val="20"/>
          <w:color w:val="auto"/>
        </w:rPr>
        <w:br w:type="column"/>
      </w:r>
    </w:p>
    <w:p>
      <w:pPr>
        <w:jc w:val="both"/>
        <w:ind w:right="80"/>
        <w:spacing w:after="0" w:line="264" w:lineRule="auto"/>
        <w:rPr>
          <w:sz w:val="20"/>
          <w:szCs w:val="20"/>
          <w:color w:val="auto"/>
        </w:rPr>
      </w:pPr>
      <w:r>
        <w:rPr>
          <w:rFonts w:ascii="Arial" w:cs="Arial" w:eastAsia="Arial" w:hAnsi="Arial"/>
          <w:sz w:val="18"/>
          <w:szCs w:val="18"/>
          <w:color w:val="auto"/>
        </w:rPr>
        <w:t>the Employer, (b) withholding from proceeds of the sale of shares of Common Stock purchased under the ESPP, either through a voluntary sale or through a mandatory sale arranged by the Company (on my behalf pursuant to this authorization without further consent), and (c) withholding in shares to be issued upon purchase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-518160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statutory withholding amounts or other applicable withholding rates, including maximum applicable rates, in which case I will receive a refund of any over-withheld amount in cash and will have no entitlement to the Common Stock equivalent. If the obligation for Tax-Related Items is satisfied by withholding in shares of Common Stock, for tax purposes, I am deemed to have been issued the full number of shares of Common Stock, notwithstanding that a number of the shares of Common Stock are held back solely for the purpose of paying the Tax-Related Items.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from the sale of shares of Common Stock, if I fail to comply with my obligations in connection with the Tax-Related Items.</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rights to purchase shares and the provisions of this Enrollment/Change Form are governed by, and subject to, the laws of the State of Delaware, without regard to any conflict of law provisions.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I have received this or any other document related to the ESPP translated into a language other than English and if the meaning of the translated version is different than the English version, the English version will control.</w:t>
      </w:r>
    </w:p>
    <w:p>
      <w:pPr>
        <w:spacing w:after="0" w:line="76" w:lineRule="exact"/>
        <w:rPr>
          <w:sz w:val="20"/>
          <w:szCs w:val="20"/>
          <w:color w:val="auto"/>
        </w:rPr>
      </w:pPr>
    </w:p>
    <w:p>
      <w:pPr>
        <w:sectPr>
          <w:pgSz w:w="11900" w:h="16838" w:orient="portrait"/>
          <w:cols w:equalWidth="0" w:num="2">
            <w:col w:w="1580" w:space="440"/>
            <w:col w:w="9400"/>
          </w:cols>
          <w:pgMar w:left="240" w:top="273" w:right="239" w:bottom="1440" w:gutter="0" w:footer="0" w:header="0"/>
        </w:sect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PPENDIX</w:t>
      </w:r>
      <w:r>
        <w:rPr>
          <w:rFonts w:ascii="Arial" w:cs="Arial" w:eastAsia="Arial" w:hAnsi="Arial"/>
          <w:sz w:val="18"/>
          <w:szCs w:val="18"/>
          <w:b w:val="1"/>
          <w:bCs w:val="1"/>
          <w:color w:val="auto"/>
        </w:rPr>
        <w:t xml:space="preserve"> &amp;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MPOSITION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p>
      <w:pPr>
        <w:spacing w:after="0" w:line="12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LECTRONIC</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ELIVERY</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AND </w:t>
      </w:r>
      <w:r>
        <w:rPr>
          <w:rFonts w:ascii="Arial" w:cs="Arial" w:eastAsia="Arial" w:hAnsi="Arial"/>
          <w:sz w:val="18"/>
          <w:szCs w:val="18"/>
          <w:b w:val="1"/>
          <w:bCs w:val="1"/>
          <w:color w:val="auto"/>
        </w:rPr>
        <w:t>A</w:t>
      </w:r>
      <w:r>
        <w:rPr>
          <w:rFonts w:ascii="Arial" w:cs="Arial" w:eastAsia="Arial" w:hAnsi="Arial"/>
          <w:sz w:val="15"/>
          <w:szCs w:val="15"/>
          <w:b w:val="1"/>
          <w:bCs w:val="1"/>
          <w:color w:val="auto"/>
        </w:rPr>
        <w:t>CCEPTANCE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p>
      <w:pPr>
        <w:spacing w:after="0" w:line="12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 xml:space="preserve"> &amp; W</w:t>
      </w:r>
      <w:r>
        <w:rPr>
          <w:rFonts w:ascii="Arial" w:cs="Arial" w:eastAsia="Arial" w:hAnsi="Arial"/>
          <w:sz w:val="15"/>
          <w:szCs w:val="15"/>
          <w:b w:val="1"/>
          <w:bCs w:val="1"/>
          <w:color w:val="auto"/>
        </w:rPr>
        <w:t>AIVER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ESTRICTIONS</w:t>
      </w:r>
      <w:r>
        <w:rPr>
          <w:rFonts w:ascii="Arial" w:cs="Arial" w:eastAsia="Arial" w:hAnsi="Arial"/>
          <w:sz w:val="18"/>
          <w:szCs w:val="18"/>
          <w:b w:val="1"/>
          <w:bCs w:val="1"/>
          <w:color w:val="auto"/>
        </w:rPr>
        <w:t>/M</w:t>
      </w:r>
      <w:r>
        <w:rPr>
          <w:rFonts w:ascii="Arial" w:cs="Arial" w:eastAsia="Arial" w:hAnsi="Arial"/>
          <w:sz w:val="15"/>
          <w:szCs w:val="15"/>
          <w:b w:val="1"/>
          <w:bCs w:val="1"/>
          <w:color w:val="auto"/>
        </w:rPr>
        <w:t>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BUSE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AWS</w:t>
      </w:r>
    </w:p>
    <w:p>
      <w:pPr>
        <w:spacing w:after="0" w:line="20" w:lineRule="exact"/>
        <w:rPr>
          <w:sz w:val="20"/>
          <w:szCs w:val="20"/>
          <w:color w:val="auto"/>
        </w:rPr>
      </w:pPr>
      <w:r>
        <w:rPr>
          <w:sz w:val="20"/>
          <w:szCs w:val="20"/>
          <w:color w:val="auto"/>
        </w:rPr>
        <w:br w:type="column"/>
      </w:r>
    </w:p>
    <w:p>
      <w:pPr>
        <w:ind w:right="140"/>
        <w:spacing w:after="0" w:line="257" w:lineRule="auto"/>
        <w:rPr>
          <w:sz w:val="20"/>
          <w:szCs w:val="20"/>
          <w:color w:val="auto"/>
        </w:rPr>
      </w:pPr>
      <w:r>
        <w:rPr>
          <w:rFonts w:ascii="Arial" w:cs="Arial" w:eastAsia="Arial" w:hAnsi="Arial"/>
          <w:sz w:val="18"/>
          <w:szCs w:val="18"/>
          <w:color w:val="auto"/>
        </w:rPr>
        <w:t>Notwithstanding any provision herein, my participation in the ESPP shall be subject to any special terms and conditions as set forth in the Appendix for my country, if any. Moreover, if I relocate to one of the countries included in the Appendix, the special terms and conditions for such country will apply to me, to the extent the Company determines that the application of such terms and conditions is necessary or advisable for legal or administrative reasons. The Appendix constitutes part of this Enrollment/Change Form.</w:t>
      </w:r>
    </w:p>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reserves the right to impose other requirements on my participation in the ESPP or on any shares of Common Stock purchased under the ESPP, to the extent the Company determines it is necessary or advisable for legal or administrative reasons, and to require me to sign any additional agreements or undertakings that may be necessary to accomplish the foregoing.</w:t>
      </w:r>
    </w:p>
    <w:p>
      <w:pPr>
        <w:spacing w:after="0" w:line="5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17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provisions of this Enrollment/Change Form are severable and if any one or more provisions are determined to be illegal or otherwise unenforceable, in whole or in part, the remaining provisions shall nevertheless be binding and enforceable. I acknowledge that a waiver by the Company of breach of any provision of this Enrollment/Change Form shall not operate or be construed as a waiver of any other provision herein, or of any subsequent breach by me or any other Participant.</w:t>
      </w:r>
    </w:p>
    <w:p>
      <w:pPr>
        <w:spacing w:after="0" w:line="4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 acknowledge that I may be subject to insider trading restrictions and/or market abuse laws, which may affect my ability to acquire or sell shares of Common Stock or my rights to purchase shares under the ESPP during such times as I am considered to have “inside information” regarding the Company (as defined by or determined under the laws in my country). Any restrictions under these laws or regulations are separate from and in addition to any restrictions that may be imposed under any applicable Company insider trading policy. I acknowledge that it is my responsibility to comply with any applicable restrictions, and that I am advised to speak to my personal advisor on this matter.</w:t>
      </w:r>
    </w:p>
    <w:p>
      <w:pPr>
        <w:spacing w:after="0" w:line="11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1920" w:space="100"/>
            <w:col w:w="9400"/>
          </w:cols>
          <w:pgMar w:left="240" w:top="273" w:right="239" w:bottom="1440" w:gutter="0" w:footer="0" w:header="0"/>
          <w:type w:val="continuous"/>
        </w:sectPr>
      </w:pPr>
    </w:p>
    <w:bookmarkStart w:id="409" w:name="page410"/>
    <w:bookmarkEnd w:id="409"/>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EGARDING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w:t>
      </w:r>
    </w:p>
    <w:p>
      <w:pPr>
        <w:spacing w:after="0" w:line="12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OMPLIANCE</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ITH</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CKNOWLEDGMENT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AND </w:t>
      </w: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The Company is not providing any tax, legal or financial advice, nor is the Company making any recommendations regarding my participation in the ESPP, or my purchase or sale of the shares of Common Stock. I am hereby advised to consult with my own personal tax, legal and financial advisors regarding my participation in the ESPP before taking any action related to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-540385</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there is an available exemption from any registration, qualification or other legal requirement applicable to the shares of Common Stock, the Company shall not be required to deliver any shares under the ESPP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I understand that the Company is under no obligation to register or qualify the shares with the SEC or any state or foreign securities commission or to seek approval or clearance from any governmental authority for the issuance or sale of the shares. Further, I agree that the Company shall have unilateral authority to amend the ESPP and the Enrollment/Change Form without my consent to the extent necessary to comply with securities or other laws applicable to issuance of shares.</w:t>
      </w:r>
    </w:p>
    <w:p>
      <w:pPr>
        <w:spacing w:after="0" w:line="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 acknowledge that I have received a copy of the ESPP Prospectus (which summarizes the major features of the ESPP). I have read the Prospectus and my signature below indicates that I hereby agree to be bound by the terms of the ESPP.</w:t>
      </w:r>
    </w:p>
    <w:p>
      <w:pPr>
        <w:spacing w:after="0" w:line="52"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-10160</wp:posOffset>
            </wp:positionV>
            <wp:extent cx="35902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90290" cy="8890"/>
                    </a:xfrm>
                    <a:prstGeom prst="rect">
                      <a:avLst/>
                    </a:prstGeom>
                    <a:noFill/>
                  </pic:spPr>
                </pic:pic>
              </a:graphicData>
            </a:graphic>
          </wp:anchor>
        </w:drawing>
      </w:r>
    </w:p>
    <w:p>
      <w:pPr>
        <w:spacing w:after="0" w:line="1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1620" w:space="180"/>
            <w:col w:w="9540"/>
          </w:cols>
          <w:pgMar w:left="240" w:top="274" w:right="319" w:bottom="1440" w:gutter="0" w:footer="0" w:header="0"/>
        </w:sectPr>
      </w:pPr>
    </w:p>
    <w:bookmarkStart w:id="410" w:name="page411"/>
    <w:bookmarkEnd w:id="4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PPENDIX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LOBAL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NROLLMENT</w:t>
      </w:r>
      <w:r>
        <w:rPr>
          <w:rFonts w:ascii="Arial" w:cs="Arial" w:eastAsia="Arial" w:hAnsi="Arial"/>
          <w:sz w:val="18"/>
          <w:szCs w:val="18"/>
          <w:b w:val="1"/>
          <w:bCs w:val="1"/>
          <w:color w:val="auto"/>
        </w:rPr>
        <w:t>/C</w:t>
      </w:r>
      <w:r>
        <w:rPr>
          <w:rFonts w:ascii="Arial" w:cs="Arial" w:eastAsia="Arial" w:hAnsi="Arial"/>
          <w:sz w:val="15"/>
          <w:szCs w:val="15"/>
          <w:b w:val="1"/>
          <w:bCs w:val="1"/>
          <w:color w:val="auto"/>
        </w:rPr>
        <w:t>HANGE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ascribed to them in the ESPP or the Enrollment/Change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Appendix includes additional terms and conditions that govern your participation in the AnaptysBio, Inc. 2017 Employee Stock Purchase Plan if you reside and/or work in one of the countries listed below. If you are a citizen or resident (or are considered as such for local law purposes) of a country other than the country in which you are currently residing and/or working, or if you transfer to another country after enrolling in the ESPP, the Company shall, in its discretion, determine to what extent the special terms and conditions contained herein shall be applicable to you.</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OTIFICATIONS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Appendix also includes information regarding securities, exchange controls, tax and certain other issues of which you should be aware with respect to your participation in the ESPP. The information is based on the securities, exchange control, tax and other laws in effect in your country as of January 2017. Such laws are often complex and change frequently. As a result, the Company strongly recommends that you not rely on the information in this Appendix as the only source of information relating to the consequences of your participation in the ESPP because the information may be out of date at the time you exercise your right to purchase shares or sell shares of Common Stock purchased under the ESPP.</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Finally, if you are a citizen or resident of a country, or are considered resident of a country, other than the one in which you are currently residing and/or working, or you transfer employment and/or residency after you enroll in the ESPP, the information contained herein may not be applicable to you.</w:t>
      </w:r>
    </w:p>
    <w:p>
      <w:pPr>
        <w:sectPr>
          <w:pgSz w:w="11900" w:h="16838" w:orient="portrait"/>
          <w:cols w:equalWidth="0" w:num="1">
            <w:col w:w="11420"/>
          </w:cols>
          <w:pgMar w:left="240" w:top="270" w:right="239" w:bottom="1440" w:gutter="0" w:footer="0" w:header="0"/>
        </w:sectPr>
      </w:pPr>
    </w:p>
    <w:bookmarkStart w:id="411" w:name="page412"/>
    <w:bookmarkEnd w:id="411"/>
    <w:p>
      <w:pPr>
        <w:jc w:val="right"/>
        <w:ind w:right="3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b w:val="1"/>
          <w:bCs w:val="1"/>
          <w:color w:val="auto"/>
        </w:rPr>
        <w:t>NITED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ectPr>
          <w:pgSz w:w="11900" w:h="16838" w:orient="portrait"/>
          <w:cols w:equalWidth="0" w:num="1">
            <w:col w:w="10219"/>
          </w:cols>
          <w:pgMar w:left="240" w:top="270" w:right="1440"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from time to time be amended, modified, supplemented or restated,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24,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the Lenders listed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hereof or otherwise a party hereto from time to time including Oxford in its capacity as a Lender and SILICON VALLEY BANK, a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ANAPTYSBIO, INC., a Delaware corporation with offices located at 10421 Pacific Center Court, Suite 200, San Diego, CA 92121 (individually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355" w:lineRule="exact"/>
        <w:rPr>
          <w:sz w:val="20"/>
          <w:szCs w:val="20"/>
          <w:color w:val="auto"/>
        </w:rPr>
      </w:pPr>
    </w:p>
    <w:p>
      <w:pPr>
        <w:ind w:left="460" w:hanging="452"/>
        <w:spacing w:after="0"/>
        <w:tabs>
          <w:tab w:leader="none" w:pos="46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 are United States Dollars, unless otherwise noted.</w:t>
      </w:r>
    </w:p>
    <w:p>
      <w:pPr>
        <w:spacing w:after="0" w:line="329" w:lineRule="exact"/>
        <w:rPr>
          <w:sz w:val="20"/>
          <w:szCs w:val="20"/>
          <w:color w:val="auto"/>
        </w:rPr>
      </w:pPr>
    </w:p>
    <w:p>
      <w:pPr>
        <w:ind w:left="460" w:hanging="452"/>
        <w:spacing w:after="0"/>
        <w:tabs>
          <w:tab w:leader="none" w:pos="46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2.1. Promise to Pay</w:t>
      </w:r>
      <w:r>
        <w:rPr>
          <w:rFonts w:ascii="Arial" w:cs="Arial" w:eastAsia="Arial" w:hAnsi="Arial"/>
          <w:sz w:val="16"/>
          <w:szCs w:val="16"/>
          <w:color w:val="auto"/>
        </w:rPr>
        <w:t>. 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59" w:lineRule="auto"/>
        <w:tabs>
          <w:tab w:leader="none" w:pos="1157"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in a single advance on the Effective Date in an aggregate amount of Five Million Dollars ($5,000,000.00)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ind w:firstLine="1492"/>
        <w:spacing w:after="0" w:line="259" w:lineRule="auto"/>
        <w:tabs>
          <w:tab w:leader="none" w:pos="174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B Loan may be re-borrowed.</w:t>
      </w:r>
    </w:p>
    <w:p>
      <w:pPr>
        <w:spacing w:after="0" w:line="186" w:lineRule="exact"/>
        <w:rPr>
          <w:rFonts w:ascii="Arial" w:cs="Arial" w:eastAsia="Arial" w:hAnsi="Arial"/>
          <w:sz w:val="18"/>
          <w:szCs w:val="18"/>
          <w:color w:val="auto"/>
        </w:rPr>
      </w:pPr>
    </w:p>
    <w:p>
      <w:pPr>
        <w:ind w:right="80" w:firstLine="1492"/>
        <w:spacing w:after="0" w:line="297" w:lineRule="auto"/>
        <w:tabs>
          <w:tab w:leader="none" w:pos="1798" w:val="left"/>
        </w:tabs>
        <w:numPr>
          <w:ilvl w:val="1"/>
          <w:numId w:val="38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C Loan may be re-borrowed.</w:t>
      </w:r>
    </w:p>
    <w:p>
      <w:pPr>
        <w:spacing w:after="0" w:line="158" w:lineRule="exact"/>
        <w:rPr>
          <w:rFonts w:ascii="Arial" w:cs="Arial" w:eastAsia="Arial" w:hAnsi="Arial"/>
          <w:sz w:val="16"/>
          <w:szCs w:val="16"/>
          <w:color w:val="auto"/>
        </w:rPr>
      </w:pPr>
    </w:p>
    <w:p>
      <w:pPr>
        <w:jc w:val="both"/>
        <w:ind w:right="60" w:firstLine="921"/>
        <w:spacing w:after="0" w:line="279" w:lineRule="auto"/>
        <w:tabs>
          <w:tab w:leader="none" w:pos="1168"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4"/>
          <w:szCs w:val="14"/>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13" w:name="page414"/>
    <w:bookmarkEnd w:id="4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(X) if the Amortization Date is February 1, 2016, thirty six (36) months, (Y) if the Amortization Date is August 1, 2016, thirty (30) months, and</w:t>
      </w:r>
    </w:p>
    <w:p>
      <w:pPr>
        <w:spacing w:after="0" w:line="2" w:lineRule="exact"/>
        <w:rPr>
          <w:sz w:val="20"/>
          <w:szCs w:val="20"/>
          <w:color w:val="auto"/>
        </w:rPr>
      </w:pPr>
    </w:p>
    <w:p>
      <w:pPr>
        <w:ind w:right="280" w:firstLine="8"/>
        <w:spacing w:after="0" w:line="290" w:lineRule="auto"/>
        <w:tabs>
          <w:tab w:leader="none" w:pos="27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if the Amortization Date is February 1, 2017, twenty four (24) months. All unpaid principal and accrued and unpaid interest with respect to each Term Loan is due and payable in full on the Maturity Date. Each Term Loan may only be prepaid in accordance with Sections 2.2(c) and 2.2(d).</w:t>
      </w:r>
    </w:p>
    <w:p>
      <w:pPr>
        <w:spacing w:after="0" w:line="161" w:lineRule="exact"/>
        <w:rPr>
          <w:rFonts w:ascii="Arial" w:cs="Arial" w:eastAsia="Arial" w:hAnsi="Arial"/>
          <w:sz w:val="17"/>
          <w:szCs w:val="17"/>
          <w:color w:val="auto"/>
        </w:rPr>
      </w:pPr>
    </w:p>
    <w:p>
      <w:pPr>
        <w:ind w:right="40" w:firstLine="921"/>
        <w:spacing w:after="0" w:line="255" w:lineRule="auto"/>
        <w:tabs>
          <w:tab w:leader="none" w:pos="1157"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right="120" w:firstLine="921"/>
        <w:spacing w:after="0" w:line="291" w:lineRule="auto"/>
        <w:tabs>
          <w:tab w:leader="none" w:pos="1168" w:val="left"/>
        </w:tabs>
        <w:numPr>
          <w:ilvl w:val="1"/>
          <w:numId w:val="385"/>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57" w:lineRule="auto"/>
        <w:tabs>
          <w:tab w:leader="none" w:pos="1157" w:val="left"/>
        </w:tabs>
        <w:numPr>
          <w:ilvl w:val="1"/>
          <w:numId w:val="386"/>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Loans shall accrue interest at a fixed per annum rate (which rate shall be fixed for the duration of the applicable Term Loan)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ind w:firstLine="921"/>
        <w:spacing w:after="0" w:line="259" w:lineRule="auto"/>
        <w:tabs>
          <w:tab w:leader="none" w:pos="1168" w:val="left"/>
        </w:tabs>
        <w:numPr>
          <w:ilvl w:val="1"/>
          <w:numId w:val="38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386"/>
        </w:numPr>
        <w:rPr>
          <w:rFonts w:ascii="Arial" w:cs="Arial" w:eastAsia="Arial" w:hAnsi="Arial"/>
          <w:sz w:val="17"/>
          <w:szCs w:val="17"/>
          <w:color w:val="auto"/>
        </w:rPr>
      </w:pPr>
      <w:r>
        <w:rPr>
          <w:rFonts w:ascii="Arial" w:cs="Arial" w:eastAsia="Arial" w:hAnsi="Arial"/>
          <w:sz w:val="17"/>
          <w:szCs w:val="17"/>
          <w:u w:val="single" w:color="auto"/>
          <w:color w:val="auto"/>
        </w:rPr>
        <w:t>360-Day Year</w:t>
      </w:r>
      <w:r>
        <w:rPr>
          <w:rFonts w:ascii="Arial" w:cs="Arial" w:eastAsia="Arial" w:hAnsi="Arial"/>
          <w:sz w:val="17"/>
          <w:szCs w:val="17"/>
          <w:color w:val="auto"/>
        </w:rPr>
        <w:t>. Interest shall be computed on the basis of a three hundred sixty (360) day year consisting of twelve (12) months of thirty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days.</w:t>
      </w:r>
    </w:p>
    <w:p>
      <w:pPr>
        <w:spacing w:after="0" w:line="210" w:lineRule="exact"/>
        <w:rPr>
          <w:rFonts w:ascii="Arial" w:cs="Arial" w:eastAsia="Arial" w:hAnsi="Arial"/>
          <w:sz w:val="18"/>
          <w:szCs w:val="18"/>
          <w:color w:val="auto"/>
        </w:rPr>
      </w:pPr>
    </w:p>
    <w:p>
      <w:pPr>
        <w:ind w:firstLine="921"/>
        <w:spacing w:after="0" w:line="264" w:lineRule="auto"/>
        <w:tabs>
          <w:tab w:leader="none" w:pos="1168"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ind w:right="260" w:firstLine="921"/>
        <w:spacing w:after="0" w:line="286" w:lineRule="auto"/>
        <w:tabs>
          <w:tab w:leader="none" w:pos="1157"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414" w:name="page415"/>
    <w:bookmarkEnd w:id="414"/>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2.4. Secured Promissory Notes</w:t>
      </w:r>
      <w:r>
        <w:rPr>
          <w:rFonts w:ascii="Arial" w:cs="Arial" w:eastAsia="Arial" w:hAnsi="Arial"/>
          <w:sz w:val="17"/>
          <w:szCs w:val="17"/>
          <w:color w:val="auto"/>
        </w:rPr>
        <w:t>. 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firstLine="921"/>
        <w:spacing w:after="0" w:line="276" w:lineRule="auto"/>
        <w:tabs>
          <w:tab w:leader="none" w:pos="1157"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A fully earned, non-refundable facility fee of up to One Hundred Fifty Thousand Dollars ($150,000.00) to be shared between the Lenders pursuant to their respective Commitment Percentages payable as follows: (i) Fifty Thousand Dollars ($50,000.00) of the facility fee shall be due and payable on the Effective Date, the receipt of which Collateral Agent and Lenders hereby acknowledge, (ii) Fifty Thousand Dollars ($50,000.00) of the facility fee shall be due and payable on and conditioned upon the Funding Date of the Term B Loan, and (iii) Fifty Thousand Dollars ($50,000.00) of the facility fee shall be due and payable on and conditioned upon the Funding Date of the Term C Loan.</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and</w:t>
      </w:r>
    </w:p>
    <w:p>
      <w:pPr>
        <w:spacing w:after="0" w:line="210"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reasonable Lenders’ Expenses (including reasonable attorneys’ fees and expenses for documentation and negotiation of this Agreement) incurred from November 5, 2014 through and after the Effective Date, promptly when due.</w:t>
      </w:r>
    </w:p>
    <w:p>
      <w:pPr>
        <w:spacing w:after="0" w:line="16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2.6. Withholding</w:t>
      </w:r>
      <w:r>
        <w:rPr>
          <w:rFonts w:ascii="Arial" w:cs="Arial" w:eastAsia="Arial" w:hAnsi="Arial"/>
          <w:sz w:val="16"/>
          <w:szCs w:val="16"/>
          <w:color w:val="auto"/>
        </w:rPr>
        <w:t>. 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5" w:name="page416"/>
    <w:bookmarkEnd w:id="415"/>
    <w:p>
      <w:pPr>
        <w:ind w:left="460" w:hanging="452"/>
        <w:spacing w:after="0"/>
        <w:tabs>
          <w:tab w:leader="none" w:pos="4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LOANS</w:t>
      </w:r>
    </w:p>
    <w:p>
      <w:pPr>
        <w:spacing w:after="0" w:line="11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A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160" w:hanging="239"/>
        <w:spacing w:after="0"/>
        <w:tabs>
          <w:tab w:leader="none" w:pos="11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duly executed original Control Agreements with respect to any Collateral Accounts maintained by Borrower or any of its Subsidiaries;</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duly executed original Secured Promissory Notes in favor of each Lender according to its Term A Loan Commitment Percentage;</w:t>
      </w:r>
    </w:p>
    <w:p>
      <w:pPr>
        <w:spacing w:after="0" w:line="236"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120" w:firstLine="921"/>
        <w:spacing w:after="0" w:line="286" w:lineRule="auto"/>
        <w:tabs>
          <w:tab w:leader="none" w:pos="1168"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140" w:hanging="219"/>
        <w:spacing w:after="0"/>
        <w:tabs>
          <w:tab w:leader="none" w:pos="11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and each Subsidiaries’ leased locations;</w:t>
      </w:r>
    </w:p>
    <w:p>
      <w:pPr>
        <w:spacing w:after="0" w:line="225"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firstLine="921"/>
        <w:spacing w:after="0" w:line="264" w:lineRule="auto"/>
        <w:tabs>
          <w:tab w:leader="none" w:pos="112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81" w:lineRule="exact"/>
        <w:rPr>
          <w:rFonts w:ascii="Arial" w:cs="Arial" w:eastAsia="Arial" w:hAnsi="Arial"/>
          <w:sz w:val="18"/>
          <w:szCs w:val="18"/>
          <w:color w:val="auto"/>
        </w:rPr>
      </w:pPr>
    </w:p>
    <w:p>
      <w:pPr>
        <w:ind w:right="300" w:firstLine="921"/>
        <w:spacing w:after="0" w:line="277" w:lineRule="auto"/>
        <w:tabs>
          <w:tab w:leader="none" w:pos="121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copy of the Third Amended and Restated Rights Agreement by and among the Company and the investors party thereto, dated July 15, 2013 (as such agreement may be amended and restated through the Effective Date).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416" w:name="page417"/>
    <w:bookmarkEnd w:id="416"/>
    <w:p>
      <w:pPr>
        <w:ind w:right="5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Conditions Precedent to all Credit Extensions</w:t>
      </w:r>
      <w:r>
        <w:rPr>
          <w:rFonts w:ascii="Arial" w:cs="Arial" w:eastAsia="Arial" w:hAnsi="Arial"/>
          <w:sz w:val="18"/>
          <w:szCs w:val="18"/>
          <w:color w:val="auto"/>
        </w:rPr>
        <w:t>. 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180" w:firstLine="921"/>
        <w:spacing w:after="0" w:line="277" w:lineRule="auto"/>
        <w:tabs>
          <w:tab w:leader="none" w:pos="115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40" w:firstLine="921"/>
        <w:spacing w:after="0" w:line="270" w:lineRule="auto"/>
        <w:tabs>
          <w:tab w:leader="none" w:pos="116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such Lender’s sole but reasonable discretion, there has not been any Material Adverse Change;</w:t>
      </w:r>
    </w:p>
    <w:p>
      <w:pPr>
        <w:spacing w:after="0" w:line="225"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(i) to the extent not delivered at the Effective Date, duly executed original Secured Promissory Notes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favor of each Lender according to its Commitment Percentage, with respect to each Credit Extension made by such Lender after the Effective Date and (ii) a Warrant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favor of each Lender; and</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3.4. Procedures for Borrowing</w:t>
      </w:r>
      <w:r>
        <w:rPr>
          <w:rFonts w:ascii="Arial" w:cs="Arial" w:eastAsia="Arial" w:hAnsi="Arial"/>
          <w:sz w:val="17"/>
          <w:szCs w:val="17"/>
          <w:color w:val="auto"/>
        </w:rPr>
        <w:t>. 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Borrower shall notify the Lenders (which notice shall be irrevocable) by electronic mail, facsimile, or telephone by 2:00 pm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321"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417" w:name="page418"/>
    <w:bookmarkEnd w:id="41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1" w:lineRule="exact"/>
        <w:rPr>
          <w:sz w:val="20"/>
          <w:szCs w:val="20"/>
          <w:color w:val="auto"/>
        </w:rPr>
      </w:pPr>
    </w:p>
    <w:p>
      <w:pPr>
        <w:ind w:right="120" w:firstLine="921"/>
        <w:spacing w:after="0" w:line="279" w:lineRule="auto"/>
        <w:tabs>
          <w:tab w:leader="none" w:pos="1158" w:val="left"/>
        </w:tabs>
        <w:numPr>
          <w:ilvl w:val="1"/>
          <w:numId w:val="393"/>
        </w:numPr>
        <w:rPr>
          <w:rFonts w:ascii="Arial" w:cs="Arial" w:eastAsia="Arial" w:hAnsi="Arial"/>
          <w:sz w:val="17"/>
          <w:szCs w:val="17"/>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rFonts w:ascii="Arial" w:cs="Arial" w:eastAsia="Arial" w:hAnsi="Arial"/>
          <w:sz w:val="17"/>
          <w:szCs w:val="17"/>
          <w:color w:val="auto"/>
        </w:rPr>
      </w:pPr>
    </w:p>
    <w:p>
      <w:pPr>
        <w:ind w:right="180" w:firstLine="921"/>
        <w:spacing w:after="0" w:line="259" w:lineRule="auto"/>
        <w:tabs>
          <w:tab w:leader="none" w:pos="1168"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86" w:lineRule="exact"/>
        <w:rPr>
          <w:rFonts w:ascii="Arial" w:cs="Arial" w:eastAsia="Arial" w:hAnsi="Arial"/>
          <w:sz w:val="18"/>
          <w:szCs w:val="18"/>
          <w:color w:val="auto"/>
        </w:rPr>
      </w:pPr>
    </w:p>
    <w:p>
      <w:pPr>
        <w:ind w:right="180" w:firstLine="921"/>
        <w:spacing w:after="0" w:line="286" w:lineRule="auto"/>
        <w:tabs>
          <w:tab w:leader="none" w:pos="1158" w:val="left"/>
        </w:tabs>
        <w:numPr>
          <w:ilvl w:val="1"/>
          <w:numId w:val="393"/>
        </w:numPr>
        <w:rPr>
          <w:rFonts w:ascii="Arial" w:cs="Arial" w:eastAsia="Arial" w:hAnsi="Arial"/>
          <w:sz w:val="16"/>
          <w:szCs w:val="16"/>
          <w:color w:val="auto"/>
        </w:rPr>
      </w:pPr>
      <w:r>
        <w:rPr>
          <w:rFonts w:ascii="Arial" w:cs="Arial" w:eastAsia="Arial" w:hAnsi="Arial"/>
          <w:sz w:val="16"/>
          <w:szCs w:val="16"/>
          <w:color w:val="auto"/>
        </w:rPr>
        <w:t>Notwithstanding the provisions of Section 4(b), in the event (x) all Obligations (other than inchoate indemnity obligations), except for Bank Services, are satisfied in full, and (y) this Agreement is terminated, Bank shall terminate the security interest granted herein upon Borrower providing cash collateral acceptable to Bank in the reasonable and good faith business judgment for Bank Services, if any. In the event such Bank Services consist of outstanding Letters of Credit, it shall be sufficient cash collateral acceptable to Bank for securing such Bank Services in applying the provisions of clause</w:t>
      </w:r>
    </w:p>
    <w:p>
      <w:pPr>
        <w:spacing w:after="0" w:line="1" w:lineRule="exact"/>
        <w:rPr>
          <w:rFonts w:ascii="Arial" w:cs="Arial" w:eastAsia="Arial" w:hAnsi="Arial"/>
          <w:sz w:val="16"/>
          <w:szCs w:val="16"/>
          <w:color w:val="auto"/>
        </w:rPr>
      </w:pPr>
    </w:p>
    <w:p>
      <w:pPr>
        <w:ind w:right="100" w:firstLine="8"/>
        <w:spacing w:after="0" w:line="295" w:lineRule="auto"/>
        <w:tabs>
          <w:tab w:leader="none" w:pos="25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with respect to Bank Services that consist of Letters of Credit, if Borrower provides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5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4.2. Authorization to File Financing Statements</w:t>
      </w:r>
      <w:r>
        <w:rPr>
          <w:rFonts w:ascii="Arial" w:cs="Arial" w:eastAsia="Arial" w:hAnsi="Arial"/>
          <w:sz w:val="17"/>
          <w:szCs w:val="17"/>
          <w:color w:val="auto"/>
        </w:rPr>
        <w:t>. Borrower hereby authorizes Collateral Agent to file financing statements or take any other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314"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418" w:name="page419"/>
    <w:bookmarkEnd w:id="4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66"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20" w:firstLine="8"/>
        <w:spacing w:after="0" w:line="269" w:lineRule="auto"/>
        <w:tabs>
          <w:tab w:leader="none" w:pos="265"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w:t>
      </w:r>
    </w:p>
    <w:p>
      <w:pPr>
        <w:spacing w:after="0" w:line="229" w:lineRule="exact"/>
        <w:rPr>
          <w:sz w:val="20"/>
          <w:szCs w:val="20"/>
          <w:color w:val="auto"/>
        </w:rPr>
      </w:pPr>
    </w:p>
    <w:p>
      <w:pPr>
        <w:ind w:right="180" w:firstLine="921"/>
        <w:spacing w:after="0" w:line="273" w:lineRule="auto"/>
        <w:tabs>
          <w:tab w:leader="none" w:pos="115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rFonts w:ascii="Arial" w:cs="Arial" w:eastAsia="Arial" w:hAnsi="Arial"/>
          <w:sz w:val="17"/>
          <w:szCs w:val="17"/>
          <w:color w:val="auto"/>
        </w:rPr>
      </w:pPr>
    </w:p>
    <w:p>
      <w:pPr>
        <w:jc w:val="both"/>
        <w:ind w:right="80" w:firstLine="921"/>
        <w:spacing w:after="0" w:line="259" w:lineRule="auto"/>
        <w:tabs>
          <w:tab w:leader="none" w:pos="116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right="220" w:firstLine="921"/>
        <w:spacing w:after="0" w:line="271" w:lineRule="auto"/>
        <w:tabs>
          <w:tab w:leader="none" w:pos="116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material license or other material agreement with respect to which Borrower or any Subsidiary is the licensee (other than over-the-counter software that is commercially available to the public).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19" w:name="page420"/>
    <w:bookmarkEnd w:id="419"/>
    <w:p>
      <w:pPr>
        <w:ind w:right="7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 Litigation</w:t>
      </w:r>
      <w:r>
        <w:rPr>
          <w:rFonts w:ascii="Arial" w:cs="Arial" w:eastAsia="Arial" w:hAnsi="Arial"/>
          <w:sz w:val="18"/>
          <w:szCs w:val="18"/>
          <w:color w:val="auto"/>
        </w:rPr>
        <w:t>. 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5.4. No Material Deterioration in Financial Condition; Financial Statements</w:t>
      </w:r>
      <w:r>
        <w:rPr>
          <w:rFonts w:ascii="Arial" w:cs="Arial" w:eastAsia="Arial" w:hAnsi="Arial"/>
          <w:sz w:val="16"/>
          <w:szCs w:val="16"/>
          <w:color w:val="auto"/>
        </w:rPr>
        <w:t>. 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and each of its Subsidiaries is Solvent.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5.6. Regulatory Compliance</w:t>
      </w:r>
      <w:r>
        <w:rPr>
          <w:rFonts w:ascii="Arial" w:cs="Arial" w:eastAsia="Arial" w:hAnsi="Arial"/>
          <w:sz w:val="18"/>
          <w:szCs w:val="18"/>
          <w:color w:val="auto"/>
        </w:rPr>
        <w:t>. Neither Borrower nor any of its Subsidiaries is an “investment company” or a company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420" w:name="page421"/>
    <w:bookmarkEnd w:id="42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this Agreement, and not for personal, family, household or agricultural purposes.</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or any of its Subsidiaries in any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given to Collateral Agent or any Lender in connection with the transactions contemplated hereby, as of the date such representation, warranty, or other statement was made, taken together with all such written certificates and written statements given to Collateral Agent or any Lender with respect to the transactions contemplated hereby,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5.11.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the Responsible Officers.</w:t>
      </w:r>
    </w:p>
    <w:p>
      <w:pPr>
        <w:spacing w:after="0" w:line="325"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921"/>
        <w:spacing w:after="0" w:line="259" w:lineRule="auto"/>
        <w:tabs>
          <w:tab w:leader="none" w:pos="115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ind w:right="80" w:firstLine="1492"/>
        <w:spacing w:after="0" w:line="264" w:lineRule="auto"/>
        <w:tabs>
          <w:tab w:leader="none" w:pos="1698" w:val="left"/>
        </w:tabs>
        <w:numPr>
          <w:ilvl w:val="2"/>
          <w:numId w:val="39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2"/>
          <w:numId w:val="399"/>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eighty (180) days after the last day of Borrower’s fiscal year or within five</w:t>
      </w:r>
    </w:p>
    <w:p>
      <w:pPr>
        <w:spacing w:after="0" w:line="34" w:lineRule="exact"/>
        <w:rPr>
          <w:rFonts w:ascii="Arial" w:cs="Arial" w:eastAsia="Arial" w:hAnsi="Arial"/>
          <w:sz w:val="17"/>
          <w:szCs w:val="17"/>
          <w:color w:val="auto"/>
        </w:rPr>
      </w:pPr>
    </w:p>
    <w:p>
      <w:pPr>
        <w:ind w:firstLine="8"/>
        <w:spacing w:after="0" w:line="261" w:lineRule="auto"/>
        <w:tabs>
          <w:tab w:leader="none" w:pos="25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days of filing with the SEC, audited consolidated financial statements prepared under GAAP, consistently applied, together with an unqualified opinion on the financial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from an independent certified public accounting firm acceptable to Collateral Agent in its reasonable discretion;</w:t>
      </w:r>
    </w:p>
    <w:p>
      <w:pPr>
        <w:spacing w:after="0" w:line="225" w:lineRule="exact"/>
        <w:rPr>
          <w:sz w:val="20"/>
          <w:szCs w:val="20"/>
          <w:color w:val="auto"/>
        </w:rPr>
      </w:pPr>
    </w:p>
    <w:p>
      <w:pPr>
        <w:ind w:firstLine="1492"/>
        <w:spacing w:after="0" w:line="276" w:lineRule="auto"/>
        <w:tabs>
          <w:tab w:leader="none" w:pos="179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ten (10)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7"/>
          <w:szCs w:val="17"/>
          <w:b w:val="1"/>
          <w:bCs w:val="1"/>
          <w:color w:val="auto"/>
        </w:rPr>
        <w:t>Annual Projections</w:t>
      </w:r>
      <w:r>
        <w:rPr>
          <w:rFonts w:ascii="Arial" w:cs="Arial" w:eastAsia="Arial" w:hAnsi="Arial"/>
          <w:sz w:val="17"/>
          <w:szCs w:val="17"/>
          <w:color w:val="auto"/>
        </w:rPr>
        <w:t>”; provided that, any revisions of the Annual Projections approved by Borrower’s Board of Directors shall be delivered to Collateral Agent and the Lenders no later than seven (7) days after such approval);</w:t>
      </w:r>
    </w:p>
    <w:p>
      <w:pPr>
        <w:spacing w:after="0" w:line="172" w:lineRule="exact"/>
        <w:rPr>
          <w:rFonts w:ascii="Arial" w:cs="Arial" w:eastAsia="Arial" w:hAnsi="Arial"/>
          <w:sz w:val="17"/>
          <w:szCs w:val="17"/>
          <w:color w:val="auto"/>
        </w:rPr>
      </w:pPr>
    </w:p>
    <w:p>
      <w:pPr>
        <w:ind w:left="1800" w:hanging="308"/>
        <w:spacing w:after="0"/>
        <w:tabs>
          <w:tab w:leader="none" w:pos="18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within five (5) days of delivery, copies of all statements, reports and notices made available to Borrower’s security holders or 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Subordinated Debt;</w:t>
      </w:r>
    </w:p>
    <w:p>
      <w:pPr>
        <w:spacing w:after="0" w:line="210" w:lineRule="exact"/>
        <w:rPr>
          <w:rFonts w:ascii="Arial" w:cs="Arial" w:eastAsia="Arial" w:hAnsi="Arial"/>
          <w:sz w:val="16"/>
          <w:szCs w:val="16"/>
          <w:color w:val="auto"/>
        </w:rPr>
      </w:pPr>
    </w:p>
    <w:p>
      <w:pPr>
        <w:ind w:right="260" w:firstLine="1492"/>
        <w:spacing w:after="0" w:line="277" w:lineRule="auto"/>
        <w:tabs>
          <w:tab w:leader="none" w:pos="173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right="80" w:firstLine="1492"/>
        <w:spacing w:after="0" w:line="254" w:lineRule="auto"/>
        <w:tabs>
          <w:tab w:leader="none" w:pos="178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prompt notice of any (A) amendments of or other changes to the Operating Documents of Borrower or any of its Subsidiaries, together with any copies reflecting such amendments or changes with respect thereto and (B) material changes to the capitalization table of Borrower or any of its Subsidiaries, provided, however, that (i) no such notice shall be required with respect to the grant, exercise, cancellation or modification of options to purchase Borrower’s Common Stock outstanding or hereafter issued by Borrower from the option pool set forth on the capitalization table of Borrower delivered to Bank in connection with the Perfection Certificate or upon exercise of warrants to purchase capital stock of the Borrower reflected upon such capitalization table and (ii) Borrower shall provide Lenders notice with respect to, and copies of, the current capitalization table no later than thirty (30) days after the end of each quarter to the extent that there have been any amendments of, or changes to, the capitalization table since the last time the same was delivered to Lenders.</w:t>
      </w:r>
    </w:p>
    <w:p>
      <w:pPr>
        <w:spacing w:after="0" w:line="192" w:lineRule="exact"/>
        <w:rPr>
          <w:rFonts w:ascii="Arial" w:cs="Arial" w:eastAsia="Arial" w:hAnsi="Arial"/>
          <w:sz w:val="18"/>
          <w:szCs w:val="18"/>
          <w:color w:val="auto"/>
        </w:rPr>
      </w:pPr>
    </w:p>
    <w:p>
      <w:pPr>
        <w:ind w:left="1840" w:hanging="348"/>
        <w:spacing w:after="0"/>
        <w:tabs>
          <w:tab w:leader="none" w:pos="184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Intellectual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jc w:val="both"/>
        <w:ind w:right="40" w:firstLine="1492"/>
        <w:spacing w:after="0" w:line="264" w:lineRule="auto"/>
        <w:tabs>
          <w:tab w:leader="none" w:pos="188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right="160" w:firstLine="921"/>
        <w:spacing w:after="0" w:line="277" w:lineRule="auto"/>
        <w:tabs>
          <w:tab w:leader="none" w:pos="116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firstLine="921"/>
        <w:spacing w:after="0" w:line="257" w:lineRule="auto"/>
        <w:tabs>
          <w:tab w:leader="none" w:pos="115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422" w:name="page423"/>
    <w:bookmarkEnd w:id="422"/>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and analysis of its operations and the Collateral. Such audits shall be conducted no more often than once every six months unless (and more frequently if) an Event of Default has occurred and is continuing.</w:t>
      </w:r>
    </w:p>
    <w:p>
      <w:pPr>
        <w:spacing w:after="0" w:line="166"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One Hundred Thousand Dollars ($100,000.00),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229" w:lineRule="exact"/>
        <w:rPr>
          <w:sz w:val="20"/>
          <w:szCs w:val="20"/>
          <w:color w:val="auto"/>
        </w:rPr>
      </w:pPr>
    </w:p>
    <w:p>
      <w:pPr>
        <w:ind w:right="140" w:firstLine="921"/>
        <w:spacing w:after="0" w:line="264" w:lineRule="auto"/>
        <w:tabs>
          <w:tab w:leader="none" w:pos="115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Maintain its primary and its Subsidiaries’ primary Collateral Accounts with Bank or its Affiliates in accounts which are subject to a Control Agreement in favor of Collateral Agent and which accounts shall represent at least fifty percent (50%) of the dollar value of Borrower’s and such Subsidiaries’ accounts at all financial institutions.</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423" w:name="page424"/>
    <w:bookmarkEnd w:id="423"/>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181" w:lineRule="exact"/>
        <w:rPr>
          <w:sz w:val="20"/>
          <w:szCs w:val="20"/>
          <w:color w:val="auto"/>
        </w:rPr>
      </w:pPr>
    </w:p>
    <w:p>
      <w:pPr>
        <w:ind w:right="340" w:firstLine="921"/>
        <w:spacing w:after="0" w:line="277" w:lineRule="auto"/>
        <w:tabs>
          <w:tab w:leader="none" w:pos="1158"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jc w:val="both"/>
        <w:ind w:right="200" w:firstLine="456"/>
        <w:spacing w:after="0" w:line="293"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and each of its Subsidiaries shall: (a) use commercially reasonable efforts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business practices to protect, defend and maintain the validity and enforceability of its Intellectual Property that is material to Borrower’s business;</w:t>
      </w:r>
    </w:p>
    <w:p>
      <w:pPr>
        <w:spacing w:after="0" w:line="1" w:lineRule="exact"/>
        <w:rPr>
          <w:sz w:val="20"/>
          <w:szCs w:val="20"/>
          <w:color w:val="auto"/>
        </w:rPr>
      </w:pPr>
    </w:p>
    <w:p>
      <w:pPr>
        <w:jc w:val="both"/>
        <w:ind w:right="20" w:firstLine="8"/>
        <w:spacing w:after="0" w:line="271" w:lineRule="auto"/>
        <w:tabs>
          <w:tab w:leader="none" w:pos="255" w:val="left"/>
        </w:tabs>
        <w:numPr>
          <w:ilvl w:val="0"/>
          <w:numId w:val="405"/>
        </w:numPr>
        <w:rPr>
          <w:rFonts w:ascii="Arial" w:cs="Arial" w:eastAsia="Arial" w:hAnsi="Arial"/>
          <w:sz w:val="17"/>
          <w:szCs w:val="17"/>
          <w:color w:val="auto"/>
        </w:rPr>
      </w:pPr>
      <w:r>
        <w:rPr>
          <w:rFonts w:ascii="Arial" w:cs="Arial" w:eastAsia="Arial" w:hAnsi="Arial"/>
          <w:sz w:val="17"/>
          <w:szCs w:val="17"/>
          <w:color w:val="auto"/>
        </w:rPr>
        <w:t>promptly after Borrower becomes aware thereof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Borrower shall obtain Collateral Agent’s and Lenders’ written consent prior to abandoning, modifying or delaying filing, prosecution or issuance of any Core IP. Borrower shall provide Collateral Agent and Lenders with notice, on a quarterly basis, of any abandonment, modification or delay in the filing, prosecution or issuance of any Non-Core IP during the preceding quarter.</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at reasonable times and with reasonable advance notice, unless an Event of Default has occurred and is continuing,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 In such event, Collateral Agent and the Lenders shall work cooperatively with Borrower to minimize disruption, to the extent reasonably possible, of Borrower’s ongoing operations.</w:t>
      </w:r>
    </w:p>
    <w:p>
      <w:pPr>
        <w:spacing w:after="0" w:line="17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6.9. Notices of Litigation and Default</w:t>
      </w:r>
      <w:r>
        <w:rPr>
          <w:rFonts w:ascii="Arial" w:cs="Arial" w:eastAsia="Arial" w:hAnsi="Arial"/>
          <w:sz w:val="17"/>
          <w:szCs w:val="17"/>
          <w:color w:val="auto"/>
        </w:rPr>
        <w:t>. After becoming aware thereof, Borrower will give prompt written notice to Collateral Agent and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or 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Intentionally Omitted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6.11. Landlord Waivers; Bailee Waivers</w:t>
      </w:r>
      <w:r>
        <w:rPr>
          <w:rFonts w:ascii="Arial" w:cs="Arial" w:eastAsia="Arial" w:hAnsi="Arial"/>
          <w:sz w:val="18"/>
          <w:szCs w:val="18"/>
          <w:color w:val="auto"/>
        </w:rPr>
        <w:t>. In the event that Borrower or any of its Subsidiaries, after the Effective Date, intends to add any new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or business locations, including warehouses, or otherwise store any portion of the Collateral with, or deliver any portion of the Collateral to, a bailee, in each case pursuant to Section 7.2, then Borrower or such Subsidiary will first provide at least thirty (30) days prior written notice to Collateral Agent and, in the event that the Collateral at any new location includes Borrower’s Books or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9" w:lineRule="exact"/>
        <w:rPr>
          <w:sz w:val="20"/>
          <w:szCs w:val="20"/>
          <w:color w:val="auto"/>
        </w:rPr>
      </w:pPr>
    </w:p>
    <w:p>
      <w:pPr>
        <w:ind w:right="420" w:firstLine="456"/>
        <w:spacing w:after="0" w:line="314" w:lineRule="auto"/>
        <w:rPr>
          <w:sz w:val="20"/>
          <w:szCs w:val="20"/>
          <w:color w:val="auto"/>
        </w:rPr>
      </w:pPr>
      <w:r>
        <w:rPr>
          <w:rFonts w:ascii="Arial" w:cs="Arial" w:eastAsia="Arial" w:hAnsi="Arial"/>
          <w:sz w:val="16"/>
          <w:szCs w:val="16"/>
          <w:b w:val="1"/>
          <w:bCs w:val="1"/>
          <w:color w:val="auto"/>
        </w:rPr>
        <w:t>6.12. Creation/Acquisition of Subsidiaries</w:t>
      </w:r>
      <w:r>
        <w:rPr>
          <w:rFonts w:ascii="Arial" w:cs="Arial" w:eastAsia="Arial" w:hAnsi="Arial"/>
          <w:sz w:val="16"/>
          <w:szCs w:val="16"/>
          <w:color w:val="auto"/>
        </w:rPr>
        <w:t>. 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24" w:name="page425"/>
    <w:bookmarkEnd w:id="4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to secure payment and performance of the Obligations a perfected security interest in the stock, units or other evidence of ownership of each such newly created Subsidiary, provided, however, that in the case of a Foreign Subsidiary, Borrower (or any domestic Subsidiary which is the owner of such Foreign Subsidiary) shall not be required to pledge or grant a security interest in more than sixty five percent (65%) of the outstanding equity securities of such Foreign Subsidiary and no assets of such Foreign Subsidiary shall be required to be pledged or subject to a security interest hereunder if Borrower demonstrates to the reasonable satisfaction of Collateral Agent that such Foreign Subsidiary providing such guarantee or pledge and security interest or Borrower providing a perfected security interest in more than sixty five percent (65%) of the outstanding equity securities would create a present and existing adverse tax consequence to Borrower under the U.S. Internal Revenue Code. Notwithstanding the foregoing, Borrower shall not be required to pledge or grant a security interest in more than sixty five percent (65%) of the outstanding equity securities of the Australia Subsidiary and no assets of the Australia Subsidiary shall be required to be pledged or subject to a security interest 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6.13. Further Assurances</w:t>
      </w:r>
      <w:r>
        <w:rPr>
          <w:rFonts w:ascii="Arial" w:cs="Arial" w:eastAsia="Arial" w:hAnsi="Arial"/>
          <w:sz w:val="18"/>
          <w:szCs w:val="18"/>
          <w:color w:val="auto"/>
        </w:rPr>
        <w:t>.</w:t>
      </w:r>
    </w:p>
    <w:p>
      <w:pPr>
        <w:spacing w:after="0" w:line="229" w:lineRule="exact"/>
        <w:rPr>
          <w:sz w:val="20"/>
          <w:szCs w:val="20"/>
          <w:color w:val="auto"/>
        </w:rPr>
      </w:pPr>
    </w:p>
    <w:p>
      <w:pPr>
        <w:ind w:right="740" w:firstLine="921"/>
        <w:spacing w:after="0" w:line="277" w:lineRule="auto"/>
        <w:tabs>
          <w:tab w:leader="none" w:pos="115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right="480" w:firstLine="921"/>
        <w:spacing w:after="0" w:line="312" w:lineRule="auto"/>
        <w:tabs>
          <w:tab w:leader="none" w:pos="1168" w:val="left"/>
        </w:tabs>
        <w:numPr>
          <w:ilvl w:val="1"/>
          <w:numId w:val="406"/>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91" w:lineRule="exact"/>
        <w:rPr>
          <w:rFonts w:ascii="Arial" w:cs="Arial" w:eastAsia="Arial" w:hAnsi="Arial"/>
          <w:sz w:val="16"/>
          <w:szCs w:val="16"/>
          <w:color w:val="auto"/>
        </w:rPr>
      </w:pPr>
    </w:p>
    <w:p>
      <w:pPr>
        <w:ind w:left="460" w:hanging="452"/>
        <w:spacing w:after="0"/>
        <w:tabs>
          <w:tab w:leader="none" w:pos="46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any part of its business or property, except for Transfers (a) of Inventory in the ordinary course of business; (b) of worn out or obsolete Equipment; and (c) in connection with Permitted Liens, Permitted Investments and Permitted Licenses.</w:t>
      </w:r>
    </w:p>
    <w:p>
      <w:pPr>
        <w:spacing w:after="0" w:line="17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7.2. Changes in Business, Management, Ownership, or Business Locations</w:t>
      </w:r>
      <w:r>
        <w:rPr>
          <w:rFonts w:ascii="Arial" w:cs="Arial" w:eastAsia="Arial" w:hAnsi="Arial"/>
          <w:sz w:val="17"/>
          <w:szCs w:val="17"/>
          <w:color w:val="auto"/>
        </w:rPr>
        <w:t>. (a)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private investors so long as Borrower identifies to Collateral Agent the private investors prior to the closing of the transaction). Borrower shall not, without at least thirty (30) days’ prior written notice to Collateral Agent: (A) add any new offices or business locations, including warehouses (unless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4"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25" w:name="page426"/>
    <w:bookmarkEnd w:id="425"/>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 (a) 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right="320" w:firstLine="456"/>
        <w:spacing w:after="0" w:line="289"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7.11. Compliance with Anti-Terrorism Laws</w:t>
      </w:r>
      <w:r>
        <w:rPr>
          <w:rFonts w:ascii="Arial" w:cs="Arial" w:eastAsia="Arial" w:hAnsi="Arial"/>
          <w:sz w:val="18"/>
          <w:szCs w:val="18"/>
          <w:color w:val="auto"/>
        </w:rPr>
        <w:t>. Collateral Agent hereby notifies Borrower and each of its Subsidiaries that pursuant to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426" w:name="page427"/>
    <w:bookmarkEnd w:id="42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w:t>
      </w:r>
    </w:p>
    <w:p>
      <w:pPr>
        <w:spacing w:after="0" w:line="2" w:lineRule="exact"/>
        <w:rPr>
          <w:sz w:val="20"/>
          <w:szCs w:val="20"/>
          <w:color w:val="auto"/>
        </w:rPr>
      </w:pPr>
    </w:p>
    <w:p>
      <w:pPr>
        <w:ind w:right="20" w:firstLine="8"/>
        <w:spacing w:after="0" w:line="290" w:lineRule="auto"/>
        <w:tabs>
          <w:tab w:leader="none" w:pos="25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309" w:lineRule="exact"/>
        <w:rPr>
          <w:sz w:val="20"/>
          <w:szCs w:val="20"/>
          <w:color w:val="auto"/>
        </w:rPr>
      </w:pPr>
    </w:p>
    <w:p>
      <w:pPr>
        <w:ind w:left="460" w:hanging="452"/>
        <w:spacing w:after="0"/>
        <w:tabs>
          <w:tab w:leader="none" w:pos="46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312" w:lineRule="auto"/>
        <w:tabs>
          <w:tab w:leader="none" w:pos="1158" w:val="left"/>
        </w:tabs>
        <w:numPr>
          <w:ilvl w:val="1"/>
          <w:numId w:val="410"/>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146" w:lineRule="exact"/>
        <w:rPr>
          <w:rFonts w:ascii="Arial" w:cs="Arial" w:eastAsia="Arial" w:hAnsi="Arial"/>
          <w:sz w:val="16"/>
          <w:szCs w:val="16"/>
          <w:color w:val="auto"/>
        </w:rPr>
      </w:pPr>
    </w:p>
    <w:p>
      <w:pPr>
        <w:ind w:firstLine="921"/>
        <w:spacing w:after="0" w:line="285" w:lineRule="auto"/>
        <w:tabs>
          <w:tab w:leader="none" w:pos="1168" w:val="left"/>
        </w:tabs>
        <w:numPr>
          <w:ilvl w:val="1"/>
          <w:numId w:val="410"/>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w:t>
      </w:r>
    </w:p>
    <w:p>
      <w:pPr>
        <w:spacing w:after="0" w:line="2" w:lineRule="exact"/>
        <w:rPr>
          <w:rFonts w:ascii="Arial" w:cs="Arial" w:eastAsia="Arial" w:hAnsi="Arial"/>
          <w:sz w:val="16"/>
          <w:szCs w:val="16"/>
          <w:color w:val="auto"/>
        </w:rPr>
      </w:pPr>
    </w:p>
    <w:p>
      <w:pPr>
        <w:ind w:right="140" w:firstLine="8"/>
        <w:spacing w:after="0" w:line="255" w:lineRule="auto"/>
        <w:tabs>
          <w:tab w:leader="none" w:pos="34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ind w:right="160" w:firstLine="921"/>
        <w:spacing w:after="0" w:line="259" w:lineRule="auto"/>
        <w:tabs>
          <w:tab w:leader="none" w:pos="115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Authority and the same under subclauses (i)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27" w:name="page428"/>
    <w:bookmarkEnd w:id="427"/>
    <w:p>
      <w:pPr>
        <w:ind w:right="360" w:firstLine="8"/>
        <w:spacing w:after="0" w:line="277" w:lineRule="auto"/>
        <w:tabs>
          <w:tab w:leader="none" w:pos="265"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are not, within ten (10) days after the occurrence thereof, discharged or stayed (whether through the posting of a bond or otherwise); provided, however, no Credit Extensions shall be made during any ten (10) day cure period; and</w:t>
      </w:r>
    </w:p>
    <w:p>
      <w:pPr>
        <w:spacing w:after="0" w:line="170" w:lineRule="exact"/>
        <w:rPr>
          <w:rFonts w:ascii="Arial" w:cs="Arial" w:eastAsia="Arial" w:hAnsi="Arial"/>
          <w:sz w:val="18"/>
          <w:szCs w:val="18"/>
          <w:color w:val="auto"/>
        </w:rPr>
      </w:pPr>
    </w:p>
    <w:p>
      <w:pPr>
        <w:ind w:right="100" w:firstLine="921"/>
        <w:spacing w:after="0" w:line="308" w:lineRule="auto"/>
        <w:tabs>
          <w:tab w:leader="none" w:pos="1168" w:val="left"/>
        </w:tabs>
        <w:numPr>
          <w:ilvl w:val="1"/>
          <w:numId w:val="413"/>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of its Subsidiaries or any Person acting for Borrower or any of its Subsidiaries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 Borrower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8.10. Guaranty</w:t>
      </w:r>
      <w:r>
        <w:rPr>
          <w:rFonts w:ascii="Arial" w:cs="Arial" w:eastAsia="Arial" w:hAnsi="Arial"/>
          <w:sz w:val="18"/>
          <w:szCs w:val="18"/>
          <w:color w:val="auto"/>
        </w:rPr>
        <w:t>. (a) Any Guaranty terminates or ceases for any reason to be in full force and effect; (b) any Guarantor does not perform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8.11. Governmental Approvals</w:t>
      </w:r>
      <w:r>
        <w:rPr>
          <w:rFonts w:ascii="Arial" w:cs="Arial" w:eastAsia="Arial" w:hAnsi="Arial"/>
          <w:sz w:val="18"/>
          <w:szCs w:val="18"/>
          <w:color w:val="auto"/>
        </w:rPr>
        <w:t>. Any Governmental Approval shall have been revoked, rescinded, suspended, modified in an adverse manner,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purported to be secured thereby, subject to no prior or equal Lien, other than Permitted Liens which are permitted to have priority in accordance with the terms of this Agreement.</w:t>
      </w:r>
    </w:p>
    <w:p>
      <w:pPr>
        <w:spacing w:after="0" w:line="325" w:lineRule="exact"/>
        <w:rPr>
          <w:sz w:val="20"/>
          <w:szCs w:val="20"/>
          <w:color w:val="auto"/>
        </w:rPr>
      </w:pPr>
    </w:p>
    <w:p>
      <w:pPr>
        <w:ind w:left="460" w:right="8800" w:hanging="452"/>
        <w:spacing w:after="0" w:line="425" w:lineRule="auto"/>
        <w:tabs>
          <w:tab w:leader="none" w:pos="449"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r>
        <w:rPr>
          <w:rFonts w:ascii="Arial" w:cs="Arial" w:eastAsia="Arial" w:hAnsi="Arial"/>
          <w:sz w:val="17"/>
          <w:szCs w:val="17"/>
          <w:color w:val="auto"/>
        </w:rPr>
        <w:t>.</w:t>
      </w: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428" w:name="page429"/>
    <w:bookmarkEnd w:id="428"/>
    <w:p>
      <w:pPr>
        <w:ind w:left="-20" w:right="100" w:firstLine="921"/>
        <w:spacing w:after="0" w:line="271" w:lineRule="auto"/>
        <w:tabs>
          <w:tab w:leader="none" w:pos="1138" w:val="left"/>
        </w:tabs>
        <w:numPr>
          <w:ilvl w:val="0"/>
          <w:numId w:val="4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left="-20" w:right="680" w:firstLine="921"/>
        <w:spacing w:after="0" w:line="308" w:lineRule="auto"/>
        <w:tabs>
          <w:tab w:leader="none" w:pos="114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680" w:hanging="208"/>
        <w:spacing w:after="0"/>
        <w:tabs>
          <w:tab w:leader="none" w:pos="16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20" w:right="160" w:firstLine="1492"/>
        <w:spacing w:after="0" w:line="277" w:lineRule="auto"/>
        <w:tabs>
          <w:tab w:leader="none" w:pos="1728"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1780" w:hanging="308"/>
        <w:spacing w:after="0"/>
        <w:tabs>
          <w:tab w:leader="none" w:pos="17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225" w:lineRule="exact"/>
        <w:rPr>
          <w:rFonts w:ascii="Arial" w:cs="Arial" w:eastAsia="Arial" w:hAnsi="Arial"/>
          <w:sz w:val="18"/>
          <w:szCs w:val="18"/>
          <w:color w:val="auto"/>
        </w:rPr>
      </w:pPr>
    </w:p>
    <w:p>
      <w:pPr>
        <w:ind w:left="-20" w:right="60" w:firstLine="921"/>
        <w:spacing w:after="0" w:line="308" w:lineRule="auto"/>
        <w:tabs>
          <w:tab w:leader="none" w:pos="113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20" w:right="220" w:firstLine="1492"/>
        <w:spacing w:after="0" w:line="342" w:lineRule="auto"/>
        <w:tabs>
          <w:tab w:leader="none" w:pos="1678" w:val="left"/>
        </w:tabs>
        <w:numPr>
          <w:ilvl w:val="1"/>
          <w:numId w:val="415"/>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20" w:firstLine="1492"/>
        <w:spacing w:after="0" w:line="276" w:lineRule="auto"/>
        <w:tabs>
          <w:tab w:leader="none" w:pos="1728" w:val="left"/>
        </w:tabs>
        <w:numPr>
          <w:ilvl w:val="1"/>
          <w:numId w:val="415"/>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72" w:lineRule="exact"/>
        <w:rPr>
          <w:rFonts w:ascii="Arial" w:cs="Arial" w:eastAsia="Arial" w:hAnsi="Arial"/>
          <w:sz w:val="17"/>
          <w:szCs w:val="17"/>
          <w:color w:val="auto"/>
        </w:rPr>
      </w:pPr>
    </w:p>
    <w:p>
      <w:pPr>
        <w:ind w:left="-20" w:right="40" w:firstLine="1492"/>
        <w:spacing w:after="0" w:line="255" w:lineRule="auto"/>
        <w:tabs>
          <w:tab w:leader="none" w:pos="1778"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left="-20" w:right="420" w:firstLine="1492"/>
        <w:spacing w:after="0" w:line="342" w:lineRule="auto"/>
        <w:tabs>
          <w:tab w:leader="none" w:pos="1768" w:val="left"/>
        </w:tabs>
        <w:numPr>
          <w:ilvl w:val="1"/>
          <w:numId w:val="415"/>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720" w:hanging="248"/>
        <w:spacing w:after="0"/>
        <w:tabs>
          <w:tab w:leader="none" w:pos="17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429" w:name="page430"/>
    <w:bookmarkEnd w:id="429"/>
    <w:p>
      <w:pPr>
        <w:ind w:firstLine="1492"/>
        <w:spacing w:after="0" w:line="264" w:lineRule="auto"/>
        <w:tabs>
          <w:tab w:leader="none" w:pos="1788"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1" w:lineRule="exact"/>
        <w:rPr>
          <w:rFonts w:ascii="Arial" w:cs="Arial" w:eastAsia="Arial" w:hAnsi="Arial"/>
          <w:sz w:val="18"/>
          <w:szCs w:val="18"/>
          <w:color w:val="auto"/>
        </w:rPr>
      </w:pPr>
    </w:p>
    <w:p>
      <w:pPr>
        <w:ind w:right="420" w:firstLine="1492"/>
        <w:spacing w:after="0" w:line="342" w:lineRule="auto"/>
        <w:tabs>
          <w:tab w:leader="none" w:pos="183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right="40" w:firstLine="1492"/>
        <w:spacing w:after="0" w:line="293" w:lineRule="auto"/>
        <w:tabs>
          <w:tab w:leader="none" w:pos="188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and(ii) pay in advance all letter of credit fees scheduled to be paid or payable over the remaining term of any Letters of Credit;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the Lien Termination Date. Collateral Agent’s foregoing appointment as Borrower’s or any of its Subsidiaries’ attorney in fact, and all of Collateral Agent’s rights and powers, coupled with an interest, are irrevocable until the Lien Termination Date.</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430" w:name="page431"/>
    <w:bookmarkEnd w:id="430"/>
    <w:p>
      <w:pPr>
        <w:ind w:right="20" w:firstLine="45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 Application of Payments and Proceeds</w:t>
      </w:r>
      <w:r>
        <w:rPr>
          <w:rFonts w:ascii="Arial" w:cs="Arial" w:eastAsia="Arial" w:hAnsi="Arial"/>
          <w:sz w:val="16"/>
          <w:szCs w:val="16"/>
          <w:color w:val="auto"/>
        </w:rPr>
        <w:t>. 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9.5. Liability for Collateral</w:t>
      </w:r>
      <w:r>
        <w:rPr>
          <w:rFonts w:ascii="Arial" w:cs="Arial" w:eastAsia="Arial" w:hAnsi="Arial"/>
          <w:sz w:val="16"/>
          <w:szCs w:val="16"/>
          <w:color w:val="auto"/>
        </w:rPr>
        <w:t>. 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Failure by Collateral Agent or any Lender, at any time or times, to require strict performance by Borrower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69" w:right="299" w:bottom="1440" w:gutter="0" w:footer="0" w:header="0"/>
        </w:sectPr>
      </w:pPr>
    </w:p>
    <w:bookmarkStart w:id="431" w:name="page432"/>
    <w:bookmarkEnd w:id="43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compromise, settlement, extension, or renewal of accounts, documents, instruments, chattel paper, and guarantees held by Collateral Agent or any Lender on which Borrower or any Subsidiary is liable.</w:t>
      </w:r>
    </w:p>
    <w:p>
      <w:pPr>
        <w:spacing w:after="0" w:line="315" w:lineRule="exact"/>
        <w:rPr>
          <w:sz w:val="20"/>
          <w:szCs w:val="20"/>
          <w:color w:val="auto"/>
        </w:rPr>
      </w:pPr>
    </w:p>
    <w:p>
      <w:pPr>
        <w:ind w:left="460" w:hanging="452"/>
        <w:spacing w:after="0"/>
        <w:tabs>
          <w:tab w:leader="none" w:pos="46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firstLine="8"/>
        <w:spacing w:after="0" w:line="252" w:lineRule="auto"/>
        <w:tabs>
          <w:tab w:leader="none" w:pos="25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facsimile transmission, provided however, that if such transmission is not on a Business Day, on the next Business Day after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21"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7"/>
          <w:szCs w:val="17"/>
          <w:color w:val="auto"/>
        </w:rPr>
        <w:t>ANAPTYSBIO, INC.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366-9055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hsuria@anaptysbio.com</w:t>
      </w:r>
    </w:p>
    <w:p>
      <w:pPr>
        <w:sectPr>
          <w:pgSz w:w="11900" w:h="16838" w:orient="portrait"/>
          <w:cols w:equalWidth="0" w:num="1">
            <w:col w:w="11360"/>
          </w:cols>
          <w:pgMar w:left="240" w:top="274" w:right="299" w:bottom="1440" w:gutter="0" w:footer="0" w:header="0"/>
        </w:sectPr>
      </w:pPr>
    </w:p>
    <w:p>
      <w:pPr>
        <w:spacing w:after="0" w:line="116"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mrossiter@fenwick.com</w:t>
      </w:r>
    </w:p>
    <w:p>
      <w:pPr>
        <w:spacing w:after="0" w:line="139" w:lineRule="exact"/>
        <w:rPr>
          <w:sz w:val="20"/>
          <w:szCs w:val="20"/>
          <w:color w:val="auto"/>
        </w:rPr>
      </w:pPr>
    </w:p>
    <w:p>
      <w:pPr>
        <w:sectPr>
          <w:pgSz w:w="11900" w:h="16838" w:orient="portrait"/>
          <w:cols w:equalWidth="0" w:num="2">
            <w:col w:w="3080" w:space="720"/>
            <w:col w:w="7560"/>
          </w:cols>
          <w:pgMar w:left="240" w:top="274" w:right="299" w:bottom="1440" w:gutter="0" w:footer="0" w:header="0"/>
          <w:type w:val="continuous"/>
        </w:sectPr>
      </w:pPr>
    </w:p>
    <w:p>
      <w:pPr>
        <w:ind w:left="920"/>
        <w:spacing w:after="0"/>
        <w:tabs>
          <w:tab w:leader="none" w:pos="37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OXFORD FINANCE LLC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LegalDepartment@oxfordfinance.com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8"/>
          <w:szCs w:val="18"/>
          <w:color w:val="auto"/>
        </w:rPr>
        <w:t>SILICON VALLEY BANK</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4370 La Jolla Village Drive, Suite 1050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Michael White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784-3310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mwhite@svb.com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w:t>
      </w:r>
    </w:p>
    <w:p>
      <w:pPr>
        <w:spacing w:after="0" w:line="23"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4401 Eastgate Mall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George Samuel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550 6420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gsamuel@cooley.com</w:t>
      </w:r>
    </w:p>
    <w:p>
      <w:pPr>
        <w:spacing w:after="0" w:line="369"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type w:val="continuous"/>
        </w:sectPr>
      </w:pPr>
    </w:p>
    <w:bookmarkStart w:id="432" w:name="page433"/>
    <w:bookmarkEnd w:id="43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336"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433" w:name="page434"/>
    <w:bookmarkEnd w:id="43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12.6. Amendments in Writing; Integration</w:t>
      </w:r>
      <w:r>
        <w:rPr>
          <w:rFonts w:ascii="Arial" w:cs="Arial" w:eastAsia="Arial" w:hAnsi="Arial"/>
          <w:sz w:val="17"/>
          <w:szCs w:val="17"/>
          <w:color w:val="auto"/>
        </w:rPr>
        <w:t>. (a) No amendment, modification, termination or waiver of any provision of this Agreement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700" w:firstLine="1492"/>
        <w:spacing w:after="0" w:line="277" w:lineRule="auto"/>
        <w:tabs>
          <w:tab w:leader="none" w:pos="169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34" w:name="page435"/>
    <w:bookmarkEnd w:id="434"/>
    <w:p>
      <w:pPr>
        <w:ind w:firstLine="1492"/>
        <w:spacing w:after="0" w:line="285" w:lineRule="auto"/>
        <w:tabs>
          <w:tab w:leader="none" w:pos="1798" w:val="left"/>
        </w:tabs>
        <w:numPr>
          <w:ilvl w:val="1"/>
          <w:numId w:val="4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right="160" w:firstLine="1492"/>
        <w:spacing w:after="0" w:line="264" w:lineRule="auto"/>
        <w:tabs>
          <w:tab w:leader="none" w:pos="1788"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620" w:firstLine="921"/>
        <w:spacing w:after="0" w:line="264" w:lineRule="auto"/>
        <w:tabs>
          <w:tab w:leader="none" w:pos="115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the Lien Termination Date has occurred. Without limiting the foregoing, except as otherwise provided in Section 4.1, the grant of security interest by Borrower in Section 4.1 shall survive until the termination of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435" w:name="page436"/>
    <w:bookmarkEnd w:id="43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12.10. Right of Set Off</w:t>
      </w:r>
      <w:r>
        <w:rPr>
          <w:rFonts w:ascii="Arial" w:cs="Arial" w:eastAsia="Arial" w:hAnsi="Arial"/>
          <w:sz w:val="17"/>
          <w:szCs w:val="17"/>
          <w:color w:val="auto"/>
        </w:rPr>
        <w:t>. Borrower hereby grants to Collateral Agent and to each Lender, a lien, security interest and right of set off as security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12.11. Silicon Valley Bank as Agent. </w:t>
      </w:r>
      <w:r>
        <w:rPr>
          <w:rFonts w:ascii="Arial" w:cs="Arial" w:eastAsia="Arial" w:hAnsi="Arial"/>
          <w:sz w:val="18"/>
          <w:szCs w:val="18"/>
          <w:color w:val="auto"/>
        </w:rPr>
        <w:t>Collateral Agent hereby appoints SVB as its agent (and SVB hereby accepts such appointment)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perfecting Collateral Agent’s Liens in assets which, in accordance with Article 8 or Article 9, as applicable, of the Code can be perfected by possession or control, including without limitation, all deposit accounts maintained at SVB.</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12.12. Cooperation of Borrower</w:t>
      </w:r>
      <w:r>
        <w:rPr>
          <w:rFonts w:ascii="Arial" w:cs="Arial" w:eastAsia="Arial" w:hAnsi="Arial"/>
          <w:sz w:val="16"/>
          <w:szCs w:val="16"/>
          <w:color w:val="auto"/>
        </w:rPr>
        <w:t>. If necessary, Borrower agrees to (i) execute any documents (including new Secured Promissory Notes)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once every six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09"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436" w:name="page437"/>
    <w:bookmarkEnd w:id="4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February 1, 2016, but if the Term B Loans are advanced, such date shall be August 1, 2016 and if the Term C Loans are advanced, such date shall be February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Australia Subsidiary</w:t>
      </w:r>
      <w:r>
        <w:rPr>
          <w:rFonts w:ascii="Arial" w:cs="Arial" w:eastAsia="Arial" w:hAnsi="Arial"/>
          <w:sz w:val="17"/>
          <w:szCs w:val="17"/>
          <w:color w:val="auto"/>
        </w:rPr>
        <w:t>” means that certain Subsidiary of Borrower to be formed under the laws of Australia in accordance with the provisions of this Agreement and based substantially on the terms and conditions as provided to Collateral Agent and Lenders in writing as of the date hereof.</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is, with respect to a Term Loan, the per annum rate of interest (based on a year of three hundred sixty (360) days) equal to the greater of</w:t>
      </w:r>
    </w:p>
    <w:p>
      <w:pPr>
        <w:spacing w:after="0" w:line="50" w:lineRule="exact"/>
        <w:rPr>
          <w:sz w:val="20"/>
          <w:szCs w:val="20"/>
          <w:color w:val="auto"/>
        </w:rPr>
      </w:pPr>
    </w:p>
    <w:p>
      <w:pPr>
        <w:ind w:left="220" w:hanging="212"/>
        <w:spacing w:after="0"/>
        <w:tabs>
          <w:tab w:leader="none" w:pos="2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six and ninety five hundredths percent (6.95%) and (ii) the sum of (a) the three (3) month U.S. LIBOR rate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three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(3) Business Days prior to the Funding Date of such Term Loan (which shall not, in any case, be less than twenty three hundredths percent (0.23%), plus</w:t>
      </w:r>
    </w:p>
    <w:p>
      <w:pPr>
        <w:spacing w:after="0" w:line="32" w:lineRule="exact"/>
        <w:rPr>
          <w:rFonts w:ascii="Arial" w:cs="Arial" w:eastAsia="Arial" w:hAnsi="Arial"/>
          <w:sz w:val="17"/>
          <w:szCs w:val="17"/>
          <w:color w:val="auto"/>
        </w:rPr>
      </w:pPr>
    </w:p>
    <w:p>
      <w:pPr>
        <w:ind w:left="260" w:hanging="252"/>
        <w:spacing w:after="0"/>
        <w:tabs>
          <w:tab w:leader="none" w:pos="2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six and seventy two hundredths percent (6.72%).</w:t>
      </w:r>
    </w:p>
    <w:p>
      <w:pPr>
        <w:spacing w:after="0" w:line="20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ind w:right="600" w:firstLine="8"/>
        <w:spacing w:after="0" w:line="255" w:lineRule="auto"/>
        <w:tabs>
          <w:tab w:leader="none" w:pos="24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437" w:name="page438"/>
    <w:bookmarkEnd w:id="4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7"/>
          <w:szCs w:val="17"/>
          <w:b w:val="1"/>
          <w:bCs w:val="1"/>
          <w:color w:val="auto"/>
        </w:rPr>
        <w:t>Auction Rate Security</w:t>
      </w:r>
      <w:r>
        <w:rPr>
          <w:rFonts w:ascii="Arial" w:cs="Arial" w:eastAsia="Arial" w:hAnsi="Arial"/>
          <w:sz w:val="17"/>
          <w:szCs w:val="17"/>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438" w:name="page439"/>
    <w:bookmarkEnd w:id="438"/>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IP</w:t>
      </w:r>
      <w:r>
        <w:rPr>
          <w:rFonts w:ascii="Arial" w:cs="Arial" w:eastAsia="Arial" w:hAnsi="Arial"/>
          <w:sz w:val="18"/>
          <w:szCs w:val="18"/>
          <w:color w:val="auto"/>
        </w:rPr>
        <w:t>” means Intellectual Property required to protect Borrower’s (i) existing somatic hypermutation technology platform as utilized on an on-going basis for antibody development, (ii) antibody product programs actively being pursued as part of the company’s internal or partnered pipeline, including but without limitation the anti-IL-33 and anti-IL-36R antibody programs, and (iii) future acquired or developed Intellectual Property that is material to Borrower’s then-current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XXXX046061,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439" w:name="page440"/>
    <w:bookmarkEnd w:id="439"/>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ind w:right="80" w:firstLine="8"/>
        <w:spacing w:after="0" w:line="268" w:lineRule="auto"/>
        <w:tabs>
          <w:tab w:leader="none" w:pos="215" w:val="left"/>
        </w:tabs>
        <w:numPr>
          <w:ilvl w:val="0"/>
          <w:numId w:val="429"/>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five percent (5.00%).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or territory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440" w:name="page441"/>
    <w:bookmarkEnd w:id="440"/>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160" w:hanging="239"/>
        <w:spacing w:after="0"/>
        <w:tabs>
          <w:tab w:leader="none" w:pos="11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39"/>
        <w:spacing w:after="0"/>
        <w:tabs>
          <w:tab w:leader="none" w:pos="11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43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 Patents.</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3" w:right="319" w:bottom="1440" w:gutter="0" w:footer="0" w:header="0"/>
        </w:sectPr>
      </w:pPr>
    </w:p>
    <w:bookmarkStart w:id="441" w:name="page442"/>
    <w:bookmarkEnd w:id="441"/>
    <w:p>
      <w:pPr>
        <w:ind w:right="1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Hamza Suria as of the Effective Date and (ii) Chief Development Officer, who is Marco Londei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 Termination Date</w:t>
      </w:r>
      <w:r>
        <w:rPr>
          <w:rFonts w:ascii="Arial" w:cs="Arial" w:eastAsia="Arial" w:hAnsi="Arial"/>
          <w:sz w:val="18"/>
          <w:szCs w:val="18"/>
          <w:color w:val="auto"/>
        </w:rPr>
        <w:t>” means the date upon which all Obligations (other than inchoate indemnity obligations and any other obligations which, by their terms, are to survive the termination of this Agreement) have been satisfied in full, and Collateral Agent and the Lenders are under no further obligation to make Credit Extensions hereunder, and the Collateral Agent is obligated to terminate the Liens on the Collateral granted under this Agreement pursuant to Section 4.2(b) or 4.2(c).</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w:t>
      </w:r>
    </w:p>
    <w:p>
      <w:pPr>
        <w:spacing w:after="0" w:line="1" w:lineRule="exact"/>
        <w:rPr>
          <w:sz w:val="20"/>
          <w:szCs w:val="20"/>
          <w:color w:val="auto"/>
        </w:rPr>
      </w:pPr>
    </w:p>
    <w:p>
      <w:pPr>
        <w:ind w:left="460" w:right="4980" w:hanging="452"/>
        <w:spacing w:after="0" w:line="490" w:lineRule="auto"/>
        <w:tabs>
          <w:tab w:leader="none" w:pos="24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 material impairment of the prospect of repayment of any portion of the Obligations. “</w:t>
      </w:r>
      <w:r>
        <w:rPr>
          <w:rFonts w:ascii="Arial" w:cs="Arial" w:eastAsia="Arial" w:hAnsi="Arial"/>
          <w:sz w:val="18"/>
          <w:szCs w:val="18"/>
          <w:b w:val="1"/>
          <w:bCs w:val="1"/>
          <w:color w:val="auto"/>
        </w:rPr>
        <w:t>Maturity Date</w:t>
      </w:r>
      <w:r>
        <w:rPr>
          <w:rFonts w:ascii="Arial" w:cs="Arial" w:eastAsia="Arial" w:hAnsi="Arial"/>
          <w:sz w:val="18"/>
          <w:szCs w:val="18"/>
          <w:color w:val="auto"/>
        </w:rPr>
        <w:t>” is January 1, 2019.</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Non-Core IP</w:t>
      </w:r>
      <w:r>
        <w:rPr>
          <w:rFonts w:ascii="Arial" w:cs="Arial" w:eastAsia="Arial" w:hAnsi="Arial"/>
          <w:sz w:val="18"/>
          <w:szCs w:val="18"/>
          <w:color w:val="auto"/>
        </w:rPr>
        <w:t>” means Borrower’s Intellectual Property that is not Core IP.</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69" w:right="259" w:bottom="1440" w:gutter="0" w:footer="0" w:header="0"/>
        </w:sectPr>
      </w:pPr>
    </w:p>
    <w:bookmarkStart w:id="442" w:name="page443"/>
    <w:bookmarkEnd w:id="44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160" w:hanging="239"/>
        <w:spacing w:after="0"/>
        <w:tabs>
          <w:tab w:leader="none" w:pos="11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firstLine="921"/>
        <w:spacing w:after="0" w:line="297" w:lineRule="auto"/>
        <w:tabs>
          <w:tab w:leader="none" w:pos="1158"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 and</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43" w:name="page444"/>
    <w:bookmarkEnd w:id="4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160" w:hanging="239"/>
        <w:spacing w:after="0"/>
        <w:tabs>
          <w:tab w:leader="none" w:pos="11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ind w:right="80" w:firstLine="921"/>
        <w:spacing w:after="0" w:line="259" w:lineRule="auto"/>
        <w:tabs>
          <w:tab w:leader="none" w:pos="113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Twenty Five Thousand Dollars ($25,000.00) in the aggregate for (i) and (ii) in any fiscal year;</w:t>
      </w:r>
    </w:p>
    <w:p>
      <w:pPr>
        <w:spacing w:after="0" w:line="186" w:lineRule="exact"/>
        <w:rPr>
          <w:rFonts w:ascii="Arial" w:cs="Arial" w:eastAsia="Arial" w:hAnsi="Arial"/>
          <w:sz w:val="18"/>
          <w:szCs w:val="18"/>
          <w:color w:val="auto"/>
        </w:rPr>
      </w:pPr>
    </w:p>
    <w:p>
      <w:pPr>
        <w:ind w:right="520" w:firstLine="921"/>
        <w:spacing w:after="0" w:line="308" w:lineRule="auto"/>
        <w:tabs>
          <w:tab w:leader="none" w:pos="1168"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620" w:firstLine="921"/>
        <w:spacing w:after="0" w:line="342" w:lineRule="auto"/>
        <w:tabs>
          <w:tab w:leader="none" w:pos="116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23" w:lineRule="exact"/>
        <w:rPr>
          <w:rFonts w:ascii="Arial" w:cs="Arial" w:eastAsia="Arial" w:hAnsi="Arial"/>
          <w:sz w:val="16"/>
          <w:szCs w:val="16"/>
          <w:color w:val="auto"/>
        </w:rPr>
      </w:pPr>
    </w:p>
    <w:p>
      <w:pPr>
        <w:ind w:right="340" w:firstLine="921"/>
        <w:spacing w:after="0" w:line="277" w:lineRule="auto"/>
        <w:tabs>
          <w:tab w:leader="none" w:pos="112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and (B) non-exclusive and exclusive licenses for the use of the Intellectual Property of Borrower or any of its Subsidiaries entered into in the ordinary course of business or which constitute licenses approved by Borrower’s Board of Directors (whether in the ordinary course of business or otherwise), provided, that, with respect to each such license described in clause (B), (i) no Event of Default has occurred or is continuing at the time of such license and there is no breach of this Agreement as a consequence of entering into such license; (ii) the license constitutes an arms-length transaction, the terms of which, on their face, do not provide for a sale or assignment of any Core IP and do not restrict the ability of Borrower or any of its Subsidiaries, as applicable, to pledge, grant a security interest in or lien on, or assign or otherwise Transfer any Core IP; (iii) in the case of any exclusive license, (x) Borrower delivers written notice within thirty (30) days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with respect to Core IP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444" w:name="page445"/>
    <w:bookmarkEnd w:id="4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240" w:firstLine="921"/>
        <w:spacing w:after="0" w:line="264" w:lineRule="auto"/>
        <w:tabs>
          <w:tab w:leader="none" w:pos="116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7" w:lineRule="exact"/>
        <w:rPr>
          <w:rFonts w:ascii="Arial" w:cs="Arial" w:eastAsia="Arial" w:hAnsi="Arial"/>
          <w:sz w:val="18"/>
          <w:szCs w:val="18"/>
          <w:color w:val="auto"/>
        </w:rPr>
      </w:pPr>
    </w:p>
    <w:p>
      <w:pPr>
        <w:jc w:val="both"/>
        <w:ind w:right="20" w:firstLine="921"/>
        <w:spacing w:after="0" w:line="281" w:lineRule="auto"/>
        <w:tabs>
          <w:tab w:leader="none" w:pos="1158" w:val="left"/>
        </w:tabs>
        <w:numPr>
          <w:ilvl w:val="0"/>
          <w:numId w:val="435"/>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firstLine="921"/>
        <w:spacing w:after="0" w:line="259" w:lineRule="auto"/>
        <w:tabs>
          <w:tab w:leader="none" w:pos="116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40" w:firstLine="921"/>
        <w:spacing w:after="0" w:line="342" w:lineRule="auto"/>
        <w:tabs>
          <w:tab w:leader="none" w:pos="1138"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23"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435"/>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ind w:firstLine="921"/>
        <w:spacing w:after="0" w:line="264" w:lineRule="auto"/>
        <w:tabs>
          <w:tab w:leader="none" w:pos="116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and Borrower.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0" w:right="279" w:bottom="1440" w:gutter="0" w:footer="0" w:header="0"/>
        </w:sectPr>
      </w:pPr>
    </w:p>
    <w:bookmarkStart w:id="445" w:name="page446"/>
    <w:bookmarkEnd w:id="445"/>
    <w:p>
      <w:pPr>
        <w:ind w:right="8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300" w:firstLine="1492"/>
        <w:spacing w:after="0" w:line="277" w:lineRule="auto"/>
        <w:tabs>
          <w:tab w:leader="none" w:pos="169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70" w:lineRule="exact"/>
        <w:rPr>
          <w:rFonts w:ascii="Arial" w:cs="Arial" w:eastAsia="Arial" w:hAnsi="Arial"/>
          <w:sz w:val="18"/>
          <w:szCs w:val="18"/>
          <w:color w:val="auto"/>
        </w:rPr>
      </w:pPr>
    </w:p>
    <w:p>
      <w:pPr>
        <w:ind w:right="520" w:firstLine="1492"/>
        <w:spacing w:after="0" w:line="342" w:lineRule="auto"/>
        <w:tabs>
          <w:tab w:leader="none" w:pos="174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3" w:lineRule="exact"/>
        <w:rPr>
          <w:rFonts w:ascii="Arial" w:cs="Arial" w:eastAsia="Arial" w:hAnsi="Arial"/>
          <w:sz w:val="16"/>
          <w:szCs w:val="16"/>
          <w:color w:val="auto"/>
        </w:rPr>
      </w:pPr>
    </w:p>
    <w:p>
      <w:pPr>
        <w:ind w:right="180" w:firstLine="1492"/>
        <w:spacing w:after="0" w:line="277" w:lineRule="auto"/>
        <w:tabs>
          <w:tab w:leader="none" w:pos="179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and prior to the Maturity Date, one percent (1.00%) of the principal amount of the Term Loans prepaid.</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7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date of the occurrence of the Term B Draw Event and ending on the earlier of</w:t>
      </w:r>
    </w:p>
    <w:p>
      <w:pPr>
        <w:spacing w:after="0" w:line="27" w:lineRule="exact"/>
        <w:rPr>
          <w:sz w:val="20"/>
          <w:szCs w:val="20"/>
          <w:color w:val="auto"/>
        </w:rPr>
      </w:pPr>
    </w:p>
    <w:p>
      <w:pPr>
        <w:ind w:right="180" w:firstLine="8"/>
        <w:spacing w:after="0" w:line="261" w:lineRule="auto"/>
        <w:tabs>
          <w:tab w:leader="none" w:pos="21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December 31, 2015 and (ii) the occurrence of an Event of Default; provided, however, that the Second Draw Period shall not commence if on the date of the occurrence of the Term B Draw Event an Event of Default has occurred and is continuing.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69" w:right="259" w:bottom="1440" w:gutter="0" w:footer="0" w:header="0"/>
        </w:sectPr>
      </w:pPr>
    </w:p>
    <w:bookmarkStart w:id="446" w:name="page447"/>
    <w:bookmarkEnd w:id="446"/>
    <w:p>
      <w:pPr>
        <w:ind w:right="2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Event</w:t>
      </w:r>
      <w:r>
        <w:rPr>
          <w:rFonts w:ascii="Arial" w:cs="Arial" w:eastAsia="Arial" w:hAnsi="Arial"/>
          <w:sz w:val="18"/>
          <w:szCs w:val="18"/>
          <w:color w:val="auto"/>
        </w:rPr>
        <w:t>” means the receipt by Collateral Agent and Lenders of evidence, in form and substance satisfactory to Collateral Agent and Lenders, of Borrower completing the first multi-dose PK/toxicology study relating to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Draw Event</w:t>
      </w:r>
      <w:r>
        <w:rPr>
          <w:rFonts w:ascii="Arial" w:cs="Arial" w:eastAsia="Arial" w:hAnsi="Arial"/>
          <w:sz w:val="18"/>
          <w:szCs w:val="18"/>
          <w:color w:val="auto"/>
        </w:rPr>
        <w:t>” means the receipt by Collateral Agent and Lenders of evidence, in form and substance satisfactory to Collateral Agent and Lenders, of Borrower receiving FDA approval on IND submission on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is, for any Lender, the obligation of such Lender to make a Term Loan, up to the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207" w:lineRule="exact"/>
        <w:rPr>
          <w:sz w:val="20"/>
          <w:szCs w:val="20"/>
          <w:color w:val="auto"/>
        </w:rPr>
      </w:pPr>
    </w:p>
    <w:p>
      <w:pPr>
        <w:jc w:val="both"/>
        <w:ind w:right="2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the date of the occurrence of the later of (i) the making of Term B Loans in accordance with the terms of this Agreement and (ii) the Term C Draw Event and ending on the earlier of (i) December 31, 2016 and (ii) the occurrence of an Event of Default; provided, however, that the Third Draw Period shall not commence if on the date of the occurrence of the later of (i) the advance of the Term B Loans and (ii) the Term C Draw Event, an Event of Default has occurred and is continuing.</w:t>
      </w:r>
    </w:p>
    <w:p>
      <w:pPr>
        <w:spacing w:after="0" w:line="18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447" w:name="page448"/>
    <w:bookmarkEnd w:id="44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 OXFORD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Finance, Secretary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448" w:name="page449"/>
    <w:bookmarkEnd w:id="4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40" w:type="dxa"/>
            <w:vAlign w:val="bottom"/>
            <w:tcBorders>
              <w:left w:val="single" w:sz="8" w:color="CCEEFF"/>
            </w:tcBorders>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Borders>
              <w:left w:val="single" w:sz="8" w:color="auto"/>
            </w:tcBorders>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B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40" w:type="dxa"/>
            <w:vAlign w:val="bottom"/>
            <w:tcBorders>
              <w:left w:val="single" w:sz="8" w:color="CCEEFF"/>
            </w:tcBorders>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Borders>
              <w:left w:val="single" w:sz="8" w:color="auto"/>
            </w:tcBorders>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C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40" w:type="dxa"/>
            <w:vAlign w:val="bottom"/>
            <w:tcBorders>
              <w:left w:val="single" w:sz="8" w:color="CCEEFF"/>
            </w:tcBorders>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Borders>
              <w:left w:val="single" w:sz="8" w:color="auto"/>
            </w:tcBorders>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Aggregate (all Term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7,500,000.00</w:t>
            </w:r>
          </w:p>
        </w:tc>
        <w:tc>
          <w:tcPr>
            <w:tcW w:w="1040" w:type="dxa"/>
            <w:vAlign w:val="bottom"/>
            <w:tcBorders>
              <w:left w:val="single" w:sz="8" w:color="CCEEFF"/>
            </w:tcBorders>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7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7,500,000.00</w:t>
            </w:r>
          </w:p>
        </w:tc>
        <w:tc>
          <w:tcPr>
            <w:tcW w:w="104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15,000,000.00</w:t>
            </w:r>
          </w:p>
        </w:tc>
        <w:tc>
          <w:tcPr>
            <w:tcW w:w="1040" w:type="dxa"/>
            <w:vAlign w:val="bottom"/>
            <w:tcBorders>
              <w:left w:val="single" w:sz="8" w:color="CCEEFF"/>
            </w:tcBorders>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420"/>
          </w:cols>
          <w:pgMar w:left="240" w:top="270" w:right="239" w:bottom="1440" w:gutter="0" w:footer="0" w:header="0"/>
        </w:sectPr>
      </w:pPr>
    </w:p>
    <w:bookmarkStart w:id="450" w:name="page451"/>
    <w:bookmarkEnd w:id="4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69" w:right="1440" w:bottom="1440" w:gutter="0" w:footer="0" w:header="0"/>
        </w:sectPr>
      </w:pPr>
    </w:p>
    <w:bookmarkStart w:id="451" w:name="page452"/>
    <w:bookmarkEnd w:id="45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LETTER</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of ANAPTYSBIO, INC., a Delaware corporation with offices located at 10421 Pacific</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Center Court, Suite 200, San Diego, CA 92121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November , 2014,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0" w:lineRule="exact"/>
        <w:rPr>
          <w:sz w:val="20"/>
          <w:szCs w:val="20"/>
          <w:color w:val="auto"/>
        </w:rPr>
      </w:pPr>
    </w:p>
    <w:p>
      <w:pPr>
        <w:ind w:firstLine="464"/>
        <w:spacing w:after="0" w:line="277" w:lineRule="auto"/>
        <w:tabs>
          <w:tab w:leader="none" w:pos="63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60"/>
          </w:cols>
          <w:pgMar w:left="240" w:top="270" w:right="399" w:bottom="1440" w:gutter="0" w:footer="0" w:header="0"/>
        </w:sectPr>
      </w:pPr>
    </w:p>
    <w:bookmarkStart w:id="452" w:name="page453"/>
    <w:bookmarkEnd w:id="452"/>
    <w:tbl>
      <w:tblPr>
        <w:tblLayout w:type="fixed"/>
        <w:tblInd w:w="452"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7. The proceeds of the Term [A][B][C] Loan shall be disbursed as follows: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--Lender’s Legal Fees</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Disbursement from SVB:</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SVB:</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TERM [A][B][C] LOAN NET PROCEEDS FROM LENDERS</w:t>
            </w:r>
          </w:p>
        </w:tc>
        <w:tc>
          <w:tcPr>
            <w:tcW w:w="11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32" w:hanging="176"/>
        <w:spacing w:after="0"/>
        <w:tabs>
          <w:tab w:leader="none" w:pos="63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Term [A][B][C] Loan shall amortize in accordance with the Amortization Table attached hereto.</w:t>
      </w:r>
    </w:p>
    <w:p>
      <w:pPr>
        <w:spacing w:after="0" w:line="225" w:lineRule="exact"/>
        <w:rPr>
          <w:rFonts w:ascii="Arial" w:cs="Arial" w:eastAsia="Arial" w:hAnsi="Arial"/>
          <w:sz w:val="18"/>
          <w:szCs w:val="18"/>
          <w:color w:val="auto"/>
        </w:rPr>
      </w:pPr>
    </w:p>
    <w:p>
      <w:pPr>
        <w:ind w:left="632" w:hanging="176"/>
        <w:spacing w:after="0"/>
        <w:tabs>
          <w:tab w:leader="none" w:pos="632"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aggregate net proceeds of the Term Loans shall be transferred to the Designated Deposit Account as follows:</w:t>
      </w:r>
    </w:p>
    <w:p>
      <w:pPr>
        <w:sectPr>
          <w:pgSz w:w="11900" w:h="16838" w:orient="portrait"/>
          <w:cols w:equalWidth="0" w:num="1">
            <w:col w:w="10452"/>
          </w:cols>
          <w:pgMar w:left="248" w:top="273" w:right="1199" w:bottom="1440" w:gutter="0" w:footer="0" w:header="0"/>
        </w:sectPr>
      </w:pPr>
    </w:p>
    <w:p>
      <w:pPr>
        <w:spacing w:after="0" w:line="26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14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Bank Address: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ectPr>
          <w:pgSz w:w="11900" w:h="16838" w:orient="portrait"/>
          <w:cols w:equalWidth="0" w:num="2">
            <w:col w:w="2972" w:space="720"/>
            <w:col w:w="6760"/>
          </w:cols>
          <w:pgMar w:left="248" w:top="273" w:right="1199" w:bottom="1440" w:gutter="0" w:footer="0" w:header="0"/>
          <w:type w:val="continuous"/>
        </w:sectPr>
      </w:pPr>
    </w:p>
    <w:p>
      <w:pPr>
        <w:ind w:left="912"/>
        <w:spacing w:after="0"/>
        <w:rPr>
          <w:sz w:val="20"/>
          <w:szCs w:val="20"/>
          <w:color w:val="auto"/>
        </w:rPr>
      </w:pPr>
      <w:r>
        <w:rPr>
          <w:rFonts w:ascii="Arial" w:cs="Arial" w:eastAsia="Arial" w:hAnsi="Arial"/>
          <w:sz w:val="18"/>
          <w:szCs w:val="18"/>
          <w:color w:val="auto"/>
        </w:rPr>
        <w:t>Account Number: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ABA Number:</w:t>
      </w:r>
    </w:p>
    <w:p>
      <w:pPr>
        <w:spacing w:after="0" w:line="225" w:lineRule="exact"/>
        <w:rPr>
          <w:sz w:val="20"/>
          <w:szCs w:val="20"/>
          <w:color w:val="auto"/>
        </w:rPr>
      </w:pPr>
    </w:p>
    <w:p>
      <w:pPr>
        <w:ind w:left="4112"/>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12" w:hanging="212"/>
        <w:spacing w:after="0" w:line="277" w:lineRule="auto"/>
        <w:tabs>
          <w:tab w:leader="none" w:pos="21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52"/>
          </w:cols>
          <w:pgMar w:left="248" w:top="273" w:right="1199" w:bottom="1440" w:gutter="0" w:footer="0" w:header="0"/>
          <w:type w:val="continuous"/>
        </w:sectPr>
      </w:pPr>
    </w:p>
    <w:bookmarkStart w:id="453" w:name="page454"/>
    <w:bookmarkEnd w:id="4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right"/>
        <w:ind w:right="3019"/>
        <w:spacing w:after="0"/>
        <w:rPr>
          <w:sz w:val="20"/>
          <w:szCs w:val="20"/>
          <w:color w:val="auto"/>
        </w:rPr>
      </w:pPr>
      <w:r>
        <w:rPr>
          <w:rFonts w:ascii="Arial" w:cs="Arial" w:eastAsia="Arial" w:hAnsi="Arial"/>
          <w:sz w:val="18"/>
          <w:szCs w:val="18"/>
          <w:i w:val="1"/>
          <w:iCs w:val="1"/>
          <w:color w:val="auto"/>
        </w:rPr>
        <w:t>[Signature Page to Disbursement Letter]</w:t>
      </w:r>
    </w:p>
    <w:p>
      <w:pPr>
        <w:sectPr>
          <w:pgSz w:w="11900" w:h="16838" w:orient="portrait"/>
          <w:cols w:equalWidth="0" w:num="1">
            <w:col w:w="10219"/>
          </w:cols>
          <w:pgMar w:left="240" w:top="274" w:right="1440" w:bottom="1440" w:gutter="0" w:footer="0" w:header="0"/>
        </w:sectPr>
      </w:pPr>
    </w:p>
    <w:bookmarkStart w:id="454" w:name="page455"/>
    <w:bookmarkEnd w:id="4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[A][B][C]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455" w:name="page456"/>
    <w:bookmarkEnd w:id="455"/>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r>
      <w:tr>
        <w:trPr>
          <w:trHeight w:val="247"/>
        </w:trPr>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3"/>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432"/>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900" w:type="dxa"/>
            <w:vAlign w:val="bottom"/>
            <w:gridSpan w:val="10"/>
          </w:tcPr>
          <w:p>
            <w:pPr>
              <w:ind w:left="100"/>
              <w:spacing w:after="0"/>
              <w:rPr>
                <w:sz w:val="20"/>
                <w:szCs w:val="20"/>
                <w:color w:val="auto"/>
              </w:rPr>
            </w:pPr>
            <w:r>
              <w:rPr>
                <w:rFonts w:ascii="Arial" w:cs="Arial" w:eastAsia="Arial" w:hAnsi="Arial"/>
                <w:sz w:val="18"/>
                <w:szCs w:val="18"/>
                <w:color w:val="auto"/>
              </w:rPr>
              <w:t>ANAPTYSBIO, INC.</w:t>
            </w:r>
          </w:p>
        </w:tc>
        <w:tc>
          <w:tcPr>
            <w:tcW w:w="720" w:type="dxa"/>
            <w:vAlign w:val="bottom"/>
            <w:tcBorders>
              <w:right w:val="single" w:sz="8" w:color="auto"/>
            </w:tcBorders>
          </w:tcPr>
          <w:p>
            <w:pPr>
              <w:spacing w:after="0"/>
              <w:rPr>
                <w:sz w:val="24"/>
                <w:szCs w:val="24"/>
                <w:color w:val="auto"/>
              </w:rPr>
            </w:pPr>
          </w:p>
        </w:tc>
      </w:tr>
      <w:tr>
        <w:trPr>
          <w:trHeight w:val="459"/>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From Account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240"/>
              <w:spacing w:after="0"/>
              <w:rPr>
                <w:sz w:val="20"/>
                <w:szCs w:val="20"/>
                <w:color w:val="auto"/>
              </w:rPr>
            </w:pPr>
            <w:r>
              <w:rPr>
                <w:rFonts w:ascii="Arial" w:cs="Arial" w:eastAsia="Arial" w:hAnsi="Arial"/>
                <w:sz w:val="18"/>
                <w:szCs w:val="18"/>
                <w:color w:val="auto"/>
              </w:rPr>
              <w:t>To Account #</w:t>
            </w:r>
          </w:p>
        </w:tc>
        <w:tc>
          <w:tcPr>
            <w:tcW w:w="720" w:type="dxa"/>
            <w:vAlign w:val="bottom"/>
            <w:tcBorders>
              <w:right w:val="single" w:sz="8" w:color="auto"/>
            </w:tcBorders>
          </w:tcPr>
          <w:p>
            <w:pPr>
              <w:spacing w:after="0"/>
              <w:rPr>
                <w:sz w:val="24"/>
                <w:szCs w:val="24"/>
                <w:color w:val="auto"/>
              </w:rPr>
            </w:pPr>
          </w:p>
        </w:tc>
      </w:tr>
      <w:tr>
        <w:trPr>
          <w:trHeight w:val="209"/>
        </w:trPr>
        <w:tc>
          <w:tcPr>
            <w:tcW w:w="1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(Deposit Account #)</w:t>
            </w: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(Loan Account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w:t>
            </w:r>
          </w:p>
        </w:tc>
        <w:tc>
          <w:tcPr>
            <w:tcW w:w="366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color w:val="auto"/>
              </w:rPr>
              <w:t>and/or Interest $</w:t>
            </w:r>
          </w:p>
        </w:tc>
        <w:tc>
          <w:tcPr>
            <w:tcW w:w="3540" w:type="dxa"/>
            <w:vAlign w:val="bottom"/>
            <w:tcBorders>
              <w:bottom w:val="single" w:sz="8" w:color="auto"/>
            </w:tcBorders>
            <w:gridSpan w:val="4"/>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439"/>
        </w:trPr>
        <w:tc>
          <w:tcPr>
            <w:tcW w:w="484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940"/>
              <w:spacing w:after="0"/>
              <w:rPr>
                <w:sz w:val="20"/>
                <w:szCs w:val="20"/>
                <w:color w:val="auto"/>
              </w:rPr>
            </w:pPr>
            <w:r>
              <w:rPr>
                <w:rFonts w:ascii="Arial" w:cs="Arial" w:eastAsia="Arial" w:hAnsi="Arial"/>
                <w:sz w:val="18"/>
                <w:szCs w:val="18"/>
                <w:color w:val="auto"/>
              </w:rPr>
              <w:t>Phone Number:</w:t>
            </w:r>
          </w:p>
        </w:tc>
        <w:tc>
          <w:tcPr>
            <w:tcW w:w="720" w:type="dxa"/>
            <w:vAlign w:val="bottom"/>
            <w:tcBorders>
              <w:right w:val="single" w:sz="8" w:color="auto"/>
            </w:tcBorders>
          </w:tcPr>
          <w:p>
            <w:pPr>
              <w:spacing w:after="0"/>
              <w:rPr>
                <w:sz w:val="24"/>
                <w:szCs w:val="24"/>
                <w:color w:val="auto"/>
              </w:rPr>
            </w:pPr>
          </w:p>
        </w:tc>
      </w:tr>
      <w:tr>
        <w:trPr>
          <w:trHeight w:val="223"/>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Print Name/Title:</w:t>
            </w: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301"/>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76465" cy="25425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6465" cy="2542540"/>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60" w:type="dxa"/>
            <w:vAlign w:val="bottom"/>
            <w:gridSpan w:val="4"/>
          </w:tcPr>
          <w:p>
            <w:pPr>
              <w:ind w:left="20"/>
              <w:spacing w:after="0"/>
              <w:rPr>
                <w:sz w:val="20"/>
                <w:szCs w:val="20"/>
                <w:color w:val="auto"/>
              </w:rPr>
            </w:pPr>
            <w:r>
              <w:rPr>
                <w:rFonts w:ascii="Arial" w:cs="Arial" w:eastAsia="Arial" w:hAnsi="Arial"/>
                <w:sz w:val="18"/>
                <w:szCs w:val="18"/>
                <w:color w:val="auto"/>
              </w:rPr>
              <w:t>From Account #</w:t>
            </w: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To Account #</w:t>
            </w:r>
          </w:p>
        </w:tc>
      </w:tr>
      <w:tr>
        <w:trPr>
          <w:trHeight w:val="224"/>
        </w:trPr>
        <w:tc>
          <w:tcPr>
            <w:tcW w:w="1520" w:type="dxa"/>
            <w:vAlign w:val="bottom"/>
          </w:tcPr>
          <w:p>
            <w:pPr>
              <w:spacing w:after="0"/>
              <w:rPr>
                <w:sz w:val="19"/>
                <w:szCs w:val="19"/>
                <w:color w:val="auto"/>
              </w:rPr>
            </w:pPr>
          </w:p>
        </w:tc>
        <w:tc>
          <w:tcPr>
            <w:tcW w:w="33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(Loan Account #)</w:t>
            </w:r>
          </w:p>
        </w:tc>
        <w:tc>
          <w:tcPr>
            <w:tcW w:w="1700" w:type="dxa"/>
            <w:vAlign w:val="bottom"/>
          </w:tcPr>
          <w:p>
            <w:pPr>
              <w:spacing w:after="0"/>
              <w:rPr>
                <w:sz w:val="19"/>
                <w:szCs w:val="19"/>
                <w:color w:val="auto"/>
              </w:rPr>
            </w:pPr>
          </w:p>
        </w:tc>
        <w:tc>
          <w:tcPr>
            <w:tcW w:w="386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(Deposit Account #)</w:t>
            </w:r>
          </w:p>
        </w:tc>
      </w:tr>
      <w:tr>
        <w:trPr>
          <w:trHeight w:val="458"/>
        </w:trPr>
        <w:tc>
          <w:tcPr>
            <w:tcW w:w="19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15"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Pr>
          <w:p>
            <w:pPr>
              <w:ind w:left="920"/>
              <w:spacing w:after="0"/>
              <w:rPr>
                <w:sz w:val="20"/>
                <w:szCs w:val="20"/>
                <w:color w:val="auto"/>
              </w:rPr>
            </w:pPr>
            <w:r>
              <w:rPr>
                <w:rFonts w:ascii="Arial" w:cs="Arial" w:eastAsia="Arial" w:hAnsi="Arial"/>
                <w:sz w:val="18"/>
                <w:szCs w:val="18"/>
                <w:color w:val="auto"/>
                <w:w w:val="88"/>
              </w:rPr>
              <w:t>Phone Number:</w:t>
            </w: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4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76465" cy="3202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6465" cy="3202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Deadline for same day processing is noon, Pacific Time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Name: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660"/>
              <w:spacing w:after="0"/>
              <w:rPr>
                <w:sz w:val="20"/>
                <w:szCs w:val="20"/>
                <w:color w:val="auto"/>
              </w:rPr>
            </w:pPr>
            <w:r>
              <w:rPr>
                <w:rFonts w:ascii="Arial" w:cs="Arial" w:eastAsia="Arial" w:hAnsi="Arial"/>
                <w:sz w:val="18"/>
                <w:szCs w:val="18"/>
                <w:color w:val="auto"/>
              </w:rPr>
              <w:t>Amount of Wire: $</w:t>
            </w:r>
          </w:p>
        </w:tc>
        <w:tc>
          <w:tcPr>
            <w:tcW w:w="140" w:type="dxa"/>
            <w:vAlign w:val="bottom"/>
          </w:tcPr>
          <w:p>
            <w:pPr>
              <w:spacing w:after="0"/>
              <w:rPr>
                <w:sz w:val="20"/>
                <w:szCs w:val="20"/>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Account Number:</w:t>
            </w: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City and State:</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Bank Transit (ABA)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560"/>
              <w:spacing w:after="0"/>
              <w:rPr>
                <w:sz w:val="20"/>
                <w:szCs w:val="20"/>
                <w:color w:val="auto"/>
              </w:rPr>
            </w:pPr>
            <w:r>
              <w:rPr>
                <w:rFonts w:ascii="Arial" w:cs="Arial" w:eastAsia="Arial" w:hAnsi="Arial"/>
                <w:sz w:val="18"/>
                <w:szCs w:val="18"/>
                <w:color w:val="auto"/>
              </w:rPr>
              <w:t>Beneficiary Bank Code (Swift, Sort, Chip, etc.):</w:t>
            </w:r>
          </w:p>
        </w:tc>
        <w:tc>
          <w:tcPr>
            <w:tcW w:w="140" w:type="dxa"/>
            <w:vAlign w:val="bottom"/>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b w:val="1"/>
                <w:bCs w:val="1"/>
                <w:color w:val="auto"/>
              </w:rPr>
              <w:t>(For International Wire Only)</w:t>
            </w: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Intermediary Bank:</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520"/>
              <w:spacing w:after="0"/>
              <w:rPr>
                <w:sz w:val="20"/>
                <w:szCs w:val="20"/>
                <w:color w:val="auto"/>
              </w:rPr>
            </w:pPr>
            <w:r>
              <w:rPr>
                <w:rFonts w:ascii="Arial" w:cs="Arial" w:eastAsia="Arial" w:hAnsi="Arial"/>
                <w:sz w:val="18"/>
                <w:szCs w:val="18"/>
                <w:color w:val="auto"/>
              </w:rPr>
              <w:t>Transit (ABA) #:</w:t>
            </w:r>
          </w:p>
        </w:tc>
        <w:tc>
          <w:tcPr>
            <w:tcW w:w="140" w:type="dxa"/>
            <w:vAlign w:val="bottom"/>
          </w:tcPr>
          <w:p>
            <w:pPr>
              <w:spacing w:after="0"/>
              <w:rPr>
                <w:sz w:val="20"/>
                <w:szCs w:val="20"/>
                <w:color w:val="auto"/>
              </w:rPr>
            </w:pPr>
          </w:p>
        </w:tc>
      </w:tr>
      <w:tr>
        <w:trPr>
          <w:trHeight w:val="223"/>
        </w:trPr>
        <w:tc>
          <w:tcPr>
            <w:tcW w:w="1740" w:type="dxa"/>
            <w:vAlign w:val="bottom"/>
            <w:gridSpan w:val="3"/>
          </w:tcPr>
          <w:p>
            <w:pPr>
              <w:spacing w:after="0"/>
              <w:rPr>
                <w:sz w:val="20"/>
                <w:szCs w:val="20"/>
                <w:color w:val="auto"/>
              </w:rPr>
            </w:pPr>
            <w:r>
              <w:rPr>
                <w:rFonts w:ascii="Arial" w:cs="Arial" w:eastAsia="Arial" w:hAnsi="Arial"/>
                <w:sz w:val="18"/>
                <w:szCs w:val="18"/>
                <w:color w:val="auto"/>
              </w:rPr>
              <w:t>For Further Credit to:</w:t>
            </w:r>
          </w:p>
        </w:tc>
        <w:tc>
          <w:tcPr>
            <w:tcW w:w="120" w:type="dxa"/>
            <w:vAlign w:val="bottom"/>
            <w:tcBorders>
              <w:top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Instruction:</w:t>
      </w:r>
    </w:p>
    <w:p>
      <w:pPr>
        <w:spacing w:after="0" w:line="36" w:lineRule="exact"/>
        <w:rPr>
          <w:sz w:val="20"/>
          <w:szCs w:val="20"/>
          <w:color w:val="auto"/>
        </w:rPr>
      </w:pPr>
    </w:p>
    <w:p>
      <w:pPr>
        <w:ind w:left="140" w:right="3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5"/>
          </w:tcPr>
          <w:p>
            <w:pPr>
              <w:ind w:left="5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20" w:type="dxa"/>
            <w:vAlign w:val="bottom"/>
          </w:tcPr>
          <w:p>
            <w:pPr>
              <w:spacing w:after="0"/>
              <w:rPr>
                <w:sz w:val="20"/>
                <w:szCs w:val="20"/>
                <w:color w:val="auto"/>
              </w:rPr>
            </w:pPr>
          </w:p>
        </w:tc>
      </w:tr>
      <w:tr>
        <w:trPr>
          <w:trHeight w:val="223"/>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Print Name/Title:</w:t>
            </w:r>
          </w:p>
        </w:tc>
        <w:tc>
          <w:tcPr>
            <w:tcW w:w="1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40" w:type="dxa"/>
            <w:vAlign w:val="bottom"/>
            <w:gridSpan w:val="3"/>
          </w:tcPr>
          <w:p>
            <w:pPr>
              <w:ind w:left="560"/>
              <w:spacing w:after="0"/>
              <w:rPr>
                <w:sz w:val="20"/>
                <w:szCs w:val="20"/>
                <w:color w:val="auto"/>
              </w:rPr>
            </w:pPr>
            <w:r>
              <w:rPr>
                <w:rFonts w:ascii="Arial" w:cs="Arial" w:eastAsia="Arial" w:hAnsi="Arial"/>
                <w:sz w:val="18"/>
                <w:szCs w:val="18"/>
                <w:color w:val="auto"/>
              </w:rPr>
              <w:t>Print Name/Title:</w:t>
            </w:r>
          </w:p>
        </w:tc>
        <w:tc>
          <w:tcPr>
            <w:tcW w:w="274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ind w:left="560"/>
              <w:spacing w:after="0"/>
              <w:rPr>
                <w:sz w:val="20"/>
                <w:szCs w:val="20"/>
                <w:color w:val="auto"/>
              </w:rPr>
            </w:pPr>
            <w:r>
              <w:rPr>
                <w:rFonts w:ascii="Arial" w:cs="Arial" w:eastAsia="Arial" w:hAnsi="Arial"/>
                <w:sz w:val="18"/>
                <w:szCs w:val="18"/>
                <w:color w:val="auto"/>
              </w:rPr>
              <w:t>Telephone #:</w:t>
            </w:r>
          </w:p>
        </w:tc>
        <w:tc>
          <w:tcPr>
            <w:tcW w:w="2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ectPr>
          <w:pgSz w:w="11900" w:h="16838" w:orient="portrait"/>
          <w:cols w:equalWidth="0" w:num="1">
            <w:col w:w="11460"/>
          </w:cols>
          <w:pgMar w:left="240" w:top="269" w:right="199" w:bottom="1440" w:gutter="0" w:footer="0" w:header="0"/>
        </w:sectPr>
      </w:pPr>
    </w:p>
    <w:bookmarkStart w:id="456" w:name="page457"/>
    <w:bookmarkEnd w:id="4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9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SILICON VALLEY BANK, as Lender</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ANAPTYSBIO, INC.</w:t>
            </w:r>
          </w:p>
        </w:tc>
      </w:tr>
    </w:tbl>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ANAPTYSBIO,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(a) 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720" w:hanging="256"/>
        <w:spacing w:after="0"/>
        <w:tabs>
          <w:tab w:leader="none" w:pos="7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right="100" w:firstLine="464"/>
        <w:spacing w:after="0" w:line="279" w:lineRule="auto"/>
        <w:tabs>
          <w:tab w:leader="none" w:pos="701" w:val="left"/>
        </w:tabs>
        <w:numPr>
          <w:ilvl w:val="0"/>
          <w:numId w:val="441"/>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firstLine="464"/>
        <w:spacing w:after="0" w:line="264" w:lineRule="auto"/>
        <w:tabs>
          <w:tab w:leader="none" w:pos="71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040" w:type="dxa"/>
            <w:vAlign w:val="bottom"/>
          </w:tcPr>
          <w:p>
            <w:pPr>
              <w:ind w:left="1480"/>
              <w:spacing w:after="0"/>
              <w:rPr>
                <w:sz w:val="20"/>
                <w:szCs w:val="20"/>
                <w:color w:val="auto"/>
              </w:rPr>
            </w:pPr>
            <w:r>
              <w:rPr>
                <w:rFonts w:ascii="Arial" w:cs="Arial" w:eastAsia="Arial" w:hAnsi="Arial"/>
                <w:sz w:val="14"/>
                <w:szCs w:val="14"/>
                <w:b w:val="1"/>
                <w:bCs w:val="1"/>
                <w:color w:val="auto"/>
              </w:rPr>
              <w:t>Reporting Covenant</w:t>
            </w:r>
          </w:p>
        </w:tc>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Requirement</w:t>
            </w:r>
          </w:p>
        </w:tc>
        <w:tc>
          <w:tcPr>
            <w:tcW w:w="1680" w:type="dxa"/>
            <w:vAlign w:val="bottom"/>
          </w:tcPr>
          <w:p>
            <w:pPr>
              <w:ind w:left="3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80" w:type="dxa"/>
            <w:vAlign w:val="bottom"/>
          </w:tcPr>
          <w:p>
            <w:pPr>
              <w:spacing w:after="0"/>
              <w:rPr>
                <w:sz w:val="16"/>
                <w:szCs w:val="16"/>
                <w:color w:val="auto"/>
              </w:rPr>
            </w:pPr>
          </w:p>
        </w:tc>
      </w:tr>
      <w:tr>
        <w:trPr>
          <w:trHeight w:val="30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w:t>
            </w:r>
          </w:p>
        </w:tc>
        <w:tc>
          <w:tcPr>
            <w:tcW w:w="404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Monthly within 30 days</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2)</w:t>
            </w:r>
          </w:p>
        </w:tc>
        <w:tc>
          <w:tcPr>
            <w:tcW w:w="4040" w:type="dxa"/>
            <w:vAlign w:val="bottom"/>
          </w:tcPr>
          <w:p>
            <w:pPr>
              <w:ind w:left="160"/>
              <w:spacing w:after="0"/>
              <w:rPr>
                <w:sz w:val="20"/>
                <w:szCs w:val="20"/>
                <w:color w:val="auto"/>
              </w:rPr>
            </w:pPr>
            <w:r>
              <w:rPr>
                <w:rFonts w:ascii="Arial" w:cs="Arial" w:eastAsia="Arial" w:hAnsi="Arial"/>
                <w:sz w:val="18"/>
                <w:szCs w:val="18"/>
                <w:color w:val="auto"/>
              </w:rPr>
              <w:t>Annual (CPA Audited)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Within 180 days after FYE</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w:t>
            </w:r>
          </w:p>
        </w:tc>
        <w:tc>
          <w:tcPr>
            <w:tcW w:w="4040" w:type="dxa"/>
            <w:vAlign w:val="bottom"/>
          </w:tcPr>
          <w:p>
            <w:pPr>
              <w:ind w:left="160"/>
              <w:spacing w:after="0"/>
              <w:rPr>
                <w:sz w:val="20"/>
                <w:szCs w:val="20"/>
                <w:color w:val="auto"/>
              </w:rPr>
            </w:pPr>
            <w:r>
              <w:rPr>
                <w:rFonts w:ascii="Arial" w:cs="Arial" w:eastAsia="Arial" w:hAnsi="Arial"/>
                <w:sz w:val="18"/>
                <w:szCs w:val="18"/>
                <w:color w:val="auto"/>
                <w:w w:val="93"/>
              </w:rPr>
              <w:t>Annual Financial Projections/Budget (prepared on a</w:t>
            </w:r>
          </w:p>
        </w:tc>
        <w:tc>
          <w:tcPr>
            <w:tcW w:w="3780" w:type="dxa"/>
            <w:vAlign w:val="bottom"/>
          </w:tcPr>
          <w:p>
            <w:pPr>
              <w:ind w:left="140"/>
              <w:spacing w:after="0"/>
              <w:rPr>
                <w:sz w:val="20"/>
                <w:szCs w:val="20"/>
                <w:color w:val="auto"/>
              </w:rPr>
            </w:pPr>
            <w:r>
              <w:rPr>
                <w:rFonts w:ascii="Arial" w:cs="Arial" w:eastAsia="Arial" w:hAnsi="Arial"/>
                <w:sz w:val="18"/>
                <w:szCs w:val="18"/>
                <w:color w:val="auto"/>
              </w:rPr>
              <w:t>Annually (within 10 days of FYE), and when</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monthly basis)</w:t>
            </w:r>
          </w:p>
        </w:tc>
        <w:tc>
          <w:tcPr>
            <w:tcW w:w="3780" w:type="dxa"/>
            <w:vAlign w:val="bottom"/>
          </w:tcPr>
          <w:p>
            <w:pPr>
              <w:ind w:left="140"/>
              <w:spacing w:after="0"/>
              <w:rPr>
                <w:sz w:val="20"/>
                <w:szCs w:val="20"/>
                <w:color w:val="auto"/>
              </w:rPr>
            </w:pPr>
            <w:r>
              <w:rPr>
                <w:rFonts w:ascii="Arial" w:cs="Arial" w:eastAsia="Arial" w:hAnsi="Arial"/>
                <w:sz w:val="18"/>
                <w:szCs w:val="18"/>
                <w:color w:val="auto"/>
              </w:rPr>
              <w:t>revised</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380"/>
          </w:cols>
          <w:pgMar w:left="240" w:top="270" w:right="279" w:bottom="1440" w:gutter="0" w:footer="0" w:header="0"/>
        </w:sectPr>
      </w:pPr>
    </w:p>
    <w:bookmarkStart w:id="457" w:name="page458"/>
    <w:bookmarkEnd w:id="4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w:t>
            </w:r>
          </w:p>
        </w:tc>
        <w:tc>
          <w:tcPr>
            <w:tcW w:w="4080" w:type="dxa"/>
            <w:vAlign w:val="bottom"/>
          </w:tcPr>
          <w:p>
            <w:pPr>
              <w:ind w:left="160"/>
              <w:spacing w:after="0"/>
              <w:rPr>
                <w:sz w:val="20"/>
                <w:szCs w:val="20"/>
                <w:color w:val="auto"/>
              </w:rPr>
            </w:pPr>
            <w:r>
              <w:rPr>
                <w:rFonts w:ascii="Arial" w:cs="Arial" w:eastAsia="Arial" w:hAnsi="Arial"/>
                <w:sz w:val="18"/>
                <w:szCs w:val="18"/>
                <w:color w:val="auto"/>
              </w:rPr>
              <w:t>A/R &amp; A/P agings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w:t>
            </w:r>
          </w:p>
        </w:tc>
        <w:tc>
          <w:tcPr>
            <w:tcW w:w="120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5)</w:t>
            </w:r>
          </w:p>
        </w:tc>
        <w:tc>
          <w:tcPr>
            <w:tcW w:w="4080" w:type="dxa"/>
            <w:vAlign w:val="bottom"/>
          </w:tcPr>
          <w:p>
            <w:pPr>
              <w:ind w:left="160"/>
              <w:spacing w:after="0"/>
              <w:rPr>
                <w:sz w:val="20"/>
                <w:szCs w:val="20"/>
                <w:color w:val="auto"/>
              </w:rPr>
            </w:pPr>
            <w:r>
              <w:rPr>
                <w:rFonts w:ascii="Arial" w:cs="Arial" w:eastAsia="Arial" w:hAnsi="Arial"/>
                <w:sz w:val="18"/>
                <w:szCs w:val="18"/>
                <w:color w:val="auto"/>
              </w:rPr>
              <w:t>8-K, 10-K and 10-Q Filings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 within 5 days of filing</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6)</w:t>
            </w:r>
          </w:p>
        </w:tc>
        <w:tc>
          <w:tcPr>
            <w:tcW w:w="408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3360" w:type="dxa"/>
            <w:vAlign w:val="bottom"/>
          </w:tcPr>
          <w:p>
            <w:pPr>
              <w:ind w:left="100"/>
              <w:spacing w:after="0"/>
              <w:rPr>
                <w:sz w:val="20"/>
                <w:szCs w:val="20"/>
                <w:color w:val="auto"/>
              </w:rPr>
            </w:pPr>
            <w:r>
              <w:rPr>
                <w:rFonts w:ascii="Arial" w:cs="Arial" w:eastAsia="Arial" w:hAnsi="Arial"/>
                <w:sz w:val="18"/>
                <w:szCs w:val="18"/>
                <w:color w:val="auto"/>
              </w:rPr>
              <w:t>Monthly within 30 days</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7)</w:t>
            </w:r>
          </w:p>
        </w:tc>
        <w:tc>
          <w:tcPr>
            <w:tcW w:w="4080" w:type="dxa"/>
            <w:vAlign w:val="bottom"/>
          </w:tcPr>
          <w:p>
            <w:pPr>
              <w:ind w:left="160"/>
              <w:spacing w:after="0"/>
              <w:rPr>
                <w:sz w:val="20"/>
                <w:szCs w:val="20"/>
                <w:color w:val="auto"/>
              </w:rPr>
            </w:pPr>
            <w:r>
              <w:rPr>
                <w:rFonts w:ascii="Arial" w:cs="Arial" w:eastAsia="Arial" w:hAnsi="Arial"/>
                <w:sz w:val="18"/>
                <w:szCs w:val="18"/>
                <w:color w:val="auto"/>
              </w:rPr>
              <w:t>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When required</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w:t>
            </w:r>
          </w:p>
        </w:tc>
        <w:tc>
          <w:tcPr>
            <w:tcW w:w="4080" w:type="dxa"/>
            <w:vAlign w:val="bottom"/>
          </w:tcPr>
          <w:p>
            <w:pPr>
              <w:ind w:left="160"/>
              <w:spacing w:after="0"/>
              <w:rPr>
                <w:sz w:val="20"/>
                <w:szCs w:val="20"/>
                <w:color w:val="auto"/>
              </w:rPr>
            </w:pPr>
            <w:r>
              <w:rPr>
                <w:rFonts w:ascii="Arial" w:cs="Arial" w:eastAsia="Arial" w:hAnsi="Arial"/>
                <w:sz w:val="18"/>
                <w:szCs w:val="18"/>
                <w:color w:val="auto"/>
              </w:rPr>
              <w:t>Non-Core 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Quarterly</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9)</w:t>
            </w:r>
          </w:p>
        </w:tc>
        <w:tc>
          <w:tcPr>
            <w:tcW w:w="4080" w:type="dxa"/>
            <w:vAlign w:val="bottom"/>
          </w:tcPr>
          <w:p>
            <w:pPr>
              <w:ind w:left="160"/>
              <w:spacing w:after="0"/>
              <w:rPr>
                <w:sz w:val="20"/>
                <w:szCs w:val="20"/>
                <w:color w:val="auto"/>
              </w:rPr>
            </w:pPr>
            <w:r>
              <w:rPr>
                <w:rFonts w:ascii="Arial" w:cs="Arial" w:eastAsia="Arial" w:hAnsi="Arial"/>
                <w:sz w:val="18"/>
                <w:szCs w:val="18"/>
                <w:color w:val="auto"/>
              </w:rPr>
              <w:t>Total amount of Borrower’s cash and cash</w:t>
            </w: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1"/>
              </w:rPr>
              <w:t>equivalents at the last day of the measurement period</w:t>
            </w:r>
          </w:p>
        </w:tc>
        <w:tc>
          <w:tcPr>
            <w:tcW w:w="3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ind w:left="480" w:hanging="472"/>
        <w:spacing w:after="0"/>
        <w:tabs>
          <w:tab w:leader="none" w:pos="480"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Total amount of Borrower’s Subsidiaries’ cash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cash equivalents at the last day of the measurement</w:t>
            </w: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period</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Yes</w:t>
            </w:r>
          </w:p>
        </w:tc>
        <w:tc>
          <w:tcPr>
            <w:tcW w:w="500" w:type="dxa"/>
            <w:vAlign w:val="bottom"/>
          </w:tcPr>
          <w:p>
            <w:pPr>
              <w:ind w:left="4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00"/>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(Please list all accounts; attach separate sheet if additional space needed)</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Institution Name</w:t>
            </w:r>
          </w:p>
        </w:tc>
        <w:tc>
          <w:tcPr>
            <w:tcW w:w="2840" w:type="dxa"/>
            <w:vAlign w:val="bottom"/>
            <w:vMerge w:val="restart"/>
          </w:tcPr>
          <w:p>
            <w:pPr>
              <w:jc w:val="right"/>
              <w:ind w:right="1419"/>
              <w:spacing w:after="0"/>
              <w:rPr>
                <w:sz w:val="20"/>
                <w:szCs w:val="20"/>
                <w:color w:val="auto"/>
              </w:rPr>
            </w:pPr>
            <w:r>
              <w:rPr>
                <w:rFonts w:ascii="Arial" w:cs="Arial" w:eastAsia="Arial" w:hAnsi="Arial"/>
                <w:sz w:val="14"/>
                <w:szCs w:val="14"/>
                <w:b w:val="1"/>
                <w:bCs w:val="1"/>
                <w:color w:val="auto"/>
              </w:rPr>
              <w:t>Account Number</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New Account?</w:t>
            </w: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Account Control Agreement in</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place?</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00"/>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w w:val="90"/>
              </w:rPr>
              <w:t>Have there been any transfers/sales/disposals/retirement of Collateral or IP prohibited by the Loan Agreement?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hanging="472"/>
        <w:spacing w:after="0"/>
        <w:tabs>
          <w:tab w:leader="none" w:pos="480" w:val="left"/>
        </w:tabs>
        <w:numPr>
          <w:ilvl w:val="0"/>
          <w:numId w:val="443"/>
        </w:numPr>
        <w:rPr>
          <w:rFonts w:ascii="Arial" w:cs="Arial" w:eastAsia="Arial" w:hAnsi="Arial"/>
          <w:sz w:val="18"/>
          <w:szCs w:val="18"/>
          <w:b w:val="1"/>
          <w:bCs w:val="1"/>
          <w:color w:val="auto"/>
        </w:rPr>
      </w:pPr>
      <w:r>
        <w:rPr>
          <w:rFonts w:ascii="Arial" w:cs="Arial" w:eastAsia="Arial" w:hAnsi="Arial"/>
          <w:sz w:val="18"/>
          <w:szCs w:val="18"/>
          <w:color w:val="auto"/>
        </w:rPr>
        <w:t>Have there been any new or pending claims or causes of action against Borrower that involve more than One Hundred</w:t>
      </w:r>
    </w:p>
    <w:p>
      <w:pPr>
        <w:spacing w:after="0" w:line="23" w:lineRule="exact"/>
        <w:rPr>
          <w:sz w:val="20"/>
          <w:szCs w:val="20"/>
          <w:color w:val="auto"/>
        </w:rPr>
      </w:pPr>
    </w:p>
    <w:p>
      <w:pPr>
        <w:ind w:left="480"/>
        <w:spacing w:after="0"/>
        <w:tabs>
          <w:tab w:leader="none" w:pos="9740" w:val="left"/>
          <w:tab w:leader="none" w:pos="10900" w:val="left"/>
        </w:tabs>
        <w:rPr>
          <w:sz w:val="20"/>
          <w:szCs w:val="20"/>
          <w:color w:val="auto"/>
        </w:rPr>
      </w:pPr>
      <w:r>
        <w:rPr>
          <w:rFonts w:ascii="Arial" w:cs="Arial" w:eastAsia="Arial" w:hAnsi="Arial"/>
          <w:sz w:val="18"/>
          <w:szCs w:val="18"/>
          <w:color w:val="auto"/>
        </w:rPr>
        <w:t>Thousand Dollars ($100,000.00)?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480" w:right="2120" w:hanging="472"/>
        <w:spacing w:after="0" w:line="286" w:lineRule="auto"/>
        <w:tabs>
          <w:tab w:leader="none" w:pos="480" w:val="left"/>
        </w:tabs>
        <w:numPr>
          <w:ilvl w:val="0"/>
          <w:numId w:val="444"/>
        </w:numPr>
        <w:rPr>
          <w:rFonts w:ascii="Arial" w:cs="Arial" w:eastAsia="Arial" w:hAnsi="Arial"/>
          <w:sz w:val="16"/>
          <w:szCs w:val="16"/>
          <w:b w:val="1"/>
          <w:bCs w:val="1"/>
          <w:color w:val="auto"/>
        </w:rPr>
      </w:pPr>
      <w:r>
        <w:rPr>
          <w:rFonts w:ascii="Arial" w:cs="Arial" w:eastAsia="Arial" w:hAnsi="Arial"/>
          <w:sz w:val="16"/>
          <w:szCs w:val="16"/>
          <w:color w:val="auto"/>
        </w:rPr>
        <w:t>Have there been any (A) amendments of or other changes to the Operating Documents or (B) material changes to the capitalization table of Borrower and to the Operating Documents of Borrower or any of its Subsidiaries (other than with respect to the grant, exercise, cancellation or modification of options to purchase Borrower’s Common Stock outstanding or hereafter issued by Borrower from the option pool set forth on the capitalization table of Borrower delivered to Bank in</w:t>
      </w:r>
    </w:p>
    <w:p>
      <w:pPr>
        <w:spacing w:after="0" w:line="2" w:lineRule="exact"/>
        <w:rPr>
          <w:sz w:val="20"/>
          <w:szCs w:val="20"/>
          <w:color w:val="auto"/>
        </w:rPr>
      </w:pPr>
    </w:p>
    <w:p>
      <w:pPr>
        <w:ind w:left="480" w:right="2120"/>
        <w:spacing w:after="0" w:line="281" w:lineRule="auto"/>
        <w:rPr>
          <w:sz w:val="20"/>
          <w:szCs w:val="20"/>
          <w:color w:val="auto"/>
        </w:rPr>
      </w:pPr>
      <w:r>
        <w:rPr>
          <w:rFonts w:ascii="Arial" w:cs="Arial" w:eastAsia="Arial" w:hAnsi="Arial"/>
          <w:sz w:val="16"/>
          <w:szCs w:val="16"/>
          <w:color w:val="auto"/>
        </w:rPr>
        <w:t>connection with the Perfection Certificate or upon exercise of warrants to purchase capital stock of the Borrower reflected upon such capitalization table)? If yes, provide copies of any such amendments or changes with this Compliance</w:t>
      </w:r>
    </w:p>
    <w:p>
      <w:pPr>
        <w:sectPr>
          <w:pgSz w:w="11900" w:h="16838" w:orient="portrait"/>
          <w:cols w:equalWidth="0" w:num="1">
            <w:col w:w="11400"/>
          </w:cols>
          <w:pgMar w:left="240" w:top="377" w:right="259" w:bottom="1440" w:gutter="0" w:footer="0" w:header="0"/>
        </w:sectPr>
      </w:pP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3">
            <w:col w:w="9040" w:space="720"/>
            <w:col w:w="440" w:space="720"/>
            <w:col w:w="480"/>
          </w:cols>
          <w:pgMar w:left="240" w:top="377" w:right="259" w:bottom="1440" w:gutter="0" w:footer="0" w:header="0"/>
          <w:type w:val="continuous"/>
        </w:sectPr>
      </w:pPr>
    </w:p>
    <w:bookmarkStart w:id="458" w:name="page459"/>
    <w:bookmarkEnd w:id="4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LENDER USE ONLY</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Received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rPr>
              <w:t>Verified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820" w:type="dxa"/>
            <w:vAlign w:val="bottom"/>
            <w:gridSpan w:val="2"/>
          </w:tcPr>
          <w:p>
            <w:pPr>
              <w:spacing w:after="0"/>
              <w:rPr>
                <w:sz w:val="20"/>
                <w:szCs w:val="20"/>
                <w:color w:val="auto"/>
              </w:rPr>
            </w:pPr>
            <w:r>
              <w:rPr>
                <w:rFonts w:ascii="Arial" w:cs="Arial" w:eastAsia="Arial" w:hAnsi="Arial"/>
                <w:sz w:val="18"/>
                <w:szCs w:val="18"/>
                <w:color w:val="auto"/>
              </w:rPr>
              <w:t>Compliance Status:</w:t>
            </w:r>
          </w:p>
        </w:tc>
        <w:tc>
          <w:tcPr>
            <w:tcW w:w="660" w:type="dxa"/>
            <w:vAlign w:val="bottom"/>
          </w:tcPr>
          <w:p>
            <w:pPr>
              <w:ind w:left="120"/>
              <w:spacing w:after="0"/>
              <w:rPr>
                <w:sz w:val="20"/>
                <w:szCs w:val="20"/>
                <w:color w:val="auto"/>
              </w:rPr>
            </w:pPr>
            <w:r>
              <w:rPr>
                <w:rFonts w:ascii="Arial" w:cs="Arial" w:eastAsia="Arial" w:hAnsi="Arial"/>
                <w:sz w:val="18"/>
                <w:szCs w:val="18"/>
                <w:color w:val="auto"/>
              </w:rPr>
              <w:t>Yes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-445135</wp:posOffset>
            </wp:positionV>
            <wp:extent cx="119189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-222250</wp:posOffset>
            </wp:positionV>
            <wp:extent cx="119189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460" w:name="page461"/>
    <w:bookmarkEnd w:id="4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[A][B][C] Loan)</w:t>
      </w:r>
    </w:p>
    <w:p>
      <w:pPr>
        <w:spacing w:after="0" w:line="238"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37" w:lineRule="exact"/>
        <w:rPr>
          <w:sz w:val="20"/>
          <w:szCs w:val="20"/>
          <w:color w:val="auto"/>
        </w:rPr>
      </w:pPr>
    </w:p>
    <w:p>
      <w:pPr>
        <w:ind w:right="240" w:firstLine="456"/>
        <w:spacing w:after="0" w:line="274" w:lineRule="auto"/>
        <w:rPr>
          <w:sz w:val="20"/>
          <w:szCs w:val="20"/>
          <w:color w:val="auto"/>
        </w:rPr>
      </w:pPr>
      <w:r>
        <w:rPr>
          <w:rFonts w:ascii="Arial" w:cs="Arial" w:eastAsia="Arial" w:hAnsi="Arial"/>
          <w:sz w:val="17"/>
          <w:szCs w:val="17"/>
          <w:color w:val="auto"/>
        </w:rPr>
        <w:t>FOR VALUE RECEIVED, the undersigned,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w:t>
      </w:r>
    </w:p>
    <w:p>
      <w:pPr>
        <w:ind w:right="1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 ] MILLION DOLLARS ($ ) or such lesser amount as shall equal the outstanding principal balance of the Term [A][B][C] Loan made to Borrower by Lender, plus interest on the aggregate unpaid principal amount of such Term [A][B][C] Loan, at the rates and in accordance with the terms of the Loan and Security Agreement dated December ,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Principal, interest and all other amounts due with respect to the Term [A][B][C]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[A][B][C]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[A][B][C] Loan, interest on the Term [A][B][C]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461" w:name="page462"/>
    <w:bookmarkEnd w:id="4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480"/>
          </w:cols>
          <w:pgMar w:left="700" w:top="274" w:right="71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2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Scheduled</w:t>
            </w:r>
          </w:p>
        </w:tc>
        <w:tc>
          <w:tcPr>
            <w:tcW w:w="20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Notation By</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 Amount</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Warrant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69" w:right="1440" w:bottom="1440" w:gutter="0" w:footer="0" w:header="0"/>
        </w:sectPr>
      </w:pPr>
    </w:p>
    <w:bookmarkStart w:id="464" w:name="page465"/>
    <w:bookmarkEnd w:id="46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274"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ANAPTYSBIO, INC., a Delaware corporation</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[3.75% of the funded Term Loan/Warrant Price]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Series C Preferred (Subject to Section 1.7)</w:t>
      </w:r>
    </w:p>
    <w:p>
      <w:pPr>
        <w:spacing w:after="0" w:line="140" w:lineRule="exact"/>
        <w:rPr>
          <w:sz w:val="20"/>
          <w:szCs w:val="20"/>
          <w:color w:val="auto"/>
        </w:rPr>
      </w:pPr>
    </w:p>
    <w:p>
      <w:pPr>
        <w:sectPr>
          <w:pgSz w:w="11900" w:h="16838" w:orient="portrait"/>
          <w:cols w:equalWidth="0" w:num="2">
            <w:col w:w="1560" w:space="5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$0.65 per share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129"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10 years after the Issue Date] See also Section 5.1(b).</w:t>
      </w:r>
    </w:p>
    <w:p>
      <w:pPr>
        <w:spacing w:after="0" w:line="136"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dated as of December , 2014 among Oxford Finance LLC, as Lender and Collateral Agent, the Lenders from time to time party thereto, including Silicon Valley Bank and the Company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firstLine="456"/>
        <w:spacing w:after="0" w:line="274" w:lineRule="auto"/>
        <w:rPr>
          <w:sz w:val="20"/>
          <w:szCs w:val="20"/>
          <w:color w:val="auto"/>
        </w:rPr>
      </w:pPr>
      <w:r>
        <w:rPr>
          <w:rFonts w:ascii="Arial" w:cs="Arial" w:eastAsia="Arial" w:hAnsi="Arial"/>
          <w:sz w:val="17"/>
          <w:szCs w:val="17"/>
          <w:color w:val="auto"/>
        </w:rPr>
        <w:t>THIS WARRANT CERTIFIES THAT, for good and valuable consideration, [SILICON VALLEY BANK][OXFORD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 [</w:t>
      </w:r>
      <w:r>
        <w:rPr>
          <w:rFonts w:ascii="Arial" w:cs="Arial" w:eastAsia="Arial" w:hAnsi="Arial"/>
          <w:sz w:val="17"/>
          <w:szCs w:val="17"/>
          <w:i w:val="1"/>
          <w:iCs w:val="1"/>
          <w:color w:val="auto"/>
        </w:rPr>
        <w:t>for SVB, add</w:t>
      </w:r>
      <w:r>
        <w:rPr>
          <w:rFonts w:ascii="Arial" w:cs="Arial" w:eastAsia="Arial" w:hAnsi="Arial"/>
          <w:sz w:val="17"/>
          <w:szCs w:val="17"/>
          <w:color w:val="auto"/>
        </w:rPr>
        <w:t>: Reference is made to Section 5.4 of this Warrant whereby Silicon Valley Bank shall transfer this Warrant to its parent company, SVB Financial Group.]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20" w:firstLine="1484"/>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274" w:right="239" w:bottom="1440" w:gutter="0" w:footer="0" w:header="0"/>
          <w:type w:val="continuous"/>
        </w:sectPr>
      </w:pPr>
    </w:p>
    <w:bookmarkStart w:id="465" w:name="page466"/>
    <w:bookmarkEnd w:id="465"/>
    <w:p>
      <w:pPr>
        <w:ind w:left="1500" w:right="338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ind w:right="260" w:firstLine="1484"/>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466" w:name="page467"/>
    <w:bookmarkEnd w:id="466"/>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446"/>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1492"/>
        <w:spacing w:after="0" w:line="285" w:lineRule="auto"/>
        <w:tabs>
          <w:tab w:leader="none" w:pos="172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the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40" w:firstLine="1484"/>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467" w:name="page468"/>
    <w:bookmarkEnd w:id="467"/>
    <w:p>
      <w:pPr>
        <w:ind w:right="20" w:firstLine="14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9" w:lineRule="exact"/>
        <w:rPr>
          <w:sz w:val="20"/>
          <w:szCs w:val="20"/>
          <w:color w:val="auto"/>
        </w:rPr>
      </w:pPr>
    </w:p>
    <w:p>
      <w:pPr>
        <w:jc w:val="both"/>
        <w:ind w:right="240" w:firstLine="1484"/>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1492"/>
        <w:spacing w:after="0" w:line="264" w:lineRule="auto"/>
        <w:tabs>
          <w:tab w:leader="none" w:pos="172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3" w:right="259" w:bottom="1440" w:gutter="0" w:footer="0" w:header="0"/>
        </w:sectPr>
      </w:pPr>
    </w:p>
    <w:bookmarkStart w:id="468" w:name="page469"/>
    <w:bookmarkEnd w:id="468"/>
    <w:p>
      <w:pPr>
        <w:ind w:left="1740" w:hanging="248"/>
        <w:spacing w:after="0"/>
        <w:tabs>
          <w:tab w:leader="none" w:pos="1740" w:val="left"/>
        </w:tabs>
        <w:numPr>
          <w:ilvl w:val="0"/>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240" w:firstLine="1492"/>
        <w:spacing w:after="0" w:line="277" w:lineRule="auto"/>
        <w:tabs>
          <w:tab w:leader="none" w:pos="172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60" w:firstLine="1948"/>
        <w:spacing w:after="0" w:line="264" w:lineRule="auto"/>
        <w:tabs>
          <w:tab w:leader="none" w:pos="219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00" w:firstLine="1948"/>
        <w:spacing w:after="0" w:line="264" w:lineRule="auto"/>
        <w:tabs>
          <w:tab w:leader="none" w:pos="219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0" w:firstLine="1948"/>
        <w:spacing w:after="0" w:line="277" w:lineRule="auto"/>
        <w:tabs>
          <w:tab w:leader="none" w:pos="219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9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right="20" w:firstLine="1484"/>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w:t>
      </w:r>
    </w:p>
    <w:p>
      <w:pPr>
        <w:sectPr>
          <w:pgSz w:w="11900" w:h="16838" w:orient="portrait"/>
          <w:cols w:equalWidth="0" w:num="1">
            <w:col w:w="11400"/>
          </w:cols>
          <w:pgMar w:left="240" w:top="273" w:right="25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unreasonable effort or expense) necessary to verify any information furnished to Holder or to which Holder has access.</w:t>
      </w:r>
    </w:p>
    <w:p>
      <w:pPr>
        <w:spacing w:after="0" w:line="225" w:lineRule="exact"/>
        <w:rPr>
          <w:sz w:val="20"/>
          <w:szCs w:val="20"/>
          <w:color w:val="auto"/>
        </w:rPr>
      </w:pPr>
    </w:p>
    <w:p>
      <w:pPr>
        <w:ind w:right="200" w:firstLine="1484"/>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40" w:firstLine="1484"/>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3"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that certain Third Amended and Restated Investor Rights Agreement by and among the Company and the investors party thereto, dated July 15, 2013 (as such agreement may be amended and restated) or similar agreement.</w:t>
      </w:r>
    </w:p>
    <w:p>
      <w:pPr>
        <w:spacing w:after="0" w:line="181"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5" w:lineRule="exact"/>
        <w:rPr>
          <w:sz w:val="20"/>
          <w:szCs w:val="20"/>
          <w:color w:val="auto"/>
        </w:rPr>
      </w:pPr>
    </w:p>
    <w:p>
      <w:pPr>
        <w:ind w:right="60" w:firstLine="1492"/>
        <w:spacing w:after="0" w:line="277" w:lineRule="auto"/>
        <w:tabs>
          <w:tab w:leader="none" w:pos="1728"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w:t>
      </w:r>
      <w:r>
        <w:rPr>
          <w:rFonts w:ascii="Arial" w:cs="Arial" w:eastAsia="Arial" w:hAnsi="Arial"/>
          <w:sz w:val="18"/>
          <w:szCs w:val="18"/>
          <w:i w:val="1"/>
          <w:iCs w:val="1"/>
          <w:color w:val="auto"/>
        </w:rPr>
        <w:t>for SVB</w:t>
      </w:r>
      <w:r>
        <w:rPr>
          <w:rFonts w:ascii="Arial" w:cs="Arial" w:eastAsia="Arial" w:hAnsi="Arial"/>
          <w:sz w:val="18"/>
          <w:szCs w:val="18"/>
          <w:color w:val="auto"/>
        </w:rPr>
        <w:t>: Pacific][</w:t>
      </w:r>
      <w:r>
        <w:rPr>
          <w:rFonts w:ascii="Arial" w:cs="Arial" w:eastAsia="Arial" w:hAnsi="Arial"/>
          <w:sz w:val="18"/>
          <w:szCs w:val="18"/>
          <w:i w:val="1"/>
          <w:iCs w:val="1"/>
          <w:color w:val="auto"/>
        </w:rPr>
        <w:t>for Oxford</w:t>
      </w:r>
      <w:r>
        <w:rPr>
          <w:rFonts w:ascii="Arial" w:cs="Arial" w:eastAsia="Arial" w:hAnsi="Arial"/>
          <w:sz w:val="18"/>
          <w:szCs w:val="18"/>
          <w:color w:val="auto"/>
        </w:rPr>
        <w:t>: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62"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w:t>
      </w:r>
    </w:p>
    <w:p>
      <w:pPr>
        <w:sectPr>
          <w:pgSz w:w="11900" w:h="16838" w:orient="portrait"/>
          <w:cols w:equalWidth="0" w:num="1">
            <w:col w:w="11400"/>
          </w:cols>
          <w:pgMar w:left="240" w:top="274" w:right="259" w:bottom="1440" w:gutter="0" w:footer="0" w:header="0"/>
        </w:sectPr>
      </w:pPr>
    </w:p>
    <w:bookmarkStart w:id="470" w:name="page471"/>
    <w:bookmarkEnd w:id="470"/>
    <w:p>
      <w:pPr>
        <w:ind w:left="1500"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SET FORTH IN THAT CERTAIN WARRANT TO PURCHASE STOCK ISSUED BY THE ISSUER TO [SILICON VALLEY BANK][OXFORD FINANCE LLC] DATED [DATE],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80"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93" w:lineRule="exact"/>
        <w:rPr>
          <w:sz w:val="20"/>
          <w:szCs w:val="20"/>
          <w:color w:val="auto"/>
        </w:rPr>
      </w:pPr>
    </w:p>
    <w:p>
      <w:pPr>
        <w:ind w:right="80" w:firstLine="1484"/>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w:t>
      </w:r>
      <w:r>
        <w:rPr>
          <w:rFonts w:ascii="Arial" w:cs="Arial" w:eastAsia="Arial" w:hAnsi="Arial"/>
          <w:sz w:val="16"/>
          <w:szCs w:val="16"/>
          <w:i w:val="1"/>
          <w:iCs w:val="1"/>
          <w:color w:val="auto"/>
        </w:rPr>
        <w:t>for SVB</w:t>
      </w:r>
      <w:r>
        <w:rPr>
          <w:rFonts w:ascii="Arial" w:cs="Arial" w:eastAsia="Arial" w:hAnsi="Arial"/>
          <w:sz w:val="16"/>
          <w:szCs w:val="16"/>
          <w:color w:val="auto"/>
        </w:rPr>
        <w:t>: SVB Financial Group (Silicon Valley Bank’s parent company) or any other][</w:t>
      </w:r>
      <w:r>
        <w:rPr>
          <w:rFonts w:ascii="Arial" w:cs="Arial" w:eastAsia="Arial" w:hAnsi="Arial"/>
          <w:sz w:val="16"/>
          <w:szCs w:val="16"/>
          <w:i w:val="1"/>
          <w:iCs w:val="1"/>
          <w:color w:val="auto"/>
        </w:rPr>
        <w:t>for Oxford</w:t>
      </w:r>
      <w:r>
        <w:rPr>
          <w:rFonts w:ascii="Arial" w:cs="Arial" w:eastAsia="Arial" w:hAnsi="Arial"/>
          <w:sz w:val="16"/>
          <w:szCs w:val="16"/>
          <w:color w:val="auto"/>
        </w:rPr>
        <w:t>: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for SVB</w:t>
      </w:r>
      <w:r>
        <w:rPr>
          <w:rFonts w:ascii="Arial" w:cs="Arial" w:eastAsia="Arial" w:hAnsi="Arial"/>
          <w:sz w:val="16"/>
          <w:szCs w:val="16"/>
          <w:u w:val="single" w:color="auto"/>
          <w:color w:val="auto"/>
        </w:rPr>
        <w:t>: 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5"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for Oxford</w:t>
      </w:r>
      <w:r>
        <w:rPr>
          <w:rFonts w:ascii="Arial" w:cs="Arial" w:eastAsia="Arial" w:hAnsi="Arial"/>
          <w:sz w:val="18"/>
          <w:szCs w:val="18"/>
          <w:u w:val="single" w:color="auto"/>
          <w:color w:val="auto"/>
        </w:rPr>
        <w:t>: Transfer Procedure</w:t>
      </w:r>
      <w:r>
        <w:rPr>
          <w:rFonts w:ascii="Arial" w:cs="Arial" w:eastAsia="Arial" w:hAnsi="Arial"/>
          <w:sz w:val="18"/>
          <w:szCs w:val="18"/>
          <w:color w:val="auto"/>
        </w:rPr>
        <w:t>. After receipt by Oxford of the executed Warrant, Oxford may transfer all or part of this Warrant to one or more of Oxford’s affiliates (each, an “</w:t>
      </w:r>
      <w:r>
        <w:rPr>
          <w:rFonts w:ascii="Arial" w:cs="Arial" w:eastAsia="Arial" w:hAnsi="Arial"/>
          <w:sz w:val="18"/>
          <w:szCs w:val="18"/>
          <w:b w:val="1"/>
          <w:bCs w:val="1"/>
          <w:color w:val="auto"/>
        </w:rPr>
        <w:t>Oxford Affiliate</w:t>
      </w:r>
      <w:r>
        <w:rPr>
          <w:rFonts w:ascii="Arial" w:cs="Arial" w:eastAsia="Arial" w:hAnsi="Arial"/>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w:t>
      </w:r>
    </w:p>
    <w:p>
      <w:pPr>
        <w:sectPr>
          <w:pgSz w:w="11900" w:h="16838" w:orient="portrait"/>
          <w:cols w:equalWidth="0" w:num="1">
            <w:col w:w="11400"/>
          </w:cols>
          <w:pgMar w:left="240" w:top="274" w:right="259" w:bottom="1440" w:gutter="0" w:footer="0" w:header="0"/>
        </w:sectPr>
      </w:pPr>
    </w:p>
    <w:bookmarkStart w:id="471" w:name="page472"/>
    <w:bookmarkEnd w:id="47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3"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60" w:firstLine="8"/>
        <w:spacing w:after="0" w:line="295" w:lineRule="auto"/>
        <w:tabs>
          <w:tab w:leader="none" w:pos="31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hsuria@anaptysbio.com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11"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w:t>
      </w:r>
    </w:p>
    <w:p>
      <w:pPr>
        <w:sectPr>
          <w:pgSz w:w="11900" w:h="16838" w:orient="portrait"/>
          <w:cols w:equalWidth="0" w:num="1">
            <w:col w:w="11320"/>
          </w:cols>
          <w:pgMar w:left="240" w:top="274" w:right="3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in writing signed by the party against which enforcement of such change, waiver, discharge or termination is sought.</w:t>
      </w:r>
    </w:p>
    <w:p>
      <w:pPr>
        <w:spacing w:after="0" w:line="225" w:lineRule="exact"/>
        <w:rPr>
          <w:sz w:val="20"/>
          <w:szCs w:val="20"/>
          <w:color w:val="auto"/>
        </w:rPr>
      </w:pPr>
    </w:p>
    <w:p>
      <w:pPr>
        <w:ind w:right="580" w:firstLine="1484"/>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right="300" w:firstLine="1484"/>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520" w:firstLine="1484"/>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is][banks in California are] 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3" w:right="239" w:bottom="1440" w:gutter="0" w:footer="0" w:header="0"/>
        </w:sectPr>
      </w:pPr>
    </w:p>
    <w:bookmarkStart w:id="473" w:name="page474"/>
    <w:bookmarkEnd w:id="473"/>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820"/>
          </w:cols>
          <w:pgMar w:left="240" w:top="273" w:right="839" w:bottom="1440" w:gutter="0" w:footer="0" w:header="0"/>
        </w:sectPr>
      </w:pPr>
    </w:p>
    <w:bookmarkStart w:id="474" w:name="page475"/>
    <w:bookmarkEnd w:id="474"/>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2"/>
          </w:tcPr>
          <w:p>
            <w:pPr>
              <w:jc w:val="center"/>
              <w:ind w:right="1700"/>
              <w:spacing w:after="0"/>
              <w:rPr>
                <w:sz w:val="20"/>
                <w:szCs w:val="20"/>
                <w:color w:val="auto"/>
              </w:rPr>
            </w:pPr>
            <w:r>
              <w:rPr>
                <w:rFonts w:ascii="Arial" w:cs="Arial" w:eastAsia="Arial" w:hAnsi="Arial"/>
                <w:sz w:val="18"/>
                <w:szCs w:val="18"/>
                <w:color w:val="auto"/>
                <w:w w:val="96"/>
              </w:rPr>
              <w:t>APPENDIX 1</w:t>
            </w:r>
          </w:p>
        </w:tc>
        <w:tc>
          <w:tcPr>
            <w:tcW w:w="242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w w:val="92"/>
              </w:rPr>
              <w:t>1. The undersigned Holder hereby exercises its right purchase</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97"/>
              </w:rPr>
              <w:t>shares of the Common/Series</w:t>
            </w:r>
          </w:p>
        </w:tc>
        <w:tc>
          <w:tcPr>
            <w:tcW w:w="242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320"/>
          </w:cols>
          <w:pgMar w:left="240" w:top="274" w:right="33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check in the amount of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payable to order of the Company enclosed herewith</w:t>
      </w:r>
    </w:p>
    <w:p>
      <w:pPr>
        <w:spacing w:after="0" w:line="153" w:lineRule="exact"/>
        <w:rPr>
          <w:sz w:val="20"/>
          <w:szCs w:val="20"/>
          <w:color w:val="auto"/>
        </w:rPr>
      </w:pPr>
    </w:p>
    <w:p>
      <w:pPr>
        <w:sectPr>
          <w:pgSz w:w="11900" w:h="16838" w:orient="portrait"/>
          <w:cols w:equalWidth="0" w:num="3">
            <w:col w:w="520" w:space="180"/>
            <w:col w:w="1980" w:space="400"/>
            <w:col w:w="8240"/>
          </w:cols>
          <w:pgMar w:left="240" w:top="274"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 transfer of immediately available funds to the Company’s account</w:t>
      </w:r>
    </w:p>
    <w:p>
      <w:pPr>
        <w:spacing w:after="0" w:line="131" w:lineRule="exact"/>
        <w:rPr>
          <w:sz w:val="20"/>
          <w:szCs w:val="20"/>
          <w:color w:val="auto"/>
        </w:rPr>
      </w:pPr>
    </w:p>
    <w:p>
      <w:pPr>
        <w:sectPr>
          <w:pgSz w:w="11900" w:h="16838" w:orient="portrait"/>
          <w:cols w:equalWidth="0" w:num="2">
            <w:col w:w="520" w:space="180"/>
            <w:col w:w="10620"/>
          </w:cols>
          <w:pgMar w:left="240" w:top="274" w:right="339" w:bottom="1440" w:gutter="0" w:footer="0" w:header="0"/>
          <w:type w:val="continuous"/>
        </w:sectPr>
      </w:pPr>
    </w:p>
    <w:p>
      <w:pPr>
        <w:ind w:left="700" w:hanging="246"/>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20"/>
          </w:cols>
          <w:pgMar w:left="240" w:top="274" w:right="339" w:bottom="1440" w:gutter="0" w:footer="0" w:header="0"/>
          <w:type w:val="continuous"/>
        </w:sectPr>
      </w:pPr>
    </w:p>
    <w:bookmarkStart w:id="475" w:name="page476"/>
    <w:bookmarkEnd w:id="47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Appendix 2 for Oxford Warrants: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right"/>
        <w:ind w:right="5060"/>
        <w:spacing w:after="0"/>
        <w:rPr>
          <w:sz w:val="20"/>
          <w:szCs w:val="20"/>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For value received, Oxford Finance LLC hereby sells, assigns and transfers unto</w:t>
      </w:r>
    </w:p>
    <w:p>
      <w:pPr>
        <w:spacing w:after="0" w:line="264" w:lineRule="exact"/>
        <w:rPr>
          <w:sz w:val="20"/>
          <w:szCs w:val="20"/>
          <w:color w:val="auto"/>
        </w:rPr>
      </w:pPr>
    </w:p>
    <w:p>
      <w:pPr>
        <w:ind w:left="3440"/>
        <w:spacing w:after="0"/>
        <w:tabs>
          <w:tab w:leader="none" w:pos="4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0"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that certain Warrant to Purchase Stock issued by ANAPTYSBIO, INC. (the “Company”), on [DATE]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380"/>
          </w:cols>
          <w:pgMar w:left="240" w:top="274" w:right="279" w:bottom="1440" w:gutter="0" w:footer="0" w:header="0"/>
        </w:sectPr>
      </w:pPr>
    </w:p>
    <w:bookmarkStart w:id="476" w:name="page477"/>
    <w:bookmarkEnd w:id="47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ANAPTYSBIO, INC.</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20" w:type="dxa"/>
            <w:vAlign w:val="bottom"/>
          </w:tcPr>
          <w:p>
            <w:pPr>
              <w:spacing w:after="0"/>
              <w:rPr>
                <w:sz w:val="20"/>
                <w:szCs w:val="20"/>
                <w:color w:val="auto"/>
              </w:rPr>
            </w:pP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48"/>
        </w:trPr>
        <w:tc>
          <w:tcPr>
            <w:tcW w:w="1920" w:type="dxa"/>
            <w:vAlign w:val="bottom"/>
          </w:tcPr>
          <w:p>
            <w:pPr>
              <w:spacing w:after="0"/>
              <w:rPr>
                <w:sz w:val="24"/>
                <w:szCs w:val="24"/>
                <w:color w:val="auto"/>
              </w:rPr>
            </w:pPr>
          </w:p>
        </w:tc>
        <w:tc>
          <w:tcPr>
            <w:tcW w:w="576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420"/>
          </w:cols>
          <w:pgMar w:left="240" w:top="269" w:right="239" w:bottom="1440" w:gutter="0" w:footer="0" w:header="0"/>
        </w:sectPr>
      </w:pPr>
    </w:p>
    <w:bookmarkStart w:id="478" w:name="page479"/>
    <w:bookmarkEnd w:id="4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FIRST AMENDMENT TO LOAN AND SECURITY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January 25, 2016, by and between OXFORD FINANCE LLC, a Delaware limited liability company with an office located at 133 North Fairfax Street, Alexandria, Virginia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the Lenders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of the Loan Agreement (as defined below) or otherwise party thereto from time to time including Oxford in its capacity as a Lender and SILICON VALLEY BANK,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Collateral Agent, Lenders and Borrower have entered into that certain Loan and Security Agreement dated as of December 24, 2014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Lenders have extended credit to Borrower for the purposes permitted in the Loan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Borrower has requested that Collateral Agent and Lenders make certain revisions to the Loan Agreement as more fully set forth herein.</w:t>
      </w:r>
    </w:p>
    <w:p>
      <w:pPr>
        <w:spacing w:after="0" w:line="23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Collateral Agent and Lenders have agreed to amend certain provisions of the Loan Agreement, but only to the extent,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and in reliance upon the representations and warranties set forth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Now,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54" w:lineRule="exact"/>
        <w:rPr>
          <w:sz w:val="20"/>
          <w:szCs w:val="20"/>
          <w:color w:val="auto"/>
        </w:rPr>
      </w:pPr>
    </w:p>
    <w:p>
      <w:pPr>
        <w:ind w:left="640" w:hanging="176"/>
        <w:spacing w:after="0"/>
        <w:tabs>
          <w:tab w:leader="none" w:pos="64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Loan Agreement.</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2.1 Section 2.2 (Term Loans). </w:t>
      </w:r>
      <w:r>
        <w:rPr>
          <w:rFonts w:ascii="Arial" w:cs="Arial" w:eastAsia="Arial" w:hAnsi="Arial"/>
          <w:sz w:val="18"/>
          <w:szCs w:val="18"/>
          <w:color w:val="auto"/>
        </w:rPr>
        <w:t>Sections 2.2(a)(ii)-(iii) of the Loan Agreement are amended and restated as follows:</w:t>
      </w:r>
    </w:p>
    <w:p>
      <w:pPr>
        <w:spacing w:after="0" w:line="121" w:lineRule="exact"/>
        <w:rPr>
          <w:sz w:val="20"/>
          <w:szCs w:val="20"/>
          <w:color w:val="auto"/>
        </w:rPr>
      </w:pPr>
    </w:p>
    <w:p>
      <w:pPr>
        <w:ind w:left="920" w:right="40" w:firstLine="420"/>
        <w:spacing w:after="0" w:line="257" w:lineRule="auto"/>
        <w:rPr>
          <w:sz w:val="20"/>
          <w:szCs w:val="20"/>
          <w:color w:val="auto"/>
        </w:rPr>
      </w:pPr>
      <w:r>
        <w:rPr>
          <w:rFonts w:ascii="Arial" w:cs="Arial" w:eastAsia="Arial" w:hAnsi="Arial"/>
          <w:sz w:val="18"/>
          <w:szCs w:val="18"/>
          <w:color w:val="auto"/>
        </w:rPr>
        <w:t xml:space="preserve">“(ii) 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provided that the Term C Loans and the Term B Loans must be funded simultaneously. After repayment, no Term B Loan may be re-borrowed.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479" w:name="page480"/>
    <w:bookmarkEnd w:id="479"/>
    <w:p>
      <w:pPr>
        <w:ind w:right="80" w:firstLine="421"/>
        <w:spacing w:after="0" w:line="293" w:lineRule="auto"/>
        <w:tabs>
          <w:tab w:leader="none" w:pos="735" w:val="left"/>
        </w:tabs>
        <w:numPr>
          <w:ilvl w:val="0"/>
          <w:numId w:val="4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 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 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provided that the Term B Loans and the Term C Loans must be funded simultaneously. After repayment, no Term C Loan may be re-borrowed.”</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2.2 Section 2.2 (Term Loans). </w:t>
      </w:r>
      <w:r>
        <w:rPr>
          <w:rFonts w:ascii="Arial" w:cs="Arial" w:eastAsia="Arial" w:hAnsi="Arial"/>
          <w:sz w:val="18"/>
          <w:szCs w:val="18"/>
          <w:color w:val="auto"/>
        </w:rPr>
        <w:t>Sections 2.2(b)-(d) of the Loan Agreement are amended and restated as follows:</w:t>
      </w:r>
    </w:p>
    <w:p>
      <w:pPr>
        <w:spacing w:after="0" w:line="121" w:lineRule="exact"/>
        <w:rPr>
          <w:sz w:val="20"/>
          <w:szCs w:val="20"/>
          <w:color w:val="auto"/>
        </w:rPr>
      </w:pPr>
    </w:p>
    <w:p>
      <w:pPr>
        <w:ind w:right="20" w:firstLine="420"/>
        <w:spacing w:after="0" w:line="28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w:t>
      </w:r>
      <w:r>
        <w:rPr>
          <w:rFonts w:ascii="Arial" w:cs="Arial" w:eastAsia="Arial" w:hAnsi="Arial"/>
          <w:sz w:val="13"/>
          <w:szCs w:val="13"/>
          <w:color w:val="auto"/>
        </w:rPr>
        <w:t>st</w:t>
      </w:r>
      <w:r>
        <w:rPr>
          <w:rFonts w:ascii="Arial" w:cs="Arial" w:eastAsia="Arial" w:hAnsi="Arial"/>
          <w:sz w:val="16"/>
          <w:szCs w:val="16"/>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 four (24) months. All unpaid principal and accrued and unpaid interest with respect to each Term Loan is due and payable in full on the Maturity Date. Each Term Loan may only be prepaid in accordance with Sections 2.2(c) and 2.2(d).</w:t>
      </w:r>
    </w:p>
    <w:p>
      <w:pPr>
        <w:spacing w:after="0" w:line="59" w:lineRule="exact"/>
        <w:rPr>
          <w:sz w:val="20"/>
          <w:szCs w:val="20"/>
          <w:color w:val="auto"/>
        </w:rPr>
      </w:pPr>
    </w:p>
    <w:p>
      <w:pPr>
        <w:ind w:right="40" w:firstLine="421"/>
        <w:spacing w:after="0" w:line="291" w:lineRule="auto"/>
        <w:tabs>
          <w:tab w:leader="none" w:pos="664"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(iv) the First Amendment Fee, plus (v)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59" w:lineRule="exact"/>
        <w:rPr>
          <w:rFonts w:ascii="Arial" w:cs="Arial" w:eastAsia="Arial" w:hAnsi="Arial"/>
          <w:sz w:val="16"/>
          <w:szCs w:val="16"/>
          <w:color w:val="auto"/>
        </w:rPr>
      </w:pPr>
    </w:p>
    <w:p>
      <w:pPr>
        <w:ind w:firstLine="421"/>
        <w:spacing w:after="0" w:line="276" w:lineRule="auto"/>
        <w:tabs>
          <w:tab w:leader="none" w:pos="675"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Permitted Prepayment of Term Loans</w:t>
      </w:r>
      <w:r>
        <w:rPr>
          <w:rFonts w:ascii="Arial" w:cs="Arial" w:eastAsia="Arial" w:hAnsi="Arial"/>
          <w:sz w:val="17"/>
          <w:szCs w:val="17"/>
          <w:color w:val="auto"/>
        </w:rPr>
        <w:t>. Borrower shall have the option to prepay all, but not less than all, of the Term Loans advanced by the Lenders under this Agreement, provided Borrower (i) provides written notice to Collateral Agent of its election to prepay the Term Loans at least thirty (30)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(D) the First</w:t>
      </w:r>
    </w:p>
    <w:p>
      <w:pPr>
        <w:spacing w:after="0" w:line="10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4" w:right="239" w:bottom="1440" w:gutter="0" w:footer="0" w:header="0"/>
        </w:sectPr>
      </w:pPr>
    </w:p>
    <w:bookmarkStart w:id="480" w:name="page481"/>
    <w:bookmarkEnd w:id="480"/>
    <w:p>
      <w:pPr>
        <w:ind w:left="920"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Fee, plus (E) all other Obligations that are due and payable, including Lenders’ Expenses and interest at the Default Rate with respect to any past due amounts.”</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2.3 Section 2.5 (Fees). </w:t>
      </w:r>
      <w:r>
        <w:rPr>
          <w:rFonts w:ascii="Arial" w:cs="Arial" w:eastAsia="Arial" w:hAnsi="Arial"/>
          <w:sz w:val="18"/>
          <w:szCs w:val="18"/>
          <w:color w:val="auto"/>
        </w:rPr>
        <w:t>A new subsection (e) is added to Section 2.5 of the Loan Agreement as follows:</w:t>
      </w:r>
    </w:p>
    <w:p>
      <w:pPr>
        <w:spacing w:after="0" w:line="121" w:lineRule="exact"/>
        <w:rPr>
          <w:sz w:val="20"/>
          <w:szCs w:val="20"/>
          <w:color w:val="auto"/>
        </w:rPr>
      </w:pPr>
    </w:p>
    <w:p>
      <w:pPr>
        <w:ind w:left="920" w:right="360" w:firstLine="420"/>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First Amendment Fee</w:t>
      </w:r>
      <w:r>
        <w:rPr>
          <w:rFonts w:ascii="Arial" w:cs="Arial" w:eastAsia="Arial" w:hAnsi="Arial"/>
          <w:sz w:val="18"/>
          <w:szCs w:val="18"/>
          <w:color w:val="auto"/>
        </w:rPr>
        <w:t>. The First Amendment Fee, when due hereunder, to be shared between the Lenders in accordance with their respective Pro Rata Shares.”</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 xml:space="preserve">2.4 Section 3.2 (Conditions Precedent to all Credit Extensions). </w:t>
      </w:r>
      <w:r>
        <w:rPr>
          <w:rFonts w:ascii="Arial" w:cs="Arial" w:eastAsia="Arial" w:hAnsi="Arial"/>
          <w:sz w:val="16"/>
          <w:szCs w:val="16"/>
          <w:color w:val="auto"/>
        </w:rPr>
        <w:t>A new subsection (f) is added to Section 3.2 of the Loan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 the Term B Loans and the Term C Loans must be funded simultaneously.”</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2.5 Section 6.6 (Operating Accounts). </w:t>
      </w:r>
      <w:r>
        <w:rPr>
          <w:rFonts w:ascii="Arial" w:cs="Arial" w:eastAsia="Arial" w:hAnsi="Arial"/>
          <w:sz w:val="18"/>
          <w:szCs w:val="18"/>
          <w:color w:val="auto"/>
        </w:rPr>
        <w:t>Section 6.6(a) of the Loan Agreement is amended and restated as follows:</w:t>
      </w:r>
    </w:p>
    <w:p>
      <w:pPr>
        <w:spacing w:after="0" w:line="121" w:lineRule="exact"/>
        <w:rPr>
          <w:sz w:val="20"/>
          <w:szCs w:val="20"/>
          <w:color w:val="auto"/>
        </w:rPr>
      </w:pPr>
    </w:p>
    <w:p>
      <w:pPr>
        <w:ind w:left="920" w:right="60" w:firstLine="420"/>
        <w:spacing w:after="0" w:line="255" w:lineRule="auto"/>
        <w:rPr>
          <w:sz w:val="20"/>
          <w:szCs w:val="20"/>
          <w:color w:val="auto"/>
        </w:rPr>
      </w:pPr>
      <w:r>
        <w:rPr>
          <w:rFonts w:ascii="Arial" w:cs="Arial" w:eastAsia="Arial" w:hAnsi="Arial"/>
          <w:sz w:val="18"/>
          <w:szCs w:val="18"/>
          <w:color w:val="auto"/>
        </w:rPr>
        <w:t>“(a) Maintain its primary and its Subsidiaries’ primary Collateral Accounts with Bank or its Affiliates in accounts which are subject to a Control Agreement in favor of Collateral Agent and the amounts on deposit in such accounts with the Bank or its Affiliates shall represent the greater of Fifteen Million Dollars ($15,000,000.00) or twenty-five percent (25%) of the dollar value of amounts on deposit in all of Borrower’s and such Subsidiaries accounts at all financial institutions; provided that the amounts on deposit in such accounts with Bank or its Affiliates may represent less than or equal to Fifteen Million Dollars ($15,000,000.00) so long as Borrower and its Subsidiaries do not maintain any Collateral Accounts in the United States other than accounts with Bank or its Affiliates which are subject to a Control Agreement in favor of Collateral Agent.”</w:t>
      </w:r>
    </w:p>
    <w:p>
      <w:pPr>
        <w:spacing w:after="0" w:line="185" w:lineRule="exact"/>
        <w:rPr>
          <w:sz w:val="20"/>
          <w:szCs w:val="20"/>
          <w:color w:val="auto"/>
        </w:rPr>
      </w:pPr>
    </w:p>
    <w:p>
      <w:pPr>
        <w:ind w:right="100" w:firstLine="1484"/>
        <w:spacing w:after="0" w:line="282" w:lineRule="auto"/>
        <w:rPr>
          <w:sz w:val="20"/>
          <w:szCs w:val="20"/>
          <w:color w:val="auto"/>
        </w:rPr>
      </w:pPr>
      <w:r>
        <w:rPr>
          <w:rFonts w:ascii="Arial" w:cs="Arial" w:eastAsia="Arial" w:hAnsi="Arial"/>
          <w:sz w:val="18"/>
          <w:szCs w:val="18"/>
          <w:b w:val="1"/>
          <w:bCs w:val="1"/>
          <w:color w:val="auto"/>
        </w:rPr>
        <w:t xml:space="preserve">2.6 Section 13.1 (Definitions). </w:t>
      </w:r>
      <w:r>
        <w:rPr>
          <w:rFonts w:ascii="Arial" w:cs="Arial" w:eastAsia="Arial" w:hAnsi="Arial"/>
          <w:sz w:val="18"/>
          <w:szCs w:val="18"/>
          <w:color w:val="auto"/>
        </w:rPr>
        <w:t>The following defined terms and their respective definitions are amended and restated in Section 13.1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Agreement as follows:</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“Amortization Date” </w:t>
      </w:r>
      <w:r>
        <w:rPr>
          <w:rFonts w:ascii="Arial" w:cs="Arial" w:eastAsia="Arial" w:hAnsi="Arial"/>
          <w:sz w:val="18"/>
          <w:szCs w:val="18"/>
          <w:color w:val="auto"/>
        </w:rPr>
        <w:t>is February 1, 2017.</w:t>
      </w:r>
    </w:p>
    <w:p>
      <w:pPr>
        <w:spacing w:after="0" w:line="225" w:lineRule="exact"/>
        <w:rPr>
          <w:sz w:val="20"/>
          <w:szCs w:val="20"/>
          <w:color w:val="auto"/>
        </w:rPr>
      </w:pPr>
    </w:p>
    <w:p>
      <w:pPr>
        <w:ind w:left="920" w:right="100" w:firstLine="420"/>
        <w:spacing w:after="0" w:line="261" w:lineRule="auto"/>
        <w:rPr>
          <w:sz w:val="20"/>
          <w:szCs w:val="20"/>
          <w:color w:val="auto"/>
        </w:rPr>
      </w:pPr>
      <w:r>
        <w:rPr>
          <w:rFonts w:ascii="Arial" w:cs="Arial" w:eastAsia="Arial" w:hAnsi="Arial"/>
          <w:sz w:val="18"/>
          <w:szCs w:val="18"/>
          <w:b w:val="1"/>
          <w:bCs w:val="1"/>
          <w:color w:val="auto"/>
        </w:rPr>
        <w:t xml:space="preserve">“First Amendment Fee” </w:t>
      </w:r>
      <w:r>
        <w:rPr>
          <w:rFonts w:ascii="Arial" w:cs="Arial" w:eastAsia="Arial" w:hAnsi="Arial"/>
          <w:sz w:val="18"/>
          <w:szCs w:val="18"/>
          <w:color w:val="auto"/>
        </w:rPr>
        <w:t>is a payment (in addition to and not a substitution for the regular monthly payments of principal plus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due on the earliest to occur of (a) the Maturity Date, or (b) the acceleration of any Term Loan, or (c) the prepayment of a Term Loan pursuant to Section 2.2(c) or (d), equal to Two Thousand Five Hundred Dollars ($2,500), payable to Lenders in accordance with their respective Pro Rata Shares.</w:t>
      </w:r>
    </w:p>
    <w:p>
      <w:pPr>
        <w:spacing w:after="0" w:line="72"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b w:val="1"/>
          <w:bCs w:val="1"/>
          <w:color w:val="auto"/>
        </w:rPr>
        <w:t xml:space="preserve">“Obligations” </w:t>
      </w:r>
      <w:r>
        <w:rPr>
          <w:rFonts w:ascii="Arial" w:cs="Arial" w:eastAsia="Arial" w:hAnsi="Arial"/>
          <w:sz w:val="18"/>
          <w:szCs w:val="18"/>
          <w:color w:val="auto"/>
        </w:rPr>
        <w:t>are all of Borrower’s obligations to pay when due any debts, principal, interest, Lenders’ Expenses, the Prepayment Fee,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 the First Amendment Fee, and other amounts Borrower owes the Lenders now or later, in 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81" w:name="page482"/>
    <w:bookmarkEnd w:id="481"/>
    <w:p>
      <w:pPr>
        <w:ind w:left="92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assigned to the Lenders and/or Collateral Agent, and the performance of Borrower’s duties under the Loan Documents (other than the Warrants).</w:t>
      </w:r>
    </w:p>
    <w:p>
      <w:pPr>
        <w:spacing w:after="0" w:line="58" w:lineRule="exact"/>
        <w:rPr>
          <w:sz w:val="20"/>
          <w:szCs w:val="20"/>
          <w:color w:val="auto"/>
        </w:rPr>
      </w:pPr>
    </w:p>
    <w:p>
      <w:pPr>
        <w:ind w:left="920" w:right="120" w:firstLine="420"/>
        <w:spacing w:after="0" w:line="314" w:lineRule="auto"/>
        <w:rPr>
          <w:sz w:val="20"/>
          <w:szCs w:val="20"/>
          <w:color w:val="auto"/>
        </w:rPr>
      </w:pPr>
      <w:r>
        <w:rPr>
          <w:rFonts w:ascii="Arial" w:cs="Arial" w:eastAsia="Arial" w:hAnsi="Arial"/>
          <w:sz w:val="16"/>
          <w:szCs w:val="16"/>
          <w:b w:val="1"/>
          <w:bCs w:val="1"/>
          <w:color w:val="auto"/>
        </w:rPr>
        <w:t xml:space="preserve">“Second Draw Period” </w:t>
      </w:r>
      <w:r>
        <w:rPr>
          <w:rFonts w:ascii="Arial" w:cs="Arial" w:eastAsia="Arial" w:hAnsi="Arial"/>
          <w:sz w:val="16"/>
          <w:szCs w:val="16"/>
          <w:color w:val="auto"/>
        </w:rPr>
        <w:t>is the period commencing on the later of (i) the date of the occurrence of the Term B Draw Event and (ii) July 1,</w:t>
      </w:r>
      <w:r>
        <w:rPr>
          <w:rFonts w:ascii="Arial" w:cs="Arial" w:eastAsia="Arial" w:hAnsi="Arial"/>
          <w:sz w:val="16"/>
          <w:szCs w:val="16"/>
          <w:b w:val="1"/>
          <w:bCs w:val="1"/>
          <w:color w:val="auto"/>
        </w:rPr>
        <w:t xml:space="preserve"> </w:t>
      </w:r>
      <w:r>
        <w:rPr>
          <w:rFonts w:ascii="Arial" w:cs="Arial" w:eastAsia="Arial" w:hAnsi="Arial"/>
          <w:sz w:val="16"/>
          <w:szCs w:val="16"/>
          <w:color w:val="auto"/>
        </w:rPr>
        <w:t>2016 and ending on the earlier of (X) December 31, 2016 and (Y) the occurrence of an Event of Default; provided, however, that the Second Draw Period shall not commence if on the date of the occurrence of the Term B Draw Event an Event of Default has occurred and is continuing.</w:t>
      </w:r>
    </w:p>
    <w:p>
      <w:pPr>
        <w:spacing w:after="0" w:line="34"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b w:val="1"/>
          <w:bCs w:val="1"/>
          <w:color w:val="auto"/>
        </w:rPr>
        <w:t xml:space="preserve">“Term B Draw Event” </w:t>
      </w:r>
      <w:r>
        <w:rPr>
          <w:rFonts w:ascii="Arial" w:cs="Arial" w:eastAsia="Arial" w:hAnsi="Arial"/>
          <w:sz w:val="18"/>
          <w:szCs w:val="18"/>
          <w:color w:val="auto"/>
        </w:rPr>
        <w:t>means the receipt by Collateral Agent and Lenders of evidence, in form and substance satisfactory to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of Borrower and/or a partner of Borrower, receiving regulatory approval pertaining to an IND submission or foreign equivalent with respect to at least two (2) development programs, provided that at least one (1) of which must be an internal development program and only one (1) of which may be a foreign equivalent. An internal development program shall be a program where commercial rights to potential future products are wholly-owned by the Borrower and its Affiliates. Regulatory approval pertaining to an IND or foreign equivalent shall mean (1) the acceptance by the FDA, or a foreign competent authority with equivalent oversight in the foreign country or region, of an IND, or equivalent application, to initiate one or more clinical studies and/or (2) dosing of one or more human individuals within that certain jurisdiction.</w:t>
      </w:r>
    </w:p>
    <w:p>
      <w:pPr>
        <w:spacing w:after="0" w:line="77"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b w:val="1"/>
          <w:bCs w:val="1"/>
          <w:color w:val="auto"/>
        </w:rPr>
        <w:t xml:space="preserve">“Term C Draw Event” </w:t>
      </w:r>
      <w:r>
        <w:rPr>
          <w:rFonts w:ascii="Arial" w:cs="Arial" w:eastAsia="Arial" w:hAnsi="Arial"/>
          <w:sz w:val="18"/>
          <w:szCs w:val="18"/>
          <w:color w:val="auto"/>
        </w:rPr>
        <w:t>means the receipt by Collateral Agent and Lenders of evidence, in form and substance satisfactory to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of Borrower and/or a partner of Borrower, receiving regulatory approval pertaining to an IND submission or foreign equivalent with respect to at least two (2) development programs, provided that at least one (1) of which must be an internal development program and only one (1) of which may be a foreign equivalent. An internal development program shall be a program where commercial rights to potential future products are wholly-owned by the Borrower and its Affiliates. Regulatory approval pertaining to an IND or foreign equivalent shall mean (1) the acceptance by the FDA, or a foreign competent authority with equivalent oversight in the foreign country or region, of an IND, or equivalent application, to initiate one or more clinical studies and/or (2) dosing of one or more human individuals within that certain jurisdiction.</w:t>
      </w: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3. Limitation of Amendment.</w:t>
      </w:r>
    </w:p>
    <w:p>
      <w:pPr>
        <w:spacing w:after="0" w:line="117" w:lineRule="exact"/>
        <w:rPr>
          <w:sz w:val="20"/>
          <w:szCs w:val="20"/>
          <w:color w:val="auto"/>
        </w:rPr>
      </w:pPr>
    </w:p>
    <w:p>
      <w:pPr>
        <w:ind w:right="40" w:firstLine="1484"/>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shall be limited precisely as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jc w:val="both"/>
        <w:ind w:right="80" w:firstLine="1484"/>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120" w:firstLine="464"/>
        <w:spacing w:after="0" w:line="282" w:lineRule="auto"/>
        <w:tabs>
          <w:tab w:leader="none" w:pos="636"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Collateral Agent and Lenders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82" w:name="page483"/>
    <w:bookmarkEnd w:id="482"/>
    <w:p>
      <w:pPr>
        <w:jc w:val="both"/>
        <w:ind w:right="2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 </w:t>
      </w:r>
      <w:r>
        <w:rPr>
          <w:rFonts w:ascii="Arial" w:cs="Arial" w:eastAsia="Arial" w:hAnsi="Arial"/>
          <w:sz w:val="18"/>
          <w:szCs w:val="18"/>
          <w:color w:val="auto"/>
        </w:rPr>
        <w:t>Immediately after giving effect to this Amendment (a) the representations and warranties contained in the Loan Documents are true,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162" w:lineRule="exact"/>
        <w:rPr>
          <w:sz w:val="20"/>
          <w:szCs w:val="20"/>
          <w:color w:val="auto"/>
        </w:rPr>
      </w:pPr>
    </w:p>
    <w:p>
      <w:pPr>
        <w:ind w:right="240" w:firstLine="913"/>
        <w:spacing w:after="0" w:line="313"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The organizational documents of Borrower delivered to Collateral Agent and Lenders on the Effective Date, or subsequent thereto, remain</w:t>
      </w:r>
      <w:r>
        <w:rPr>
          <w:rFonts w:ascii="Arial" w:cs="Arial" w:eastAsia="Arial" w:hAnsi="Arial"/>
          <w:sz w:val="17"/>
          <w:szCs w:val="17"/>
          <w:b w:val="1"/>
          <w:bCs w:val="1"/>
          <w:color w:val="auto"/>
        </w:rPr>
        <w:t xml:space="preserve"> </w:t>
      </w:r>
      <w:r>
        <w:rPr>
          <w:rFonts w:ascii="Arial" w:cs="Arial" w:eastAsia="Arial" w:hAnsi="Arial"/>
          <w:sz w:val="17"/>
          <w:szCs w:val="17"/>
          <w:color w:val="auto"/>
        </w:rPr>
        <w:t>true, accurate and complete and have not been amended, supplemented or restated and are and continue to be in full force and effect;</w:t>
      </w:r>
    </w:p>
    <w:p>
      <w:pPr>
        <w:spacing w:after="0" w:line="138"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have been duly authorized;</w:t>
      </w:r>
    </w:p>
    <w:p>
      <w:pPr>
        <w:spacing w:after="0" w:line="162"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42"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right="420" w:firstLine="464"/>
        <w:spacing w:after="0" w:line="282" w:lineRule="auto"/>
        <w:tabs>
          <w:tab w:leader="none" w:pos="636"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right="800" w:firstLine="464"/>
        <w:spacing w:after="0" w:line="313" w:lineRule="auto"/>
        <w:tabs>
          <w:tab w:leader="none" w:pos="636"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w:t>
      </w:r>
      <w:r>
        <w:rPr>
          <w:rFonts w:ascii="Arial" w:cs="Arial" w:eastAsia="Arial" w:hAnsi="Arial"/>
          <w:sz w:val="17"/>
          <w:szCs w:val="17"/>
          <w:color w:val="auto"/>
        </w:rPr>
        <w:t>This Amendment shall be deemed effective upon the due execution and delivery to Collateral Agent and Lenders of (i)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by each party hereto and (ii) Borrower’s payment of all Lenders’ Expenses incurred through the date of this Amendment.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483" w:name="page484"/>
    <w:bookmarkEnd w:id="48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hereto have caused this Amendment to be duly executed and delivered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Hamza Suria</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 &amp; CEO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Mark Davis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Igor DaCruz</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Igor DaCruz</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0620"/>
          </w:cols>
          <w:pgMar w:left="240" w:top="269" w:right="1039" w:bottom="1440" w:gutter="0" w:footer="0" w:header="0"/>
        </w:sectPr>
      </w:pPr>
    </w:p>
    <w:bookmarkStart w:id="484" w:name="page485"/>
    <w:bookmarkEnd w:id="4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30, 2016, by and between OXFORD FINANCE LLC, a Delaware limited liability company with an office located at 133 North Fairfax Street, Alexandria, Virginia 22314 (“</w:t>
      </w:r>
      <w:r>
        <w:rPr>
          <w:rFonts w:ascii="Arial" w:cs="Arial" w:eastAsia="Arial" w:hAnsi="Arial"/>
          <w:sz w:val="18"/>
          <w:szCs w:val="18"/>
          <w:b w:val="1"/>
          <w:bCs w:val="1"/>
          <w:color w:val="auto"/>
        </w:rPr>
        <w:t>Oxford</w:t>
      </w:r>
      <w:r>
        <w:rPr>
          <w:rFonts w:ascii="Arial" w:cs="Arial" w:eastAsia="Arial" w:hAnsi="Arial"/>
          <w:sz w:val="18"/>
          <w:szCs w:val="18"/>
          <w:color w:val="auto"/>
        </w:rPr>
        <w:t>”), as collateral agent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Loan Agreement (as defined below) or otherwise party thereto from time to time including Oxford in its capacity as a Lender and SILICON VALLEY BANK, a California corporation with an office located at 3003 Tasman Drive, Santa Clara, CA 95054 (“</w:t>
      </w:r>
      <w:r>
        <w:rPr>
          <w:rFonts w:ascii="Arial" w:cs="Arial" w:eastAsia="Arial" w:hAnsi="Arial"/>
          <w:sz w:val="18"/>
          <w:szCs w:val="18"/>
          <w:b w:val="1"/>
          <w:bCs w:val="1"/>
          <w:color w:val="auto"/>
        </w:rPr>
        <w:t>Bank</w:t>
      </w:r>
      <w:r>
        <w:rPr>
          <w:rFonts w:ascii="Arial" w:cs="Arial" w:eastAsia="Arial" w:hAnsi="Arial"/>
          <w:sz w:val="18"/>
          <w:szCs w:val="18"/>
          <w:color w:val="auto"/>
        </w:rPr>
        <w:t>” or “</w:t>
      </w:r>
      <w:r>
        <w:rPr>
          <w:rFonts w:ascii="Arial" w:cs="Arial" w:eastAsia="Arial" w:hAnsi="Arial"/>
          <w:sz w:val="18"/>
          <w:szCs w:val="18"/>
          <w:b w:val="1"/>
          <w:bCs w:val="1"/>
          <w:color w:val="auto"/>
        </w:rPr>
        <w:t>SVB</w:t>
      </w:r>
      <w:r>
        <w:rPr>
          <w:rFonts w:ascii="Arial" w:cs="Arial" w:eastAsia="Arial" w:hAnsi="Arial"/>
          <w:sz w:val="18"/>
          <w:szCs w:val="18"/>
          <w:color w:val="auto"/>
        </w:rPr>
        <w:t>”)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and ANAPTYSBIO, INC., a Delaware corporation with offices located at 10421 Pacific Center Court, Suite 200, San Diego, CA 92121 (“Existing </w:t>
      </w:r>
      <w:r>
        <w:rPr>
          <w:rFonts w:ascii="Arial" w:cs="Arial" w:eastAsia="Arial" w:hAnsi="Arial"/>
          <w:sz w:val="18"/>
          <w:szCs w:val="18"/>
          <w:b w:val="1"/>
          <w:bCs w:val="1"/>
          <w:color w:val="auto"/>
        </w:rPr>
        <w:t>Borrower</w:t>
      </w:r>
      <w:r>
        <w:rPr>
          <w:rFonts w:ascii="Arial" w:cs="Arial" w:eastAsia="Arial" w:hAnsi="Arial"/>
          <w:sz w:val="18"/>
          <w:szCs w:val="18"/>
          <w:color w:val="auto"/>
        </w:rPr>
        <w:t>”), and ANAPTYSBIO PTY LTD, an entity formed under the laws of Australia (“</w:t>
      </w:r>
      <w:r>
        <w:rPr>
          <w:rFonts w:ascii="Arial" w:cs="Arial" w:eastAsia="Arial" w:hAnsi="Arial"/>
          <w:sz w:val="18"/>
          <w:szCs w:val="18"/>
          <w:b w:val="1"/>
          <w:bCs w:val="1"/>
          <w:color w:val="auto"/>
        </w:rPr>
        <w:t>Anaptys Australia</w:t>
      </w:r>
      <w:r>
        <w:rPr>
          <w:rFonts w:ascii="Arial" w:cs="Arial" w:eastAsia="Arial" w:hAnsi="Arial"/>
          <w:sz w:val="18"/>
          <w:szCs w:val="18"/>
          <w:color w:val="auto"/>
        </w:rPr>
        <w:t>” or “</w:t>
      </w:r>
      <w:r>
        <w:rPr>
          <w:rFonts w:ascii="Arial" w:cs="Arial" w:eastAsia="Arial" w:hAnsi="Arial"/>
          <w:sz w:val="18"/>
          <w:szCs w:val="18"/>
          <w:b w:val="1"/>
          <w:bCs w:val="1"/>
          <w:color w:val="auto"/>
        </w:rPr>
        <w:t>New Borrower</w:t>
      </w:r>
      <w:r>
        <w:rPr>
          <w:rFonts w:ascii="Arial" w:cs="Arial" w:eastAsia="Arial" w:hAnsi="Arial"/>
          <w:sz w:val="18"/>
          <w:szCs w:val="18"/>
          <w:color w:val="auto"/>
        </w:rPr>
        <w:t>” and together with Existing Borrower,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Collateral Agent, Lenders and Existing Borrower have entered into that certain Loan and Security Agreement dated as of December 24, 2014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including by that certain First Amendment to Loan and Security Agreement dated as of January 25, 2016, collectively,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Lenders have extended credit to Borrower for the purposes permitted in the Loan Agreement.</w:t>
      </w:r>
    </w:p>
    <w:p>
      <w:pPr>
        <w:spacing w:after="0" w:line="225"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Borrower has requested that Collateral Agent and Lenders (i) add New Borrower as a “Borrower” under the Loan Agreement, (ii) extend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Date and (iii) make certain other revisions to the Loan Agreement as more fully set forth herein.</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Collateral Agent and Lenders have agreed to amend certain provisions of the Loan Agreement, but only to the extent,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and in reliance upon the representations and warranties set forth below.</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640" w:hanging="176"/>
        <w:spacing w:after="0"/>
        <w:tabs>
          <w:tab w:leader="none" w:pos="64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 to them in the Loan Agreement.</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Joinder</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2.1 New Borrower</w:t>
      </w:r>
      <w:r>
        <w:rPr>
          <w:rFonts w:ascii="Arial" w:cs="Arial" w:eastAsia="Arial" w:hAnsi="Arial"/>
          <w:sz w:val="18"/>
          <w:szCs w:val="18"/>
          <w:color w:val="auto"/>
        </w:rPr>
        <w:t>. New Borrower hereby is added as a “Borrower” under the Loan Agreement. All references in the Agreement to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hereafter mean and include the Existing Borrower and New Borrower individually and collectively, jointly and severally; and New Borrower shall hereafter have all rights, duties and obligations of “Borrower” thereunder.</w:t>
      </w:r>
    </w:p>
    <w:p>
      <w:pPr>
        <w:spacing w:after="0" w:line="176"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b w:val="1"/>
          <w:bCs w:val="1"/>
          <w:color w:val="auto"/>
        </w:rPr>
        <w:t xml:space="preserve">2.2 Joinder to Loan Agreement. </w:t>
      </w:r>
      <w:r>
        <w:rPr>
          <w:rFonts w:ascii="Arial" w:cs="Arial" w:eastAsia="Arial" w:hAnsi="Arial"/>
          <w:sz w:val="17"/>
          <w:szCs w:val="17"/>
          <w:color w:val="auto"/>
        </w:rPr>
        <w:t>New Borrower hereby joins the Loan Agreement and each of the Loan Documents (other than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to comply with and be bound by all of the terms, conditions and covenants of the Loan Agreement and Loan Documents (other than the Warrants), as if it were originally named a “Borrower” therein. Without limiting the generality of the preceding sentence, New Borrower agrees that it will be jointly and severally liable, together with Existing Borrower, for the payment and performance of all obligations and liabilities of Borrower under the Loan Agreement, including, without limitation, the Obligations. Either Borrower may, acting singly, request Credit Extensions pursuant to the Loan Agreement. Each Borrower hereby appoints the other as agent for the other for all purposes hereunder, including with respect to</w:t>
      </w:r>
    </w:p>
    <w:p>
      <w:pPr>
        <w:sectPr>
          <w:pgSz w:w="11900" w:h="16838" w:orient="portrait"/>
          <w:cols w:equalWidth="0" w:num="1">
            <w:col w:w="11420"/>
          </w:cols>
          <w:pgMar w:left="240" w:top="270" w:right="239" w:bottom="1440" w:gutter="0" w:footer="0" w:header="0"/>
        </w:sectPr>
      </w:pPr>
    </w:p>
    <w:bookmarkStart w:id="485" w:name="page486"/>
    <w:bookmarkEnd w:id="48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requesting Credit Extensions pursuant to the Loan Agreement. Each Borrower hereunder shall be obligated to repay all Credit Extensions made pursuant to the Loan Agreement, regardless of which Borrower actually receives said Credit Extension, as if each Borrower hereunder directly received all Credit Extensions.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2.3 Subrogation and Similar Rights. </w:t>
      </w:r>
      <w:r>
        <w:rPr>
          <w:rFonts w:ascii="Arial" w:cs="Arial" w:eastAsia="Arial" w:hAnsi="Arial"/>
          <w:sz w:val="17"/>
          <w:szCs w:val="17"/>
          <w:color w:val="auto"/>
        </w:rPr>
        <w:t>Each Borrower waives (a) any suretyship defenses available to it under the Code or any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and (b) any right to require Collateral Agent or any Lender to: (i) proceed against any Borrower or any other person; (ii) proceed against or exhaust any security; or (iii) pursue any other remedy. Collateral Agent and any Lender may each exercise or not exercise any right or remedy it has against any Borrower or any security it holds (including the right to foreclose by judicial or non-judicial sale) without affecting any Borrower’s liability. Notwithstanding any other provision of this Amendment, the Loan Agreement, the Loan Documents or any related documents, until the Obligations have been paid in full and at such time as each Lender’s obligation to make Credit Extensions has terminated, each Borrower irrevocably waives all rights that it may have at law or in equity (including, without limitation, any law subrogating Borrower to the rights of Collateral Agent and/or Lenders under this Amendment and the Loan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Amendment, the Loan Agreement or otherwise and all rights that it might have to benefit from, or to participate in, any security for the Obligations as a result of any payment made by Borrower with respect to the Obligations in connection with this Amendment, the Loan Agreement or otherwise. Borrower agrees that until the Obligations (other than inchoate indemnity obligations) have been paid in full in cash and at such time as each Lender’s obligation to make Credit Extensions has terminated, Borrower will not enforce any agreement providing for indemnification, reimbursement or any other arrangement prohibited under this section. If any payment is made to a Borrower in contravention of this section, such Borrower shall hold such payment in trust for Collateral Agent, for the ratable benefit of Lenders, and such payment shall be promptly delivered to Collateral Agent, for the ratable benefit of Lenders, for application to the Obligations, whether matured or unmatured.</w:t>
      </w:r>
    </w:p>
    <w:p>
      <w:pPr>
        <w:spacing w:after="0" w:line="181"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b w:val="1"/>
          <w:bCs w:val="1"/>
          <w:color w:val="auto"/>
        </w:rPr>
        <w:t xml:space="preserve">2.4 Grant of Security Interest. </w:t>
      </w:r>
      <w:r>
        <w:rPr>
          <w:rFonts w:ascii="Arial" w:cs="Arial" w:eastAsia="Arial" w:hAnsi="Arial"/>
          <w:sz w:val="16"/>
          <w:szCs w:val="16"/>
          <w:color w:val="auto"/>
        </w:rPr>
        <w:t>To secure the prompt payment and performance of all of the Obligations, New Borrower hereby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for the ratable benefit of Lenders, a continuing lien upon and security interest in all of New Borrower’s now existing or hereafter arising rights and interest in the Collateral, whether now owned or existing or hereafter created, acquired, or arising, and wherever located. New Borrower further covenants and agrees that by its execution hereof it shall provide all such information, complete all such forms, and take all such actions, and enter into all such agreements, in form and substance reasonably satisfactory to Collateral Agent and each Lender that are reasonably deemed necessary by Collateral Agent or any Lender in order to grant a valid, perfected first priority security interest to Collateral Agent, for the ratable benefit of Lenders, in the Collateral. New Borrower hereby authorizes Collateral Agent to file financing statements, without notice to Borrower, with all appropriate jurisdictions in order to perfect or protect Collateral Agent’s and/or any Lender’s interest or rights hereunder, including a notice that any disposition of the Collateral, by either Borrower or any other Person, shall be deemed to violate the rights of Collateral Agent and each Lender under the Code.</w:t>
      </w:r>
    </w:p>
    <w:p>
      <w:pPr>
        <w:spacing w:after="0" w:line="160"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2.5 Representations and Warranties. </w:t>
      </w:r>
      <w:r>
        <w:rPr>
          <w:rFonts w:ascii="Arial" w:cs="Arial" w:eastAsia="Arial" w:hAnsi="Arial"/>
          <w:sz w:val="18"/>
          <w:szCs w:val="18"/>
          <w:color w:val="auto"/>
        </w:rPr>
        <w:t>New Borrower hereby represents and warrants to Collateral Agent and each Lender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in the Loan Documents made on the part of Existing Borrower are true and correct on the date hereof with respect to Existing Borrower and New Borrower, with the same force and effect as if New Borrower were named as “Borrower” in the Loan Documents in addition to Existing Borrower.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Amendments to Loan Agreement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3.1 Section 2.2 (Term Loans)</w:t>
      </w:r>
      <w:r>
        <w:rPr>
          <w:rFonts w:ascii="Arial" w:cs="Arial" w:eastAsia="Arial" w:hAnsi="Arial"/>
          <w:sz w:val="16"/>
          <w:szCs w:val="16"/>
          <w:color w:val="auto"/>
        </w:rPr>
        <w:t>. Section 2.2(a)(ii) and Section 2.2(a)(iii) of the Loan Agreement hereby are amended and restated as follows:</w:t>
      </w:r>
    </w:p>
    <w:p>
      <w:pPr>
        <w:spacing w:after="0" w:line="252" w:lineRule="exact"/>
        <w:rPr>
          <w:sz w:val="20"/>
          <w:szCs w:val="20"/>
          <w:color w:val="auto"/>
        </w:rPr>
      </w:pPr>
    </w:p>
    <w:p>
      <w:pPr>
        <w:ind w:left="460" w:right="480" w:firstLine="420"/>
        <w:spacing w:after="0" w:line="259" w:lineRule="auto"/>
        <w:rPr>
          <w:sz w:val="20"/>
          <w:szCs w:val="20"/>
          <w:color w:val="auto"/>
        </w:rPr>
      </w:pPr>
      <w:r>
        <w:rPr>
          <w:rFonts w:ascii="Arial" w:cs="Arial" w:eastAsia="Arial" w:hAnsi="Arial"/>
          <w:sz w:val="18"/>
          <w:szCs w:val="18"/>
          <w:color w:val="auto"/>
        </w:rPr>
        <w:t>“(ii) Subject to the terms and conditions of this Agreement, the Lenders agree, severally and not jointly, on the Second Amendment Effective Date, to make term loans to Borrower in a single advance in an aggregate amount of Five Million Dollars ($5,000,000.00) according to each Lender’s Term B Loan Commitment as set forth on Schedule 1.1 hereto (such term loans are hereinafter referred to singly as a “</w:t>
      </w:r>
      <w:r>
        <w:rPr>
          <w:rFonts w:ascii="Arial" w:cs="Arial" w:eastAsia="Arial" w:hAnsi="Arial"/>
          <w:sz w:val="18"/>
          <w:szCs w:val="18"/>
          <w:b w:val="1"/>
          <w:bCs w:val="1"/>
          <w:color w:val="auto"/>
        </w:rPr>
        <w:t>Term B</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86" w:name="page487"/>
    <w:bookmarkEnd w:id="486"/>
    <w:p>
      <w:pPr>
        <w:ind w:left="460" w:right="7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Loans</w:t>
      </w:r>
      <w:r>
        <w:rPr>
          <w:rFonts w:ascii="Arial" w:cs="Arial" w:eastAsia="Arial" w:hAnsi="Arial"/>
          <w:sz w:val="18"/>
          <w:szCs w:val="18"/>
          <w:color w:val="auto"/>
        </w:rPr>
        <w:t>”, provided that the Term C Loans and the Term B Loans must be funded simultaneously. After repayment, no Term B Loan may be re-borrowed.</w:t>
      </w:r>
    </w:p>
    <w:p>
      <w:pPr>
        <w:spacing w:after="0" w:line="166" w:lineRule="exact"/>
        <w:rPr>
          <w:sz w:val="20"/>
          <w:szCs w:val="20"/>
          <w:color w:val="auto"/>
        </w:rPr>
      </w:pPr>
    </w:p>
    <w:p>
      <w:pPr>
        <w:ind w:left="460" w:right="500" w:firstLine="424"/>
        <w:spacing w:after="0" w:line="293" w:lineRule="auto"/>
        <w:tabs>
          <w:tab w:leader="none" w:pos="119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Lenders agree, severally and not jointly, on the Second Amendment Effective Date, to make term loans to Borrower in a single advance in an aggregate amount of Five Million Dollars ($5,000,000.00) according to each Lender’s Term C Loan Commitment as set forth on Schedule 1.1 hereto (such term loans are hereinafter referred to singly as a “</w:t>
      </w:r>
      <w:r>
        <w:rPr>
          <w:rFonts w:ascii="Arial" w:cs="Arial" w:eastAsia="Arial" w:hAnsi="Arial"/>
          <w:sz w:val="16"/>
          <w:szCs w:val="16"/>
          <w:b w:val="1"/>
          <w:bCs w:val="1"/>
          <w:color w:val="auto"/>
        </w:rPr>
        <w:t>Term C</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 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 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Term B Loans and the Term C Loans must be funded simultaneously. After repayment, no Term C Loan may be re-borrowed.”</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 Section 2.2 (Term Loans)</w:t>
      </w:r>
      <w:r>
        <w:rPr>
          <w:rFonts w:ascii="Arial" w:cs="Arial" w:eastAsia="Arial" w:hAnsi="Arial"/>
          <w:sz w:val="18"/>
          <w:szCs w:val="18"/>
          <w:color w:val="auto"/>
        </w:rPr>
        <w:t>. Section 2.2(b) of the Loan Agreement hereby is amended and restated as follows:</w:t>
      </w:r>
    </w:p>
    <w:p>
      <w:pPr>
        <w:spacing w:after="0" w:line="229" w:lineRule="exact"/>
        <w:rPr>
          <w:sz w:val="20"/>
          <w:szCs w:val="20"/>
          <w:color w:val="auto"/>
        </w:rPr>
      </w:pPr>
    </w:p>
    <w:p>
      <w:pPr>
        <w:ind w:left="460" w:right="460" w:firstLine="420"/>
        <w:spacing w:after="0" w:line="270"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(1st) Payment Date following the Second Amendment Effective Date, and continuing on the Payment Date of each successive month thereafter through and including the Payment Date immediately preceding the Amortization Date. Borrower agrees to pay, on the Second Amendment Effective Date,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 four (24) months. All unpaid principal and accrued and unpaid interest with respect to each Term Loan is due and payable in full on the Maturity Date. Each Term Loan may only be prepaid in accordance with Sections 2.2(c) and 2.2 (d).”</w:t>
      </w:r>
    </w:p>
    <w:p>
      <w:pPr>
        <w:spacing w:after="0" w:line="174"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3.3 Section 2.3 (Payment of Interest on Credit Extensions)</w:t>
      </w:r>
      <w:r>
        <w:rPr>
          <w:rFonts w:ascii="Arial" w:cs="Arial" w:eastAsia="Arial" w:hAnsi="Arial"/>
          <w:sz w:val="18"/>
          <w:szCs w:val="18"/>
          <w:color w:val="auto"/>
        </w:rPr>
        <w:t>. Section 2.3(a) Section 2.3(b) and Section 2.3(c) of the Loan Agreement hereby are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as follows:</w:t>
      </w:r>
    </w:p>
    <w:p>
      <w:pPr>
        <w:spacing w:after="0" w:line="166" w:lineRule="exact"/>
        <w:rPr>
          <w:sz w:val="20"/>
          <w:szCs w:val="20"/>
          <w:color w:val="auto"/>
        </w:rPr>
      </w:pPr>
    </w:p>
    <w:p>
      <w:pPr>
        <w:ind w:left="460" w:right="660" w:firstLine="420"/>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Loans shall accrue interest at a floating per annum rate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sz w:val="20"/>
          <w:szCs w:val="20"/>
          <w:color w:val="auto"/>
        </w:rPr>
      </w:pPr>
    </w:p>
    <w:p>
      <w:pPr>
        <w:jc w:val="both"/>
        <w:ind w:left="460" w:right="460" w:firstLine="424"/>
        <w:spacing w:after="0" w:line="279" w:lineRule="auto"/>
        <w:tabs>
          <w:tab w:leader="none" w:pos="1135"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accrue interest at a floating per annum rate equal to the rate that is otherwise applicable thereto plus five percentage points (5.00%) (the “Default Rate”).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71" w:lineRule="exact"/>
        <w:rPr>
          <w:rFonts w:ascii="Arial" w:cs="Arial" w:eastAsia="Arial" w:hAnsi="Arial"/>
          <w:sz w:val="17"/>
          <w:szCs w:val="17"/>
          <w:color w:val="auto"/>
        </w:rPr>
      </w:pPr>
    </w:p>
    <w:p>
      <w:pPr>
        <w:ind w:left="5660" w:right="580" w:hanging="4776"/>
        <w:spacing w:after="0" w:line="449" w:lineRule="auto"/>
        <w:tabs>
          <w:tab w:leader="none" w:pos="112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360-Day Year</w:t>
      </w:r>
      <w:r>
        <w:rPr>
          <w:rFonts w:ascii="Arial" w:cs="Arial" w:eastAsia="Arial" w:hAnsi="Arial"/>
          <w:sz w:val="18"/>
          <w:szCs w:val="18"/>
          <w:color w:val="auto"/>
        </w:rPr>
        <w:t>. Interest shall be computed on the basis of a three hundred sixty (360) day year, and the actual number of days elapsed.” 3</w:t>
      </w:r>
    </w:p>
    <w:p>
      <w:pPr>
        <w:sectPr>
          <w:pgSz w:w="11900" w:h="16838" w:orient="portrait"/>
          <w:cols w:equalWidth="0" w:num="1">
            <w:col w:w="11400"/>
          </w:cols>
          <w:pgMar w:left="240" w:top="270" w:right="259" w:bottom="1440" w:gutter="0" w:footer="0" w:header="0"/>
        </w:sectPr>
      </w:pPr>
    </w:p>
    <w:bookmarkStart w:id="487" w:name="page488"/>
    <w:bookmarkEnd w:id="48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Section 2.5 (Fees)</w:t>
      </w:r>
      <w:r>
        <w:rPr>
          <w:rFonts w:ascii="Arial" w:cs="Arial" w:eastAsia="Arial" w:hAnsi="Arial"/>
          <w:sz w:val="18"/>
          <w:szCs w:val="18"/>
          <w:color w:val="auto"/>
        </w:rPr>
        <w:t>. New subsection 2.5(e) hereby is added to the Loan Agreement as follows:</w:t>
      </w:r>
    </w:p>
    <w:p>
      <w:pPr>
        <w:spacing w:after="0" w:line="229" w:lineRule="exact"/>
        <w:rPr>
          <w:sz w:val="20"/>
          <w:szCs w:val="20"/>
          <w:color w:val="auto"/>
        </w:rPr>
      </w:pPr>
    </w:p>
    <w:p>
      <w:pPr>
        <w:jc w:val="both"/>
        <w:ind w:right="40" w:firstLine="420"/>
        <w:spacing w:after="0" w:line="34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Second Amendment Fee</w:t>
      </w:r>
      <w:r>
        <w:rPr>
          <w:rFonts w:ascii="Arial" w:cs="Arial" w:eastAsia="Arial" w:hAnsi="Arial"/>
          <w:sz w:val="16"/>
          <w:szCs w:val="16"/>
          <w:color w:val="auto"/>
        </w:rPr>
        <w:t>. An amendment fee, due on the Second Amendment Effective Date, in the amount of One Hundred Thousand Dollars ($100,000.00) (the “</w:t>
      </w:r>
      <w:r>
        <w:rPr>
          <w:rFonts w:ascii="Arial" w:cs="Arial" w:eastAsia="Arial" w:hAnsi="Arial"/>
          <w:sz w:val="16"/>
          <w:szCs w:val="16"/>
          <w:b w:val="1"/>
          <w:bCs w:val="1"/>
          <w:color w:val="auto"/>
        </w:rPr>
        <w:t>Second Amendment Fee</w:t>
      </w:r>
      <w:r>
        <w:rPr>
          <w:rFonts w:ascii="Arial" w:cs="Arial" w:eastAsia="Arial" w:hAnsi="Arial"/>
          <w:sz w:val="16"/>
          <w:szCs w:val="16"/>
          <w:color w:val="auto"/>
        </w:rPr>
        <w:t>”), to be shared between the Lenders in accordance with their respective Pro Rata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Section 4.3 (Pledge of Collateral)</w:t>
      </w:r>
      <w:r>
        <w:rPr>
          <w:rFonts w:ascii="Arial" w:cs="Arial" w:eastAsia="Arial" w:hAnsi="Arial"/>
          <w:sz w:val="18"/>
          <w:szCs w:val="18"/>
          <w:color w:val="auto"/>
        </w:rPr>
        <w:t>. New Section 4.3 hereby is added to the Loan Agreement as follows:</w:t>
      </w:r>
    </w:p>
    <w:p>
      <w:pPr>
        <w:spacing w:after="0" w:line="225" w:lineRule="exact"/>
        <w:rPr>
          <w:sz w:val="20"/>
          <w:szCs w:val="20"/>
          <w:color w:val="auto"/>
        </w:rPr>
      </w:pPr>
    </w:p>
    <w:p>
      <w:pPr>
        <w:ind w:firstLine="4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4.3 Pledge of Collateral.</w:t>
      </w:r>
      <w:r>
        <w:rPr>
          <w:rFonts w:ascii="Arial" w:cs="Arial" w:eastAsia="Arial" w:hAnsi="Arial"/>
          <w:sz w:val="16"/>
          <w:szCs w:val="16"/>
          <w:color w:val="auto"/>
        </w:rPr>
        <w:t xml:space="preserve"> Borrower hereby pledges, assigns and grants to Collateral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Second Amendment Effective Date, or, to the extent not certificated as of the Second Amendment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3.6 Section 5.12 (Shares)</w:t>
      </w:r>
      <w:r>
        <w:rPr>
          <w:rFonts w:ascii="Arial" w:cs="Arial" w:eastAsia="Arial" w:hAnsi="Arial"/>
          <w:sz w:val="18"/>
          <w:szCs w:val="18"/>
          <w:color w:val="auto"/>
        </w:rPr>
        <w:t>. New Section 5.12 hereby is added to the Loan Agreement as follows:</w:t>
      </w:r>
    </w:p>
    <w:p>
      <w:pPr>
        <w:spacing w:after="0" w:line="225" w:lineRule="exact"/>
        <w:rPr>
          <w:sz w:val="20"/>
          <w:szCs w:val="20"/>
          <w:color w:val="auto"/>
        </w:rPr>
      </w:pPr>
    </w:p>
    <w:p>
      <w:pPr>
        <w:ind w:right="40" w:firstLine="4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5.12 Shares.</w:t>
      </w:r>
      <w:r>
        <w:rPr>
          <w:rFonts w:ascii="Arial" w:cs="Arial" w:eastAsia="Arial" w:hAnsi="Arial"/>
          <w:sz w:val="18"/>
          <w:szCs w:val="18"/>
          <w:color w:val="auto"/>
        </w:rPr>
        <w:t xml:space="preserve"> Borrower has full power and authority to create a first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3.7 Section 6.12 (Creation/Acquisition of Subsidiaries)</w:t>
      </w:r>
      <w:r>
        <w:rPr>
          <w:rFonts w:ascii="Arial" w:cs="Arial" w:eastAsia="Arial" w:hAnsi="Arial"/>
          <w:sz w:val="16"/>
          <w:szCs w:val="16"/>
          <w:color w:val="auto"/>
        </w:rPr>
        <w:t>. Section 6.12 of the Loan Agreement hereby is amended and restated as follows:</w:t>
      </w:r>
    </w:p>
    <w:p>
      <w:pPr>
        <w:spacing w:after="0" w:line="248" w:lineRule="exact"/>
        <w:rPr>
          <w:sz w:val="20"/>
          <w:szCs w:val="20"/>
          <w:color w:val="auto"/>
        </w:rPr>
      </w:pPr>
    </w:p>
    <w:p>
      <w:pPr>
        <w:ind w:right="20" w:firstLine="4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6.12 Creation/Acquisition of Subsidiaries</w:t>
      </w:r>
      <w:r>
        <w:rPr>
          <w:rFonts w:ascii="Arial" w:cs="Arial" w:eastAsia="Arial" w:hAnsi="Arial"/>
          <w:sz w:val="18"/>
          <w:szCs w:val="18"/>
          <w:color w:val="auto"/>
        </w:rPr>
        <w:t>. In the event Borrower, or any of its Subsidiaries creates or acquires any Subsidiary, Borrower shall provide prior written notice to Collateral Agent and each Lender of the creation or acquisition of such new Subsidiary and take all such action as may be reasonably required by Collateral Agent or any Lender to cause each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700" w:top="269" w:right="699" w:bottom="1440" w:gutter="0" w:footer="0" w:header="0"/>
        </w:sectPr>
      </w:pPr>
    </w:p>
    <w:bookmarkStart w:id="488" w:name="page489"/>
    <w:bookmarkEnd w:id="48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Borrower (or its Subsidiary, as applicable) shall grant and pledge to Collateral Agent, for the ratable benefit of the Lenders, to secure payment and performance of the Obligations a perfected security interest in the stock, units or other evidence of ownership of each such newly created Subsidiary, provided, however, that in the case of a Foreign Subsidiary (excluding Anaptys Australia) Borrower (or any domestic Subsidiary which is the owner of such Foreign Subsidiary) shall not be required to pledge or grant a security interest in more than sixty five percent (65%) of the outstanding equity securities of such Foreign Subsidiary (excluding Anaptys Australia) and no assets of such Foreign Subsidiary (excluding Anaptys Australia) shall be required to be pledged or subject to a security interest hereunder if Borrower demonstrates to the reasonable satisfaction of Collateral Agent that such Foreign Subsidiary providing such guarantee or pledge and security interest or Borrower providing a perfected security interest in more than sixty five percent (65%) of the outstanding equity securities would create a present and existing adverse tax consequence to Borrower under the U.S. Internal Revenue Code.”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Section 8.5 (Insolvency)</w:t>
      </w:r>
      <w:r>
        <w:rPr>
          <w:rFonts w:ascii="Arial" w:cs="Arial" w:eastAsia="Arial" w:hAnsi="Arial"/>
          <w:sz w:val="18"/>
          <w:szCs w:val="18"/>
          <w:color w:val="auto"/>
        </w:rPr>
        <w:t>. Section 8.5 of the Loan Agreement hereby is amended and restated as follows:</w:t>
      </w:r>
    </w:p>
    <w:p>
      <w:pPr>
        <w:spacing w:after="0" w:line="225" w:lineRule="exact"/>
        <w:rPr>
          <w:sz w:val="20"/>
          <w:szCs w:val="20"/>
          <w:color w:val="auto"/>
        </w:rPr>
      </w:pPr>
    </w:p>
    <w:p>
      <w:pPr>
        <w:ind w:right="660" w:firstLine="4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8.5 Insolvency</w:t>
      </w:r>
      <w:r>
        <w:rPr>
          <w:rFonts w:ascii="Arial" w:cs="Arial" w:eastAsia="Arial" w:hAnsi="Arial"/>
          <w:sz w:val="18"/>
          <w:szCs w:val="18"/>
          <w:color w:val="auto"/>
        </w:rPr>
        <w:t>. (a) Borrower or any of its Subsidiaries is or becomes Insolvent; (b) Borrower or any of its Subsidiaries begins an Insolvency Proceeding; (c) an Insolvency Proceeding is begun against Borrower or any of its Subsidiaries and not dismissed or stayed within forty-five (45) days (but no Credit Extensions shall be made while Borrower or any Subsidiary is Insolvent and/or until any Insolvency Proceeding is dismissed) or (d) the appointment of a liquidator (other than in respect of a solvent liquidation), receiver, receiver and manager, administrator, administrative receiver, compulsory manager or other similar person in respect of Anaptys Australia or any of the property of Anaptys Australia;”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 Section 12.13 (Borrower Liability)</w:t>
      </w:r>
      <w:r>
        <w:rPr>
          <w:rFonts w:ascii="Arial" w:cs="Arial" w:eastAsia="Arial" w:hAnsi="Arial"/>
          <w:sz w:val="18"/>
          <w:szCs w:val="18"/>
          <w:color w:val="auto"/>
        </w:rPr>
        <w:t>. New Section 12.13 hereby is added to the Loan Agreement as follows:</w:t>
      </w:r>
    </w:p>
    <w:p>
      <w:pPr>
        <w:spacing w:after="0" w:line="225" w:lineRule="exact"/>
        <w:rPr>
          <w:sz w:val="20"/>
          <w:szCs w:val="20"/>
          <w:color w:val="auto"/>
        </w:rPr>
      </w:pPr>
    </w:p>
    <w:p>
      <w:pPr>
        <w:ind w:right="360" w:firstLine="4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12.13 Borrower Liability</w:t>
      </w:r>
      <w:r>
        <w:rPr>
          <w:rFonts w:ascii="Arial" w:cs="Arial" w:eastAsia="Arial" w:hAnsi="Arial"/>
          <w:sz w:val="17"/>
          <w:szCs w:val="17"/>
          <w:color w:val="auto"/>
        </w:rPr>
        <w:t>. Each Borrower may, acting singly, request Credit Extensions hereunder. Each Borrower hereby appoints the 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2809, 2810, 2819, 2839, 2845, 2899 and 3433, and until the payment in full in cash of the Obligations (other than inchoate indemnity obligations) and each Lender’s obligation to make Credit Extensions has terminated, California Civil Code Sections 1432, 2847, 2848 and 2849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and agrees not to exercise until the payment of the Obligations (other than inchoate indemnity obligations) in full and each Lender’s obligation to make Credit Extensions has terminated,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w:t>
      </w:r>
    </w:p>
    <w:p>
      <w:pPr>
        <w:spacing w:after="0" w:line="11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74" w:right="339" w:bottom="1440" w:gutter="0" w:footer="0" w:header="0"/>
        </w:sectPr>
      </w:pPr>
    </w:p>
    <w:bookmarkStart w:id="489" w:name="page490"/>
    <w:bookmarkEnd w:id="489"/>
    <w:p>
      <w:pPr>
        <w:ind w:left="460"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this Agreement or otherwise and all rights that it might have to benefit from, or to participate in, any security for the Obligations as a result of any payment made by Borrower with respect to the Obligations in connection with this Agreement or otherwise.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3.10 Section 13 (Definitions)</w:t>
      </w:r>
      <w:r>
        <w:rPr>
          <w:rFonts w:ascii="Arial" w:cs="Arial" w:eastAsia="Arial" w:hAnsi="Arial"/>
          <w:sz w:val="16"/>
          <w:szCs w:val="16"/>
          <w:color w:val="auto"/>
        </w:rPr>
        <w:t>. The following terms and their definitions hereby are added or amended and restated in their entirety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13.1 of the Loan Agreement as follows: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February 1, 2018.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Anaptys Australia</w:t>
      </w:r>
      <w:r>
        <w:rPr>
          <w:rFonts w:ascii="Arial" w:cs="Arial" w:eastAsia="Arial" w:hAnsi="Arial"/>
          <w:sz w:val="18"/>
          <w:szCs w:val="18"/>
          <w:color w:val="auto"/>
        </w:rPr>
        <w:t>” means ANAPTYSBIO PTY LTD, a Subsidiary of Borrower organized under the laws of Australia.</w:t>
      </w:r>
    </w:p>
    <w:p>
      <w:pPr>
        <w:spacing w:after="0" w:line="225" w:lineRule="exact"/>
        <w:rPr>
          <w:sz w:val="20"/>
          <w:szCs w:val="20"/>
          <w:color w:val="auto"/>
        </w:rPr>
      </w:pPr>
    </w:p>
    <w:p>
      <w:pPr>
        <w:ind w:left="460" w:firstLine="4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Rate</w:t>
      </w:r>
      <w:r>
        <w:rPr>
          <w:rFonts w:ascii="Arial" w:cs="Arial" w:eastAsia="Arial" w:hAnsi="Arial"/>
          <w:sz w:val="18"/>
          <w:szCs w:val="18"/>
          <w:color w:val="auto"/>
        </w:rPr>
        <w:t>” is, with respect to each Term Loan, the per annum rate of interest (based on a year of three hundred sixty (360) days) equal to the sum of (a) the three (3) month U.S. LIBOR rate reported in The Wall Street Journal on the last Business Day of the month that immediately precedes the month in which the interest will accrue, plus (b) six and thirty-seven hundredths percent (6.37%). Notwithstanding the foregoing, the Basic Rate for each Term Loan for the period from the Second Amendment Effective Date through and including December 31, 2016, shall be seven and three tenths percent (7.30%).</w:t>
      </w:r>
    </w:p>
    <w:p>
      <w:pPr>
        <w:spacing w:after="0" w:line="184" w:lineRule="exact"/>
        <w:rPr>
          <w:sz w:val="20"/>
          <w:szCs w:val="20"/>
          <w:color w:val="auto"/>
        </w:rPr>
      </w:pPr>
    </w:p>
    <w:p>
      <w:pPr>
        <w:ind w:left="460" w:right="420" w:firstLine="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Security Deed</w:t>
      </w:r>
      <w:r>
        <w:rPr>
          <w:rFonts w:ascii="Arial" w:cs="Arial" w:eastAsia="Arial" w:hAnsi="Arial"/>
          <w:sz w:val="18"/>
          <w:szCs w:val="18"/>
          <w:color w:val="auto"/>
        </w:rPr>
        <w:t>” means that certain General Security Deed dated December 30, 2016, by and between Oxford, as Collateral Agent, for the ratable benefit of the Lenders, and Anaptys Australia.</w:t>
      </w:r>
    </w:p>
    <w:p>
      <w:pPr>
        <w:spacing w:after="0" w:line="162" w:lineRule="exact"/>
        <w:rPr>
          <w:sz w:val="20"/>
          <w:szCs w:val="20"/>
          <w:color w:val="auto"/>
        </w:rPr>
      </w:pPr>
    </w:p>
    <w:p>
      <w:pPr>
        <w:ind w:left="460" w:right="100" w:firstLine="4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Warrants, the General Security Deed,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January 1, 2020.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December 30, 2016.</w:t>
      </w:r>
    </w:p>
    <w:p>
      <w:pPr>
        <w:spacing w:after="0" w:line="225" w:lineRule="exact"/>
        <w:rPr>
          <w:sz w:val="20"/>
          <w:szCs w:val="20"/>
          <w:color w:val="auto"/>
        </w:rPr>
      </w:pPr>
    </w:p>
    <w:p>
      <w:pPr>
        <w:ind w:left="460" w:right="20" w:firstLine="42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(excluding Anaptys Australia)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 (excluding Anaptys Australia).</w:t>
      </w:r>
    </w:p>
    <w:p>
      <w:pPr>
        <w:spacing w:after="0" w:line="174" w:lineRule="exact"/>
        <w:rPr>
          <w:sz w:val="20"/>
          <w:szCs w:val="20"/>
          <w:color w:val="auto"/>
        </w:rPr>
      </w:pPr>
    </w:p>
    <w:p>
      <w:pPr>
        <w:ind w:left="460" w:right="60" w:firstLine="4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and, with respect to Anaptys Australia, means solvent for the purposes of section 95A(1) of the Corporations Act 2001 (Commonwealth).</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240" w:top="274" w:right="739" w:bottom="1440" w:gutter="0" w:footer="0" w:header="0"/>
        </w:sectPr>
      </w:pPr>
    </w:p>
    <w:bookmarkStart w:id="490" w:name="page491"/>
    <w:bookmarkEnd w:id="49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3.11 Section 13 (Definitions)</w:t>
      </w:r>
      <w:r>
        <w:rPr>
          <w:rFonts w:ascii="Arial" w:cs="Arial" w:eastAsia="Arial" w:hAnsi="Arial"/>
          <w:sz w:val="18"/>
          <w:szCs w:val="18"/>
          <w:color w:val="auto"/>
        </w:rPr>
        <w:t>. The following term and its definition hereby is deleted from Section 13.1 of the Loan Agreement: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“Australian Subsidiary”, “Second Draw Period”, “Term B Draw Event”, “Term C Draw Event”, “Third Draw Period”</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Agreement hereby is replaced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Limitation of Joinder and Amendment.</w:t>
      </w:r>
    </w:p>
    <w:p>
      <w:pPr>
        <w:spacing w:after="0" w:line="225"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The joinder and amendments set forth in</w:t>
      </w:r>
      <w:r>
        <w:rPr>
          <w:rFonts w:ascii="Arial" w:cs="Arial" w:eastAsia="Arial" w:hAnsi="Arial"/>
          <w:sz w:val="16"/>
          <w:szCs w:val="16"/>
          <w:b w:val="1"/>
          <w:bCs w:val="1"/>
          <w:color w:val="auto"/>
        </w:rPr>
        <w:t xml:space="preserve"> Sections 2 and 3 </w:t>
      </w:r>
      <w:r>
        <w:rPr>
          <w:rFonts w:ascii="Arial" w:cs="Arial" w:eastAsia="Arial" w:hAnsi="Arial"/>
          <w:sz w:val="16"/>
          <w:szCs w:val="16"/>
          <w:color w:val="auto"/>
        </w:rPr>
        <w:t>above are effective for the purposes set forth herein and shall be limited precisely</w:t>
      </w:r>
      <w:r>
        <w:rPr>
          <w:rFonts w:ascii="Arial" w:cs="Arial" w:eastAsia="Arial" w:hAnsi="Arial"/>
          <w:sz w:val="16"/>
          <w:szCs w:val="16"/>
          <w:b w:val="1"/>
          <w:bCs w:val="1"/>
          <w:color w:val="auto"/>
        </w:rPr>
        <w:t xml:space="preserve"> </w:t>
      </w:r>
      <w:r>
        <w:rPr>
          <w:rFonts w:ascii="Arial" w:cs="Arial" w:eastAsia="Arial" w:hAnsi="Arial"/>
          <w:sz w:val="16"/>
          <w:szCs w:val="16"/>
          <w:color w:val="auto"/>
        </w:rPr>
        <w:t>as written and shall not be deemed to (a) be a consent to any amendment, waiver or modification of any other term or condition of any Loan Document, or</w:t>
      </w:r>
    </w:p>
    <w:p>
      <w:pPr>
        <w:spacing w:after="0" w:line="1" w:lineRule="exact"/>
        <w:rPr>
          <w:sz w:val="20"/>
          <w:szCs w:val="20"/>
          <w:color w:val="auto"/>
        </w:rPr>
      </w:pPr>
    </w:p>
    <w:p>
      <w:pPr>
        <w:ind w:right="180" w:firstLine="8"/>
        <w:spacing w:after="0" w:line="261" w:lineRule="auto"/>
        <w:tabs>
          <w:tab w:leader="none" w:pos="2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100" w:firstLine="464"/>
        <w:spacing w:after="0" w:line="282" w:lineRule="auto"/>
        <w:tabs>
          <w:tab w:leader="none" w:pos="636"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Collateral Agent and Lenders as follows:</w:t>
      </w:r>
    </w:p>
    <w:p>
      <w:pPr>
        <w:spacing w:after="0" w:line="162" w:lineRule="exact"/>
        <w:rPr>
          <w:sz w:val="20"/>
          <w:szCs w:val="20"/>
          <w:color w:val="auto"/>
        </w:rPr>
      </w:pPr>
    </w:p>
    <w:p>
      <w:pPr>
        <w:jc w:val="both"/>
        <w:ind w:right="20" w:firstLine="913"/>
        <w:spacing w:after="0" w:line="31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Immediately after giving effect to this Amendment (a) the representations and warranties contained in the Loan Documents are true, accurate</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complete in all material respects as of the date hereof (except to the extent such representations and warranties relate to an earlier date, in which case they are true and correct as of such date), and (b) no Event of Default, other than the Existing Event of Default, has occurred and is continuing;</w:t>
      </w:r>
    </w:p>
    <w:p>
      <w:pPr>
        <w:spacing w:after="0" w:line="142"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162" w:lineRule="exact"/>
        <w:rPr>
          <w:sz w:val="20"/>
          <w:szCs w:val="20"/>
          <w:color w:val="auto"/>
        </w:rPr>
      </w:pPr>
    </w:p>
    <w:p>
      <w:pPr>
        <w:ind w:right="240" w:firstLine="913"/>
        <w:spacing w:after="0" w:line="313"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color w:val="auto"/>
        </w:rPr>
        <w:t>The organizational documents of Borrower delivered to Collateral Agent and Lenders on the Effective Date, or subsequent thereto, remain</w:t>
      </w:r>
      <w:r>
        <w:rPr>
          <w:rFonts w:ascii="Arial" w:cs="Arial" w:eastAsia="Arial" w:hAnsi="Arial"/>
          <w:sz w:val="17"/>
          <w:szCs w:val="17"/>
          <w:b w:val="1"/>
          <w:bCs w:val="1"/>
          <w:color w:val="auto"/>
        </w:rPr>
        <w:t xml:space="preserve"> </w:t>
      </w:r>
      <w:r>
        <w:rPr>
          <w:rFonts w:ascii="Arial" w:cs="Arial" w:eastAsia="Arial" w:hAnsi="Arial"/>
          <w:sz w:val="17"/>
          <w:szCs w:val="17"/>
          <w:color w:val="auto"/>
        </w:rPr>
        <w:t>true, accurate and complete and have not been amended, supplemented or restated and are and continue to be in full force and effect;</w:t>
      </w:r>
    </w:p>
    <w:p>
      <w:pPr>
        <w:spacing w:after="0" w:line="138"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have been duly authorized;</w:t>
      </w:r>
    </w:p>
    <w:p>
      <w:pPr>
        <w:spacing w:after="0" w:line="162"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42"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This Amendment has been duly executed and delivered by Borrower and is the binding obligation of Borrower, enforceable against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491" w:name="page492"/>
    <w:bookmarkEnd w:id="4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Release by Borrower</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FOR GOOD AND VALUABLE CONSIDERATION, Borrower hereby forever relieves, releases, and discharges Collateral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and their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(collectively “Released Claims”).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spacing w:after="0" w:line="189"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color w:val="auto"/>
        </w:rPr>
        <w:t>By entering into this release, Borrower recognizes that no facts or representations are ever absolutely certain and it may hereafter discover</w:t>
      </w:r>
      <w:r>
        <w:rPr>
          <w:rFonts w:ascii="Arial" w:cs="Arial" w:eastAsia="Arial" w:hAnsi="Arial"/>
          <w:sz w:val="17"/>
          <w:szCs w:val="17"/>
          <w:b w:val="1"/>
          <w:bCs w:val="1"/>
          <w:color w:val="auto"/>
        </w:rPr>
        <w:t xml:space="preserve"> </w:t>
      </w:r>
      <w:r>
        <w:rPr>
          <w:rFonts w:ascii="Arial" w:cs="Arial" w:eastAsia="Arial" w:hAnsi="Arial"/>
          <w:sz w:val="17"/>
          <w:szCs w:val="17"/>
          <w:color w:val="auto"/>
        </w:rPr>
        <w:t>facts in 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any Lender with respect to the facts underlying this release or with regard to any of such party’s rights or asserted rights.</w:t>
      </w:r>
    </w:p>
    <w:p>
      <w:pPr>
        <w:spacing w:after="0" w:line="172" w:lineRule="exact"/>
        <w:rPr>
          <w:sz w:val="20"/>
          <w:szCs w:val="20"/>
          <w:color w:val="auto"/>
        </w:rPr>
      </w:pPr>
    </w:p>
    <w:p>
      <w:pPr>
        <w:ind w:right="200" w:firstLine="913"/>
        <w:spacing w:after="0" w:line="281"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color w:val="auto"/>
        </w:rPr>
        <w:t>This release may be pleaded as a full and complete defense and/or as a cross-complaint or counterclaim against any action, suit,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that may be instituted, prosecuted or attempted in breach of this release. Borrower acknowledges that the release contained herein constitutes a material inducement to Collateral Agent and Lenders to enter into this Amendment, and that Collateral Agent and Lenders would not have done so but for Collateral Agent and Lenders’ expectation that such release is valid and enforceable in all events.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color w:val="auto"/>
        </w:rPr>
        <w:t>Borrower hereby represents and warrants to Collateral Agent and Lenders, and Collateral Agent and Lenders are relying thereon, as follows:</w:t>
      </w:r>
    </w:p>
    <w:p>
      <w:pPr>
        <w:spacing w:after="0" w:line="144" w:lineRule="exact"/>
        <w:rPr>
          <w:sz w:val="20"/>
          <w:szCs w:val="20"/>
          <w:color w:val="auto"/>
        </w:rPr>
      </w:pPr>
    </w:p>
    <w:p>
      <w:pPr>
        <w:ind w:right="500" w:firstLine="1492"/>
        <w:spacing w:after="0" w:line="264" w:lineRule="auto"/>
        <w:tabs>
          <w:tab w:leader="none" w:pos="1728" w:val="left"/>
        </w:tabs>
        <w:numPr>
          <w:ilvl w:val="1"/>
          <w:numId w:val="466"/>
        </w:numPr>
        <w:rPr>
          <w:rFonts w:ascii="Arial" w:cs="Arial" w:eastAsia="Arial" w:hAnsi="Arial"/>
          <w:sz w:val="18"/>
          <w:szCs w:val="18"/>
          <w:color w:val="auto"/>
        </w:rPr>
      </w:pPr>
      <w:r>
        <w:rPr>
          <w:rFonts w:ascii="Arial" w:cs="Arial" w:eastAsia="Arial" w:hAnsi="Arial"/>
          <w:sz w:val="18"/>
          <w:szCs w:val="18"/>
          <w:color w:val="auto"/>
        </w:rPr>
        <w:t>Except as expressly stated in this Agreement, neither Collateral Agent, Lenders nor any agent, employee or representative of Collateral Agent or any Lender has made any statement or representation to Borrower regarding any fact relied upon by Borrower in entering into this Amendment.</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Borrower has made such investigation of the facts pertaining to this Amendment and all of the matters appertaining thereto, as 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deems necessary.</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terms of this Amendment are contractual and not a mere recital.</w:t>
      </w:r>
    </w:p>
    <w:p>
      <w:pPr>
        <w:spacing w:after="0" w:line="117" w:lineRule="exact"/>
        <w:rPr>
          <w:rFonts w:ascii="Arial" w:cs="Arial" w:eastAsia="Arial" w:hAnsi="Arial"/>
          <w:sz w:val="18"/>
          <w:szCs w:val="18"/>
          <w:color w:val="auto"/>
        </w:rPr>
      </w:pPr>
    </w:p>
    <w:p>
      <w:pPr>
        <w:ind w:right="640" w:firstLine="1492"/>
        <w:spacing w:after="0" w:line="277" w:lineRule="auto"/>
        <w:tabs>
          <w:tab w:leader="none" w:pos="1738"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This Amendment has been carefully read by Borrower, the contents hereof are known and understood by Borrower, and this Amendment is signed freely, and without duress, by Borrower.</w:t>
      </w:r>
    </w:p>
    <w:p>
      <w:pPr>
        <w:spacing w:after="0" w:line="62" w:lineRule="exact"/>
        <w:rPr>
          <w:rFonts w:ascii="Arial" w:cs="Arial" w:eastAsia="Arial" w:hAnsi="Arial"/>
          <w:sz w:val="18"/>
          <w:szCs w:val="18"/>
          <w:color w:val="auto"/>
        </w:rPr>
      </w:pPr>
    </w:p>
    <w:p>
      <w:pPr>
        <w:ind w:firstLine="1492"/>
        <w:spacing w:after="0" w:line="302" w:lineRule="auto"/>
        <w:tabs>
          <w:tab w:leader="none" w:pos="1728" w:val="left"/>
        </w:tabs>
        <w:numPr>
          <w:ilvl w:val="1"/>
          <w:numId w:val="466"/>
        </w:numPr>
        <w:rPr>
          <w:rFonts w:ascii="Arial" w:cs="Arial" w:eastAsia="Arial" w:hAnsi="Arial"/>
          <w:sz w:val="16"/>
          <w:szCs w:val="16"/>
          <w:color w:val="auto"/>
        </w:rPr>
      </w:pPr>
      <w:r>
        <w:rPr>
          <w:rFonts w:ascii="Arial" w:cs="Arial" w:eastAsia="Arial" w:hAnsi="Arial"/>
          <w:sz w:val="16"/>
          <w:szCs w:val="16"/>
          <w:color w:val="auto"/>
        </w:rPr>
        <w:t>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Collateral Agent and Lenders, defend and hold them harmless from and against all claims based upon or arising in connection with prior assignments or purported assignments or transfers of any claims or matters released herein.</w:t>
      </w:r>
    </w:p>
    <w:p>
      <w:pPr>
        <w:spacing w:after="0" w:line="150" w:lineRule="exact"/>
        <w:rPr>
          <w:rFonts w:ascii="Arial" w:cs="Arial" w:eastAsia="Arial" w:hAnsi="Arial"/>
          <w:sz w:val="16"/>
          <w:szCs w:val="16"/>
          <w:color w:val="auto"/>
        </w:rPr>
      </w:pPr>
    </w:p>
    <w:p>
      <w:pPr>
        <w:ind w:right="320" w:firstLine="464"/>
        <w:spacing w:after="0" w:line="282" w:lineRule="auto"/>
        <w:tabs>
          <w:tab w:leader="none" w:pos="636"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0" w:right="339" w:bottom="1440" w:gutter="0" w:footer="0" w:header="0"/>
        </w:sectPr>
      </w:pPr>
    </w:p>
    <w:bookmarkStart w:id="492" w:name="page493"/>
    <w:bookmarkEnd w:id="492"/>
    <w:p>
      <w:pPr>
        <w:ind w:left="-40" w:firstLine="464"/>
        <w:spacing w:after="0" w:line="298" w:lineRule="auto"/>
        <w:tabs>
          <w:tab w:leader="none" w:pos="596"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Subsequent</w:t>
      </w:r>
      <w:r>
        <w:rPr>
          <w:rFonts w:ascii="Arial" w:cs="Arial" w:eastAsia="Arial" w:hAnsi="Arial"/>
          <w:sz w:val="16"/>
          <w:szCs w:val="16"/>
          <w:color w:val="auto"/>
        </w:rPr>
        <w:t>. As a condition subsequent to this Amendment, Borrower shall deliver to Collateral Agent and Lenders: (i) as soon as</w:t>
      </w:r>
      <w:r>
        <w:rPr>
          <w:rFonts w:ascii="Arial" w:cs="Arial" w:eastAsia="Arial" w:hAnsi="Arial"/>
          <w:sz w:val="16"/>
          <w:szCs w:val="16"/>
          <w:b w:val="1"/>
          <w:bCs w:val="1"/>
          <w:color w:val="auto"/>
        </w:rPr>
        <w:t xml:space="preserve"> </w:t>
      </w:r>
      <w:r>
        <w:rPr>
          <w:rFonts w:ascii="Arial" w:cs="Arial" w:eastAsia="Arial" w:hAnsi="Arial"/>
          <w:sz w:val="16"/>
          <w:szCs w:val="16"/>
          <w:color w:val="auto"/>
        </w:rPr>
        <w:t>possible, but in no event later than seven (7) Business Days after the Second Amendment Effective Date, stock certificates evidencing Existing Borrower’s ownership of Anaptys Australia, together with Assignments Separate from Certificate (aka Stock Powers) duly executed in duplicate, in blank and (ii) as soon as possible, but in no event later than thirty (30) days after the Second Amendment Effective Date, a duly executed a bailee waiver executed in favor of Collateral Agent for 10 Lomar Park Dr., Pepperell, MA 01463, in form and substance reasonably acceptable to Collateral Agent.</w:t>
      </w:r>
    </w:p>
    <w:p>
      <w:pPr>
        <w:spacing w:after="0" w:line="154" w:lineRule="exact"/>
        <w:rPr>
          <w:rFonts w:ascii="Arial" w:cs="Arial" w:eastAsia="Arial" w:hAnsi="Arial"/>
          <w:sz w:val="16"/>
          <w:szCs w:val="16"/>
          <w:b w:val="1"/>
          <w:bCs w:val="1"/>
          <w:color w:val="auto"/>
        </w:rPr>
      </w:pPr>
    </w:p>
    <w:p>
      <w:pPr>
        <w:ind w:left="600" w:hanging="176"/>
        <w:spacing w:after="0"/>
        <w:tabs>
          <w:tab w:leader="none" w:pos="600"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Effectiveness. </w:t>
      </w:r>
      <w:r>
        <w:rPr>
          <w:rFonts w:ascii="Arial" w:cs="Arial" w:eastAsia="Arial" w:hAnsi="Arial"/>
          <w:sz w:val="16"/>
          <w:szCs w:val="16"/>
          <w:color w:val="auto"/>
        </w:rPr>
        <w:t>This Amendment shall be deemed effective upon the due execution and delivery to Collateral Agent and Lenders of the following:</w:t>
      </w:r>
    </w:p>
    <w:p>
      <w:pPr>
        <w:spacing w:after="0" w:line="144" w:lineRule="exact"/>
        <w:rPr>
          <w:rFonts w:ascii="Arial" w:cs="Arial" w:eastAsia="Arial" w:hAnsi="Arial"/>
          <w:sz w:val="16"/>
          <w:szCs w:val="16"/>
          <w:b w:val="1"/>
          <w:bCs w:val="1"/>
          <w:color w:val="auto"/>
        </w:rPr>
      </w:pPr>
    </w:p>
    <w:p>
      <w:pPr>
        <w:ind w:left="1080" w:hanging="217"/>
        <w:spacing w:after="0"/>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this Amendment by each party hereto;</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Corporate Borrowing Certificate from each Borrower;</w:t>
      </w:r>
    </w:p>
    <w:p>
      <w:pPr>
        <w:spacing w:after="0" w:line="117" w:lineRule="exact"/>
        <w:rPr>
          <w:rFonts w:ascii="Arial" w:cs="Arial" w:eastAsia="Arial" w:hAnsi="Arial"/>
          <w:sz w:val="18"/>
          <w:szCs w:val="18"/>
          <w:color w:val="auto"/>
        </w:rPr>
      </w:pPr>
    </w:p>
    <w:p>
      <w:pPr>
        <w:ind w:left="1180" w:hanging="317"/>
        <w:spacing w:after="0"/>
        <w:tabs>
          <w:tab w:leader="none" w:pos="11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duly filed UCC Financing Statement, identifying Anaptys Australia as the Debtor;</w:t>
      </w:r>
    </w:p>
    <w:p>
      <w:pPr>
        <w:spacing w:after="0" w:line="117" w:lineRule="exact"/>
        <w:rPr>
          <w:rFonts w:ascii="Arial" w:cs="Arial" w:eastAsia="Arial" w:hAnsi="Arial"/>
          <w:sz w:val="18"/>
          <w:szCs w:val="18"/>
          <w:color w:val="auto"/>
        </w:rPr>
      </w:pPr>
    </w:p>
    <w:p>
      <w:pPr>
        <w:ind w:left="1160" w:hanging="297"/>
        <w:spacing w:after="0"/>
        <w:tabs>
          <w:tab w:leader="none" w:pos="11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duly filed UCC Financing Statement Amendment, modifying the collateral description for the Existing Borrower;</w:t>
      </w:r>
    </w:p>
    <w:p>
      <w:pPr>
        <w:spacing w:after="0" w:line="23" w:lineRule="exact"/>
        <w:rPr>
          <w:rFonts w:ascii="Arial" w:cs="Arial" w:eastAsia="Arial" w:hAnsi="Arial"/>
          <w:sz w:val="18"/>
          <w:szCs w:val="18"/>
          <w:color w:val="auto"/>
        </w:rPr>
      </w:pPr>
    </w:p>
    <w:p>
      <w:pPr>
        <w:ind w:left="1120" w:hanging="257"/>
        <w:spacing w:after="0"/>
        <w:tabs>
          <w:tab w:leader="none" w:pos="11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fully executed General Security Deed for Anaptys Australia;</w:t>
      </w:r>
    </w:p>
    <w:p>
      <w:pPr>
        <w:spacing w:after="0" w:line="102" w:lineRule="exact"/>
        <w:rPr>
          <w:rFonts w:ascii="Arial" w:cs="Arial" w:eastAsia="Arial" w:hAnsi="Arial"/>
          <w:sz w:val="18"/>
          <w:szCs w:val="18"/>
          <w:color w:val="auto"/>
        </w:rPr>
      </w:pPr>
    </w:p>
    <w:p>
      <w:pPr>
        <w:ind w:left="1160" w:hanging="297"/>
        <w:spacing w:after="0"/>
        <w:tabs>
          <w:tab w:leader="none" w:pos="11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fully executed Account Bank Side Deed for Anaptys Australia’s account(s) with Westpac;</w:t>
      </w:r>
    </w:p>
    <w:p>
      <w:pPr>
        <w:spacing w:after="0" w:line="117" w:lineRule="exact"/>
        <w:rPr>
          <w:rFonts w:ascii="Arial" w:cs="Arial" w:eastAsia="Arial" w:hAnsi="Arial"/>
          <w:sz w:val="18"/>
          <w:szCs w:val="18"/>
          <w:color w:val="auto"/>
        </w:rPr>
      </w:pPr>
    </w:p>
    <w:p>
      <w:pPr>
        <w:ind w:left="1220" w:hanging="357"/>
        <w:spacing w:after="0"/>
        <w:tabs>
          <w:tab w:leader="none" w:pos="12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duly recorded PPS registration for Anaptys Australia;</w:t>
      </w:r>
    </w:p>
    <w:p>
      <w:pPr>
        <w:spacing w:after="0" w:line="117" w:lineRule="exact"/>
        <w:rPr>
          <w:rFonts w:ascii="Arial" w:cs="Arial" w:eastAsia="Arial" w:hAnsi="Arial"/>
          <w:sz w:val="18"/>
          <w:szCs w:val="18"/>
          <w:color w:val="auto"/>
        </w:rPr>
      </w:pPr>
    </w:p>
    <w:p>
      <w:pPr>
        <w:ind w:left="1260" w:hanging="397"/>
        <w:spacing w:after="0"/>
        <w:tabs>
          <w:tab w:leader="none" w:pos="12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Disbursement Letter,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ind w:left="1160" w:hanging="297"/>
        <w:spacing w:after="0"/>
        <w:tabs>
          <w:tab w:leader="none" w:pos="11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Warrants, duly executed by ANAPTYSBIO, INC.,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ind w:left="420" w:right="340" w:firstLine="443"/>
        <w:spacing w:after="0" w:line="277" w:lineRule="auto"/>
        <w:tabs>
          <w:tab w:leader="none" w:pos="116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a Secured Promissory Note for the Term B Loan, duly executed by each Borrower in favor of Oxford in the amount of Two Million Five Hundred Thousand Dollars ($2,500,000.00),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left="420" w:right="300" w:firstLine="443"/>
        <w:spacing w:after="0" w:line="277" w:lineRule="auto"/>
        <w:tabs>
          <w:tab w:leader="none" w:pos="121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a Secured Promissory Note for the Term C Loan, duly executed by each Borrower in favor of Oxford in the amount of Two Million Five Hundred Thousand Dollars ($2,500,000.00),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left="420" w:right="420" w:firstLine="443"/>
        <w:spacing w:after="0" w:line="277" w:lineRule="auto"/>
        <w:tabs>
          <w:tab w:leader="none" w:pos="126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a Secured Promissory Note for the Term B Loan, duly executed by each Borrower in favor of SVB in the amount of Two Million Five Hundred Thousand Dollars ($2,500,000.00),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left="420" w:right="420" w:firstLine="443"/>
        <w:spacing w:after="0" w:line="277" w:lineRule="auto"/>
        <w:tabs>
          <w:tab w:leader="none" w:pos="125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a Secured Promissory Note for the Term C Loan, duly executed by each Borrower in favor of SVB in the amount of Two Million Five Hundred Thousand Dollars ($2,500,000.00),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left="1200" w:hanging="337"/>
        <w:spacing w:after="0"/>
        <w:tabs>
          <w:tab w:leader="none" w:pos="120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 xml:space="preserve">Amended and Restated Secured Promissory Notes, duly executed by each Borrower,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w:t>
      </w:r>
    </w:p>
    <w:p>
      <w:pPr>
        <w:spacing w:after="0" w:line="140" w:lineRule="exact"/>
        <w:rPr>
          <w:rFonts w:ascii="Arial" w:cs="Arial" w:eastAsia="Arial" w:hAnsi="Arial"/>
          <w:sz w:val="16"/>
          <w:szCs w:val="16"/>
          <w:color w:val="auto"/>
        </w:rPr>
      </w:pPr>
    </w:p>
    <w:p>
      <w:pPr>
        <w:ind w:left="1260" w:hanging="397"/>
        <w:spacing w:after="0"/>
        <w:tabs>
          <w:tab w:leader="none" w:pos="12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completed Perfection Certificate for Anaptys Australia;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69" w:right="279" w:bottom="1440" w:gutter="0" w:footer="0" w:header="0"/>
        </w:sectPr>
      </w:pPr>
    </w:p>
    <w:bookmarkStart w:id="493" w:name="page494"/>
    <w:bookmarkEnd w:id="493"/>
    <w:p>
      <w:pPr>
        <w:ind w:firstLine="443"/>
        <w:spacing w:after="0" w:line="264" w:lineRule="auto"/>
        <w:tabs>
          <w:tab w:leader="none" w:pos="883"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satisfactory to Collateral Agent and the Lenders that the insurance policies required by Section 6.5 of the Loan Agreement are in full force and effect with respect to each Borrower, together with appropriate evidence showing loss payable and/or additional insured clauses or endorsements in favor of Collateral Agent, for the ratable benefit of the Lenders;</w:t>
      </w:r>
    </w:p>
    <w:p>
      <w:pPr>
        <w:spacing w:after="0" w:line="73" w:lineRule="exact"/>
        <w:rPr>
          <w:rFonts w:ascii="Arial" w:cs="Arial" w:eastAsia="Arial" w:hAnsi="Arial"/>
          <w:sz w:val="18"/>
          <w:szCs w:val="18"/>
          <w:color w:val="auto"/>
        </w:rPr>
      </w:pPr>
    </w:p>
    <w:p>
      <w:pPr>
        <w:ind w:right="220" w:firstLine="443"/>
        <w:spacing w:after="0" w:line="277" w:lineRule="auto"/>
        <w:tabs>
          <w:tab w:leader="none" w:pos="933"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Borrower’s payment of the facility fee in an aggregate amount of One Hundred Thousand Dollars ($100,000.00), as due in accordance with Section 2.5(a) of the Loan Agreement;</w:t>
      </w:r>
    </w:p>
    <w:p>
      <w:pPr>
        <w:spacing w:after="0" w:line="62" w:lineRule="exact"/>
        <w:rPr>
          <w:rFonts w:ascii="Arial" w:cs="Arial" w:eastAsia="Arial" w:hAnsi="Arial"/>
          <w:sz w:val="18"/>
          <w:szCs w:val="18"/>
          <w:color w:val="auto"/>
        </w:rPr>
      </w:pPr>
    </w:p>
    <w:p>
      <w:pPr>
        <w:ind w:right="220" w:firstLine="443"/>
        <w:spacing w:after="0" w:line="277" w:lineRule="auto"/>
        <w:tabs>
          <w:tab w:leader="none" w:pos="833"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Borrower’s payment of the Second Amendment fee in an aggregate amount of One Hundred Thousand Dollars ($100,000.00), as due in accordance with Section 2.5(e) of the Loan Agreement; and</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Borrower’s payment of all Lenders’ Expenses incurred through the date of this Amendment.</w:t>
      </w:r>
    </w:p>
    <w:p>
      <w:pPr>
        <w:spacing w:after="0" w:line="33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700" w:top="274" w:right="359" w:bottom="1440" w:gutter="0" w:footer="0" w:header="0"/>
        </w:sectPr>
      </w:pPr>
    </w:p>
    <w:bookmarkStart w:id="494" w:name="page495"/>
    <w:bookmarkEnd w:id="494"/>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parties hereto have caused this Amendment to be duly executed and delivered as of the date first written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Hamza Suria</w:t>
            </w:r>
          </w:p>
        </w:tc>
        <w:tc>
          <w:tcPr>
            <w:tcW w:w="158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President &amp; CEO</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526"/>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ANAPTYSBIO PTY LTD acting by the following persons or, if the</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seal is affixed, witnessed by the following persons:</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c>
          <w:tcPr>
            <w:tcW w:w="1580" w:type="dxa"/>
            <w:vAlign w:val="bottom"/>
          </w:tcPr>
          <w:p>
            <w:pPr>
              <w:ind w:left="1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Marco Londei</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Hamza Suria</w:t>
            </w:r>
          </w:p>
        </w:tc>
        <w:tc>
          <w:tcPr>
            <w:tcW w:w="1580" w:type="dxa"/>
            <w:vAlign w:val="bottom"/>
          </w:tcPr>
          <w:p>
            <w:pPr>
              <w:ind w:left="110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Pr>
          <w:p>
            <w:pPr>
              <w:ind w:left="120"/>
              <w:spacing w:after="0" w:line="195" w:lineRule="exact"/>
              <w:rPr>
                <w:sz w:val="20"/>
                <w:szCs w:val="20"/>
                <w:color w:val="auto"/>
              </w:rPr>
            </w:pPr>
            <w:r>
              <w:rPr>
                <w:rFonts w:ascii="Arial" w:cs="Arial" w:eastAsia="Arial" w:hAnsi="Arial"/>
                <w:sz w:val="18"/>
                <w:szCs w:val="18"/>
                <w:color w:val="auto"/>
              </w:rPr>
              <w:t>Marco Londei</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100"/>
              <w:spacing w:after="0"/>
              <w:rPr>
                <w:sz w:val="20"/>
                <w:szCs w:val="20"/>
                <w:color w:val="auto"/>
              </w:rPr>
            </w:pPr>
            <w:r>
              <w:rPr>
                <w:rFonts w:ascii="Arial" w:cs="Arial" w:eastAsia="Arial" w:hAnsi="Arial"/>
                <w:sz w:val="18"/>
                <w:szCs w:val="18"/>
                <w:color w:val="auto"/>
              </w:rPr>
              <w:t>Title:</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Davis</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Mark Davis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 – Finance</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Igor DaCruz</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Igor DaCruz</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Second Amendment to Loan and Security Agreement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495" w:name="page496"/>
    <w:bookmarkEnd w:id="49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sixty five percent (65%) of the total combined voting power of all classes of stock entitled to vote the shares of capital stock of any Foreign Subsidiary (excluding Anaptys Australia), if Borrower demonstrates to Collateral Agent’s reasonable satisfaction that a pledge of more than sixty five percent (65%) of the Shares of such Subsidiary creates a present and existing adverse tax consequence to Borrower under the U.S. Internal Revenue Code; and (iii)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420"/>
          </w:cols>
          <w:pgMar w:left="240" w:top="270" w:right="239"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Disbursement Letter</w:t>
      </w:r>
    </w:p>
    <w:p>
      <w:pPr>
        <w:sectPr>
          <w:pgSz w:w="11900" w:h="16838" w:orient="portrait"/>
          <w:cols w:equalWidth="0" w:num="1">
            <w:col w:w="9019"/>
          </w:cols>
          <w:pgMar w:left="1440" w:top="269" w:right="1440" w:bottom="1440" w:gutter="0" w:footer="0" w:header="0"/>
        </w:sectPr>
      </w:pPr>
    </w:p>
    <w:bookmarkStart w:id="497" w:name="page498"/>
    <w:bookmarkEnd w:id="497"/>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40" w:type="dxa"/>
            <w:vAlign w:val="bottom"/>
            <w:gridSpan w:val="2"/>
          </w:tcPr>
          <w:p>
            <w:pPr>
              <w:jc w:val="center"/>
              <w:ind w:right="3470"/>
              <w:spacing w:after="0"/>
              <w:rPr>
                <w:sz w:val="20"/>
                <w:szCs w:val="20"/>
                <w:color w:val="auto"/>
              </w:rPr>
            </w:pPr>
            <w:r>
              <w:rPr>
                <w:rFonts w:ascii="Arial" w:cs="Arial" w:eastAsia="Arial" w:hAnsi="Arial"/>
                <w:sz w:val="18"/>
                <w:szCs w:val="18"/>
                <w:b w:val="1"/>
                <w:bCs w:val="1"/>
                <w:color w:val="auto"/>
              </w:rPr>
              <w:t>DISBURSEMENT LETTER</w:t>
            </w:r>
          </w:p>
        </w:tc>
      </w:tr>
      <w:tr>
        <w:trPr>
          <w:trHeight w:val="432"/>
        </w:trPr>
        <w:tc>
          <w:tcPr>
            <w:tcW w:w="3720" w:type="dxa"/>
            <w:vAlign w:val="bottom"/>
          </w:tcPr>
          <w:p>
            <w:pPr>
              <w:spacing w:after="0"/>
              <w:rPr>
                <w:sz w:val="24"/>
                <w:szCs w:val="24"/>
                <w:color w:val="auto"/>
              </w:rPr>
            </w:pPr>
          </w:p>
        </w:tc>
        <w:tc>
          <w:tcPr>
            <w:tcW w:w="7540" w:type="dxa"/>
            <w:vAlign w:val="bottom"/>
            <w:gridSpan w:val="2"/>
          </w:tcPr>
          <w:p>
            <w:pPr>
              <w:jc w:val="center"/>
              <w:ind w:right="3470"/>
              <w:spacing w:after="0"/>
              <w:rPr>
                <w:sz w:val="20"/>
                <w:szCs w:val="20"/>
                <w:color w:val="auto"/>
              </w:rPr>
            </w:pPr>
            <w:r>
              <w:rPr>
                <w:rFonts w:ascii="Arial" w:cs="Arial" w:eastAsia="Arial" w:hAnsi="Arial"/>
                <w:sz w:val="18"/>
                <w:szCs w:val="18"/>
                <w:color w:val="auto"/>
                <w:w w:val="89"/>
              </w:rPr>
              <w:t>December 30, 2016</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w w:val="90"/>
              </w:rPr>
              <w:t>The undersigned, being the duly elected and acting</w:t>
            </w:r>
          </w:p>
        </w:tc>
        <w:tc>
          <w:tcPr>
            <w:tcW w:w="1800" w:type="dxa"/>
            <w:vAlign w:val="bottom"/>
            <w:tcBorders>
              <w:bottom w:val="single" w:sz="8" w:color="auto"/>
            </w:tcBorders>
          </w:tcPr>
          <w:p>
            <w:pPr>
              <w:spacing w:after="0"/>
              <w:rPr>
                <w:sz w:val="24"/>
                <w:szCs w:val="24"/>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w w:val="93"/>
              </w:rPr>
              <w:t>of ANAPTYSBIO, INC., a Delaware corporation with offices located at 10421</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61" w:lineRule="auto"/>
        <w:rPr>
          <w:sz w:val="20"/>
          <w:szCs w:val="20"/>
          <w:color w:val="auto"/>
        </w:rPr>
      </w:pPr>
      <w:r>
        <w:rPr>
          <w:rFonts w:ascii="Arial" w:cs="Arial" w:eastAsia="Arial" w:hAnsi="Arial"/>
          <w:sz w:val="18"/>
          <w:szCs w:val="18"/>
          <w:color w:val="auto"/>
        </w:rPr>
        <w:t>Pacific Center Court, Suite 200, San Diego, CA 92121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Second Amendment to Loan and Security Agreement dated as of December 30, 2016,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84" w:lineRule="exact"/>
        <w:rPr>
          <w:sz w:val="20"/>
          <w:szCs w:val="20"/>
          <w:color w:val="auto"/>
        </w:rPr>
      </w:pPr>
    </w:p>
    <w:p>
      <w:pPr>
        <w:ind w:right="280" w:firstLine="921"/>
        <w:spacing w:after="0" w:line="277" w:lineRule="auto"/>
        <w:tabs>
          <w:tab w:leader="none" w:pos="1093"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1100" w:hanging="179"/>
        <w:spacing w:after="0"/>
        <w:tabs>
          <w:tab w:leader="none" w:pos="11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20" w:firstLine="921"/>
        <w:spacing w:after="0" w:line="277" w:lineRule="auto"/>
        <w:tabs>
          <w:tab w:leader="none" w:pos="1093"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1100" w:hanging="179"/>
        <w:spacing w:after="0"/>
        <w:tabs>
          <w:tab w:leader="none" w:pos="11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[Balance of Page Intentionally Left Blank]</w:t>
      </w:r>
    </w:p>
    <w:p>
      <w:pPr>
        <w:sectPr>
          <w:pgSz w:w="11900" w:h="16838" w:orient="portrait"/>
          <w:cols w:equalWidth="0" w:num="1">
            <w:col w:w="11260"/>
          </w:cols>
          <w:pgMar w:left="240" w:top="269" w:right="399" w:bottom="1440" w:gutter="0" w:footer="0" w:header="0"/>
        </w:sectPr>
      </w:pPr>
    </w:p>
    <w:bookmarkStart w:id="498" w:name="page499"/>
    <w:bookmarkEnd w:id="498"/>
    <w:tbl>
      <w:tblPr>
        <w:tblLayout w:type="fixed"/>
        <w:tblInd w:w="912"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7. The proceeds of the Term B Loans and Term C Loans shall be disbursed as follows:</w:t>
            </w:r>
          </w:p>
        </w:tc>
        <w:tc>
          <w:tcPr>
            <w:tcW w:w="2540" w:type="dxa"/>
            <w:vAlign w:val="bottom"/>
          </w:tcPr>
          <w:p>
            <w:pPr>
              <w:spacing w:after="0"/>
              <w:rPr>
                <w:sz w:val="20"/>
                <w:szCs w:val="20"/>
                <w:color w:val="auto"/>
              </w:rPr>
            </w:pPr>
          </w:p>
        </w:tc>
      </w:tr>
      <w:tr>
        <w:trPr>
          <w:trHeight w:val="243"/>
        </w:trPr>
        <w:tc>
          <w:tcPr>
            <w:tcW w:w="704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254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Term B Loan Amount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$2,500,000.00</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C Loan Amount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$2,500,000.00</w:t>
            </w:r>
          </w:p>
        </w:tc>
      </w:tr>
      <w:tr>
        <w:trPr>
          <w:trHeight w:val="324"/>
        </w:trPr>
        <w:tc>
          <w:tcPr>
            <w:tcW w:w="7040" w:type="dxa"/>
            <w:vAlign w:val="bottom"/>
          </w:tcPr>
          <w:p>
            <w:pPr>
              <w:ind w:left="720"/>
              <w:spacing w:after="0"/>
              <w:rPr>
                <w:sz w:val="20"/>
                <w:szCs w:val="20"/>
                <w:color w:val="auto"/>
              </w:rPr>
            </w:pPr>
            <w:r>
              <w:rPr>
                <w:rFonts w:ascii="Arial" w:cs="Arial" w:eastAsia="Arial" w:hAnsi="Arial"/>
                <w:sz w:val="18"/>
                <w:szCs w:val="18"/>
                <w:color w:val="auto"/>
              </w:rPr>
              <w:t>Less:</w:t>
            </w:r>
          </w:p>
        </w:tc>
        <w:tc>
          <w:tcPr>
            <w:tcW w:w="2540" w:type="dxa"/>
            <w:vAlign w:val="bottom"/>
          </w:tcPr>
          <w:p>
            <w:pPr>
              <w:spacing w:after="0"/>
              <w:rPr>
                <w:sz w:val="24"/>
                <w:szCs w:val="24"/>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Fee</w:t>
            </w:r>
          </w:p>
        </w:tc>
        <w:tc>
          <w:tcPr>
            <w:tcW w:w="25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($50,000.00)</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--Second Amendment Fee</w:t>
            </w:r>
          </w:p>
        </w:tc>
        <w:tc>
          <w:tcPr>
            <w:tcW w:w="2540" w:type="dxa"/>
            <w:vAlign w:val="bottom"/>
          </w:tcPr>
          <w:p>
            <w:pPr>
              <w:ind w:left="1460"/>
              <w:spacing w:after="0"/>
              <w:rPr>
                <w:sz w:val="20"/>
                <w:szCs w:val="20"/>
                <w:color w:val="auto"/>
              </w:rPr>
            </w:pPr>
            <w:r>
              <w:rPr>
                <w:rFonts w:ascii="Arial" w:cs="Arial" w:eastAsia="Arial" w:hAnsi="Arial"/>
                <w:sz w:val="18"/>
                <w:szCs w:val="18"/>
                <w:color w:val="auto"/>
              </w:rPr>
              <w:t>($50,000.00)</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--Lender’s Legal Fees</w:t>
            </w:r>
          </w:p>
        </w:tc>
        <w:tc>
          <w:tcPr>
            <w:tcW w:w="25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7"/>
              </w:rPr>
              <w:t>($________)*</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[--Interest currently owing under outstanding Term A Loans</w:t>
            </w:r>
          </w:p>
        </w:tc>
        <w:tc>
          <w:tcPr>
            <w:tcW w:w="2540" w:type="dxa"/>
            <w:vAlign w:val="bottom"/>
          </w:tcPr>
          <w:p>
            <w:pPr>
              <w:ind w:left="1460"/>
              <w:spacing w:after="0"/>
              <w:rPr>
                <w:sz w:val="20"/>
                <w:szCs w:val="20"/>
                <w:color w:val="auto"/>
              </w:rPr>
            </w:pPr>
            <w:r>
              <w:rPr>
                <w:rFonts w:ascii="Arial" w:cs="Arial" w:eastAsia="Arial" w:hAnsi="Arial"/>
                <w:sz w:val="18"/>
                <w:szCs w:val="18"/>
                <w:color w:val="auto"/>
                <w:w w:val="98"/>
              </w:rPr>
              <w:t>($________)]</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 for Term A Loans</w:t>
            </w:r>
          </w:p>
        </w:tc>
        <w:tc>
          <w:tcPr>
            <w:tcW w:w="25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8"/>
              </w:rPr>
              <w:t>($________)]</w:t>
            </w:r>
          </w:p>
        </w:tc>
      </w:tr>
      <w:tr>
        <w:trPr>
          <w:trHeight w:val="230"/>
        </w:trPr>
        <w:tc>
          <w:tcPr>
            <w:tcW w:w="7040" w:type="dxa"/>
            <w:vAlign w:val="bottom"/>
          </w:tcPr>
          <w:p>
            <w:pPr>
              <w:ind w:left="720"/>
              <w:spacing w:after="0"/>
              <w:rPr>
                <w:sz w:val="20"/>
                <w:szCs w:val="20"/>
                <w:color w:val="auto"/>
              </w:rPr>
            </w:pPr>
            <w:r>
              <w:rPr>
                <w:rFonts w:ascii="Arial" w:cs="Arial" w:eastAsia="Arial" w:hAnsi="Arial"/>
                <w:sz w:val="18"/>
                <w:szCs w:val="18"/>
                <w:color w:val="auto"/>
              </w:rPr>
              <w:t>[--Interim Interest for Term B Loans and Term C Loans</w:t>
            </w:r>
          </w:p>
        </w:tc>
        <w:tc>
          <w:tcPr>
            <w:tcW w:w="2540" w:type="dxa"/>
            <w:vAlign w:val="bottom"/>
          </w:tcPr>
          <w:p>
            <w:pPr>
              <w:ind w:left="1460"/>
              <w:spacing w:after="0"/>
              <w:rPr>
                <w:sz w:val="20"/>
                <w:szCs w:val="20"/>
                <w:color w:val="auto"/>
              </w:rPr>
            </w:pPr>
            <w:r>
              <w:rPr>
                <w:rFonts w:ascii="Arial" w:cs="Arial" w:eastAsia="Arial" w:hAnsi="Arial"/>
                <w:sz w:val="18"/>
                <w:szCs w:val="18"/>
                <w:color w:val="auto"/>
                <w:w w:val="98"/>
              </w:rPr>
              <w:t>($________)]</w:t>
            </w:r>
          </w:p>
        </w:tc>
      </w:tr>
      <w:tr>
        <w:trPr>
          <w:trHeight w:val="94"/>
        </w:trPr>
        <w:tc>
          <w:tcPr>
            <w:tcW w:w="704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$________________</w:t>
            </w:r>
          </w:p>
        </w:tc>
      </w:tr>
      <w:tr>
        <w:trPr>
          <w:trHeight w:val="324"/>
        </w:trPr>
        <w:tc>
          <w:tcPr>
            <w:tcW w:w="7040" w:type="dxa"/>
            <w:vAlign w:val="bottom"/>
          </w:tcPr>
          <w:p>
            <w:pPr>
              <w:spacing w:after="0"/>
              <w:rPr>
                <w:sz w:val="20"/>
                <w:szCs w:val="20"/>
                <w:color w:val="auto"/>
              </w:rPr>
            </w:pPr>
            <w:r>
              <w:rPr>
                <w:rFonts w:ascii="Arial" w:cs="Arial" w:eastAsia="Arial" w:hAnsi="Arial"/>
                <w:sz w:val="18"/>
                <w:szCs w:val="18"/>
                <w:b w:val="1"/>
                <w:bCs w:val="1"/>
                <w:color w:val="auto"/>
              </w:rPr>
              <w:t>Disbursement from SVB:</w:t>
            </w:r>
          </w:p>
        </w:tc>
        <w:tc>
          <w:tcPr>
            <w:tcW w:w="2540" w:type="dxa"/>
            <w:vAlign w:val="bottom"/>
          </w:tcPr>
          <w:p>
            <w:pPr>
              <w:spacing w:after="0"/>
              <w:rPr>
                <w:sz w:val="24"/>
                <w:szCs w:val="24"/>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B Loan Amount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$2,500,000.00</w:t>
            </w: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color w:val="auto"/>
              </w:rPr>
              <w:t>Term C Loan Amount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$2,500,000.00</w:t>
            </w:r>
          </w:p>
        </w:tc>
      </w:tr>
      <w:tr>
        <w:trPr>
          <w:trHeight w:val="94"/>
        </w:trPr>
        <w:tc>
          <w:tcPr>
            <w:tcW w:w="704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254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--Facility Fee</w:t>
            </w:r>
          </w:p>
        </w:tc>
        <w:tc>
          <w:tcPr>
            <w:tcW w:w="2540" w:type="dxa"/>
            <w:vAlign w:val="bottom"/>
          </w:tcPr>
          <w:p>
            <w:pPr>
              <w:ind w:left="1460"/>
              <w:spacing w:after="0"/>
              <w:rPr>
                <w:sz w:val="20"/>
                <w:szCs w:val="20"/>
                <w:color w:val="auto"/>
              </w:rPr>
            </w:pPr>
            <w:r>
              <w:rPr>
                <w:rFonts w:ascii="Arial" w:cs="Arial" w:eastAsia="Arial" w:hAnsi="Arial"/>
                <w:sz w:val="18"/>
                <w:szCs w:val="18"/>
                <w:color w:val="auto"/>
              </w:rPr>
              <w:t>($50,000.00)</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--Second Amendment Fee</w:t>
            </w:r>
          </w:p>
        </w:tc>
        <w:tc>
          <w:tcPr>
            <w:tcW w:w="25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($50,000.00)</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[--Interest currently owing under outstanding Term A Loans</w:t>
            </w:r>
          </w:p>
        </w:tc>
        <w:tc>
          <w:tcPr>
            <w:tcW w:w="2540" w:type="dxa"/>
            <w:vAlign w:val="bottom"/>
          </w:tcPr>
          <w:p>
            <w:pPr>
              <w:ind w:left="1460"/>
              <w:spacing w:after="0"/>
              <w:rPr>
                <w:sz w:val="20"/>
                <w:szCs w:val="20"/>
                <w:color w:val="auto"/>
              </w:rPr>
            </w:pPr>
            <w:r>
              <w:rPr>
                <w:rFonts w:ascii="Arial" w:cs="Arial" w:eastAsia="Arial" w:hAnsi="Arial"/>
                <w:sz w:val="18"/>
                <w:szCs w:val="18"/>
                <w:color w:val="auto"/>
                <w:w w:val="98"/>
              </w:rPr>
              <w:t>($________)]</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 for Term A Loans</w:t>
            </w:r>
          </w:p>
        </w:tc>
        <w:tc>
          <w:tcPr>
            <w:tcW w:w="25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8"/>
              </w:rPr>
              <w:t>($________)]</w:t>
            </w:r>
          </w:p>
        </w:tc>
      </w:tr>
      <w:tr>
        <w:trPr>
          <w:trHeight w:val="230"/>
        </w:trPr>
        <w:tc>
          <w:tcPr>
            <w:tcW w:w="7040" w:type="dxa"/>
            <w:vAlign w:val="bottom"/>
          </w:tcPr>
          <w:p>
            <w:pPr>
              <w:ind w:left="720"/>
              <w:spacing w:after="0"/>
              <w:rPr>
                <w:sz w:val="20"/>
                <w:szCs w:val="20"/>
                <w:color w:val="auto"/>
              </w:rPr>
            </w:pPr>
            <w:r>
              <w:rPr>
                <w:rFonts w:ascii="Arial" w:cs="Arial" w:eastAsia="Arial" w:hAnsi="Arial"/>
                <w:sz w:val="18"/>
                <w:szCs w:val="18"/>
                <w:color w:val="auto"/>
              </w:rPr>
              <w:t>[--Interim Interest for Term B Loans and Term C Loans</w:t>
            </w:r>
          </w:p>
        </w:tc>
        <w:tc>
          <w:tcPr>
            <w:tcW w:w="2540" w:type="dxa"/>
            <w:vAlign w:val="bottom"/>
          </w:tcPr>
          <w:p>
            <w:pPr>
              <w:ind w:left="1460"/>
              <w:spacing w:after="0"/>
              <w:rPr>
                <w:sz w:val="20"/>
                <w:szCs w:val="20"/>
                <w:color w:val="auto"/>
              </w:rPr>
            </w:pPr>
            <w:r>
              <w:rPr>
                <w:rFonts w:ascii="Arial" w:cs="Arial" w:eastAsia="Arial" w:hAnsi="Arial"/>
                <w:sz w:val="18"/>
                <w:szCs w:val="18"/>
                <w:color w:val="auto"/>
                <w:w w:val="98"/>
              </w:rPr>
              <w:t>($________)]</w:t>
            </w:r>
          </w:p>
        </w:tc>
      </w:tr>
      <w:tr>
        <w:trPr>
          <w:trHeight w:val="94"/>
        </w:trPr>
        <w:tc>
          <w:tcPr>
            <w:tcW w:w="704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SVB:</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$________________</w:t>
            </w:r>
          </w:p>
        </w:tc>
      </w:tr>
      <w:tr>
        <w:trPr>
          <w:trHeight w:val="324"/>
        </w:trPr>
        <w:tc>
          <w:tcPr>
            <w:tcW w:w="7040" w:type="dxa"/>
            <w:vAlign w:val="bottom"/>
          </w:tcPr>
          <w:p>
            <w:pPr>
              <w:spacing w:after="0"/>
              <w:rPr>
                <w:sz w:val="20"/>
                <w:szCs w:val="20"/>
                <w:color w:val="auto"/>
              </w:rPr>
            </w:pPr>
            <w:r>
              <w:rPr>
                <w:rFonts w:ascii="Arial" w:cs="Arial" w:eastAsia="Arial" w:hAnsi="Arial"/>
                <w:sz w:val="18"/>
                <w:szCs w:val="18"/>
                <w:b w:val="1"/>
                <w:bCs w:val="1"/>
                <w:color w:val="auto"/>
              </w:rPr>
              <w:t>TOTAL TERM B AND TERM C LOAN NET PROCEEDS FROM LENDERS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$________________</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92" w:hanging="179"/>
        <w:spacing w:after="0"/>
        <w:tabs>
          <w:tab w:leader="none" w:pos="109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Term B Loans and Term C Loans shall amortize in accordance with the Amortization Table attached hereto.</w:t>
      </w:r>
    </w:p>
    <w:p>
      <w:pPr>
        <w:spacing w:after="0" w:line="225" w:lineRule="exact"/>
        <w:rPr>
          <w:rFonts w:ascii="Arial" w:cs="Arial" w:eastAsia="Arial" w:hAnsi="Arial"/>
          <w:sz w:val="18"/>
          <w:szCs w:val="18"/>
          <w:color w:val="auto"/>
        </w:rPr>
      </w:pPr>
    </w:p>
    <w:p>
      <w:pPr>
        <w:ind w:left="1092" w:hanging="179"/>
        <w:spacing w:after="0"/>
        <w:tabs>
          <w:tab w:leader="none" w:pos="1092"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The aggregate net proceeds of the Term B Loans and Term C Loans shall be transferred to the Designated Deposit Account as follows:</w:t>
      </w:r>
    </w:p>
    <w:p>
      <w:pPr>
        <w:sectPr>
          <w:pgSz w:w="11900" w:h="16838" w:orient="portrait"/>
          <w:cols w:equalWidth="0" w:num="1">
            <w:col w:w="11092"/>
          </w:cols>
          <w:pgMar w:left="248" w:top="274" w:right="559" w:bottom="1440" w:gutter="0" w:footer="0" w:header="0"/>
        </w:sectPr>
      </w:pPr>
    </w:p>
    <w:p>
      <w:pPr>
        <w:spacing w:after="0" w:line="275" w:lineRule="exact"/>
        <w:rPr>
          <w:sz w:val="20"/>
          <w:szCs w:val="20"/>
          <w:color w:val="auto"/>
        </w:rPr>
      </w:pPr>
    </w:p>
    <w:p>
      <w:pPr>
        <w:ind w:left="3452"/>
        <w:spacing w:after="0"/>
        <w:rPr>
          <w:sz w:val="20"/>
          <w:szCs w:val="20"/>
          <w:color w:val="auto"/>
        </w:rPr>
      </w:pPr>
      <w:r>
        <w:rPr>
          <w:rFonts w:ascii="Arial" w:cs="Arial" w:eastAsia="Arial" w:hAnsi="Arial"/>
          <w:sz w:val="18"/>
          <w:szCs w:val="18"/>
          <w:color w:val="auto"/>
        </w:rPr>
        <w:t>Account Name:</w:t>
      </w:r>
    </w:p>
    <w:p>
      <w:pPr>
        <w:spacing w:after="0" w:line="117" w:lineRule="exact"/>
        <w:rPr>
          <w:sz w:val="20"/>
          <w:szCs w:val="20"/>
          <w:color w:val="auto"/>
        </w:rPr>
      </w:pPr>
    </w:p>
    <w:p>
      <w:pPr>
        <w:ind w:left="3452"/>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3452"/>
        <w:spacing w:after="0"/>
        <w:rPr>
          <w:sz w:val="20"/>
          <w:szCs w:val="20"/>
          <w:color w:val="auto"/>
        </w:rPr>
      </w:pPr>
      <w:r>
        <w:rPr>
          <w:rFonts w:ascii="Arial" w:cs="Arial" w:eastAsia="Arial" w:hAnsi="Arial"/>
          <w:sz w:val="18"/>
          <w:szCs w:val="18"/>
          <w:color w:val="auto"/>
        </w:rPr>
        <w:t>Bank Address:</w:t>
      </w:r>
    </w:p>
    <w:p>
      <w:pPr>
        <w:spacing w:after="0" w:line="347" w:lineRule="exact"/>
        <w:rPr>
          <w:sz w:val="20"/>
          <w:szCs w:val="20"/>
          <w:color w:val="auto"/>
        </w:rPr>
      </w:pPr>
    </w:p>
    <w:p>
      <w:pPr>
        <w:ind w:left="3452"/>
        <w:spacing w:after="0"/>
        <w:rPr>
          <w:sz w:val="20"/>
          <w:szCs w:val="20"/>
          <w:color w:val="auto"/>
        </w:rPr>
      </w:pPr>
      <w:r>
        <w:rPr>
          <w:rFonts w:ascii="Arial" w:cs="Arial" w:eastAsia="Arial" w:hAnsi="Arial"/>
          <w:sz w:val="16"/>
          <w:szCs w:val="16"/>
          <w:color w:val="auto"/>
        </w:rPr>
        <w:t>Account Number:</w:t>
      </w:r>
    </w:p>
    <w:p>
      <w:pPr>
        <w:spacing w:after="0" w:line="140" w:lineRule="exact"/>
        <w:rPr>
          <w:sz w:val="20"/>
          <w:szCs w:val="20"/>
          <w:color w:val="auto"/>
        </w:rPr>
      </w:pPr>
    </w:p>
    <w:p>
      <w:pPr>
        <w:ind w:left="3452"/>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3301046061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121140399</w:t>
      </w:r>
    </w:p>
    <w:p>
      <w:pPr>
        <w:spacing w:after="0" w:line="200" w:lineRule="exact"/>
        <w:rPr>
          <w:sz w:val="20"/>
          <w:szCs w:val="20"/>
          <w:color w:val="auto"/>
        </w:rPr>
      </w:pPr>
    </w:p>
    <w:p>
      <w:pPr>
        <w:sectPr>
          <w:pgSz w:w="11900" w:h="16838" w:orient="portrait"/>
          <w:cols w:equalWidth="0" w:num="2">
            <w:col w:w="6432" w:space="720"/>
            <w:col w:w="3940"/>
          </w:cols>
          <w:pgMar w:left="248" w:top="274" w:right="559" w:bottom="1440" w:gutter="0" w:footer="0" w:header="0"/>
          <w:type w:val="continuous"/>
        </w:sectPr>
      </w:pPr>
    </w:p>
    <w:p>
      <w:pPr>
        <w:spacing w:after="0" w:line="237"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89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52" w:hanging="452"/>
        <w:spacing w:after="0" w:line="277" w:lineRule="auto"/>
        <w:tabs>
          <w:tab w:leader="none" w:pos="45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1092"/>
          </w:cols>
          <w:pgMar w:left="248" w:top="274" w:right="559" w:bottom="1440" w:gutter="0" w:footer="0" w:header="0"/>
          <w:type w:val="continuous"/>
        </w:sectPr>
      </w:pPr>
    </w:p>
    <w:bookmarkStart w:id="499" w:name="page500"/>
    <w:bookmarkEnd w:id="499"/>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Dated as of the date first set forth above.</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BORROWER:</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ANAPTYSBIO, INC.</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554"/>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526"/>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ANAPTYSBIO PTY LTD acting by the following persons or, if the</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seal is affixed, witnessed by the following persons:</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6260" w:type="dxa"/>
            <w:vAlign w:val="bottom"/>
            <w:gridSpan w:val="2"/>
          </w:tcPr>
          <w:p>
            <w:pPr>
              <w:ind w:left="1100"/>
              <w:spacing w:after="0"/>
              <w:rPr>
                <w:sz w:val="20"/>
                <w:szCs w:val="20"/>
                <w:color w:val="auto"/>
              </w:rPr>
            </w:pPr>
            <w:r>
              <w:rPr>
                <w:rFonts w:ascii="Arial" w:cs="Arial" w:eastAsia="Arial" w:hAnsi="Arial"/>
                <w:sz w:val="18"/>
                <w:szCs w:val="18"/>
                <w:color w:val="auto"/>
              </w:rPr>
              <w:t>By:</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Borders>
              <w:top w:val="single" w:sz="8" w:color="auto"/>
            </w:tcBorders>
          </w:tcPr>
          <w:p>
            <w:pPr>
              <w:spacing w:after="0"/>
              <w:rPr>
                <w:sz w:val="16"/>
                <w:szCs w:val="16"/>
                <w:color w:val="auto"/>
              </w:rPr>
            </w:pPr>
          </w:p>
        </w:tc>
        <w:tc>
          <w:tcPr>
            <w:tcW w:w="1580" w:type="dxa"/>
            <w:vAlign w:val="bottom"/>
          </w:tcPr>
          <w:p>
            <w:pPr>
              <w:ind w:left="110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Borders>
              <w:top w:val="single" w:sz="8" w:color="auto"/>
            </w:tcBorders>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260" w:type="dxa"/>
            <w:vAlign w:val="bottom"/>
            <w:gridSpan w:val="2"/>
          </w:tcPr>
          <w:p>
            <w:pPr>
              <w:ind w:left="1100"/>
              <w:spacing w:after="0"/>
              <w:rPr>
                <w:sz w:val="20"/>
                <w:szCs w:val="20"/>
                <w:color w:val="auto"/>
              </w:rPr>
            </w:pPr>
            <w:r>
              <w:rPr>
                <w:rFonts w:ascii="Arial" w:cs="Arial" w:eastAsia="Arial" w:hAnsi="Arial"/>
                <w:sz w:val="18"/>
                <w:szCs w:val="18"/>
                <w:color w:val="auto"/>
              </w:rPr>
              <w:t>Title:   Director</w:t>
            </w: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COLLATERAL, AGENT AND LENDER:</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OXFORD FINANCE LLC</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554"/>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554"/>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8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0" w:name="page501"/>
    <w:bookmarkEnd w:id="50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 PACIFIC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r>
      <w:tr>
        <w:trPr>
          <w:trHeight w:val="247"/>
        </w:trPr>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3"/>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LOAN PAYMENT: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324"/>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900" w:type="dxa"/>
            <w:vAlign w:val="bottom"/>
            <w:gridSpan w:val="10"/>
          </w:tcPr>
          <w:p>
            <w:pPr>
              <w:ind w:left="100"/>
              <w:spacing w:after="0"/>
              <w:rPr>
                <w:sz w:val="20"/>
                <w:szCs w:val="20"/>
                <w:color w:val="auto"/>
              </w:rPr>
            </w:pPr>
            <w:r>
              <w:rPr>
                <w:rFonts w:ascii="Arial" w:cs="Arial" w:eastAsia="Arial" w:hAnsi="Arial"/>
                <w:sz w:val="18"/>
                <w:szCs w:val="18"/>
                <w:color w:val="auto"/>
              </w:rPr>
              <w:t>ANAPTYSBIO, INC.</w:t>
            </w:r>
          </w:p>
        </w:tc>
        <w:tc>
          <w:tcPr>
            <w:tcW w:w="720" w:type="dxa"/>
            <w:vAlign w:val="bottom"/>
            <w:tcBorders>
              <w:right w:val="single" w:sz="8" w:color="auto"/>
            </w:tcBorders>
          </w:tcPr>
          <w:p>
            <w:pPr>
              <w:spacing w:after="0"/>
              <w:rPr>
                <w:sz w:val="24"/>
                <w:szCs w:val="24"/>
                <w:color w:val="auto"/>
              </w:rPr>
            </w:pPr>
          </w:p>
        </w:tc>
      </w:tr>
      <w:tr>
        <w:trPr>
          <w:trHeight w:val="459"/>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From Account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240"/>
              <w:spacing w:after="0"/>
              <w:rPr>
                <w:sz w:val="20"/>
                <w:szCs w:val="20"/>
                <w:color w:val="auto"/>
              </w:rPr>
            </w:pPr>
            <w:r>
              <w:rPr>
                <w:rFonts w:ascii="Arial" w:cs="Arial" w:eastAsia="Arial" w:hAnsi="Arial"/>
                <w:sz w:val="18"/>
                <w:szCs w:val="18"/>
                <w:color w:val="auto"/>
              </w:rPr>
              <w:t>To Account #</w:t>
            </w:r>
          </w:p>
        </w:tc>
        <w:tc>
          <w:tcPr>
            <w:tcW w:w="720" w:type="dxa"/>
            <w:vAlign w:val="bottom"/>
            <w:tcBorders>
              <w:right w:val="single" w:sz="8" w:color="auto"/>
            </w:tcBorders>
          </w:tcPr>
          <w:p>
            <w:pPr>
              <w:spacing w:after="0"/>
              <w:rPr>
                <w:sz w:val="24"/>
                <w:szCs w:val="24"/>
                <w:color w:val="auto"/>
              </w:rPr>
            </w:pPr>
          </w:p>
        </w:tc>
      </w:tr>
      <w:tr>
        <w:trPr>
          <w:trHeight w:val="209"/>
        </w:trPr>
        <w:tc>
          <w:tcPr>
            <w:tcW w:w="1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(Deposit Account #)</w:t>
            </w: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(Loan Account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w:t>
            </w:r>
          </w:p>
        </w:tc>
        <w:tc>
          <w:tcPr>
            <w:tcW w:w="366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color w:val="auto"/>
              </w:rPr>
              <w:t>and/or Interest $</w:t>
            </w:r>
          </w:p>
        </w:tc>
        <w:tc>
          <w:tcPr>
            <w:tcW w:w="3540" w:type="dxa"/>
            <w:vAlign w:val="bottom"/>
            <w:tcBorders>
              <w:bottom w:val="single" w:sz="8" w:color="auto"/>
            </w:tcBorders>
            <w:gridSpan w:val="4"/>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439"/>
        </w:trPr>
        <w:tc>
          <w:tcPr>
            <w:tcW w:w="484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940"/>
              <w:spacing w:after="0"/>
              <w:rPr>
                <w:sz w:val="20"/>
                <w:szCs w:val="20"/>
                <w:color w:val="auto"/>
              </w:rPr>
            </w:pPr>
            <w:r>
              <w:rPr>
                <w:rFonts w:ascii="Arial" w:cs="Arial" w:eastAsia="Arial" w:hAnsi="Arial"/>
                <w:sz w:val="18"/>
                <w:szCs w:val="18"/>
                <w:color w:val="auto"/>
              </w:rPr>
              <w:t>Phone Number:</w:t>
            </w:r>
          </w:p>
        </w:tc>
        <w:tc>
          <w:tcPr>
            <w:tcW w:w="720" w:type="dxa"/>
            <w:vAlign w:val="bottom"/>
            <w:tcBorders>
              <w:right w:val="single" w:sz="8" w:color="auto"/>
            </w:tcBorders>
          </w:tcPr>
          <w:p>
            <w:pPr>
              <w:spacing w:after="0"/>
              <w:rPr>
                <w:sz w:val="24"/>
                <w:szCs w:val="24"/>
                <w:color w:val="auto"/>
              </w:rPr>
            </w:pPr>
          </w:p>
        </w:tc>
      </w:tr>
      <w:tr>
        <w:trPr>
          <w:trHeight w:val="223"/>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Print Name/Title:</w:t>
            </w: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301"/>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76465" cy="25425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6465" cy="2542540"/>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 ADVANCE: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60" w:type="dxa"/>
            <w:vAlign w:val="bottom"/>
            <w:gridSpan w:val="4"/>
          </w:tcPr>
          <w:p>
            <w:pPr>
              <w:ind w:left="20"/>
              <w:spacing w:after="0"/>
              <w:rPr>
                <w:sz w:val="20"/>
                <w:szCs w:val="20"/>
                <w:color w:val="auto"/>
              </w:rPr>
            </w:pPr>
            <w:r>
              <w:rPr>
                <w:rFonts w:ascii="Arial" w:cs="Arial" w:eastAsia="Arial" w:hAnsi="Arial"/>
                <w:sz w:val="18"/>
                <w:szCs w:val="18"/>
                <w:color w:val="auto"/>
              </w:rPr>
              <w:t>From Account #</w:t>
            </w: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To Account #</w:t>
            </w:r>
          </w:p>
        </w:tc>
      </w:tr>
      <w:tr>
        <w:trPr>
          <w:trHeight w:val="224"/>
        </w:trPr>
        <w:tc>
          <w:tcPr>
            <w:tcW w:w="1520" w:type="dxa"/>
            <w:vAlign w:val="bottom"/>
          </w:tcPr>
          <w:p>
            <w:pPr>
              <w:spacing w:after="0"/>
              <w:rPr>
                <w:sz w:val="19"/>
                <w:szCs w:val="19"/>
                <w:color w:val="auto"/>
              </w:rPr>
            </w:pPr>
          </w:p>
        </w:tc>
        <w:tc>
          <w:tcPr>
            <w:tcW w:w="33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(Loan Account #)</w:t>
            </w:r>
          </w:p>
        </w:tc>
        <w:tc>
          <w:tcPr>
            <w:tcW w:w="1700" w:type="dxa"/>
            <w:vAlign w:val="bottom"/>
          </w:tcPr>
          <w:p>
            <w:pPr>
              <w:spacing w:after="0"/>
              <w:rPr>
                <w:sz w:val="19"/>
                <w:szCs w:val="19"/>
                <w:color w:val="auto"/>
              </w:rPr>
            </w:pPr>
          </w:p>
        </w:tc>
        <w:tc>
          <w:tcPr>
            <w:tcW w:w="386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(Deposit Account #)</w:t>
            </w:r>
          </w:p>
        </w:tc>
      </w:tr>
      <w:tr>
        <w:trPr>
          <w:trHeight w:val="458"/>
        </w:trPr>
        <w:tc>
          <w:tcPr>
            <w:tcW w:w="19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15"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Pr>
          <w:p>
            <w:pPr>
              <w:ind w:left="920"/>
              <w:spacing w:after="0"/>
              <w:rPr>
                <w:sz w:val="20"/>
                <w:szCs w:val="20"/>
                <w:color w:val="auto"/>
              </w:rPr>
            </w:pPr>
            <w:r>
              <w:rPr>
                <w:rFonts w:ascii="Arial" w:cs="Arial" w:eastAsia="Arial" w:hAnsi="Arial"/>
                <w:sz w:val="18"/>
                <w:szCs w:val="18"/>
                <w:color w:val="auto"/>
                <w:w w:val="88"/>
              </w:rPr>
              <w:t>Phone Number:</w:t>
            </w: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4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76465" cy="31857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OUTGOING WIRE REQUEST: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20" w:type="dxa"/>
            <w:vAlign w:val="bottom"/>
            <w:gridSpan w:val="6"/>
          </w:tcPr>
          <w:p>
            <w:pPr>
              <w:ind w:left="20"/>
              <w:spacing w:after="0"/>
              <w:rPr>
                <w:sz w:val="20"/>
                <w:szCs w:val="20"/>
                <w:color w:val="auto"/>
              </w:rPr>
            </w:pPr>
            <w:r>
              <w:rPr>
                <w:rFonts w:ascii="Arial" w:cs="Arial" w:eastAsia="Arial" w:hAnsi="Arial"/>
                <w:sz w:val="18"/>
                <w:szCs w:val="18"/>
                <w:color w:val="auto"/>
              </w:rPr>
              <w:t>Deadline for same day processing is noon, Pacific Time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Name: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660"/>
              <w:spacing w:after="0"/>
              <w:rPr>
                <w:sz w:val="20"/>
                <w:szCs w:val="20"/>
                <w:color w:val="auto"/>
              </w:rPr>
            </w:pPr>
            <w:r>
              <w:rPr>
                <w:rFonts w:ascii="Arial" w:cs="Arial" w:eastAsia="Arial" w:hAnsi="Arial"/>
                <w:sz w:val="18"/>
                <w:szCs w:val="18"/>
                <w:color w:val="auto"/>
              </w:rPr>
              <w:t>Account of Wire: $</w:t>
            </w:r>
          </w:p>
        </w:tc>
        <w:tc>
          <w:tcPr>
            <w:tcW w:w="140" w:type="dxa"/>
            <w:vAlign w:val="bottom"/>
          </w:tcPr>
          <w:p>
            <w:pPr>
              <w:spacing w:after="0"/>
              <w:rPr>
                <w:sz w:val="24"/>
                <w:szCs w:val="24"/>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2"/>
          </w:tcPr>
          <w:p>
            <w:pPr>
              <w:ind w:left="660"/>
              <w:spacing w:after="0"/>
              <w:rPr>
                <w:sz w:val="20"/>
                <w:szCs w:val="20"/>
                <w:color w:val="auto"/>
              </w:rPr>
            </w:pPr>
            <w:r>
              <w:rPr>
                <w:rFonts w:ascii="Arial" w:cs="Arial" w:eastAsia="Arial" w:hAnsi="Arial"/>
                <w:sz w:val="18"/>
                <w:szCs w:val="18"/>
                <w:color w:val="auto"/>
              </w:rPr>
              <w:t>Account Number:</w:t>
            </w:r>
          </w:p>
        </w:tc>
        <w:tc>
          <w:tcPr>
            <w:tcW w:w="2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City and State:</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Bank Transit (ABA)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560"/>
              <w:spacing w:after="0"/>
              <w:rPr>
                <w:sz w:val="20"/>
                <w:szCs w:val="20"/>
                <w:color w:val="auto"/>
              </w:rPr>
            </w:pPr>
            <w:r>
              <w:rPr>
                <w:rFonts w:ascii="Arial" w:cs="Arial" w:eastAsia="Arial" w:hAnsi="Arial"/>
                <w:sz w:val="18"/>
                <w:szCs w:val="18"/>
                <w:color w:val="auto"/>
              </w:rPr>
              <w:t>Beneficiary Bank Code (Swift, Sort, Chip, etc.):</w:t>
            </w:r>
          </w:p>
        </w:tc>
        <w:tc>
          <w:tcPr>
            <w:tcW w:w="140" w:type="dxa"/>
            <w:vAlign w:val="bottom"/>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b w:val="1"/>
                <w:bCs w:val="1"/>
                <w:color w:val="auto"/>
              </w:rPr>
              <w:t>(For International Wire Only)</w:t>
            </w: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Intermediary Bank:</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520"/>
              <w:spacing w:after="0"/>
              <w:rPr>
                <w:sz w:val="20"/>
                <w:szCs w:val="20"/>
                <w:color w:val="auto"/>
              </w:rPr>
            </w:pPr>
            <w:r>
              <w:rPr>
                <w:rFonts w:ascii="Arial" w:cs="Arial" w:eastAsia="Arial" w:hAnsi="Arial"/>
                <w:sz w:val="18"/>
                <w:szCs w:val="18"/>
                <w:color w:val="auto"/>
              </w:rPr>
              <w:t>Transit (ABA) #:</w:t>
            </w:r>
          </w:p>
        </w:tc>
        <w:tc>
          <w:tcPr>
            <w:tcW w:w="140" w:type="dxa"/>
            <w:vAlign w:val="bottom"/>
          </w:tcPr>
          <w:p>
            <w:pPr>
              <w:spacing w:after="0"/>
              <w:rPr>
                <w:sz w:val="20"/>
                <w:szCs w:val="20"/>
                <w:color w:val="auto"/>
              </w:rPr>
            </w:pPr>
          </w:p>
        </w:tc>
      </w:tr>
      <w:tr>
        <w:trPr>
          <w:trHeight w:val="223"/>
        </w:trPr>
        <w:tc>
          <w:tcPr>
            <w:tcW w:w="1740" w:type="dxa"/>
            <w:vAlign w:val="bottom"/>
            <w:gridSpan w:val="3"/>
          </w:tcPr>
          <w:p>
            <w:pPr>
              <w:spacing w:after="0"/>
              <w:rPr>
                <w:sz w:val="20"/>
                <w:szCs w:val="20"/>
                <w:color w:val="auto"/>
              </w:rPr>
            </w:pPr>
            <w:r>
              <w:rPr>
                <w:rFonts w:ascii="Arial" w:cs="Arial" w:eastAsia="Arial" w:hAnsi="Arial"/>
                <w:sz w:val="18"/>
                <w:szCs w:val="18"/>
                <w:color w:val="auto"/>
              </w:rPr>
              <w:t>For Further Credit to:</w:t>
            </w:r>
          </w:p>
        </w:tc>
        <w:tc>
          <w:tcPr>
            <w:tcW w:w="120" w:type="dxa"/>
            <w:vAlign w:val="bottom"/>
            <w:tcBorders>
              <w:top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r>
        <w:trPr>
          <w:trHeight w:val="466"/>
        </w:trPr>
        <w:tc>
          <w:tcPr>
            <w:tcW w:w="1740" w:type="dxa"/>
            <w:vAlign w:val="bottom"/>
            <w:gridSpan w:val="3"/>
          </w:tcPr>
          <w:p>
            <w:pPr>
              <w:spacing w:after="0"/>
              <w:rPr>
                <w:sz w:val="20"/>
                <w:szCs w:val="20"/>
                <w:color w:val="auto"/>
              </w:rPr>
            </w:pPr>
            <w:r>
              <w:rPr>
                <w:rFonts w:ascii="Arial" w:cs="Arial" w:eastAsia="Arial" w:hAnsi="Arial"/>
                <w:sz w:val="18"/>
                <w:szCs w:val="18"/>
                <w:color w:val="auto"/>
              </w:rPr>
              <w:t>Special Instruction:</w:t>
            </w:r>
          </w:p>
        </w:tc>
        <w:tc>
          <w:tcPr>
            <w:tcW w:w="2980" w:type="dxa"/>
            <w:vAlign w:val="bottom"/>
            <w:tcBorders>
              <w:bottom w:val="single" w:sz="8" w:color="auto"/>
            </w:tcBorders>
            <w:gridSpan w:val="3"/>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ind w:left="140" w:right="30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5"/>
          </w:tcPr>
          <w:p>
            <w:pPr>
              <w:ind w:left="5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20" w:type="dxa"/>
            <w:vAlign w:val="bottom"/>
          </w:tcPr>
          <w:p>
            <w:pPr>
              <w:spacing w:after="0"/>
              <w:rPr>
                <w:sz w:val="20"/>
                <w:szCs w:val="20"/>
                <w:color w:val="auto"/>
              </w:rPr>
            </w:pPr>
          </w:p>
        </w:tc>
      </w:tr>
      <w:tr>
        <w:trPr>
          <w:trHeight w:val="223"/>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Print Name/Title:</w:t>
            </w:r>
          </w:p>
        </w:tc>
        <w:tc>
          <w:tcPr>
            <w:tcW w:w="1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40" w:type="dxa"/>
            <w:vAlign w:val="bottom"/>
            <w:gridSpan w:val="3"/>
          </w:tcPr>
          <w:p>
            <w:pPr>
              <w:ind w:left="560"/>
              <w:spacing w:after="0"/>
              <w:rPr>
                <w:sz w:val="20"/>
                <w:szCs w:val="20"/>
                <w:color w:val="auto"/>
              </w:rPr>
            </w:pPr>
            <w:r>
              <w:rPr>
                <w:rFonts w:ascii="Arial" w:cs="Arial" w:eastAsia="Arial" w:hAnsi="Arial"/>
                <w:sz w:val="18"/>
                <w:szCs w:val="18"/>
                <w:color w:val="auto"/>
              </w:rPr>
              <w:t>Print Name/Title:</w:t>
            </w:r>
          </w:p>
        </w:tc>
        <w:tc>
          <w:tcPr>
            <w:tcW w:w="274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ind w:left="560"/>
              <w:spacing w:after="0"/>
              <w:rPr>
                <w:sz w:val="20"/>
                <w:szCs w:val="20"/>
                <w:color w:val="auto"/>
              </w:rPr>
            </w:pPr>
            <w:r>
              <w:rPr>
                <w:rFonts w:ascii="Arial" w:cs="Arial" w:eastAsia="Arial" w:hAnsi="Arial"/>
                <w:sz w:val="18"/>
                <w:szCs w:val="18"/>
                <w:color w:val="auto"/>
              </w:rPr>
              <w:t>Telephone #:</w:t>
            </w:r>
          </w:p>
        </w:tc>
        <w:tc>
          <w:tcPr>
            <w:tcW w:w="2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ectPr>
          <w:pgSz w:w="11900" w:h="16838" w:orient="portrait"/>
          <w:cols w:equalWidth="0" w:num="1">
            <w:col w:w="11460"/>
          </w:cols>
          <w:pgMar w:left="240" w:top="269" w:right="199" w:bottom="1440" w:gutter="0" w:footer="0" w:header="0"/>
        </w:sectPr>
      </w:pPr>
    </w:p>
    <w:bookmarkStart w:id="501" w:name="page502"/>
    <w:bookmarkEnd w:id="5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69" w:right="1440" w:bottom="1440" w:gutter="0" w:footer="0" w:header="0"/>
        </w:sectPr>
      </w:pPr>
    </w:p>
    <w:bookmarkStart w:id="502" w:name="page503"/>
    <w:bookmarkEnd w:id="50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00" w:type="dxa"/>
            <w:vAlign w:val="bottom"/>
          </w:tcPr>
          <w:p>
            <w:pPr>
              <w:ind w:left="440"/>
              <w:spacing w:after="0"/>
              <w:rPr>
                <w:sz w:val="20"/>
                <w:szCs w:val="20"/>
                <w:color w:val="auto"/>
              </w:rPr>
            </w:pPr>
            <w:r>
              <w:rPr>
                <w:rFonts w:ascii="Arial" w:cs="Arial" w:eastAsia="Arial" w:hAnsi="Arial"/>
                <w:sz w:val="18"/>
                <w:szCs w:val="18"/>
                <w:b w:val="1"/>
                <w:bCs w:val="1"/>
                <w:color w:val="auto"/>
              </w:rPr>
              <w:t>WARRANT TO PURCHASE STOCK</w:t>
            </w:r>
          </w:p>
        </w:tc>
      </w:tr>
      <w:tr>
        <w:trPr>
          <w:trHeight w:val="945"/>
        </w:trPr>
        <w:tc>
          <w:tcPr>
            <w:tcW w:w="2160" w:type="dxa"/>
            <w:vAlign w:val="bottom"/>
          </w:tcPr>
          <w:p>
            <w:pPr>
              <w:spacing w:after="0"/>
              <w:rPr>
                <w:sz w:val="20"/>
                <w:szCs w:val="20"/>
                <w:color w:val="auto"/>
              </w:rPr>
            </w:pPr>
            <w:r>
              <w:rPr>
                <w:rFonts w:ascii="Arial" w:cs="Arial" w:eastAsia="Arial" w:hAnsi="Arial"/>
                <w:sz w:val="18"/>
                <w:szCs w:val="18"/>
                <w:color w:val="auto"/>
              </w:rPr>
              <w:t>Company:</w:t>
            </w: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rPr>
              <w:t>ANAPTYSBIO, INC., a Delaware corporation</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Number of Shares:</w:t>
            </w: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rPr>
              <w:t>144,231 (Subject to Section 1.7 )</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Type/Series of Stock:</w:t>
            </w: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rPr>
              <w:t>Series C Preferred (Subject to Section 1.7)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Warrant Price:</w:t>
            </w: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rPr>
              <w:t>$0.65 per share (Subject to Section 1.7)</w:t>
            </w:r>
          </w:p>
        </w:tc>
      </w:tr>
      <w:tr>
        <w:trPr>
          <w:trHeight w:val="190"/>
        </w:trPr>
        <w:tc>
          <w:tcPr>
            <w:tcW w:w="2160" w:type="dxa"/>
            <w:vAlign w:val="bottom"/>
          </w:tcPr>
          <w:p>
            <w:pPr>
              <w:spacing w:after="0" w:line="190" w:lineRule="exact"/>
              <w:rPr>
                <w:sz w:val="20"/>
                <w:szCs w:val="20"/>
                <w:color w:val="auto"/>
              </w:rPr>
            </w:pPr>
            <w:r>
              <w:rPr>
                <w:rFonts w:ascii="Arial" w:cs="Arial" w:eastAsia="Arial" w:hAnsi="Arial"/>
                <w:sz w:val="18"/>
                <w:szCs w:val="18"/>
                <w:color w:val="auto"/>
              </w:rPr>
              <w:t>Issue Date:</w:t>
            </w:r>
          </w:p>
        </w:tc>
        <w:tc>
          <w:tcPr>
            <w:tcW w:w="1380" w:type="dxa"/>
            <w:vAlign w:val="bottom"/>
          </w:tcPr>
          <w:p>
            <w:pPr>
              <w:ind w:left="580"/>
              <w:spacing w:after="0" w:line="190" w:lineRule="exact"/>
              <w:rPr>
                <w:sz w:val="20"/>
                <w:szCs w:val="20"/>
                <w:color w:val="auto"/>
              </w:rPr>
            </w:pPr>
            <w:r>
              <w:rPr>
                <w:rFonts w:ascii="Arial" w:cs="Arial" w:eastAsia="Arial" w:hAnsi="Arial"/>
                <w:sz w:val="18"/>
                <w:szCs w:val="18"/>
                <w:color w:val="auto"/>
                <w:w w:val="93"/>
              </w:rPr>
              <w:t>December</w:t>
            </w:r>
          </w:p>
        </w:tc>
        <w:tc>
          <w:tcPr>
            <w:tcW w:w="776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 2016</w:t>
            </w:r>
          </w:p>
        </w:tc>
      </w:tr>
      <w:tr>
        <w:trPr>
          <w:trHeight w:val="196"/>
        </w:trPr>
        <w:tc>
          <w:tcPr>
            <w:tcW w:w="2160" w:type="dxa"/>
            <w:vAlign w:val="bottom"/>
          </w:tcPr>
          <w:p>
            <w:pPr>
              <w:spacing w:after="0" w:line="196" w:lineRule="exact"/>
              <w:rPr>
                <w:sz w:val="20"/>
                <w:szCs w:val="20"/>
                <w:color w:val="auto"/>
              </w:rPr>
            </w:pPr>
            <w:r>
              <w:rPr>
                <w:rFonts w:ascii="Arial" w:cs="Arial" w:eastAsia="Arial" w:hAnsi="Arial"/>
                <w:sz w:val="18"/>
                <w:szCs w:val="18"/>
                <w:color w:val="auto"/>
              </w:rPr>
              <w:t>Expiration Date:</w:t>
            </w:r>
          </w:p>
        </w:tc>
        <w:tc>
          <w:tcPr>
            <w:tcW w:w="1380" w:type="dxa"/>
            <w:vAlign w:val="bottom"/>
          </w:tcPr>
          <w:p>
            <w:pPr>
              <w:ind w:left="580"/>
              <w:spacing w:after="0" w:line="196" w:lineRule="exact"/>
              <w:rPr>
                <w:sz w:val="20"/>
                <w:szCs w:val="20"/>
                <w:color w:val="auto"/>
              </w:rPr>
            </w:pPr>
            <w:r>
              <w:rPr>
                <w:rFonts w:ascii="Arial" w:cs="Arial" w:eastAsia="Arial" w:hAnsi="Arial"/>
                <w:sz w:val="18"/>
                <w:szCs w:val="18"/>
                <w:color w:val="auto"/>
                <w:w w:val="93"/>
              </w:rPr>
              <w:t>December</w:t>
            </w:r>
          </w:p>
        </w:tc>
        <w:tc>
          <w:tcPr>
            <w:tcW w:w="260" w:type="dxa"/>
            <w:vAlign w:val="bottom"/>
            <w:tcBorders>
              <w:top w:val="single" w:sz="8" w:color="auto"/>
              <w:bottom w:val="single" w:sz="8" w:color="auto"/>
            </w:tcBorders>
          </w:tcPr>
          <w:p>
            <w:pPr>
              <w:spacing w:after="0"/>
              <w:rPr>
                <w:sz w:val="17"/>
                <w:szCs w:val="17"/>
                <w:color w:val="auto"/>
              </w:rPr>
            </w:pPr>
          </w:p>
        </w:tc>
        <w:tc>
          <w:tcPr>
            <w:tcW w:w="7500" w:type="dxa"/>
            <w:vAlign w:val="bottom"/>
          </w:tcPr>
          <w:p>
            <w:pPr>
              <w:spacing w:after="0" w:line="196" w:lineRule="exact"/>
              <w:rPr>
                <w:sz w:val="20"/>
                <w:szCs w:val="20"/>
                <w:color w:val="auto"/>
              </w:rPr>
            </w:pPr>
            <w:r>
              <w:rPr>
                <w:rFonts w:ascii="Arial" w:cs="Arial" w:eastAsia="Arial" w:hAnsi="Arial"/>
                <w:sz w:val="18"/>
                <w:szCs w:val="18"/>
                <w:color w:val="auto"/>
              </w:rPr>
              <w:t>, 2026 See also Section 5.1(b).</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Credit Facility:</w:t>
            </w: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w w:val="93"/>
              </w:rPr>
              <w:t>This Warrant to Purchase Stock (“</w:t>
            </w:r>
            <w:r>
              <w:rPr>
                <w:rFonts w:ascii="Arial" w:cs="Arial" w:eastAsia="Arial" w:hAnsi="Arial"/>
                <w:sz w:val="18"/>
                <w:szCs w:val="18"/>
                <w:b w:val="1"/>
                <w:bCs w:val="1"/>
                <w:color w:val="auto"/>
                <w:w w:val="93"/>
              </w:rPr>
              <w:t>Warrant</w:t>
            </w:r>
            <w:r>
              <w:rPr>
                <w:rFonts w:ascii="Arial" w:cs="Arial" w:eastAsia="Arial" w:hAnsi="Arial"/>
                <w:sz w:val="18"/>
                <w:szCs w:val="18"/>
                <w:color w:val="auto"/>
                <w:w w:val="93"/>
              </w:rPr>
              <w:t>”) is issued in connection with that certain Loan and Security Agreement</w:t>
            </w:r>
          </w:p>
        </w:tc>
      </w:tr>
      <w:tr>
        <w:trPr>
          <w:trHeight w:val="230"/>
        </w:trPr>
        <w:tc>
          <w:tcPr>
            <w:tcW w:w="2160" w:type="dxa"/>
            <w:vAlign w:val="bottom"/>
          </w:tcPr>
          <w:p>
            <w:pPr>
              <w:spacing w:after="0"/>
              <w:rPr>
                <w:sz w:val="20"/>
                <w:szCs w:val="20"/>
                <w:color w:val="auto"/>
              </w:rPr>
            </w:pPr>
          </w:p>
        </w:tc>
        <w:tc>
          <w:tcPr>
            <w:tcW w:w="9140" w:type="dxa"/>
            <w:vAlign w:val="bottom"/>
            <w:gridSpan w:val="3"/>
          </w:tcPr>
          <w:p>
            <w:pPr>
              <w:ind w:left="580"/>
              <w:spacing w:after="0"/>
              <w:rPr>
                <w:sz w:val="20"/>
                <w:szCs w:val="20"/>
                <w:color w:val="auto"/>
              </w:rPr>
            </w:pPr>
            <w:r>
              <w:rPr>
                <w:rFonts w:ascii="Arial" w:cs="Arial" w:eastAsia="Arial" w:hAnsi="Arial"/>
                <w:sz w:val="18"/>
                <w:szCs w:val="18"/>
                <w:color w:val="auto"/>
                <w:w w:val="90"/>
              </w:rPr>
              <w:t>dated as of December 24, 2014 among Oxford Finance LLC, as Lender and Collateral Agent, the Lenders from time to</w:t>
            </w:r>
          </w:p>
        </w:tc>
      </w:tr>
    </w:tbl>
    <w:p>
      <w:pPr>
        <w:ind w:left="2740" w:right="20"/>
        <w:spacing w:after="0" w:line="261" w:lineRule="auto"/>
        <w:rPr>
          <w:sz w:val="20"/>
          <w:szCs w:val="20"/>
          <w:color w:val="auto"/>
        </w:rPr>
      </w:pPr>
      <w:r>
        <w:rPr>
          <w:rFonts w:ascii="Arial" w:cs="Arial" w:eastAsia="Arial" w:hAnsi="Arial"/>
          <w:sz w:val="18"/>
          <w:szCs w:val="18"/>
          <w:color w:val="auto"/>
        </w:rPr>
        <w:t>time party thereto, including Silicon Valley Bank, and the Company (as modified, amended and/or restated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THIS WARRANT CERTIFIES THAT, for good and valuable consideration, OXFORD FINANCE LLC (</w:t>
      </w:r>
      <w:r>
        <w:rPr>
          <w:rFonts w:ascii="Arial" w:cs="Arial" w:eastAsia="Arial" w:hAnsi="Arial"/>
          <w:sz w:val="18"/>
          <w:szCs w:val="18"/>
          <w:b w:val="1"/>
          <w:bCs w:val="1"/>
          <w:color w:val="auto"/>
        </w:rPr>
        <w:t>“Oxford</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above, but otherwise in accordance with the requirements of Section 1.1, Holder may elect to receive Shares equal to the value of this Warrant,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hereof as to which this Warrant is being exercised. Thereupon, the Company shall issue to the Holder such number of fully paid and nonassessable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as are computed using the following formula:</w:t>
      </w:r>
    </w:p>
    <w:p>
      <w:pPr>
        <w:spacing w:after="0" w:line="35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274" w:right="259" w:bottom="1440" w:gutter="0" w:footer="0" w:header="0"/>
        </w:sectPr>
      </w:pP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X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to the Holder;</w:t>
      </w:r>
    </w:p>
    <w:p>
      <w:pPr>
        <w:spacing w:after="0" w:line="222" w:lineRule="exact"/>
        <w:rPr>
          <w:sz w:val="20"/>
          <w:szCs w:val="20"/>
          <w:color w:val="auto"/>
        </w:rPr>
      </w:pPr>
    </w:p>
    <w:p>
      <w:pPr>
        <w:sectPr>
          <w:pgSz w:w="11900" w:h="16838" w:orient="portrait"/>
          <w:cols w:equalWidth="0" w:num="2">
            <w:col w:w="1800" w:space="560"/>
            <w:col w:w="9040"/>
          </w:cols>
          <w:pgMar w:left="240" w:top="274" w:right="259" w:bottom="1440" w:gutter="0" w:footer="0" w:header="0"/>
          <w:type w:val="continuous"/>
        </w:sectPr>
      </w:pPr>
    </w:p>
    <w:p>
      <w:pPr>
        <w:spacing w:after="0" w:line="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ectPr>
          <w:pgSz w:w="11900" w:h="16838" w:orient="portrait"/>
          <w:cols w:equalWidth="0" w:num="2">
            <w:col w:w="1800" w:space="560"/>
            <w:col w:w="9040"/>
          </w:cols>
          <w:pgMar w:left="240" w:top="274" w:right="259" w:bottom="1440" w:gutter="0" w:footer="0" w:header="0"/>
          <w:type w:val="continuous"/>
        </w:sectPr>
      </w:pPr>
    </w:p>
    <w:bookmarkStart w:id="503" w:name="page504"/>
    <w:bookmarkEnd w:id="503"/>
    <w:p>
      <w:pPr>
        <w:ind w:left="1420"/>
        <w:spacing w:after="0"/>
        <w:rPr>
          <w:sz w:val="20"/>
          <w:szCs w:val="20"/>
          <w:color w:val="auto"/>
        </w:rPr>
      </w:pPr>
      <w:r>
        <w:rPr>
          <w:rFonts w:ascii="Arial" w:cs="Arial" w:eastAsia="Arial" w:hAnsi="Arial"/>
          <w:sz w:val="18"/>
          <w:szCs w:val="18"/>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Fair Market Value (as determined pursuant to Section 1.3 below) of one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-338455</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740" w:space="720"/>
            <w:col w:w="8960"/>
          </w:cols>
          <w:pgMar w:left="240" w:top="490" w:right="239" w:bottom="1440" w:gutter="0" w:footer="0" w:header="0"/>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Warrant Price.</w:t>
      </w:r>
    </w:p>
    <w:p>
      <w:pPr>
        <w:spacing w:after="0" w:line="222" w:lineRule="exact"/>
        <w:rPr>
          <w:sz w:val="20"/>
          <w:szCs w:val="20"/>
          <w:color w:val="auto"/>
        </w:rPr>
      </w:pPr>
    </w:p>
    <w:p>
      <w:pPr>
        <w:sectPr>
          <w:pgSz w:w="11900" w:h="16838" w:orient="portrait"/>
          <w:cols w:equalWidth="0" w:num="2">
            <w:col w:w="740" w:space="680"/>
            <w:col w:w="10000"/>
          </w:cols>
          <w:pgMar w:left="240" w:top="490" w:right="239" w:bottom="1440" w:gutter="0" w:footer="0" w:header="0"/>
          <w:type w:val="continuous"/>
        </w:sectPr>
      </w:pPr>
    </w:p>
    <w:p>
      <w:pPr>
        <w:spacing w:after="0" w:line="25"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921"/>
        <w:spacing w:after="0" w:line="271" w:lineRule="auto"/>
        <w:tabs>
          <w:tab w:leader="none" w:pos="1157"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merger, consolidation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40" w:firstLine="921"/>
        <w:spacing w:after="0" w:line="257" w:lineRule="auto"/>
        <w:tabs>
          <w:tab w:leader="none" w:pos="1168"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140" w:firstLine="921"/>
        <w:spacing w:after="0" w:line="257" w:lineRule="auto"/>
        <w:tabs>
          <w:tab w:leader="none" w:pos="115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490" w:right="239" w:bottom="1440" w:gutter="0" w:footer="0" w:header="0"/>
          <w:type w:val="continuous"/>
        </w:sectPr>
      </w:pPr>
    </w:p>
    <w:bookmarkStart w:id="504" w:name="page505"/>
    <w:bookmarkEnd w:id="504"/>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ind w:right="120" w:firstLine="921"/>
        <w:spacing w:after="0" w:line="279" w:lineRule="auto"/>
        <w:tabs>
          <w:tab w:leader="none" w:pos="1168" w:val="left"/>
        </w:tabs>
        <w:numPr>
          <w:ilvl w:val="1"/>
          <w:numId w:val="474"/>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921"/>
        <w:spacing w:after="0" w:line="285" w:lineRule="auto"/>
        <w:tabs>
          <w:tab w:leader="none" w:pos="1158" w:val="left"/>
        </w:tabs>
        <w:numPr>
          <w:ilvl w:val="1"/>
          <w:numId w:val="474"/>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other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88" w:lineRule="exact"/>
        <w:rPr>
          <w:sz w:val="20"/>
          <w:szCs w:val="20"/>
          <w:color w:val="auto"/>
        </w:rPr>
      </w:pPr>
    </w:p>
    <w:p>
      <w:pPr>
        <w:ind w:left="3480" w:hanging="187"/>
        <w:spacing w:after="0"/>
        <w:tabs>
          <w:tab w:leader="none" w:pos="3480" w:val="left"/>
        </w:tabs>
        <w:numPr>
          <w:ilvl w:val="0"/>
          <w:numId w:val="476"/>
        </w:numPr>
        <w:rPr>
          <w:rFonts w:ascii="Arial" w:cs="Arial" w:eastAsia="Arial" w:hAnsi="Arial"/>
          <w:sz w:val="18"/>
          <w:szCs w:val="18"/>
          <w:b w:val="1"/>
          <w:bCs w:val="1"/>
          <w:color w:val="auto"/>
        </w:rPr>
      </w:pPr>
      <w:r>
        <w:rPr>
          <w:rFonts w:ascii="Arial" w:cs="Arial" w:eastAsia="Arial" w:hAnsi="Arial"/>
          <w:sz w:val="18"/>
          <w:szCs w:val="18"/>
          <w:color w:val="auto"/>
        </w:rPr>
        <w:t>ADJUSTMENTS TO THE SHARES AND WARRANT PRICE.</w:t>
      </w:r>
    </w:p>
    <w:p>
      <w:pPr>
        <w:spacing w:after="0" w:line="2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505" w:name="page506"/>
    <w:bookmarkEnd w:id="505"/>
    <w:p>
      <w:pPr>
        <w:ind w:right="20"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2" w:lineRule="exact"/>
        <w:rPr>
          <w:sz w:val="20"/>
          <w:szCs w:val="20"/>
          <w:color w:val="auto"/>
        </w:rPr>
      </w:pPr>
    </w:p>
    <w:p>
      <w:pPr>
        <w:jc w:val="both"/>
        <w:ind w:right="80" w:firstLine="913"/>
        <w:spacing w:after="0" w:line="289"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Without duplication of any adjustment otherwise provided for in this Section 2,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58"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5" w:lineRule="exact"/>
        <w:rPr>
          <w:sz w:val="20"/>
          <w:szCs w:val="20"/>
          <w:color w:val="auto"/>
        </w:rPr>
      </w:pPr>
    </w:p>
    <w:p>
      <w:pPr>
        <w:ind w:left="3400" w:hanging="189"/>
        <w:spacing w:after="0"/>
        <w:tabs>
          <w:tab w:leader="none" w:pos="3400" w:val="left"/>
        </w:tabs>
        <w:numPr>
          <w:ilvl w:val="0"/>
          <w:numId w:val="477"/>
        </w:numPr>
        <w:rPr>
          <w:rFonts w:ascii="Arial" w:cs="Arial" w:eastAsia="Arial" w:hAnsi="Arial"/>
          <w:sz w:val="18"/>
          <w:szCs w:val="18"/>
          <w:b w:val="1"/>
          <w:bCs w:val="1"/>
          <w:color w:val="auto"/>
        </w:rPr>
      </w:pPr>
      <w:r>
        <w:rPr>
          <w:rFonts w:ascii="Arial" w:cs="Arial" w:eastAsia="Arial" w:hAnsi="Arial"/>
          <w:sz w:val="18"/>
          <w:szCs w:val="18"/>
          <w:color w:val="auto"/>
        </w:rPr>
        <w:t>REPRESENTATIONS AND COVENANTS OF THE COMPANY.</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9" w:lineRule="exact"/>
        <w:rPr>
          <w:sz w:val="20"/>
          <w:szCs w:val="20"/>
          <w:color w:val="auto"/>
        </w:rPr>
      </w:pPr>
    </w:p>
    <w:p>
      <w:pPr>
        <w:ind w:right="160" w:firstLine="921"/>
        <w:spacing w:after="0" w:line="264" w:lineRule="auto"/>
        <w:tabs>
          <w:tab w:leader="none" w:pos="115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 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20" w:firstLine="921"/>
        <w:spacing w:after="0" w:line="276" w:lineRule="auto"/>
        <w:tabs>
          <w:tab w:leader="none" w:pos="1168"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69" w:right="259" w:bottom="1440" w:gutter="0" w:footer="0" w:header="0"/>
        </w:sectPr>
      </w:pPr>
    </w:p>
    <w:bookmarkStart w:id="506" w:name="page507"/>
    <w:bookmarkEnd w:id="506"/>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Company’s capitalization table attached hereto as Schedule 1 is true and complete, in all material respects, as of the Issue Date.</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9" w:lineRule="exact"/>
        <w:rPr>
          <w:sz w:val="20"/>
          <w:szCs w:val="20"/>
          <w:color w:val="auto"/>
        </w:rPr>
      </w:pPr>
    </w:p>
    <w:p>
      <w:pPr>
        <w:ind w:right="420" w:firstLine="921"/>
        <w:spacing w:after="0" w:line="277" w:lineRule="auto"/>
        <w:tabs>
          <w:tab w:leader="none" w:pos="1158" w:val="left"/>
        </w:tabs>
        <w:numPr>
          <w:ilvl w:val="0"/>
          <w:numId w:val="47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320" w:firstLine="921"/>
        <w:spacing w:after="0" w:line="277" w:lineRule="auto"/>
        <w:tabs>
          <w:tab w:leader="none" w:pos="1168" w:val="left"/>
        </w:tabs>
        <w:numPr>
          <w:ilvl w:val="0"/>
          <w:numId w:val="479"/>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 Class;</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right="160" w:firstLine="1492"/>
        <w:spacing w:after="0" w:line="264" w:lineRule="auto"/>
        <w:tabs>
          <w:tab w:leader="none" w:pos="169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20" w:firstLine="1492"/>
        <w:spacing w:after="0" w:line="264" w:lineRule="auto"/>
        <w:tabs>
          <w:tab w:leader="none" w:pos="174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20" w:firstLine="1492"/>
        <w:spacing w:after="0" w:line="277" w:lineRule="auto"/>
        <w:tabs>
          <w:tab w:leader="none" w:pos="179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3620" w:hanging="184"/>
        <w:spacing w:after="0"/>
        <w:tabs>
          <w:tab w:leader="none" w:pos="3620"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3"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w:t>
      </w:r>
      <w:r>
        <w:rPr>
          <w:rFonts w:ascii="Arial" w:cs="Arial" w:eastAsia="Arial" w:hAnsi="Arial"/>
          <w:sz w:val="16"/>
          <w:szCs w:val="16"/>
          <w:b w:val="1"/>
          <w:bCs w:val="1"/>
          <w:color w:val="auto"/>
        </w:rPr>
        <w:t xml:space="preserve"> </w:t>
      </w:r>
      <w:r>
        <w:rPr>
          <w:rFonts w:ascii="Arial" w:cs="Arial" w:eastAsia="Arial" w:hAnsi="Arial"/>
          <w:sz w:val="16"/>
          <w:szCs w:val="16"/>
          <w:color w:val="auto"/>
        </w:rPr>
        <w:t>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ectPr>
          <w:pgSz w:w="11900" w:h="16838" w:orient="portrait"/>
          <w:cols w:equalWidth="0" w:num="1">
            <w:col w:w="11420"/>
          </w:cols>
          <w:pgMar w:left="240" w:top="274" w:right="239" w:bottom="1440" w:gutter="0" w:footer="0" w:header="0"/>
        </w:sectPr>
      </w:pPr>
    </w:p>
    <w:bookmarkStart w:id="507" w:name="page508"/>
    <w:bookmarkEnd w:id="507"/>
    <w:p>
      <w:pPr>
        <w:ind w:right="220" w:firstLine="148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60" w:firstLine="1484"/>
        <w:spacing w:after="0" w:line="277"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8" w:lineRule="exact"/>
        <w:rPr>
          <w:sz w:val="20"/>
          <w:szCs w:val="20"/>
          <w:color w:val="auto"/>
        </w:rPr>
      </w:pPr>
    </w:p>
    <w:p>
      <w:pPr>
        <w:jc w:val="both"/>
        <w:ind w:right="20" w:firstLine="1484"/>
        <w:spacing w:after="0" w:line="26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Third Amended and Restated Investor Rights Agreement by and among the Company and the investors party thereto, dated July 15, 2013 (as such agreement may be amended and restated) or similar agreement.</w:t>
      </w:r>
    </w:p>
    <w:p>
      <w:pPr>
        <w:spacing w:after="0" w:line="176" w:lineRule="exact"/>
        <w:rPr>
          <w:sz w:val="20"/>
          <w:szCs w:val="20"/>
          <w:color w:val="auto"/>
        </w:rPr>
      </w:pPr>
    </w:p>
    <w:p>
      <w:pPr>
        <w:jc w:val="both"/>
        <w:ind w:right="40" w:firstLine="1484"/>
        <w:spacing w:after="0" w:line="282"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in this Warrant, will not be considered a stockholder for any purpose until the exercise of this Warrant.</w:t>
      </w:r>
    </w:p>
    <w:p>
      <w:pPr>
        <w:spacing w:after="0" w:line="166" w:lineRule="exact"/>
        <w:rPr>
          <w:sz w:val="20"/>
          <w:szCs w:val="20"/>
          <w:color w:val="auto"/>
        </w:rPr>
      </w:pPr>
    </w:p>
    <w:p>
      <w:pPr>
        <w:ind w:left="5040" w:hanging="188"/>
        <w:spacing w:after="0"/>
        <w:tabs>
          <w:tab w:leader="none" w:pos="5040" w:val="left"/>
        </w:tabs>
        <w:numPr>
          <w:ilvl w:val="0"/>
          <w:numId w:val="482"/>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9" w:lineRule="exact"/>
        <w:rPr>
          <w:sz w:val="20"/>
          <w:szCs w:val="20"/>
          <w:color w:val="auto"/>
        </w:rPr>
      </w:pPr>
    </w:p>
    <w:p>
      <w:pPr>
        <w:ind w:right="80" w:firstLine="1492"/>
        <w:spacing w:after="0" w:line="277" w:lineRule="auto"/>
        <w:tabs>
          <w:tab w:leader="none" w:pos="1728"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ind w:right="40" w:firstLine="1492"/>
        <w:spacing w:after="0" w:line="257" w:lineRule="auto"/>
        <w:tabs>
          <w:tab w:leader="none" w:pos="1738"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180" w:firstLine="1484"/>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shall be imprinted with a legend in substantially the following form:</w:t>
      </w:r>
    </w:p>
    <w:p>
      <w:pPr>
        <w:spacing w:after="0" w:line="166" w:lineRule="exact"/>
        <w:rPr>
          <w:sz w:val="20"/>
          <w:szCs w:val="20"/>
          <w:color w:val="auto"/>
        </w:rPr>
      </w:pPr>
    </w:p>
    <w:p>
      <w:pPr>
        <w:jc w:val="both"/>
        <w:ind w:left="1500"/>
        <w:spacing w:after="0" w:line="259"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DECEMBER __, 2016, MAY NOT BE OFFERED, SOLD, PLEDGED OR</w:t>
      </w:r>
    </w:p>
    <w:p>
      <w:pPr>
        <w:sectPr>
          <w:pgSz w:w="11900" w:h="16838" w:orient="portrait"/>
          <w:cols w:equalWidth="0" w:num="1">
            <w:col w:w="11420"/>
          </w:cols>
          <w:pgMar w:left="240" w:top="269" w:right="239" w:bottom="1440" w:gutter="0" w:footer="0" w:header="0"/>
        </w:sectPr>
      </w:pPr>
    </w:p>
    <w:bookmarkStart w:id="508" w:name="page509"/>
    <w:bookmarkEnd w:id="508"/>
    <w:p>
      <w:pPr>
        <w:ind w:left="150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TRANSFERRED UNLESS AND UNTIL REGISTERED UNDER SAID ACT AND LAWS OR, IN THE OPINION OF LEGAL COUNSEL IN FORM AND SUBSTANCE SATISFACTORY TO THE ISSUER, SUCH OFFER, SALE, PLEDGE OR OTHER TRANSFER IS EXEMPT FROM SUCH REGISTRATION.</w:t>
      </w:r>
    </w:p>
    <w:p>
      <w:pPr>
        <w:spacing w:after="0" w:line="181" w:lineRule="exact"/>
        <w:rPr>
          <w:sz w:val="20"/>
          <w:szCs w:val="20"/>
          <w:color w:val="auto"/>
        </w:rPr>
      </w:pPr>
    </w:p>
    <w:p>
      <w:pPr>
        <w:ind w:left="1500" w:right="2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9"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8" w:lineRule="exact"/>
        <w:rPr>
          <w:sz w:val="20"/>
          <w:szCs w:val="20"/>
          <w:color w:val="auto"/>
        </w:rPr>
      </w:pPr>
    </w:p>
    <w:p>
      <w:pPr>
        <w:ind w:right="140" w:firstLine="1484"/>
        <w:spacing w:after="0" w:line="293"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effective (i) when given personally, (ii) on the third (3rd) Business Day after being mailed by first-class registered or certified mail, postage prepaid,</w:t>
      </w:r>
    </w:p>
    <w:p>
      <w:pPr>
        <w:spacing w:after="0" w:line="1" w:lineRule="exact"/>
        <w:rPr>
          <w:sz w:val="20"/>
          <w:szCs w:val="20"/>
          <w:color w:val="auto"/>
        </w:rPr>
      </w:pPr>
    </w:p>
    <w:p>
      <w:pPr>
        <w:jc w:val="both"/>
        <w:ind w:right="160" w:firstLine="8"/>
        <w:spacing w:after="0" w:line="295" w:lineRule="auto"/>
        <w:tabs>
          <w:tab w:leader="none" w:pos="31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ectPr>
          <w:pgSz w:w="11900" w:h="16838" w:orient="portrait"/>
          <w:cols w:equalWidth="0" w:num="1">
            <w:col w:w="11420"/>
          </w:cols>
          <w:pgMar w:left="240" w:top="274" w:right="239" w:bottom="1440" w:gutter="0" w:footer="0" w:header="0"/>
        </w:sectPr>
      </w:pPr>
    </w:p>
    <w:bookmarkStart w:id="509" w:name="page510"/>
    <w:bookmarkEnd w:id="50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 Email: hsuria@anaptysbio.com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07" w:lineRule="exact"/>
        <w:rPr>
          <w:sz w:val="20"/>
          <w:szCs w:val="20"/>
          <w:color w:val="auto"/>
        </w:rPr>
      </w:pPr>
    </w:p>
    <w:p>
      <w:pPr>
        <w:ind w:right="320" w:firstLine="1484"/>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ind w:right="580" w:firstLine="1484"/>
        <w:spacing w:after="0" w:line="347"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prevailing in such dispute shall be entitled to collect from the other party all costs incurred in such dispute, including reasonable attorneys’ fees.</w:t>
      </w:r>
    </w:p>
    <w:p>
      <w:pPr>
        <w:spacing w:after="0" w:line="116"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ind w:right="380" w:firstLine="1484"/>
        <w:spacing w:after="0" w:line="282"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its principles regarding conflicts of law.</w:t>
      </w:r>
    </w:p>
    <w:p>
      <w:pPr>
        <w:spacing w:after="0" w:line="162" w:lineRule="exact"/>
        <w:rPr>
          <w:sz w:val="20"/>
          <w:szCs w:val="20"/>
          <w:color w:val="auto"/>
        </w:rPr>
      </w:pPr>
    </w:p>
    <w:p>
      <w:pPr>
        <w:ind w:right="80" w:firstLine="1484"/>
        <w:spacing w:after="0" w:line="282"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Banks in California are closed.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510" w:name="page511"/>
    <w:bookmarkEnd w:id="510"/>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820"/>
          </w:cols>
          <w:pgMar w:left="240" w:top="273" w:right="839" w:bottom="1440" w:gutter="0" w:footer="0" w:header="0"/>
        </w:sectPr>
      </w:pPr>
    </w:p>
    <w:bookmarkStart w:id="511" w:name="page512"/>
    <w:bookmarkEnd w:id="511"/>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3"/>
          </w:tcPr>
          <w:p>
            <w:pPr>
              <w:jc w:val="center"/>
              <w:ind w:right="1780"/>
              <w:spacing w:after="0"/>
              <w:rPr>
                <w:sz w:val="20"/>
                <w:szCs w:val="20"/>
                <w:color w:val="auto"/>
              </w:rPr>
            </w:pPr>
            <w:r>
              <w:rPr>
                <w:rFonts w:ascii="Arial" w:cs="Arial" w:eastAsia="Arial" w:hAnsi="Arial"/>
                <w:sz w:val="18"/>
                <w:szCs w:val="18"/>
                <w:color w:val="auto"/>
                <w:w w:val="96"/>
              </w:rPr>
              <w:t>APPENDIX 1</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color w:val="auto"/>
                <w:w w:val="90"/>
              </w:rPr>
              <w:t>1. The undersigned Holder hereby exercises its right to purchase</w:t>
            </w:r>
          </w:p>
        </w:tc>
        <w:tc>
          <w:tcPr>
            <w:tcW w:w="720" w:type="dxa"/>
            <w:vAlign w:val="bottom"/>
            <w:tcBorders>
              <w:bottom w:val="single" w:sz="8" w:color="auto"/>
            </w:tcBorders>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w w:val="89"/>
              </w:rPr>
              <w:t>shares of the Common/Series</w:t>
            </w:r>
          </w:p>
        </w:tc>
        <w:tc>
          <w:tcPr>
            <w:tcW w:w="540" w:type="dxa"/>
            <w:vAlign w:val="bottom"/>
            <w:tcBorders>
              <w:bottom w:val="single" w:sz="8" w:color="auto"/>
            </w:tcBorders>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w w:val="91"/>
              </w:rPr>
              <w:t>Preferred [circle one] Stock of</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8"/>
          <w:szCs w:val="18"/>
          <w:color w:val="auto"/>
        </w:rPr>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w w:val="89"/>
              </w:rPr>
              <w:t>check in the amount of $</w:t>
            </w:r>
          </w:p>
        </w:tc>
        <w:tc>
          <w:tcPr>
            <w:tcW w:w="540" w:type="dxa"/>
            <w:vAlign w:val="bottom"/>
            <w:tcBorders>
              <w:bottom w:val="single" w:sz="8" w:color="auto"/>
            </w:tcBorders>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w w:val="90"/>
              </w:rPr>
              <w:t>payable to order of the Company enclosed herewith</w:t>
            </w:r>
          </w:p>
        </w:tc>
      </w:tr>
      <w:tr>
        <w:trPr>
          <w:trHeight w:val="35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Wire transfer of immediately available funds to the Company’s account</w:t>
            </w:r>
          </w:p>
        </w:tc>
      </w:tr>
    </w:tbl>
    <w:p>
      <w:pPr>
        <w:spacing w:after="0" w:line="107" w:lineRule="exact"/>
        <w:rPr>
          <w:sz w:val="20"/>
          <w:szCs w:val="20"/>
          <w:color w:val="auto"/>
        </w:rPr>
      </w:pPr>
    </w:p>
    <w:p>
      <w:pPr>
        <w:ind w:left="700" w:hanging="246"/>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20"/>
          </w:cols>
          <w:pgMar w:left="240" w:top="273" w:right="339" w:bottom="1440" w:gutter="0" w:footer="0" w:header="0"/>
        </w:sectPr>
      </w:pPr>
    </w:p>
    <w:bookmarkStart w:id="512" w:name="page513"/>
    <w:bookmarkEnd w:id="5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52"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10947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10947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28"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that certain Warrant to Purchase Stock issued by 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on December 24, 2014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Section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513" w:name="page514"/>
    <w:bookmarkEnd w:id="51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274"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144,231 (Subject to Section 1.7 )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$0.65 per share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2026 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among Oxford Finance LLC, as Lender and Collateral Agent, the Lenders from time to time party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Silicon Valley Bank, and the Company (as modified, amended and/or restated from time to time, the “</w:t>
      </w:r>
      <w:r>
        <w:rPr>
          <w:rFonts w:ascii="Arial" w:cs="Arial" w:eastAsia="Arial" w:hAnsi="Arial"/>
          <w:sz w:val="17"/>
          <w:szCs w:val="17"/>
          <w:b w:val="1"/>
          <w:bCs w:val="1"/>
          <w:color w:val="auto"/>
        </w:rPr>
        <w:t>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60" w:space="620"/>
            <w:col w:w="9240"/>
          </w:cols>
          <w:pgMar w:left="240" w:top="274" w:right="239" w:bottom="1440" w:gutter="0" w:footer="0" w:header="0"/>
          <w:type w:val="continuous"/>
        </w:sectPr>
      </w:pPr>
    </w:p>
    <w:p>
      <w:pPr>
        <w:spacing w:after="0" w:line="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above, but otherwise in accordance with the requirements of Section 1.1, Holder may elect to receive Shares equal to the value of this Warrant,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hereof as to which this Warrant is being exercised. Thereupon, the Company shall issue to the Holder such number of fully paid and nonassessable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as are computed using the following formula:</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920" w:right="100" w:hanging="445"/>
        <w:spacing w:after="0" w:line="277" w:lineRule="auto"/>
        <w:tabs>
          <w:tab w:leader="none" w:pos="190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274" w:right="239" w:bottom="1440" w:gutter="0" w:footer="0" w:header="0"/>
          <w:type w:val="continuous"/>
        </w:sectPr>
      </w:pPr>
    </w:p>
    <w:bookmarkStart w:id="514" w:name="page515"/>
    <w:bookmarkEnd w:id="514"/>
    <w:p>
      <w:pPr>
        <w:ind w:left="460" w:right="3260" w:firstLine="1016"/>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921"/>
        <w:spacing w:after="0" w:line="271" w:lineRule="auto"/>
        <w:tabs>
          <w:tab w:leader="none" w:pos="1157"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merger, consolidation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40" w:firstLine="921"/>
        <w:spacing w:after="0" w:line="257" w:lineRule="auto"/>
        <w:tabs>
          <w:tab w:leader="none" w:pos="1168"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140" w:firstLine="921"/>
        <w:spacing w:after="0" w:line="257" w:lineRule="auto"/>
        <w:tabs>
          <w:tab w:leader="none" w:pos="1158"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515" w:name="page516"/>
    <w:bookmarkEnd w:id="51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ind w:right="120" w:firstLine="921"/>
        <w:spacing w:after="0" w:line="279" w:lineRule="auto"/>
        <w:tabs>
          <w:tab w:leader="none" w:pos="1168" w:val="left"/>
        </w:tabs>
        <w:numPr>
          <w:ilvl w:val="1"/>
          <w:numId w:val="488"/>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921"/>
        <w:spacing w:after="0" w:line="285" w:lineRule="auto"/>
        <w:tabs>
          <w:tab w:leader="none" w:pos="1158" w:val="left"/>
        </w:tabs>
        <w:numPr>
          <w:ilvl w:val="1"/>
          <w:numId w:val="488"/>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other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88" w:lineRule="exact"/>
        <w:rPr>
          <w:sz w:val="20"/>
          <w:szCs w:val="20"/>
          <w:color w:val="auto"/>
        </w:rPr>
      </w:pPr>
    </w:p>
    <w:p>
      <w:pPr>
        <w:ind w:left="3480" w:hanging="187"/>
        <w:spacing w:after="0"/>
        <w:tabs>
          <w:tab w:leader="none" w:pos="3480" w:val="left"/>
        </w:tabs>
        <w:numPr>
          <w:ilvl w:val="0"/>
          <w:numId w:val="490"/>
        </w:numPr>
        <w:rPr>
          <w:rFonts w:ascii="Arial" w:cs="Arial" w:eastAsia="Arial" w:hAnsi="Arial"/>
          <w:sz w:val="18"/>
          <w:szCs w:val="18"/>
          <w:b w:val="1"/>
          <w:bCs w:val="1"/>
          <w:color w:val="auto"/>
        </w:rPr>
      </w:pPr>
      <w:r>
        <w:rPr>
          <w:rFonts w:ascii="Arial" w:cs="Arial" w:eastAsia="Arial" w:hAnsi="Arial"/>
          <w:sz w:val="18"/>
          <w:szCs w:val="18"/>
          <w:color w:val="auto"/>
        </w:rPr>
        <w:t>ADJUSTMENTS TO THE SHARES AND WARRANT PRICE.</w:t>
      </w:r>
    </w:p>
    <w:p>
      <w:pPr>
        <w:spacing w:after="0" w:line="2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3" w:right="259" w:bottom="1440" w:gutter="0" w:footer="0" w:header="0"/>
        </w:sectPr>
      </w:pPr>
    </w:p>
    <w:bookmarkStart w:id="516" w:name="page517"/>
    <w:bookmarkEnd w:id="516"/>
    <w:p>
      <w:pPr>
        <w:ind w:right="40" w:firstLine="1484"/>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8" w:lineRule="exact"/>
        <w:rPr>
          <w:sz w:val="20"/>
          <w:szCs w:val="20"/>
          <w:color w:val="auto"/>
        </w:rPr>
      </w:pPr>
    </w:p>
    <w:p>
      <w:pPr>
        <w:ind w:right="20" w:firstLine="1484"/>
        <w:spacing w:after="0" w:line="272"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2" w:lineRule="exact"/>
        <w:rPr>
          <w:sz w:val="20"/>
          <w:szCs w:val="20"/>
          <w:color w:val="auto"/>
        </w:rPr>
      </w:pPr>
    </w:p>
    <w:p>
      <w:pPr>
        <w:jc w:val="both"/>
        <w:ind w:right="240" w:firstLine="1484"/>
        <w:spacing w:after="0" w:line="314"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2" w:lineRule="exact"/>
        <w:rPr>
          <w:sz w:val="20"/>
          <w:szCs w:val="20"/>
          <w:color w:val="auto"/>
        </w:rPr>
      </w:pPr>
    </w:p>
    <w:p>
      <w:pPr>
        <w:ind w:right="140" w:firstLine="1484"/>
        <w:spacing w:after="0" w:line="261"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484"/>
        <w:spacing w:after="0" w:line="303"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5" w:lineRule="exact"/>
        <w:rPr>
          <w:sz w:val="20"/>
          <w:szCs w:val="20"/>
          <w:color w:val="auto"/>
        </w:rPr>
      </w:pPr>
    </w:p>
    <w:p>
      <w:pPr>
        <w:ind w:left="3400" w:hanging="189"/>
        <w:spacing w:after="0"/>
        <w:tabs>
          <w:tab w:leader="none" w:pos="3400" w:val="left"/>
        </w:tabs>
        <w:numPr>
          <w:ilvl w:val="0"/>
          <w:numId w:val="491"/>
        </w:numPr>
        <w:rPr>
          <w:rFonts w:ascii="Arial" w:cs="Arial" w:eastAsia="Arial" w:hAnsi="Arial"/>
          <w:sz w:val="18"/>
          <w:szCs w:val="18"/>
          <w:b w:val="1"/>
          <w:bCs w:val="1"/>
          <w:color w:val="auto"/>
        </w:rPr>
      </w:pPr>
      <w:r>
        <w:rPr>
          <w:rFonts w:ascii="Arial" w:cs="Arial" w:eastAsia="Arial" w:hAnsi="Arial"/>
          <w:sz w:val="18"/>
          <w:szCs w:val="18"/>
          <w:color w:val="auto"/>
        </w:rPr>
        <w:t>REPRESENTATIONS AND COVENANTS OF THE COMPANY.</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9" w:lineRule="exact"/>
        <w:rPr>
          <w:sz w:val="20"/>
          <w:szCs w:val="20"/>
          <w:color w:val="auto"/>
        </w:rPr>
      </w:pPr>
    </w:p>
    <w:p>
      <w:pPr>
        <w:jc w:val="both"/>
        <w:ind w:firstLine="1492"/>
        <w:spacing w:after="0" w:line="264" w:lineRule="auto"/>
        <w:tabs>
          <w:tab w:leader="none" w:pos="172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 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492"/>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0" w:right="259" w:bottom="1440" w:gutter="0" w:footer="0" w:header="0"/>
        </w:sectPr>
      </w:pPr>
    </w:p>
    <w:bookmarkStart w:id="517" w:name="page518"/>
    <w:bookmarkEnd w:id="51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Company’s capitalization table attached hereto as Schedule 1 is true and complete, in all material respects, as of the Issue Date.</w:t>
      </w: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9" w:lineRule="exact"/>
        <w:rPr>
          <w:sz w:val="20"/>
          <w:szCs w:val="20"/>
          <w:color w:val="auto"/>
        </w:rPr>
      </w:pPr>
    </w:p>
    <w:p>
      <w:pPr>
        <w:ind w:right="260" w:firstLine="1492"/>
        <w:spacing w:after="0" w:line="277" w:lineRule="auto"/>
        <w:tabs>
          <w:tab w:leader="none" w:pos="172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492"/>
        <w:spacing w:after="0" w:line="277" w:lineRule="auto"/>
        <w:tabs>
          <w:tab w:leader="none" w:pos="173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Class;</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120" w:firstLine="1948"/>
        <w:spacing w:after="0" w:line="264" w:lineRule="auto"/>
        <w:tabs>
          <w:tab w:leader="none" w:pos="215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20" w:firstLine="1948"/>
        <w:spacing w:after="0" w:line="264" w:lineRule="auto"/>
        <w:tabs>
          <w:tab w:leader="none" w:pos="220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60" w:firstLine="1948"/>
        <w:spacing w:after="0" w:line="277" w:lineRule="auto"/>
        <w:tabs>
          <w:tab w:leader="none" w:pos="225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3620" w:hanging="184"/>
        <w:spacing w:after="0"/>
        <w:tabs>
          <w:tab w:leader="none" w:pos="3620" w:val="left"/>
        </w:tabs>
        <w:numPr>
          <w:ilvl w:val="0"/>
          <w:numId w:val="495"/>
        </w:numPr>
        <w:rPr>
          <w:rFonts w:ascii="Arial" w:cs="Arial" w:eastAsia="Arial" w:hAnsi="Arial"/>
          <w:sz w:val="18"/>
          <w:szCs w:val="18"/>
          <w:b w:val="1"/>
          <w:bCs w:val="1"/>
          <w:color w:val="auto"/>
        </w:rPr>
      </w:pPr>
      <w:r>
        <w:rPr>
          <w:rFonts w:ascii="Arial" w:cs="Arial" w:eastAsia="Arial" w:hAnsi="Arial"/>
          <w:sz w:val="18"/>
          <w:szCs w:val="18"/>
          <w:color w:val="auto"/>
        </w:rPr>
        <w:t>REPRESENTATIONS, WARRANTIES OF THE HOLDER.</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Holder represents and warrants to the Company as follows:</w:t>
      </w:r>
    </w:p>
    <w:p>
      <w:pPr>
        <w:spacing w:after="0" w:line="221" w:lineRule="exact"/>
        <w:rPr>
          <w:sz w:val="20"/>
          <w:szCs w:val="20"/>
          <w:color w:val="auto"/>
        </w:rPr>
      </w:pPr>
    </w:p>
    <w:p>
      <w:pPr>
        <w:ind w:right="20" w:firstLine="1484"/>
        <w:spacing w:after="0" w:line="26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right="40" w:firstLine="1484"/>
        <w:spacing w:after="0" w:line="298"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ectPr>
          <w:pgSz w:w="11900" w:h="16838" w:orient="portrait"/>
          <w:cols w:equalWidth="0" w:num="1">
            <w:col w:w="11420"/>
          </w:cols>
          <w:pgMar w:left="240" w:top="274" w:right="239" w:bottom="1440" w:gutter="0" w:footer="0" w:header="0"/>
        </w:sectPr>
      </w:pPr>
    </w:p>
    <w:bookmarkStart w:id="518" w:name="page519"/>
    <w:bookmarkEnd w:id="518"/>
    <w:p>
      <w:pPr>
        <w:ind w:right="200" w:firstLine="148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40" w:firstLine="1484"/>
        <w:spacing w:after="0" w:line="277"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8" w:lineRule="exact"/>
        <w:rPr>
          <w:sz w:val="20"/>
          <w:szCs w:val="20"/>
          <w:color w:val="auto"/>
        </w:rPr>
      </w:pPr>
    </w:p>
    <w:p>
      <w:pPr>
        <w:jc w:val="both"/>
        <w:ind w:firstLine="1484"/>
        <w:spacing w:after="0" w:line="266"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Third Amended and Restated Investor Rights Agreement by and among the Company and the investors party thereto, dated July 15, 2013 (as such agreement may be amended and restated) or similar agreement.</w:t>
      </w:r>
    </w:p>
    <w:p>
      <w:pPr>
        <w:spacing w:after="0" w:line="176" w:lineRule="exact"/>
        <w:rPr>
          <w:sz w:val="20"/>
          <w:szCs w:val="20"/>
          <w:color w:val="auto"/>
        </w:rPr>
      </w:pPr>
    </w:p>
    <w:p>
      <w:pPr>
        <w:jc w:val="both"/>
        <w:ind w:right="20" w:firstLine="1484"/>
        <w:spacing w:after="0" w:line="282"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in this Warrant, will not be considered a stockholder for any purpose until the exercise of this Warrant.</w:t>
      </w:r>
    </w:p>
    <w:p>
      <w:pPr>
        <w:spacing w:after="0" w:line="166" w:lineRule="exact"/>
        <w:rPr>
          <w:sz w:val="20"/>
          <w:szCs w:val="20"/>
          <w:color w:val="auto"/>
        </w:rPr>
      </w:pPr>
    </w:p>
    <w:p>
      <w:pPr>
        <w:ind w:left="5040" w:hanging="188"/>
        <w:spacing w:after="0"/>
        <w:tabs>
          <w:tab w:leader="none" w:pos="5040" w:val="left"/>
        </w:tabs>
        <w:numPr>
          <w:ilvl w:val="0"/>
          <w:numId w:val="496"/>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9" w:lineRule="exact"/>
        <w:rPr>
          <w:sz w:val="20"/>
          <w:szCs w:val="20"/>
          <w:color w:val="auto"/>
        </w:rPr>
      </w:pPr>
    </w:p>
    <w:p>
      <w:pPr>
        <w:ind w:right="60" w:firstLine="1492"/>
        <w:spacing w:after="0" w:line="277" w:lineRule="auto"/>
        <w:tabs>
          <w:tab w:leader="none" w:pos="1728"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160" w:firstLine="1484"/>
        <w:spacing w:after="0" w:line="282"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shall be imprinted with a legend in substantially the following form:</w:t>
      </w:r>
    </w:p>
    <w:p>
      <w:pPr>
        <w:spacing w:after="0" w:line="166" w:lineRule="exact"/>
        <w:rPr>
          <w:sz w:val="20"/>
          <w:szCs w:val="20"/>
          <w:color w:val="auto"/>
        </w:rPr>
      </w:pPr>
    </w:p>
    <w:p>
      <w:pPr>
        <w:ind w:left="1500" w:right="1740"/>
        <w:spacing w:after="0" w:line="25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DECEMBER __, 2016, MAY NOT BE OFFERED, SOLD, PLEDGED OR</w:t>
      </w:r>
    </w:p>
    <w:p>
      <w:pPr>
        <w:sectPr>
          <w:pgSz w:w="11900" w:h="16838" w:orient="portrait"/>
          <w:cols w:equalWidth="0" w:num="1">
            <w:col w:w="11400"/>
          </w:cols>
          <w:pgMar w:left="240" w:top="270" w:right="259" w:bottom="1440" w:gutter="0" w:footer="0" w:header="0"/>
        </w:sectPr>
      </w:pPr>
    </w:p>
    <w:bookmarkStart w:id="519" w:name="page520"/>
    <w:bookmarkEnd w:id="519"/>
    <w:p>
      <w:pPr>
        <w:ind w:left="1500" w:right="16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TRANSFERRED UNLESS AND UNTIL REGISTERED UNDER SAID ACT AND LAWS OR, IN THE OPINION OF LEGAL COUNSEL IN FORM AND SUBSTANCE SATISFACTORY TO THE ISSUER, SUCH OFFER, SALE, PLEDGE OR OTHER TRANSFER IS EXEMPT FROM SUCH REGISTRATION.</w:t>
      </w:r>
    </w:p>
    <w:p>
      <w:pPr>
        <w:spacing w:after="0" w:line="166" w:lineRule="exact"/>
        <w:rPr>
          <w:sz w:val="20"/>
          <w:szCs w:val="20"/>
          <w:color w:val="auto"/>
        </w:rPr>
      </w:pPr>
    </w:p>
    <w:p>
      <w:pPr>
        <w:ind w:left="1500" w:right="158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5"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8" w:lineRule="exact"/>
        <w:rPr>
          <w:sz w:val="20"/>
          <w:szCs w:val="20"/>
          <w:color w:val="auto"/>
        </w:rPr>
      </w:pPr>
    </w:p>
    <w:p>
      <w:pPr>
        <w:ind w:right="140" w:firstLine="1484"/>
        <w:spacing w:after="0" w:line="293"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effective (i) when given personally, (ii) on the third (3rd) Business Day after being mailed by first-class registered or certified mail, postage prepaid,</w:t>
      </w:r>
    </w:p>
    <w:p>
      <w:pPr>
        <w:spacing w:after="0" w:line="1" w:lineRule="exact"/>
        <w:rPr>
          <w:sz w:val="20"/>
          <w:szCs w:val="20"/>
          <w:color w:val="auto"/>
        </w:rPr>
      </w:pPr>
    </w:p>
    <w:p>
      <w:pPr>
        <w:jc w:val="both"/>
        <w:ind w:right="160" w:firstLine="8"/>
        <w:spacing w:after="0" w:line="295" w:lineRule="auto"/>
        <w:tabs>
          <w:tab w:leader="none" w:pos="315" w:val="left"/>
        </w:tabs>
        <w:numPr>
          <w:ilvl w:val="0"/>
          <w:numId w:val="498"/>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ectPr>
          <w:pgSz w:w="11900" w:h="16838" w:orient="portrait"/>
          <w:cols w:equalWidth="0" w:num="1">
            <w:col w:w="11420"/>
          </w:cols>
          <w:pgMar w:left="240" w:top="274" w:right="239" w:bottom="1440" w:gutter="0" w:footer="0" w:header="0"/>
        </w:sectPr>
      </w:pPr>
    </w:p>
    <w:bookmarkStart w:id="520" w:name="page521"/>
    <w:bookmarkEnd w:id="520"/>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Silicon Valley Bank</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 Email: hsuria@anaptysbio.com</w:t>
      </w:r>
    </w:p>
    <w:p>
      <w:pPr>
        <w:spacing w:after="0" w:line="211"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07" w:lineRule="exact"/>
        <w:rPr>
          <w:sz w:val="20"/>
          <w:szCs w:val="20"/>
          <w:color w:val="auto"/>
        </w:rPr>
      </w:pPr>
    </w:p>
    <w:p>
      <w:pPr>
        <w:ind w:right="320" w:firstLine="1484"/>
        <w:spacing w:after="0" w:line="266"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ind w:right="580" w:firstLine="1484"/>
        <w:spacing w:after="0" w:line="347"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prevailing in such dispute shall be entitled to collect from the other party all costs incurred in such dispute, including reasonable attorneys’ fees.</w:t>
      </w:r>
    </w:p>
    <w:p>
      <w:pPr>
        <w:spacing w:after="0" w:line="116"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ind w:right="380" w:firstLine="1484"/>
        <w:spacing w:after="0" w:line="282" w:lineRule="auto"/>
        <w:rPr>
          <w:sz w:val="20"/>
          <w:szCs w:val="20"/>
          <w:color w:val="auto"/>
        </w:rPr>
      </w:pPr>
      <w:r>
        <w:rPr>
          <w:rFonts w:ascii="Arial" w:cs="Arial" w:eastAsia="Arial" w:hAnsi="Arial"/>
          <w:sz w:val="18"/>
          <w:szCs w:val="18"/>
          <w:b w:val="1"/>
          <w:bCs w:val="1"/>
          <w:color w:val="auto"/>
        </w:rPr>
        <w:t xml:space="preserve">9.9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its principles regarding conflicts of law.</w:t>
      </w:r>
    </w:p>
    <w:p>
      <w:pPr>
        <w:spacing w:after="0" w:line="162" w:lineRule="exact"/>
        <w:rPr>
          <w:sz w:val="20"/>
          <w:szCs w:val="20"/>
          <w:color w:val="auto"/>
        </w:rPr>
      </w:pPr>
    </w:p>
    <w:p>
      <w:pPr>
        <w:ind w:right="80" w:firstLine="1484"/>
        <w:spacing w:after="0" w:line="282" w:lineRule="auto"/>
        <w:rPr>
          <w:sz w:val="20"/>
          <w:szCs w:val="20"/>
          <w:color w:val="auto"/>
        </w:rPr>
      </w:pPr>
      <w:r>
        <w:rPr>
          <w:rFonts w:ascii="Arial" w:cs="Arial" w:eastAsia="Arial" w:hAnsi="Arial"/>
          <w:sz w:val="18"/>
          <w:szCs w:val="18"/>
          <w:b w:val="1"/>
          <w:bCs w:val="1"/>
          <w:color w:val="auto"/>
        </w:rPr>
        <w:t xml:space="preserve">9.10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9.11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3" w:right="239" w:bottom="1440" w:gutter="0" w:footer="0" w:header="0"/>
        </w:sectPr>
      </w:pPr>
    </w:p>
    <w:bookmarkStart w:id="521" w:name="page522"/>
    <w:bookmarkEnd w:id="52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1240"/>
          </w:cols>
          <w:pgMar w:left="240" w:top="274" w:right="419" w:bottom="1440" w:gutter="0" w:footer="0" w:header="0"/>
        </w:sectPr>
      </w:pPr>
    </w:p>
    <w:bookmarkStart w:id="522" w:name="page523"/>
    <w:bookmarkEnd w:id="522"/>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3"/>
          </w:tcPr>
          <w:p>
            <w:pPr>
              <w:jc w:val="center"/>
              <w:ind w:right="1780"/>
              <w:spacing w:after="0"/>
              <w:rPr>
                <w:sz w:val="20"/>
                <w:szCs w:val="20"/>
                <w:color w:val="auto"/>
              </w:rPr>
            </w:pPr>
            <w:r>
              <w:rPr>
                <w:rFonts w:ascii="Arial" w:cs="Arial" w:eastAsia="Arial" w:hAnsi="Arial"/>
                <w:sz w:val="18"/>
                <w:szCs w:val="18"/>
                <w:color w:val="auto"/>
                <w:w w:val="96"/>
              </w:rPr>
              <w:t>APPENDIX 1</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color w:val="auto"/>
                <w:w w:val="90"/>
              </w:rPr>
              <w:t>4. The undersigned Holder hereby exercises its right to purchase</w:t>
            </w:r>
          </w:p>
        </w:tc>
        <w:tc>
          <w:tcPr>
            <w:tcW w:w="720" w:type="dxa"/>
            <w:vAlign w:val="bottom"/>
            <w:tcBorders>
              <w:bottom w:val="single" w:sz="8" w:color="auto"/>
            </w:tcBorders>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w w:val="89"/>
              </w:rPr>
              <w:t>shares of the Common/Series</w:t>
            </w:r>
          </w:p>
        </w:tc>
        <w:tc>
          <w:tcPr>
            <w:tcW w:w="540" w:type="dxa"/>
            <w:vAlign w:val="bottom"/>
            <w:tcBorders>
              <w:bottom w:val="single" w:sz="8" w:color="auto"/>
            </w:tcBorders>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w w:val="91"/>
              </w:rPr>
              <w:t>Preferred [circle one] Stock of</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8"/>
          <w:szCs w:val="18"/>
          <w:color w:val="auto"/>
        </w:rPr>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w w:val="89"/>
              </w:rPr>
              <w:t>check in the amount of $</w:t>
            </w:r>
          </w:p>
        </w:tc>
        <w:tc>
          <w:tcPr>
            <w:tcW w:w="540" w:type="dxa"/>
            <w:vAlign w:val="bottom"/>
            <w:tcBorders>
              <w:bottom w:val="single" w:sz="8" w:color="auto"/>
            </w:tcBorders>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w w:val="90"/>
              </w:rPr>
              <w:t>payable to order of the Company enclosed herewith</w:t>
            </w:r>
          </w:p>
        </w:tc>
      </w:tr>
      <w:tr>
        <w:trPr>
          <w:trHeight w:val="35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Wire transfer of immediately available funds to the Company’s account</w:t>
            </w:r>
          </w:p>
        </w:tc>
      </w:tr>
    </w:tbl>
    <w:p>
      <w:pPr>
        <w:spacing w:after="0" w:line="107" w:lineRule="exact"/>
        <w:rPr>
          <w:sz w:val="20"/>
          <w:szCs w:val="20"/>
          <w:color w:val="auto"/>
        </w:rPr>
      </w:pPr>
    </w:p>
    <w:p>
      <w:pPr>
        <w:ind w:left="700" w:hanging="246"/>
        <w:spacing w:after="0"/>
        <w:tabs>
          <w:tab w:leader="none" w:pos="7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20"/>
          </w:cols>
          <w:pgMar w:left="240" w:top="273" w:right="339" w:bottom="1440" w:gutter="0" w:footer="0" w:header="0"/>
        </w:sectPr>
      </w:pPr>
    </w:p>
    <w:bookmarkStart w:id="523" w:name="page524"/>
    <w:bookmarkEnd w:id="5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00"/>
          </w:cols>
          <w:pgMar w:left="240" w:top="273"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144,231 (Subject to Section 1.7 )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$0.65 per share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2026 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among Oxford Finance LLC, as Lender and Collateral Agent, the Lenders from time to time party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Silicon Valley Bank, and the Company (as modified, amended and/or restated from time to time, the “</w:t>
      </w:r>
      <w:r>
        <w:rPr>
          <w:rFonts w:ascii="Arial" w:cs="Arial" w:eastAsia="Arial" w:hAnsi="Arial"/>
          <w:sz w:val="17"/>
          <w:szCs w:val="17"/>
          <w:b w:val="1"/>
          <w:bCs w:val="1"/>
          <w:color w:val="auto"/>
        </w:rPr>
        <w:t>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60" w:space="520"/>
            <w:col w:w="9320"/>
          </w:cols>
          <w:pgMar w:left="240" w:top="273" w:right="259" w:bottom="1440" w:gutter="0" w:footer="0" w:header="0"/>
          <w:type w:val="continuous"/>
        </w:sectPr>
      </w:pPr>
    </w:p>
    <w:p>
      <w:pPr>
        <w:spacing w:after="0" w:line="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THIS WARRANT CERTIFIES THAT, for good and valuable consideration, OXFORD FINANCE LLC (</w:t>
      </w:r>
      <w:r>
        <w:rPr>
          <w:rFonts w:ascii="Arial" w:cs="Arial" w:eastAsia="Arial" w:hAnsi="Arial"/>
          <w:sz w:val="18"/>
          <w:szCs w:val="18"/>
          <w:b w:val="1"/>
          <w:bCs w:val="1"/>
          <w:color w:val="auto"/>
        </w:rPr>
        <w:t>“Oxford</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00" w:firstLine="1484"/>
        <w:spacing w:after="0" w:line="30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X =  the number of Shares to be issued to the Holder;</w:t>
      </w:r>
    </w:p>
    <w:p>
      <w:pPr>
        <w:spacing w:after="0" w:line="252" w:lineRule="exact"/>
        <w:rPr>
          <w:sz w:val="20"/>
          <w:szCs w:val="20"/>
          <w:color w:val="auto"/>
        </w:rPr>
      </w:pPr>
    </w:p>
    <w:p>
      <w:pPr>
        <w:ind w:left="2380" w:right="540" w:hanging="441"/>
        <w:spacing w:after="0" w:line="277" w:lineRule="auto"/>
        <w:tabs>
          <w:tab w:leader="none" w:pos="214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the number of Shares with respect to which this Warrant is being exercised (inclusive of the Shares surrendered to the Company in payment of the aggregate Warrant Price);</w:t>
      </w:r>
    </w:p>
    <w:p>
      <w:pPr>
        <w:sectPr>
          <w:pgSz w:w="11900" w:h="16838" w:orient="portrait"/>
          <w:cols w:equalWidth="0" w:num="1">
            <w:col w:w="11400"/>
          </w:cols>
          <w:pgMar w:left="240" w:top="273" w:right="259" w:bottom="1440" w:gutter="0" w:footer="0" w:header="0"/>
          <w:type w:val="continuous"/>
        </w:sectPr>
      </w:pPr>
    </w:p>
    <w:bookmarkStart w:id="524" w:name="page525"/>
    <w:bookmarkEnd w:id="524"/>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jc w:val="both"/>
        <w:ind w:right="260" w:firstLine="1484"/>
        <w:spacing w:after="0" w:line="286"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merger, consolidation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525" w:name="page526"/>
    <w:bookmarkEnd w:id="52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503"/>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20" w:firstLine="1492"/>
        <w:spacing w:after="0" w:line="285" w:lineRule="auto"/>
        <w:tabs>
          <w:tab w:leader="none" w:pos="1728" w:val="left"/>
        </w:tabs>
        <w:numPr>
          <w:ilvl w:val="1"/>
          <w:numId w:val="503"/>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other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88" w:lineRule="exact"/>
        <w:rPr>
          <w:sz w:val="20"/>
          <w:szCs w:val="20"/>
          <w:color w:val="auto"/>
        </w:rPr>
      </w:pPr>
    </w:p>
    <w:p>
      <w:pPr>
        <w:ind w:left="3520" w:hanging="272"/>
        <w:spacing w:after="0"/>
        <w:tabs>
          <w:tab w:leader="none" w:pos="3520" w:val="left"/>
        </w:tabs>
        <w:numPr>
          <w:ilvl w:val="0"/>
          <w:numId w:val="505"/>
        </w:numPr>
        <w:rPr>
          <w:rFonts w:ascii="Arial" w:cs="Arial" w:eastAsia="Arial" w:hAnsi="Arial"/>
          <w:sz w:val="18"/>
          <w:szCs w:val="18"/>
          <w:b w:val="1"/>
          <w:bCs w:val="1"/>
          <w:color w:val="auto"/>
        </w:rPr>
      </w:pPr>
      <w:r>
        <w:rPr>
          <w:rFonts w:ascii="Arial" w:cs="Arial" w:eastAsia="Arial" w:hAnsi="Arial"/>
          <w:sz w:val="18"/>
          <w:szCs w:val="18"/>
          <w:color w:val="auto"/>
        </w:rPr>
        <w:t>ADJUSTMENTS TO THE SHARES AND WARRANT PRICE.</w:t>
      </w:r>
    </w:p>
    <w:p>
      <w:pPr>
        <w:spacing w:after="0" w:line="221"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3" w:right="259" w:bottom="1440" w:gutter="0" w:footer="0" w:header="0"/>
        </w:sectPr>
      </w:pPr>
    </w:p>
    <w:bookmarkStart w:id="526" w:name="page527"/>
    <w:bookmarkEnd w:id="526"/>
    <w:p>
      <w:pPr>
        <w:ind w:right="40" w:firstLine="1484"/>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8" w:lineRule="exact"/>
        <w:rPr>
          <w:sz w:val="20"/>
          <w:szCs w:val="20"/>
          <w:color w:val="auto"/>
        </w:rPr>
      </w:pPr>
    </w:p>
    <w:p>
      <w:pPr>
        <w:ind w:right="20" w:firstLine="1484"/>
        <w:spacing w:after="0" w:line="272"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2" w:lineRule="exact"/>
        <w:rPr>
          <w:sz w:val="20"/>
          <w:szCs w:val="20"/>
          <w:color w:val="auto"/>
        </w:rPr>
      </w:pPr>
    </w:p>
    <w:p>
      <w:pPr>
        <w:ind w:right="140" w:firstLine="1484"/>
        <w:spacing w:after="0" w:line="314"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2" w:lineRule="exact"/>
        <w:rPr>
          <w:sz w:val="20"/>
          <w:szCs w:val="20"/>
          <w:color w:val="auto"/>
        </w:rPr>
      </w:pPr>
    </w:p>
    <w:p>
      <w:pPr>
        <w:ind w:right="60" w:firstLine="1484"/>
        <w:spacing w:after="0" w:line="261"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160" w:firstLine="1484"/>
        <w:spacing w:after="0" w:line="303"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5" w:lineRule="exact"/>
        <w:rPr>
          <w:sz w:val="20"/>
          <w:szCs w:val="20"/>
          <w:color w:val="auto"/>
        </w:rPr>
      </w:pPr>
    </w:p>
    <w:p>
      <w:pPr>
        <w:ind w:left="3440" w:hanging="269"/>
        <w:spacing w:after="0"/>
        <w:tabs>
          <w:tab w:leader="none" w:pos="344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REPRESENTATIONS AND COVENANTS OF THE COMPANY.</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9" w:lineRule="exact"/>
        <w:rPr>
          <w:sz w:val="20"/>
          <w:szCs w:val="20"/>
          <w:color w:val="auto"/>
        </w:rPr>
      </w:pPr>
    </w:p>
    <w:p>
      <w:pPr>
        <w:jc w:val="both"/>
        <w:ind w:firstLine="1492"/>
        <w:spacing w:after="0" w:line="264" w:lineRule="auto"/>
        <w:tabs>
          <w:tab w:leader="none" w:pos="1728"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 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0" w:right="259" w:bottom="1440" w:gutter="0" w:footer="0" w:header="0"/>
        </w:sectPr>
      </w:pPr>
    </w:p>
    <w:bookmarkStart w:id="527" w:name="page528"/>
    <w:bookmarkEnd w:id="52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Company’s capitalization table attached hereto as Schedule 1 is true and complete, in all material respects, as of the Issue Date.</w:t>
      </w: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9" w:lineRule="exact"/>
        <w:rPr>
          <w:sz w:val="20"/>
          <w:szCs w:val="20"/>
          <w:color w:val="auto"/>
        </w:rPr>
      </w:pPr>
    </w:p>
    <w:p>
      <w:pPr>
        <w:ind w:right="260" w:firstLine="1492"/>
        <w:spacing w:after="0" w:line="277" w:lineRule="auto"/>
        <w:tabs>
          <w:tab w:leader="none" w:pos="172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492"/>
        <w:spacing w:after="0" w:line="277" w:lineRule="auto"/>
        <w:tabs>
          <w:tab w:leader="none" w:pos="173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Class;</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right="120" w:firstLine="1948"/>
        <w:spacing w:after="0" w:line="264" w:lineRule="auto"/>
        <w:tabs>
          <w:tab w:leader="none" w:pos="215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20" w:firstLine="1948"/>
        <w:spacing w:after="0" w:line="264" w:lineRule="auto"/>
        <w:tabs>
          <w:tab w:leader="none" w:pos="220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60" w:firstLine="1948"/>
        <w:spacing w:after="0" w:line="277" w:lineRule="auto"/>
        <w:tabs>
          <w:tab w:leader="none" w:pos="225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3660" w:hanging="269"/>
        <w:spacing w:after="0"/>
        <w:tabs>
          <w:tab w:leader="none" w:pos="3660"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REPRESENTATIONS, WARRANTIES OF THE HOLDER.</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Holder represents and warrants to the Company as follows:</w:t>
      </w:r>
    </w:p>
    <w:p>
      <w:pPr>
        <w:spacing w:after="0" w:line="221"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w:t>
      </w:r>
      <w:r>
        <w:rPr>
          <w:rFonts w:ascii="Arial" w:cs="Arial" w:eastAsia="Arial" w:hAnsi="Arial"/>
          <w:sz w:val="18"/>
          <w:szCs w:val="18"/>
          <w:b w:val="1"/>
          <w:bCs w:val="1"/>
          <w:color w:val="auto"/>
        </w:rPr>
        <w:t xml:space="preserve"> </w:t>
      </w:r>
      <w:r>
        <w:rPr>
          <w:rFonts w:ascii="Arial" w:cs="Arial" w:eastAsia="Arial" w:hAnsi="Arial"/>
          <w:sz w:val="18"/>
          <w:szCs w:val="18"/>
          <w:color w:val="auto"/>
        </w:rPr>
        <w:t>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ectPr>
          <w:pgSz w:w="11900" w:h="16838" w:orient="portrait"/>
          <w:cols w:equalWidth="0" w:num="1">
            <w:col w:w="11420"/>
          </w:cols>
          <w:pgMar w:left="240" w:top="273" w:right="239" w:bottom="1440" w:gutter="0" w:footer="0" w:header="0"/>
        </w:sectPr>
      </w:pPr>
    </w:p>
    <w:bookmarkStart w:id="528" w:name="page529"/>
    <w:bookmarkEnd w:id="528"/>
    <w:p>
      <w:pPr>
        <w:ind w:right="120" w:firstLine="148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w:t>
      </w:r>
      <w:r>
        <w:rPr>
          <w:rFonts w:ascii="Arial" w:cs="Arial" w:eastAsia="Arial" w:hAnsi="Arial"/>
          <w:sz w:val="17"/>
          <w:szCs w:val="17"/>
          <w:b w:val="1"/>
          <w:bCs w:val="1"/>
          <w:color w:val="auto"/>
        </w:rPr>
        <w:t xml:space="preserve"> </w:t>
      </w:r>
      <w:r>
        <w:rPr>
          <w:rFonts w:ascii="Arial" w:cs="Arial" w:eastAsia="Arial" w:hAnsi="Arial"/>
          <w:sz w:val="17"/>
          <w:szCs w:val="17"/>
          <w:color w:val="auto"/>
        </w:rPr>
        <w:t>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8" w:lineRule="exact"/>
        <w:rPr>
          <w:sz w:val="20"/>
          <w:szCs w:val="20"/>
          <w:color w:val="auto"/>
        </w:rPr>
      </w:pPr>
    </w:p>
    <w:p>
      <w:pPr>
        <w:jc w:val="both"/>
        <w:ind w:firstLine="1484"/>
        <w:spacing w:after="0" w:line="266"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Third Amended and Restated Investor Rights Agreement by and among the Company and the investors party thereto, dated July 15, 2013 (as such agreement may be amended and restated) or similar agreement.</w:t>
      </w:r>
    </w:p>
    <w:p>
      <w:pPr>
        <w:spacing w:after="0" w:line="176" w:lineRule="exact"/>
        <w:rPr>
          <w:sz w:val="20"/>
          <w:szCs w:val="20"/>
          <w:color w:val="auto"/>
        </w:rPr>
      </w:pPr>
    </w:p>
    <w:p>
      <w:pPr>
        <w:ind w:right="120" w:firstLine="1484"/>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expressly set forth in this Warrant, will not be considered a stockholder for any purpose until the exercise of this Warrant.</w:t>
      </w:r>
    </w:p>
    <w:p>
      <w:pPr>
        <w:spacing w:after="0" w:line="166" w:lineRule="exact"/>
        <w:rPr>
          <w:sz w:val="20"/>
          <w:szCs w:val="20"/>
          <w:color w:val="auto"/>
        </w:rPr>
      </w:pPr>
    </w:p>
    <w:p>
      <w:pPr>
        <w:ind w:left="5080" w:hanging="273"/>
        <w:spacing w:after="0"/>
        <w:tabs>
          <w:tab w:leader="none" w:pos="5080" w:val="left"/>
        </w:tabs>
        <w:numPr>
          <w:ilvl w:val="0"/>
          <w:numId w:val="511"/>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9" w:lineRule="exact"/>
        <w:rPr>
          <w:sz w:val="20"/>
          <w:szCs w:val="20"/>
          <w:color w:val="auto"/>
        </w:rPr>
      </w:pPr>
    </w:p>
    <w:p>
      <w:pPr>
        <w:ind w:right="60" w:firstLine="1492"/>
        <w:spacing w:after="0" w:line="277" w:lineRule="auto"/>
        <w:tabs>
          <w:tab w:leader="none" w:pos="1728"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80" w:firstLine="1484"/>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shall be imprinted with a legend in substantially the following form:</w:t>
      </w:r>
    </w:p>
    <w:p>
      <w:pPr>
        <w:spacing w:after="0" w:line="58" w:lineRule="exact"/>
        <w:rPr>
          <w:sz w:val="20"/>
          <w:szCs w:val="20"/>
          <w:color w:val="auto"/>
        </w:rPr>
      </w:pPr>
    </w:p>
    <w:p>
      <w:pPr>
        <w:ind w:left="1500" w:right="1740"/>
        <w:spacing w:after="0" w:line="25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DECEMBER __, 2016, MAY NOT BE OFFERED, SOLD, PLEDGED OR</w:t>
      </w:r>
    </w:p>
    <w:p>
      <w:pPr>
        <w:sectPr>
          <w:pgSz w:w="11900" w:h="16838" w:orient="portrait"/>
          <w:cols w:equalWidth="0" w:num="1">
            <w:col w:w="11400"/>
          </w:cols>
          <w:pgMar w:left="240" w:top="270" w:right="259" w:bottom="1440" w:gutter="0" w:footer="0" w:header="0"/>
        </w:sectPr>
      </w:pPr>
    </w:p>
    <w:bookmarkStart w:id="529" w:name="page530"/>
    <w:bookmarkEnd w:id="529"/>
    <w:p>
      <w:pPr>
        <w:ind w:left="1500" w:right="15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TRANSFERRED UNLESS AND UNTIL REGISTERED UNDER SAID ACT AND LAWS OR, IN THE OPINION OF LEGAL COUNSEL IN FORM AND SUBSTANCE SATISFACTORY TO THE ISSUER, SUCH OFFER, SALE, PLEDGE OR OTHER TRANSFER IS EXEMPT FROM SUCH REGISTRATION.</w:t>
      </w:r>
    </w:p>
    <w:p>
      <w:pPr>
        <w:spacing w:after="0" w:line="57" w:lineRule="exact"/>
        <w:rPr>
          <w:sz w:val="20"/>
          <w:szCs w:val="20"/>
          <w:color w:val="auto"/>
        </w:rPr>
      </w:pPr>
    </w:p>
    <w:p>
      <w:pPr>
        <w:ind w:left="1500" w:right="152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right="40" w:firstLine="1484"/>
        <w:spacing w:after="0" w:line="289" w:lineRule="auto"/>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Oxford of the executed Warrant, Oxford may transfer all or part of this Warrant to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of Oxford’s affiliates (each, an “</w:t>
      </w:r>
      <w:r>
        <w:rPr>
          <w:rFonts w:ascii="Arial" w:cs="Arial" w:eastAsia="Arial" w:hAnsi="Arial"/>
          <w:sz w:val="16"/>
          <w:szCs w:val="16"/>
          <w:b w:val="1"/>
          <w:bCs w:val="1"/>
          <w:color w:val="auto"/>
        </w:rPr>
        <w:t>Oxford Affiliate</w:t>
      </w:r>
      <w:r>
        <w:rPr>
          <w:rFonts w:ascii="Arial" w:cs="Arial" w:eastAsia="Arial" w:hAnsi="Arial"/>
          <w:sz w:val="16"/>
          <w:szCs w:val="16"/>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1" w:lineRule="exact"/>
        <w:rPr>
          <w:sz w:val="20"/>
          <w:szCs w:val="20"/>
          <w:color w:val="auto"/>
        </w:rPr>
      </w:pPr>
    </w:p>
    <w:p>
      <w:pPr>
        <w:ind w:firstLine="1484"/>
        <w:spacing w:after="0" w:line="293"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effective (i) when given personally, (ii) on the third (3rd) Business Day after being mailed by first-class registered or certified mail, postage prepaid,</w:t>
      </w:r>
    </w:p>
    <w:p>
      <w:pPr>
        <w:spacing w:after="0" w:line="1" w:lineRule="exact"/>
        <w:rPr>
          <w:sz w:val="20"/>
          <w:szCs w:val="20"/>
          <w:color w:val="auto"/>
        </w:rPr>
      </w:pPr>
    </w:p>
    <w:p>
      <w:pPr>
        <w:jc w:val="both"/>
        <w:ind w:right="100" w:firstLine="8"/>
        <w:spacing w:after="0" w:line="295" w:lineRule="auto"/>
        <w:tabs>
          <w:tab w:leader="none" w:pos="315" w:val="left"/>
        </w:tabs>
        <w:numPr>
          <w:ilvl w:val="0"/>
          <w:numId w:val="513"/>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ectPr>
          <w:pgSz w:w="11900" w:h="16838" w:orient="portrait"/>
          <w:cols w:equalWidth="0" w:num="1">
            <w:col w:w="11360"/>
          </w:cols>
          <w:pgMar w:left="240" w:top="274" w:right="299" w:bottom="1440" w:gutter="0" w:footer="0" w:header="0"/>
        </w:sectPr>
      </w:pPr>
    </w:p>
    <w:bookmarkStart w:id="530" w:name="page531"/>
    <w:bookmarkEnd w:id="530"/>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hsuria@anaptysbio.com</w:t>
      </w:r>
    </w:p>
    <w:p>
      <w:pPr>
        <w:spacing w:after="0" w:line="211"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07" w:lineRule="exact"/>
        <w:rPr>
          <w:sz w:val="20"/>
          <w:szCs w:val="20"/>
          <w:color w:val="auto"/>
        </w:rPr>
      </w:pPr>
    </w:p>
    <w:p>
      <w:pPr>
        <w:jc w:val="both"/>
        <w:ind w:right="320" w:firstLine="1484"/>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ind w:right="480" w:firstLine="1484"/>
        <w:spacing w:after="0" w:line="347"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prevailing in such dispute shall be entitled to collect from the other party all costs incurred in such dispute, including reasonable attorneys’ fees.</w:t>
      </w:r>
    </w:p>
    <w:p>
      <w:pPr>
        <w:spacing w:after="0" w:line="116"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ind w:right="300" w:firstLine="1484"/>
        <w:spacing w:after="0" w:line="28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its principles regarding conflicts of law.</w:t>
      </w:r>
    </w:p>
    <w:p>
      <w:pPr>
        <w:spacing w:after="0" w:line="162" w:lineRule="exact"/>
        <w:rPr>
          <w:sz w:val="20"/>
          <w:szCs w:val="20"/>
          <w:color w:val="auto"/>
        </w:rPr>
      </w:pPr>
    </w:p>
    <w:p>
      <w:pPr>
        <w:ind w:right="300" w:firstLine="1484"/>
        <w:spacing w:after="0" w:line="282" w:lineRule="auto"/>
        <w:rPr>
          <w:sz w:val="20"/>
          <w:szCs w:val="20"/>
          <w:color w:val="auto"/>
        </w:rPr>
      </w:pPr>
      <w:r>
        <w:rPr>
          <w:rFonts w:ascii="Arial" w:cs="Arial" w:eastAsia="Arial" w:hAnsi="Arial"/>
          <w:sz w:val="18"/>
          <w:szCs w:val="18"/>
          <w:b w:val="1"/>
          <w:bCs w:val="1"/>
          <w:color w:val="auto"/>
        </w:rPr>
        <w:t xml:space="preserve">13.10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Warrant.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13.11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Banks in California are closed.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531" w:name="page532"/>
    <w:bookmarkEnd w:id="53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1240"/>
          </w:cols>
          <w:pgMar w:left="240" w:top="274" w:right="419" w:bottom="1440" w:gutter="0" w:footer="0" w:header="0"/>
        </w:sectPr>
      </w:pPr>
    </w:p>
    <w:bookmarkStart w:id="532" w:name="page533"/>
    <w:bookmarkEnd w:id="532"/>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3"/>
          </w:tcPr>
          <w:p>
            <w:pPr>
              <w:jc w:val="center"/>
              <w:ind w:right="1780"/>
              <w:spacing w:after="0"/>
              <w:rPr>
                <w:sz w:val="20"/>
                <w:szCs w:val="20"/>
                <w:color w:val="auto"/>
              </w:rPr>
            </w:pPr>
            <w:r>
              <w:rPr>
                <w:rFonts w:ascii="Arial" w:cs="Arial" w:eastAsia="Arial" w:hAnsi="Arial"/>
                <w:sz w:val="18"/>
                <w:szCs w:val="18"/>
                <w:color w:val="auto"/>
                <w:w w:val="96"/>
              </w:rPr>
              <w:t>APPENDIX 1</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color w:val="auto"/>
                <w:w w:val="90"/>
              </w:rPr>
              <w:t>7. The undersigned Holder hereby exercises its right to purchase</w:t>
            </w:r>
          </w:p>
        </w:tc>
        <w:tc>
          <w:tcPr>
            <w:tcW w:w="720" w:type="dxa"/>
            <w:vAlign w:val="bottom"/>
            <w:tcBorders>
              <w:bottom w:val="single" w:sz="8" w:color="auto"/>
            </w:tcBorders>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w w:val="89"/>
              </w:rPr>
              <w:t>shares of the Common/Series</w:t>
            </w:r>
          </w:p>
        </w:tc>
        <w:tc>
          <w:tcPr>
            <w:tcW w:w="540" w:type="dxa"/>
            <w:vAlign w:val="bottom"/>
            <w:tcBorders>
              <w:bottom w:val="single" w:sz="8" w:color="auto"/>
            </w:tcBorders>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w w:val="91"/>
              </w:rPr>
              <w:t>Preferred [circle one] Stock of</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8"/>
          <w:szCs w:val="18"/>
          <w:color w:val="auto"/>
        </w:rPr>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w w:val="89"/>
              </w:rPr>
              <w:t>check in the amount of $</w:t>
            </w:r>
          </w:p>
        </w:tc>
        <w:tc>
          <w:tcPr>
            <w:tcW w:w="540" w:type="dxa"/>
            <w:vAlign w:val="bottom"/>
            <w:tcBorders>
              <w:bottom w:val="single" w:sz="8" w:color="auto"/>
            </w:tcBorders>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w w:val="90"/>
              </w:rPr>
              <w:t>payable to order of the Company enclosed herewith</w:t>
            </w:r>
          </w:p>
        </w:tc>
      </w:tr>
      <w:tr>
        <w:trPr>
          <w:trHeight w:val="35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Wire transfer of immediately available funds to the Company’s account</w:t>
            </w:r>
          </w:p>
        </w:tc>
      </w:tr>
    </w:tbl>
    <w:p>
      <w:pPr>
        <w:spacing w:after="0" w:line="107" w:lineRule="exact"/>
        <w:rPr>
          <w:sz w:val="20"/>
          <w:szCs w:val="20"/>
          <w:color w:val="auto"/>
        </w:rPr>
      </w:pPr>
    </w:p>
    <w:p>
      <w:pPr>
        <w:ind w:left="700" w:hanging="246"/>
        <w:spacing w:after="0"/>
        <w:tabs>
          <w:tab w:leader="none" w:pos="7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20"/>
          </w:cols>
          <w:pgMar w:left="240" w:top="273" w:right="339" w:bottom="1440" w:gutter="0" w:footer="0" w:header="0"/>
        </w:sectPr>
      </w:pPr>
    </w:p>
    <w:bookmarkStart w:id="533" w:name="page534"/>
    <w:bookmarkEnd w:id="53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52"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10947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10947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28"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that certain Warrant to Purchase Stock issued by 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on December 24, 2014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Section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534" w:name="page535"/>
    <w:bookmarkEnd w:id="53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00"/>
          </w:cols>
          <w:pgMar w:left="240" w:top="273"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144,231 (Subject to Section 1.7 )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$0.65 per share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__, 2026 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among Oxford Finance LLC, as Lender and Collateral Agent, the Lenders from time to time party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Silicon Valley Bank, and the Company (as modified, amended and/or restated from time to time, the “</w:t>
      </w:r>
      <w:r>
        <w:rPr>
          <w:rFonts w:ascii="Arial" w:cs="Arial" w:eastAsia="Arial" w:hAnsi="Arial"/>
          <w:sz w:val="17"/>
          <w:szCs w:val="17"/>
          <w:b w:val="1"/>
          <w:bCs w:val="1"/>
          <w:color w:val="auto"/>
        </w:rPr>
        <w:t>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60" w:space="620"/>
            <w:col w:w="9220"/>
          </w:cols>
          <w:pgMar w:left="240" w:top="273" w:right="259" w:bottom="1440" w:gutter="0" w:footer="0" w:header="0"/>
          <w:type w:val="continuous"/>
        </w:sectPr>
      </w:pPr>
    </w:p>
    <w:p>
      <w:pPr>
        <w:spacing w:after="0" w:line="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00" w:firstLine="1484"/>
        <w:spacing w:after="0" w:line="30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X =  the number of Shares to be issued to the Holder;</w:t>
      </w:r>
    </w:p>
    <w:p>
      <w:pPr>
        <w:spacing w:after="0" w:line="252" w:lineRule="exact"/>
        <w:rPr>
          <w:sz w:val="20"/>
          <w:szCs w:val="20"/>
          <w:color w:val="auto"/>
        </w:rPr>
      </w:pPr>
    </w:p>
    <w:p>
      <w:pPr>
        <w:ind w:left="2380" w:right="540" w:hanging="441"/>
        <w:spacing w:after="0" w:line="277" w:lineRule="auto"/>
        <w:tabs>
          <w:tab w:leader="none" w:pos="214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the number of Shares with respect to which this Warrant is being exercised (inclusive of the Shares surrendered to the Company in payment of the aggregate Warrant Price);</w:t>
      </w:r>
    </w:p>
    <w:p>
      <w:pPr>
        <w:sectPr>
          <w:pgSz w:w="11900" w:h="16838" w:orient="portrait"/>
          <w:cols w:equalWidth="0" w:num="1">
            <w:col w:w="11400"/>
          </w:cols>
          <w:pgMar w:left="240" w:top="273" w:right="259" w:bottom="1440" w:gutter="0" w:footer="0" w:header="0"/>
          <w:type w:val="continuous"/>
        </w:sectPr>
      </w:pPr>
    </w:p>
    <w:bookmarkStart w:id="535" w:name="page536"/>
    <w:bookmarkEnd w:id="535"/>
    <w:p>
      <w:pPr>
        <w:ind w:left="2380" w:hanging="441"/>
        <w:spacing w:after="0"/>
        <w:tabs>
          <w:tab w:leader="none" w:pos="23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the Fair Market Value (as determined pursuant to Section 1.3 below) of one Share; and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jc w:val="both"/>
        <w:ind w:right="260" w:firstLine="1484"/>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merger, consolidation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536" w:name="page537"/>
    <w:bookmarkEnd w:id="536"/>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51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20" w:firstLine="1492"/>
        <w:spacing w:after="0" w:line="285" w:lineRule="auto"/>
        <w:tabs>
          <w:tab w:leader="none" w:pos="1728" w:val="left"/>
        </w:tabs>
        <w:numPr>
          <w:ilvl w:val="1"/>
          <w:numId w:val="519"/>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other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88" w:lineRule="exact"/>
        <w:rPr>
          <w:sz w:val="20"/>
          <w:szCs w:val="20"/>
          <w:color w:val="auto"/>
        </w:rPr>
      </w:pPr>
    </w:p>
    <w:p>
      <w:pPr>
        <w:ind w:left="3520" w:hanging="272"/>
        <w:spacing w:after="0"/>
        <w:tabs>
          <w:tab w:leader="none" w:pos="3520" w:val="left"/>
        </w:tabs>
        <w:numPr>
          <w:ilvl w:val="0"/>
          <w:numId w:val="521"/>
        </w:numPr>
        <w:rPr>
          <w:rFonts w:ascii="Arial" w:cs="Arial" w:eastAsia="Arial" w:hAnsi="Arial"/>
          <w:sz w:val="18"/>
          <w:szCs w:val="18"/>
          <w:b w:val="1"/>
          <w:bCs w:val="1"/>
          <w:color w:val="auto"/>
        </w:rPr>
      </w:pPr>
      <w:r>
        <w:rPr>
          <w:rFonts w:ascii="Arial" w:cs="Arial" w:eastAsia="Arial" w:hAnsi="Arial"/>
          <w:sz w:val="18"/>
          <w:szCs w:val="18"/>
          <w:color w:val="auto"/>
        </w:rPr>
        <w:t>ADJUSTMENTS TO THE SHARES AND WARRANT PRICE.</w:t>
      </w:r>
    </w:p>
    <w:p>
      <w:pPr>
        <w:spacing w:after="0" w:line="221"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537" w:name="page538"/>
    <w:bookmarkEnd w:id="537"/>
    <w:p>
      <w:pPr>
        <w:ind w:right="40" w:firstLine="1484"/>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8" w:lineRule="exact"/>
        <w:rPr>
          <w:sz w:val="20"/>
          <w:szCs w:val="20"/>
          <w:color w:val="auto"/>
        </w:rPr>
      </w:pPr>
    </w:p>
    <w:p>
      <w:pPr>
        <w:ind w:right="20" w:firstLine="1484"/>
        <w:spacing w:after="0" w:line="272"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2" w:lineRule="exact"/>
        <w:rPr>
          <w:sz w:val="20"/>
          <w:szCs w:val="20"/>
          <w:color w:val="auto"/>
        </w:rPr>
      </w:pPr>
    </w:p>
    <w:p>
      <w:pPr>
        <w:ind w:right="140" w:firstLine="1484"/>
        <w:spacing w:after="0" w:line="314" w:lineRule="auto"/>
        <w:rPr>
          <w:sz w:val="20"/>
          <w:szCs w:val="20"/>
          <w:color w:val="auto"/>
        </w:rPr>
      </w:pPr>
      <w:r>
        <w:rPr>
          <w:rFonts w:ascii="Arial" w:cs="Arial" w:eastAsia="Arial" w:hAnsi="Arial"/>
          <w:sz w:val="16"/>
          <w:szCs w:val="16"/>
          <w:b w:val="1"/>
          <w:bCs w:val="1"/>
          <w:color w:val="auto"/>
        </w:rPr>
        <w:t xml:space="preserve">14.4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2" w:lineRule="exact"/>
        <w:rPr>
          <w:sz w:val="20"/>
          <w:szCs w:val="20"/>
          <w:color w:val="auto"/>
        </w:rPr>
      </w:pPr>
    </w:p>
    <w:p>
      <w:pPr>
        <w:ind w:right="60" w:firstLine="1484"/>
        <w:spacing w:after="0" w:line="261"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160" w:firstLine="1484"/>
        <w:spacing w:after="0" w:line="303"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5" w:lineRule="exact"/>
        <w:rPr>
          <w:sz w:val="20"/>
          <w:szCs w:val="20"/>
          <w:color w:val="auto"/>
        </w:rPr>
      </w:pPr>
    </w:p>
    <w:p>
      <w:pPr>
        <w:ind w:left="3440" w:hanging="274"/>
        <w:spacing w:after="0"/>
        <w:tabs>
          <w:tab w:leader="none" w:pos="3440" w:val="left"/>
        </w:tabs>
        <w:numPr>
          <w:ilvl w:val="0"/>
          <w:numId w:val="522"/>
        </w:numPr>
        <w:rPr>
          <w:rFonts w:ascii="Arial" w:cs="Arial" w:eastAsia="Arial" w:hAnsi="Arial"/>
          <w:sz w:val="18"/>
          <w:szCs w:val="18"/>
          <w:b w:val="1"/>
          <w:bCs w:val="1"/>
          <w:color w:val="auto"/>
        </w:rPr>
      </w:pPr>
      <w:r>
        <w:rPr>
          <w:rFonts w:ascii="Arial" w:cs="Arial" w:eastAsia="Arial" w:hAnsi="Arial"/>
          <w:sz w:val="18"/>
          <w:szCs w:val="18"/>
          <w:color w:val="auto"/>
        </w:rPr>
        <w:t>REPRESENTATIONS AND COVENANTS OF THE COMPANY.</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9" w:lineRule="exact"/>
        <w:rPr>
          <w:sz w:val="20"/>
          <w:szCs w:val="20"/>
          <w:color w:val="auto"/>
        </w:rPr>
      </w:pPr>
    </w:p>
    <w:p>
      <w:pPr>
        <w:jc w:val="both"/>
        <w:ind w:firstLine="1492"/>
        <w:spacing w:after="0" w:line="264" w:lineRule="auto"/>
        <w:tabs>
          <w:tab w:leader="none" w:pos="1728"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 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69" w:right="259" w:bottom="1440" w:gutter="0" w:footer="0" w:header="0"/>
        </w:sectPr>
      </w:pPr>
    </w:p>
    <w:bookmarkStart w:id="538" w:name="page539"/>
    <w:bookmarkEnd w:id="538"/>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Company’s capitalization table attached hereto as Schedule 1 is true and complete, in all material respects, as of the Issue Date.</w:t>
      </w: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9" w:lineRule="exact"/>
        <w:rPr>
          <w:sz w:val="20"/>
          <w:szCs w:val="20"/>
          <w:color w:val="auto"/>
        </w:rPr>
      </w:pPr>
    </w:p>
    <w:p>
      <w:pPr>
        <w:ind w:right="260" w:firstLine="1492"/>
        <w:spacing w:after="0" w:line="277" w:lineRule="auto"/>
        <w:tabs>
          <w:tab w:leader="none" w:pos="1728" w:val="left"/>
        </w:tabs>
        <w:numPr>
          <w:ilvl w:val="0"/>
          <w:numId w:val="52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492"/>
        <w:spacing w:after="0" w:line="277" w:lineRule="auto"/>
        <w:tabs>
          <w:tab w:leader="none" w:pos="1738" w:val="left"/>
        </w:tabs>
        <w:numPr>
          <w:ilvl w:val="0"/>
          <w:numId w:val="524"/>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Class;</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120" w:firstLine="1948"/>
        <w:spacing w:after="0" w:line="264" w:lineRule="auto"/>
        <w:tabs>
          <w:tab w:leader="none" w:pos="215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20" w:firstLine="1948"/>
        <w:spacing w:after="0" w:line="264" w:lineRule="auto"/>
        <w:tabs>
          <w:tab w:leader="none" w:pos="220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60" w:firstLine="1948"/>
        <w:spacing w:after="0" w:line="277" w:lineRule="auto"/>
        <w:tabs>
          <w:tab w:leader="none" w:pos="225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3660" w:hanging="269"/>
        <w:spacing w:after="0"/>
        <w:tabs>
          <w:tab w:leader="none" w:pos="3660" w:val="left"/>
        </w:tabs>
        <w:numPr>
          <w:ilvl w:val="0"/>
          <w:numId w:val="526"/>
        </w:numPr>
        <w:rPr>
          <w:rFonts w:ascii="Arial" w:cs="Arial" w:eastAsia="Arial" w:hAnsi="Arial"/>
          <w:sz w:val="18"/>
          <w:szCs w:val="18"/>
          <w:b w:val="1"/>
          <w:bCs w:val="1"/>
          <w:color w:val="auto"/>
        </w:rPr>
      </w:pPr>
      <w:r>
        <w:rPr>
          <w:rFonts w:ascii="Arial" w:cs="Arial" w:eastAsia="Arial" w:hAnsi="Arial"/>
          <w:sz w:val="18"/>
          <w:szCs w:val="18"/>
          <w:color w:val="auto"/>
        </w:rPr>
        <w:t>REPRESENTATIONS, WARRANTIES OF THE HOLDER.</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Holder represents and warrants to the Company as follows:</w:t>
      </w:r>
    </w:p>
    <w:p>
      <w:pPr>
        <w:spacing w:after="0" w:line="221"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w:t>
      </w:r>
      <w:r>
        <w:rPr>
          <w:rFonts w:ascii="Arial" w:cs="Arial" w:eastAsia="Arial" w:hAnsi="Arial"/>
          <w:sz w:val="18"/>
          <w:szCs w:val="18"/>
          <w:b w:val="1"/>
          <w:bCs w:val="1"/>
          <w:color w:val="auto"/>
        </w:rPr>
        <w:t xml:space="preserve"> </w:t>
      </w:r>
      <w:r>
        <w:rPr>
          <w:rFonts w:ascii="Arial" w:cs="Arial" w:eastAsia="Arial" w:hAnsi="Arial"/>
          <w:sz w:val="18"/>
          <w:szCs w:val="18"/>
          <w:color w:val="auto"/>
        </w:rPr>
        <w:t>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ectPr>
          <w:pgSz w:w="11900" w:h="16838" w:orient="portrait"/>
          <w:cols w:equalWidth="0" w:num="1">
            <w:col w:w="11420"/>
          </w:cols>
          <w:pgMar w:left="240" w:top="273" w:right="239" w:bottom="1440" w:gutter="0" w:footer="0" w:header="0"/>
        </w:sectPr>
      </w:pPr>
    </w:p>
    <w:bookmarkStart w:id="539" w:name="page540"/>
    <w:bookmarkEnd w:id="539"/>
    <w:p>
      <w:pPr>
        <w:ind w:right="120" w:firstLine="148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w:t>
      </w:r>
      <w:r>
        <w:rPr>
          <w:rFonts w:ascii="Arial" w:cs="Arial" w:eastAsia="Arial" w:hAnsi="Arial"/>
          <w:sz w:val="17"/>
          <w:szCs w:val="17"/>
          <w:b w:val="1"/>
          <w:bCs w:val="1"/>
          <w:color w:val="auto"/>
        </w:rPr>
        <w:t xml:space="preserve"> </w:t>
      </w:r>
      <w:r>
        <w:rPr>
          <w:rFonts w:ascii="Arial" w:cs="Arial" w:eastAsia="Arial" w:hAnsi="Arial"/>
          <w:sz w:val="17"/>
          <w:szCs w:val="17"/>
          <w:color w:val="auto"/>
        </w:rPr>
        <w:t>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8" w:lineRule="exact"/>
        <w:rPr>
          <w:sz w:val="20"/>
          <w:szCs w:val="20"/>
          <w:color w:val="auto"/>
        </w:rPr>
      </w:pPr>
    </w:p>
    <w:p>
      <w:pPr>
        <w:jc w:val="both"/>
        <w:ind w:firstLine="1484"/>
        <w:spacing w:after="0" w:line="266"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Third Amended and Restated Investor Rights Agreement by and among the Company and the investors party thereto, dated July 15, 2013 (as such agreement may be amended and restated) or similar agreement.</w:t>
      </w:r>
    </w:p>
    <w:p>
      <w:pPr>
        <w:spacing w:after="0" w:line="176" w:lineRule="exact"/>
        <w:rPr>
          <w:sz w:val="20"/>
          <w:szCs w:val="20"/>
          <w:color w:val="auto"/>
        </w:rPr>
      </w:pPr>
    </w:p>
    <w:p>
      <w:pPr>
        <w:ind w:right="120" w:firstLine="1484"/>
        <w:spacing w:after="0" w:line="282"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expressly set forth in this Warrant, will not be considered a stockholder for any purpose until the exercise of this Warrant.</w:t>
      </w:r>
    </w:p>
    <w:p>
      <w:pPr>
        <w:spacing w:after="0" w:line="166" w:lineRule="exact"/>
        <w:rPr>
          <w:sz w:val="20"/>
          <w:szCs w:val="20"/>
          <w:color w:val="auto"/>
        </w:rPr>
      </w:pPr>
    </w:p>
    <w:p>
      <w:pPr>
        <w:ind w:left="5080" w:hanging="273"/>
        <w:spacing w:after="0"/>
        <w:tabs>
          <w:tab w:leader="none" w:pos="5080" w:val="left"/>
        </w:tabs>
        <w:numPr>
          <w:ilvl w:val="0"/>
          <w:numId w:val="527"/>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9" w:lineRule="exact"/>
        <w:rPr>
          <w:sz w:val="20"/>
          <w:szCs w:val="20"/>
          <w:color w:val="auto"/>
        </w:rPr>
      </w:pPr>
    </w:p>
    <w:p>
      <w:pPr>
        <w:ind w:right="60" w:firstLine="1492"/>
        <w:spacing w:after="0" w:line="277" w:lineRule="auto"/>
        <w:tabs>
          <w:tab w:leader="none" w:pos="1728"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80" w:firstLine="1484"/>
        <w:spacing w:after="0" w:line="28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shall be imprinted with a legend in substantially the following form:</w:t>
      </w:r>
    </w:p>
    <w:p>
      <w:pPr>
        <w:spacing w:after="0" w:line="166" w:lineRule="exact"/>
        <w:rPr>
          <w:sz w:val="20"/>
          <w:szCs w:val="20"/>
          <w:color w:val="auto"/>
        </w:rPr>
      </w:pPr>
    </w:p>
    <w:p>
      <w:pPr>
        <w:ind w:left="1500" w:right="1740"/>
        <w:spacing w:after="0" w:line="25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DECEMBER __, 2016, MAY NOT BE OFFERED, SOLD, PLEDGED OR</w:t>
      </w:r>
    </w:p>
    <w:p>
      <w:pPr>
        <w:sectPr>
          <w:pgSz w:w="11900" w:h="16838" w:orient="portrait"/>
          <w:cols w:equalWidth="0" w:num="1">
            <w:col w:w="11400"/>
          </w:cols>
          <w:pgMar w:left="240" w:top="270" w:right="259" w:bottom="1440" w:gutter="0" w:footer="0" w:header="0"/>
        </w:sectPr>
      </w:pPr>
    </w:p>
    <w:bookmarkStart w:id="540" w:name="page541"/>
    <w:bookmarkEnd w:id="540"/>
    <w:p>
      <w:pPr>
        <w:ind w:left="1500" w:right="15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TRANSFERRED UNLESS AND UNTIL REGISTERED UNDER SAID ACT AND LAWS OR, IN THE OPINION OF LEGAL COUNSEL IN FORM AND SUBSTANCE SATISFACTORY TO THE ISSUER, SUCH OFFER, SALE, PLEDGE OR OTHER TRANSFER IS EXEMPT FROM SUCH REGISTRATION.</w:t>
      </w:r>
    </w:p>
    <w:p>
      <w:pPr>
        <w:spacing w:after="0" w:line="166" w:lineRule="exact"/>
        <w:rPr>
          <w:sz w:val="20"/>
          <w:szCs w:val="20"/>
          <w:color w:val="auto"/>
        </w:rPr>
      </w:pPr>
    </w:p>
    <w:p>
      <w:pPr>
        <w:ind w:left="1500" w:right="152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right="40" w:firstLine="1484"/>
        <w:spacing w:after="0" w:line="289"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Oxford of the executed Warrant, Oxford may transfer all or part of this Warrant to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of Oxford’s affiliates (each, an “</w:t>
      </w:r>
      <w:r>
        <w:rPr>
          <w:rFonts w:ascii="Arial" w:cs="Arial" w:eastAsia="Arial" w:hAnsi="Arial"/>
          <w:sz w:val="16"/>
          <w:szCs w:val="16"/>
          <w:b w:val="1"/>
          <w:bCs w:val="1"/>
          <w:color w:val="auto"/>
        </w:rPr>
        <w:t>Oxford Affiliate</w:t>
      </w:r>
      <w:r>
        <w:rPr>
          <w:rFonts w:ascii="Arial" w:cs="Arial" w:eastAsia="Arial" w:hAnsi="Arial"/>
          <w:sz w:val="16"/>
          <w:szCs w:val="16"/>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1" w:lineRule="exact"/>
        <w:rPr>
          <w:sz w:val="20"/>
          <w:szCs w:val="20"/>
          <w:color w:val="auto"/>
        </w:rPr>
      </w:pPr>
    </w:p>
    <w:p>
      <w:pPr>
        <w:ind w:firstLine="1484"/>
        <w:spacing w:after="0" w:line="293" w:lineRule="auto"/>
        <w:rPr>
          <w:sz w:val="20"/>
          <w:szCs w:val="20"/>
          <w:color w:val="auto"/>
        </w:rPr>
      </w:pPr>
      <w:r>
        <w:rPr>
          <w:rFonts w:ascii="Arial" w:cs="Arial" w:eastAsia="Arial" w:hAnsi="Arial"/>
          <w:sz w:val="16"/>
          <w:szCs w:val="16"/>
          <w:b w:val="1"/>
          <w:bCs w:val="1"/>
          <w:color w:val="auto"/>
        </w:rPr>
        <w:t xml:space="preserve">17.5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effective (i) when given personally, (ii) on the third (3rd) Business Day after being mailed by first-class registered or certified mail, postage prepaid,</w:t>
      </w:r>
    </w:p>
    <w:p>
      <w:pPr>
        <w:spacing w:after="0" w:line="1" w:lineRule="exact"/>
        <w:rPr>
          <w:sz w:val="20"/>
          <w:szCs w:val="20"/>
          <w:color w:val="auto"/>
        </w:rPr>
      </w:pPr>
    </w:p>
    <w:p>
      <w:pPr>
        <w:jc w:val="both"/>
        <w:ind w:right="100" w:firstLine="8"/>
        <w:spacing w:after="0" w:line="295" w:lineRule="auto"/>
        <w:tabs>
          <w:tab w:leader="none" w:pos="315" w:val="left"/>
        </w:tabs>
        <w:numPr>
          <w:ilvl w:val="0"/>
          <w:numId w:val="529"/>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ectPr>
          <w:pgSz w:w="11900" w:h="16838" w:orient="portrait"/>
          <w:cols w:equalWidth="0" w:num="1">
            <w:col w:w="11360"/>
          </w:cols>
          <w:pgMar w:left="240" w:top="274" w:right="299" w:bottom="1440" w:gutter="0" w:footer="0" w:header="0"/>
        </w:sectPr>
      </w:pPr>
    </w:p>
    <w:bookmarkStart w:id="541" w:name="page542"/>
    <w:bookmarkEnd w:id="54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Silicon Valley Bank</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 Email: hsuria@anaptysbio.com</w:t>
      </w:r>
    </w:p>
    <w:p>
      <w:pPr>
        <w:spacing w:after="0" w:line="211"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07" w:lineRule="exact"/>
        <w:rPr>
          <w:sz w:val="20"/>
          <w:szCs w:val="20"/>
          <w:color w:val="auto"/>
        </w:rPr>
      </w:pPr>
    </w:p>
    <w:p>
      <w:pPr>
        <w:jc w:val="both"/>
        <w:ind w:right="320" w:firstLine="1484"/>
        <w:spacing w:after="0" w:line="266"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ind w:right="480" w:firstLine="1484"/>
        <w:spacing w:after="0" w:line="347"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prevailing in such dispute shall be entitled to collect from the other party all costs incurred in such dispute, including reasonable attorneys’ fees.</w:t>
      </w:r>
    </w:p>
    <w:p>
      <w:pPr>
        <w:spacing w:after="0" w:line="116"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ind w:right="300" w:firstLine="1484"/>
        <w:spacing w:after="0" w:line="282"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its principles regarding conflicts of law.</w:t>
      </w:r>
    </w:p>
    <w:p>
      <w:pPr>
        <w:spacing w:after="0" w:line="162" w:lineRule="exact"/>
        <w:rPr>
          <w:sz w:val="20"/>
          <w:szCs w:val="20"/>
          <w:color w:val="auto"/>
        </w:rPr>
      </w:pPr>
    </w:p>
    <w:p>
      <w:pPr>
        <w:ind w:right="300" w:firstLine="1484"/>
        <w:spacing w:after="0" w:line="282" w:lineRule="auto"/>
        <w:rPr>
          <w:sz w:val="20"/>
          <w:szCs w:val="20"/>
          <w:color w:val="auto"/>
        </w:rPr>
      </w:pPr>
      <w:r>
        <w:rPr>
          <w:rFonts w:ascii="Arial" w:cs="Arial" w:eastAsia="Arial" w:hAnsi="Arial"/>
          <w:sz w:val="18"/>
          <w:szCs w:val="18"/>
          <w:b w:val="1"/>
          <w:bCs w:val="1"/>
          <w:color w:val="auto"/>
        </w:rPr>
        <w:t xml:space="preserve">17.10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Warrant.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17.11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542" w:name="page543"/>
    <w:bookmarkEnd w:id="54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1240"/>
          </w:cols>
          <w:pgMar w:left="240" w:top="273" w:right="419" w:bottom="1440" w:gutter="0" w:footer="0" w:header="0"/>
        </w:sectPr>
      </w:pPr>
    </w:p>
    <w:bookmarkStart w:id="543" w:name="page544"/>
    <w:bookmarkEnd w:id="543"/>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gridSpan w:val="4"/>
          </w:tcPr>
          <w:p>
            <w:pPr>
              <w:jc w:val="center"/>
              <w:ind w:right="1940"/>
              <w:spacing w:after="0"/>
              <w:rPr>
                <w:sz w:val="20"/>
                <w:szCs w:val="20"/>
                <w:color w:val="auto"/>
              </w:rPr>
            </w:pPr>
            <w:r>
              <w:rPr>
                <w:rFonts w:ascii="Arial" w:cs="Arial" w:eastAsia="Arial" w:hAnsi="Arial"/>
                <w:sz w:val="18"/>
                <w:szCs w:val="18"/>
                <w:color w:val="auto"/>
                <w:w w:val="96"/>
              </w:rPr>
              <w:t>APPENDIX 1</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NOTICE OF EXERCISE</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2"/>
        </w:trPr>
        <w:tc>
          <w:tcPr>
            <w:tcW w:w="4740" w:type="dxa"/>
            <w:vAlign w:val="bottom"/>
            <w:gridSpan w:val="2"/>
          </w:tcPr>
          <w:p>
            <w:pPr>
              <w:spacing w:after="0"/>
              <w:rPr>
                <w:sz w:val="20"/>
                <w:szCs w:val="20"/>
                <w:color w:val="auto"/>
              </w:rPr>
            </w:pPr>
            <w:r>
              <w:rPr>
                <w:rFonts w:ascii="Arial" w:cs="Arial" w:eastAsia="Arial" w:hAnsi="Arial"/>
                <w:sz w:val="18"/>
                <w:szCs w:val="18"/>
                <w:color w:val="auto"/>
                <w:w w:val="89"/>
              </w:rPr>
              <w:t>10. The undersigned Holder hereby exercises its right to purchase</w:t>
            </w: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w w:val="89"/>
              </w:rPr>
              <w:t>shares of the Common/Series</w:t>
            </w:r>
          </w:p>
        </w:tc>
        <w:tc>
          <w:tcPr>
            <w:tcW w:w="540" w:type="dxa"/>
            <w:vAlign w:val="bottom"/>
            <w:tcBorders>
              <w:bottom w:val="single" w:sz="8" w:color="auto"/>
            </w:tcBorders>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w w:val="91"/>
              </w:rPr>
              <w:t>Preferred [circle one] Stock of</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8"/>
          <w:szCs w:val="18"/>
          <w:color w:val="auto"/>
        </w:rPr>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w w:val="89"/>
              </w:rPr>
              <w:t>check in the amount of $</w:t>
            </w:r>
          </w:p>
        </w:tc>
        <w:tc>
          <w:tcPr>
            <w:tcW w:w="540" w:type="dxa"/>
            <w:vAlign w:val="bottom"/>
            <w:tcBorders>
              <w:bottom w:val="single" w:sz="8" w:color="auto"/>
            </w:tcBorders>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w w:val="90"/>
              </w:rPr>
              <w:t>payable to order of the Company enclosed herewith</w:t>
            </w:r>
          </w:p>
        </w:tc>
      </w:tr>
      <w:tr>
        <w:trPr>
          <w:trHeight w:val="35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Wire transfer of immediately available funds to the Company’s account</w:t>
            </w:r>
          </w:p>
        </w:tc>
      </w:tr>
    </w:tbl>
    <w:p>
      <w:pPr>
        <w:spacing w:after="0" w:line="107" w:lineRule="exact"/>
        <w:rPr>
          <w:sz w:val="20"/>
          <w:szCs w:val="20"/>
          <w:color w:val="auto"/>
        </w:rPr>
      </w:pPr>
    </w:p>
    <w:p>
      <w:pPr>
        <w:ind w:left="700" w:hanging="246"/>
        <w:spacing w:after="0"/>
        <w:tabs>
          <w:tab w:leader="none" w:pos="7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220" w:firstLine="464"/>
        <w:spacing w:after="0" w:line="277" w:lineRule="auto"/>
        <w:tabs>
          <w:tab w:leader="none" w:pos="72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20"/>
          </w:cols>
          <w:pgMar w:left="240" w:top="273" w:right="339" w:bottom="1440" w:gutter="0" w:footer="0" w:header="0"/>
        </w:sectPr>
      </w:pPr>
    </w:p>
    <w:bookmarkStart w:id="544" w:name="page545"/>
    <w:bookmarkEnd w:id="5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Secured Promissory Notes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545" w:name="page546"/>
    <w:bookmarkEnd w:id="5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B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OXFORD FINANCE LLC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TWO MILLION FIVE HUNDRED THOUSAND DOLLARS ($2,500,000.00) or such lesser amount as shall equal the outstanding principal balance of the Term B Loan made to Borrower by Lender, plus interest on the aggregate unpaid principal amount of such Term B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Principal, interest and all other amounts due with respect to the Term B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B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B Loan, interest on the Term B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ectPr>
          <w:pgSz w:w="11900" w:h="16838" w:orient="portrait"/>
          <w:cols w:equalWidth="0" w:num="1">
            <w:col w:w="11420"/>
          </w:cols>
          <w:pgMar w:left="240" w:top="273" w:right="239" w:bottom="1440" w:gutter="0" w:footer="0" w:header="0"/>
        </w:sectPr>
      </w:pPr>
    </w:p>
    <w:bookmarkStart w:id="546" w:name="page547"/>
    <w:bookmarkEnd w:id="5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Oxford Finance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Term B Loan</w:t>
      </w:r>
    </w:p>
    <w:p>
      <w:pPr>
        <w:sectPr>
          <w:pgSz w:w="11900" w:h="16838" w:orient="portrait"/>
          <w:cols w:equalWidth="0" w:num="1">
            <w:col w:w="10960"/>
          </w:cols>
          <w:pgMar w:left="700" w:top="274" w:right="239" w:bottom="1440" w:gutter="0" w:footer="0" w:header="0"/>
        </w:sectPr>
      </w:pPr>
    </w:p>
    <w:bookmarkStart w:id="547" w:name="page548"/>
    <w:bookmarkEnd w:id="5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48" w:name="page549"/>
    <w:bookmarkEnd w:id="5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B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SILICON VALLEY BANK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TWO MILLION FIVE HUNDRED THOUSAND DOLLARS ($2,500,000.00) or such lesser amount as shall equal the outstanding principal balance of the Term B Loan made to Borrower by Lender, plus interest on the aggregate unpaid principal amount of such Term B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Principal, interest and all other amounts due with respect to the Term B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B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B Loan, interest on the Term B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ectPr>
          <w:pgSz w:w="11900" w:h="16838" w:orient="portrait"/>
          <w:cols w:equalWidth="0" w:num="1">
            <w:col w:w="11420"/>
          </w:cols>
          <w:pgMar w:left="240" w:top="273" w:right="239" w:bottom="1440" w:gutter="0" w:footer="0" w:header="0"/>
        </w:sectPr>
      </w:pPr>
    </w:p>
    <w:bookmarkStart w:id="549" w:name="page550"/>
    <w:bookmarkEnd w:id="5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Silicon Valley Bank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Term B Loan</w:t>
      </w:r>
    </w:p>
    <w:p>
      <w:pPr>
        <w:sectPr>
          <w:pgSz w:w="11900" w:h="16838" w:orient="portrait"/>
          <w:cols w:equalWidth="0" w:num="1">
            <w:col w:w="10960"/>
          </w:cols>
          <w:pgMar w:left="700" w:top="274" w:right="239" w:bottom="1440" w:gutter="0" w:footer="0" w:header="0"/>
        </w:sectPr>
      </w:pPr>
    </w:p>
    <w:bookmarkStart w:id="550" w:name="page551"/>
    <w:bookmarkEnd w:id="5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51" w:name="page552"/>
    <w:bookmarkEnd w:id="5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C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OXFORD FINANCE LLC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TWO MILLION FIVE HUNDRED THOUSAND DOLLARS ($2,500,000.00) or such lesser amount as shall equal the outstanding principal balance of the Term C Loan made to Borrower by Lender, plus interest on the aggregate unpaid principal amount of such Term C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Principal, interest and all other amounts due with respect to the Term 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C Loan, interest on the Term 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ectPr>
          <w:pgSz w:w="11900" w:h="16838" w:orient="portrait"/>
          <w:cols w:equalWidth="0" w:num="1">
            <w:col w:w="11420"/>
          </w:cols>
          <w:pgMar w:left="240" w:top="274" w:right="239" w:bottom="1440" w:gutter="0" w:footer="0" w:header="0"/>
        </w:sectPr>
      </w:pPr>
    </w:p>
    <w:bookmarkStart w:id="552" w:name="page553"/>
    <w:bookmarkEnd w:id="5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Oxford Finance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Term C Loan</w:t>
      </w:r>
    </w:p>
    <w:p>
      <w:pPr>
        <w:sectPr>
          <w:pgSz w:w="11900" w:h="16838" w:orient="portrait"/>
          <w:cols w:equalWidth="0" w:num="1">
            <w:col w:w="10960"/>
          </w:cols>
          <w:pgMar w:left="700" w:top="273" w:right="239" w:bottom="1440" w:gutter="0" w:footer="0" w:header="0"/>
        </w:sectPr>
      </w:pPr>
    </w:p>
    <w:bookmarkStart w:id="553" w:name="page554"/>
    <w:bookmarkEnd w:id="5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54" w:name="page555"/>
    <w:bookmarkEnd w:id="5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SECURED PROMISSORY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C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SILICON VALLEY BANK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TWO MILLION FIVE HUNDRED THOUSAND DOLLARS ($2,500,000.00) or such lesser amount as shall equal the outstanding principal balance of the Term C Loan made to Borrower by Lender, plus interest on the aggregate unpaid principal amount of such Term C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Principal, interest and all other amounts due with respect to the Term 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C Loan, interest on the Term 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ectPr>
          <w:pgSz w:w="11900" w:h="16838" w:orient="portrait"/>
          <w:cols w:equalWidth="0" w:num="1">
            <w:col w:w="11420"/>
          </w:cols>
          <w:pgMar w:left="240" w:top="274" w:right="239" w:bottom="1440" w:gutter="0" w:footer="0" w:header="0"/>
        </w:sectPr>
      </w:pPr>
    </w:p>
    <w:bookmarkStart w:id="555" w:name="page556"/>
    <w:bookmarkEnd w:id="55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Silicon Valley Bank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Term C Loan</w:t>
      </w:r>
    </w:p>
    <w:p>
      <w:pPr>
        <w:sectPr>
          <w:pgSz w:w="11900" w:h="16838" w:orient="portrait"/>
          <w:cols w:equalWidth="0" w:num="1">
            <w:col w:w="10960"/>
          </w:cols>
          <w:pgMar w:left="700" w:top="274" w:right="239" w:bottom="1440" w:gutter="0" w:footer="0" w:header="0"/>
        </w:sectPr>
      </w:pPr>
    </w:p>
    <w:bookmarkStart w:id="556" w:name="page557"/>
    <w:bookmarkEnd w:id="5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57" w:name="page558"/>
    <w:bookmarkEnd w:id="5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Amended and Restated Secured Promissory Notes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69" w:right="1440" w:bottom="1440" w:gutter="0" w:footer="0" w:header="0"/>
        </w:sectPr>
      </w:pPr>
    </w:p>
    <w:bookmarkStart w:id="558" w:name="page559"/>
    <w:bookmarkEnd w:id="55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OXFORD FINANCE LLC (“</w:t>
      </w:r>
      <w:r>
        <w:rPr>
          <w:rFonts w:ascii="Arial" w:cs="Arial" w:eastAsia="Arial" w:hAnsi="Arial"/>
          <w:sz w:val="17"/>
          <w:szCs w:val="17"/>
          <w:b w:val="1"/>
          <w:bCs w:val="1"/>
          <w:color w:val="auto"/>
        </w:rPr>
        <w:t>Lender</w:t>
      </w:r>
      <w:r>
        <w:rPr>
          <w:rFonts w:ascii="Arial" w:cs="Arial" w:eastAsia="Arial" w:hAnsi="Arial"/>
          <w:sz w:val="17"/>
          <w:szCs w:val="17"/>
          <w:color w:val="auto"/>
        </w:rPr>
        <w:t>”), jointly and severally, the principal amount of TWO MILLION FIVE HUNDRED THOUSAND DOLLARS ($2,500,000.00) or such lesser amount as shall equal the outstanding principal balance of the Term A Loan made to Borrower by Lender, plus interest on the aggregate unpaid principal amount of such Term A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Principal, interest and all other amounts due with respect to the Term A Loan, are payable in lawful money of the United States of America to Lender as set forth in the Loan Agreement and this Amended and Restated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 Loan, interest on the Term A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Note is intended to and does completely amend and restate, without novation, that certain Secured Promissory Note issued of December 24, 2014, by the Existing Borrower in favor of Lender.</w:t>
      </w:r>
    </w:p>
    <w:p>
      <w:pPr>
        <w:sectPr>
          <w:pgSz w:w="11900" w:h="16838" w:orient="portrait"/>
          <w:cols w:equalWidth="0" w:num="1">
            <w:col w:w="11420"/>
          </w:cols>
          <w:pgMar w:left="240" w:top="270" w:right="239" w:bottom="1440" w:gutter="0" w:footer="0" w:header="0"/>
        </w:sectPr>
      </w:pPr>
    </w:p>
    <w:bookmarkStart w:id="559" w:name="page560"/>
    <w:bookmarkEnd w:id="5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Oxford Finance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Amended and Restated 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Term A Loan</w:t>
      </w:r>
    </w:p>
    <w:p>
      <w:pPr>
        <w:sectPr>
          <w:pgSz w:w="11900" w:h="16838" w:orient="portrait"/>
          <w:cols w:equalWidth="0" w:num="1">
            <w:col w:w="10960"/>
          </w:cols>
          <w:pgMar w:left="700" w:top="274" w:right="239" w:bottom="1440" w:gutter="0" w:footer="0" w:header="0"/>
        </w:sectPr>
      </w:pPr>
    </w:p>
    <w:bookmarkStart w:id="560" w:name="page561"/>
    <w:bookmarkEnd w:id="5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61" w:name="page562"/>
    <w:bookmarkEnd w:id="56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 Loan)</w:t>
      </w:r>
    </w:p>
    <w:p>
      <w:pPr>
        <w:spacing w:after="0" w:line="238" w:lineRule="exact"/>
        <w:rPr>
          <w:sz w:val="20"/>
          <w:szCs w:val="20"/>
          <w:color w:val="auto"/>
        </w:rPr>
      </w:pPr>
    </w:p>
    <w:p>
      <w:pPr>
        <w:spacing w:after="0"/>
        <w:tabs>
          <w:tab w:leader="none" w:pos="9380" w:val="left"/>
          <w:tab w:leader="none" w:pos="10960" w:val="left"/>
        </w:tabs>
        <w:rPr>
          <w:sz w:val="20"/>
          <w:szCs w:val="20"/>
          <w:color w:val="auto"/>
        </w:rPr>
      </w:pPr>
      <w:r>
        <w:rPr>
          <w:rFonts w:ascii="Arial" w:cs="Arial" w:eastAsia="Arial" w:hAnsi="Arial"/>
          <w:sz w:val="18"/>
          <w:szCs w:val="18"/>
          <w:color w:val="auto"/>
        </w:rPr>
        <w:t>$2,500,000.00</w:t>
      </w:r>
      <w:r>
        <w:rPr>
          <w:sz w:val="20"/>
          <w:szCs w:val="20"/>
          <w:color w:val="auto"/>
        </w:rPr>
        <w:tab/>
      </w: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17145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FOR VALUE RECEIVED, the undersigned, ANAPTYSBIO, INC., a Delaware corporation (the “</w:t>
      </w:r>
      <w:r>
        <w:rPr>
          <w:rFonts w:ascii="Arial" w:cs="Arial" w:eastAsia="Arial" w:hAnsi="Arial"/>
          <w:sz w:val="17"/>
          <w:szCs w:val="17"/>
          <w:b w:val="1"/>
          <w:bCs w:val="1"/>
          <w:color w:val="auto"/>
        </w:rPr>
        <w:t>Existing Borrower</w:t>
      </w:r>
      <w:r>
        <w:rPr>
          <w:rFonts w:ascii="Arial" w:cs="Arial" w:eastAsia="Arial" w:hAnsi="Arial"/>
          <w:sz w:val="17"/>
          <w:szCs w:val="17"/>
          <w:color w:val="auto"/>
        </w:rPr>
        <w:t>”), and ANAPTYSBIO PTY LTD, an entity formed under the laws of Australia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Existing Borrower,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both with offices located at 10421 Pacific Center Court, Suite 200, San Diego, CA 92121, HEREBY PROMISES TO PAY to the order of SILICON VALLEY BANK (“</w:t>
      </w:r>
      <w:r>
        <w:rPr>
          <w:rFonts w:ascii="Arial" w:cs="Arial" w:eastAsia="Arial" w:hAnsi="Arial"/>
          <w:sz w:val="17"/>
          <w:szCs w:val="17"/>
          <w:b w:val="1"/>
          <w:bCs w:val="1"/>
          <w:color w:val="auto"/>
        </w:rPr>
        <w:t>Lender</w:t>
      </w:r>
      <w:r>
        <w:rPr>
          <w:rFonts w:ascii="Arial" w:cs="Arial" w:eastAsia="Arial" w:hAnsi="Arial"/>
          <w:sz w:val="17"/>
          <w:szCs w:val="17"/>
          <w:color w:val="auto"/>
        </w:rPr>
        <w:t>”), jointly and severally, the principal amount of TWO MILLION FIVE HUNDRED THOUSAND DOLLARS ($2,500,000.00) or such lesser amount as shall equal the outstanding principal balance of the Term A Loan made to Borrower by Lender, plus interest on the aggregate unpaid principal amount of such Term A Loan, at the rates and in accordance with the terms of the Loan and Security Agreement dated December 24,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Principal, interest and all other amounts due with respect to the Term A Loan, are payable in lawful money of the United States of America to Lender as set forth in the Loan Agreement and this Amended and Restated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 Loan, interest on the Term A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Note is intended to and does completely amend and restate, without novation, that certain Secured Promissory Note issued of December 24, 2014, by the Existing Borrower in favor of Lender.</w:t>
      </w:r>
    </w:p>
    <w:p>
      <w:pPr>
        <w:sectPr>
          <w:pgSz w:w="11900" w:h="16838" w:orient="portrait"/>
          <w:cols w:equalWidth="0" w:num="1">
            <w:col w:w="11420"/>
          </w:cols>
          <w:pgMar w:left="240" w:top="270" w:right="239" w:bottom="1440" w:gutter="0" w:footer="0" w:header="0"/>
        </w:sectPr>
      </w:pPr>
    </w:p>
    <w:bookmarkStart w:id="562" w:name="page563"/>
    <w:bookmarkEnd w:id="5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PTY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22860</wp:posOffset>
            </wp:positionV>
            <wp:extent cx="255587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-121920</wp:posOffset>
            </wp:positionV>
            <wp:extent cx="255587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Silicon Valley Bank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Amended and Restated Secured Promissory Note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Term A Loan</w:t>
      </w:r>
    </w:p>
    <w:p>
      <w:pPr>
        <w:sectPr>
          <w:pgSz w:w="11900" w:h="16838" w:orient="portrait"/>
          <w:cols w:equalWidth="0" w:num="1">
            <w:col w:w="10960"/>
          </w:cols>
          <w:pgMar w:left="700" w:top="273" w:right="239" w:bottom="1440" w:gutter="0" w:footer="0" w:header="0"/>
        </w:sectPr>
      </w:pPr>
    </w:p>
    <w:bookmarkStart w:id="563" w:name="page564"/>
    <w:bookmarkEnd w:id="5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Scheduled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Notation</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Date</w:t>
            </w:r>
          </w:p>
        </w:tc>
        <w:tc>
          <w:tcPr>
            <w:tcW w:w="46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Interest Rate</w:t>
            </w:r>
          </w:p>
        </w:tc>
        <w:tc>
          <w:tcPr>
            <w:tcW w:w="440" w:type="dxa"/>
            <w:vAlign w:val="bottom"/>
            <w:vMerge w:val="restart"/>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Payment</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consent to the use of our report, dated February 12, 2016, except for the reverse stock split described in Note 12, which is dated January 13, 2017, included herein and to the reference to our firm under the heading “Experts” in the prospectus.</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5C4899"/>
    <w:multiLevelType w:val="hybridMultilevel"/>
    <w:lvl w:ilvl="0">
      <w:lvlJc w:val="left"/>
      <w:lvlText w:val="(%1)"/>
      <w:numFmt w:val="decimal"/>
      <w:start w:val="1"/>
    </w:lvl>
  </w:abstractNum>
  <w:abstractNum w:abstractNumId="1">
    <w:nsid w:val="3C3B72B2"/>
    <w:multiLevelType w:val="hybridMultilevel"/>
    <w:lvl w:ilvl="0">
      <w:lvlJc w:val="left"/>
      <w:lvlText w:val="•"/>
      <w:numFmt w:val="bullet"/>
      <w:start w:val="1"/>
    </w:lvl>
  </w:abstractNum>
  <w:abstractNum w:abstractNumId="2">
    <w:nsid w:val="155EC4C2"/>
    <w:multiLevelType w:val="hybridMultilevel"/>
    <w:lvl w:ilvl="0">
      <w:lvlJc w:val="left"/>
      <w:lvlText w:val="•"/>
      <w:numFmt w:val="bullet"/>
      <w:start w:val="1"/>
    </w:lvl>
  </w:abstractNum>
  <w:abstractNum w:abstractNumId="3">
    <w:nsid w:val="65D2A137"/>
    <w:multiLevelType w:val="hybridMultilevel"/>
    <w:lvl w:ilvl="0">
      <w:lvlJc w:val="left"/>
      <w:lvlText w:val="•"/>
      <w:numFmt w:val="bullet"/>
      <w:start w:val="1"/>
    </w:lvl>
  </w:abstractNum>
  <w:abstractNum w:abstractNumId="4">
    <w:nsid w:val="6EBB1F2A"/>
    <w:multiLevelType w:val="hybridMultilevel"/>
    <w:lvl w:ilvl="0">
      <w:lvlJc w:val="left"/>
      <w:lvlText w:val="•"/>
      <w:numFmt w:val="bullet"/>
      <w:start w:val="1"/>
    </w:lvl>
  </w:abstractNum>
  <w:abstractNum w:abstractNumId="5">
    <w:nsid w:val="6FBF29CB"/>
    <w:multiLevelType w:val="hybridMultilevel"/>
    <w:lvl w:ilvl="0">
      <w:lvlJc w:val="left"/>
      <w:lvlText w:val="•"/>
      <w:numFmt w:val="bullet"/>
      <w:start w:val="1"/>
    </w:lvl>
  </w:abstractNum>
  <w:abstractNum w:abstractNumId="6">
    <w:nsid w:val="550B8808"/>
    <w:multiLevelType w:val="hybridMultilevel"/>
    <w:lvl w:ilvl="0">
      <w:lvlJc w:val="left"/>
      <w:lvlText w:val="•"/>
      <w:numFmt w:val="bullet"/>
      <w:start w:val="1"/>
    </w:lvl>
  </w:abstractNum>
  <w:abstractNum w:abstractNumId="7">
    <w:nsid w:val="34CC3ACF"/>
    <w:multiLevelType w:val="hybridMultilevel"/>
    <w:lvl w:ilvl="0">
      <w:lvlJc w:val="left"/>
      <w:lvlText w:val="•"/>
      <w:numFmt w:val="bullet"/>
      <w:start w:val="1"/>
    </w:lvl>
  </w:abstractNum>
  <w:abstractNum w:abstractNumId="8">
    <w:nsid w:val="4E556261"/>
    <w:multiLevelType w:val="hybridMultilevel"/>
    <w:lvl w:ilvl="0">
      <w:lvlJc w:val="left"/>
      <w:lvlText w:val="•"/>
      <w:numFmt w:val="bullet"/>
      <w:start w:val="1"/>
    </w:lvl>
  </w:abstractNum>
  <w:abstractNum w:abstractNumId="9">
    <w:nsid w:val="4C672FC9"/>
    <w:multiLevelType w:val="hybridMultilevel"/>
    <w:lvl w:ilvl="0">
      <w:lvlJc w:val="left"/>
      <w:lvlText w:val="•"/>
      <w:numFmt w:val="bullet"/>
      <w:start w:val="1"/>
    </w:lvl>
  </w:abstractNum>
  <w:abstractNum w:abstractNumId="10">
    <w:nsid w:val="52A311C3"/>
    <w:multiLevelType w:val="hybridMultilevel"/>
    <w:lvl w:ilvl="0">
      <w:lvlJc w:val="left"/>
      <w:lvlText w:val="•"/>
      <w:numFmt w:val="bullet"/>
      <w:start w:val="1"/>
    </w:lvl>
  </w:abstractNum>
  <w:abstractNum w:abstractNumId="11">
    <w:nsid w:val="44EF6B80"/>
    <w:multiLevelType w:val="hybridMultilevel"/>
    <w:lvl w:ilvl="0">
      <w:lvlJc w:val="left"/>
      <w:lvlText w:val="•"/>
      <w:numFmt w:val="bullet"/>
      <w:start w:val="1"/>
    </w:lvl>
  </w:abstractNum>
  <w:abstractNum w:abstractNumId="12">
    <w:nsid w:val="12FCDE5E"/>
    <w:multiLevelType w:val="hybridMultilevel"/>
    <w:lvl w:ilvl="0">
      <w:lvlJc w:val="left"/>
      <w:lvlText w:val="•"/>
      <w:numFmt w:val="bullet"/>
      <w:start w:val="1"/>
    </w:lvl>
  </w:abstractNum>
  <w:abstractNum w:abstractNumId="13">
    <w:nsid w:val="4A1D606E"/>
    <w:multiLevelType w:val="hybridMultilevel"/>
    <w:lvl w:ilvl="0">
      <w:lvlJc w:val="left"/>
      <w:lvlText w:val="•"/>
      <w:numFmt w:val="bullet"/>
      <w:start w:val="1"/>
    </w:lvl>
  </w:abstractNum>
  <w:abstractNum w:abstractNumId="14">
    <w:nsid w:val="4382503"/>
    <w:multiLevelType w:val="hybridMultilevel"/>
    <w:lvl w:ilvl="0">
      <w:lvlJc w:val="left"/>
      <w:lvlText w:val="(%1)"/>
      <w:numFmt w:val="decimal"/>
      <w:start w:val="1"/>
    </w:lvl>
  </w:abstractNum>
  <w:abstractNum w:abstractNumId="15">
    <w:nsid w:val="59B76E28"/>
    <w:multiLevelType w:val="hybridMultilevel"/>
    <w:lvl w:ilvl="0">
      <w:lvlJc w:val="left"/>
      <w:lvlText w:val="(%1)"/>
      <w:numFmt w:val="decimal"/>
      <w:start w:val="1"/>
    </w:lvl>
  </w:abstractNum>
  <w:abstractNum w:abstractNumId="16">
    <w:nsid w:val="4252C2DA"/>
    <w:multiLevelType w:val="hybridMultilevel"/>
    <w:lvl w:ilvl="0">
      <w:lvlJc w:val="left"/>
      <w:lvlText w:val="•"/>
      <w:numFmt w:val="bullet"/>
      <w:start w:val="1"/>
    </w:lvl>
  </w:abstractNum>
  <w:abstractNum w:abstractNumId="17">
    <w:nsid w:val="6A92EF4C"/>
    <w:multiLevelType w:val="hybridMultilevel"/>
    <w:lvl w:ilvl="0">
      <w:lvlJc w:val="left"/>
      <w:lvlText w:val="•"/>
      <w:numFmt w:val="bullet"/>
      <w:start w:val="1"/>
    </w:lvl>
  </w:abstractNum>
  <w:abstractNum w:abstractNumId="18">
    <w:nsid w:val="41ED20D7"/>
    <w:multiLevelType w:val="hybridMultilevel"/>
    <w:lvl w:ilvl="0">
      <w:lvlJc w:val="left"/>
      <w:lvlText w:val="•"/>
      <w:numFmt w:val="bullet"/>
      <w:start w:val="1"/>
    </w:lvl>
  </w:abstractNum>
  <w:abstractNum w:abstractNumId="19">
    <w:nsid w:val="E6B3F6A"/>
    <w:multiLevelType w:val="hybridMultilevel"/>
    <w:lvl w:ilvl="0">
      <w:lvlJc w:val="left"/>
      <w:lvlText w:val="•"/>
      <w:numFmt w:val="bullet"/>
      <w:start w:val="1"/>
    </w:lvl>
  </w:abstractNum>
  <w:abstractNum w:abstractNumId="20">
    <w:nsid w:val="3EB21819"/>
    <w:multiLevelType w:val="hybridMultilevel"/>
    <w:lvl w:ilvl="0">
      <w:lvlJc w:val="left"/>
      <w:lvlText w:val="•"/>
      <w:numFmt w:val="bullet"/>
      <w:start w:val="1"/>
    </w:lvl>
  </w:abstractNum>
  <w:abstractNum w:abstractNumId="21">
    <w:nsid w:val="41531DED"/>
    <w:multiLevelType w:val="hybridMultilevel"/>
    <w:lvl w:ilvl="0">
      <w:lvlJc w:val="left"/>
      <w:lvlText w:val="•"/>
      <w:numFmt w:val="bullet"/>
      <w:start w:val="1"/>
    </w:lvl>
  </w:abstractNum>
  <w:abstractNum w:abstractNumId="22">
    <w:nsid w:val="6353CD2"/>
    <w:multiLevelType w:val="hybridMultilevel"/>
    <w:lvl w:ilvl="0">
      <w:lvlJc w:val="left"/>
      <w:lvlText w:val="•"/>
      <w:numFmt w:val="bullet"/>
      <w:start w:val="1"/>
    </w:lvl>
  </w:abstractNum>
  <w:abstractNum w:abstractNumId="23">
    <w:nsid w:val="683CAAD3"/>
    <w:multiLevelType w:val="hybridMultilevel"/>
    <w:lvl w:ilvl="0">
      <w:lvlJc w:val="left"/>
      <w:lvlText w:val="•"/>
      <w:numFmt w:val="bullet"/>
      <w:start w:val="1"/>
    </w:lvl>
  </w:abstractNum>
  <w:abstractNum w:abstractNumId="24">
    <w:nsid w:val="313C7C99"/>
    <w:multiLevelType w:val="hybridMultilevel"/>
    <w:lvl w:ilvl="0">
      <w:lvlJc w:val="left"/>
      <w:lvlText w:val="•"/>
      <w:numFmt w:val="bullet"/>
      <w:start w:val="1"/>
    </w:lvl>
  </w:abstractNum>
  <w:abstractNum w:abstractNumId="25">
    <w:nsid w:val="519EB94C"/>
    <w:multiLevelType w:val="hybridMultilevel"/>
    <w:lvl w:ilvl="0">
      <w:lvlJc w:val="left"/>
      <w:lvlText w:val="•"/>
      <w:numFmt w:val="bullet"/>
      <w:start w:val="1"/>
    </w:lvl>
  </w:abstractNum>
  <w:abstractNum w:abstractNumId="26">
    <w:nsid w:val="39DF2579"/>
    <w:multiLevelType w:val="hybridMultilevel"/>
    <w:lvl w:ilvl="0">
      <w:lvlJc w:val="left"/>
      <w:lvlText w:val="•"/>
      <w:numFmt w:val="bullet"/>
      <w:start w:val="1"/>
    </w:lvl>
  </w:abstractNum>
  <w:abstractNum w:abstractNumId="27">
    <w:nsid w:val="126E008B"/>
    <w:multiLevelType w:val="hybridMultilevel"/>
    <w:lvl w:ilvl="0">
      <w:lvlJc w:val="left"/>
      <w:lvlText w:val="•"/>
      <w:numFmt w:val="bullet"/>
      <w:start w:val="1"/>
    </w:lvl>
  </w:abstractNum>
  <w:abstractNum w:abstractNumId="28">
    <w:nsid w:val="34DFBC00"/>
    <w:multiLevelType w:val="hybridMultilevel"/>
    <w:lvl w:ilvl="0">
      <w:lvlJc w:val="left"/>
      <w:lvlText w:val="•"/>
      <w:numFmt w:val="bullet"/>
      <w:start w:val="1"/>
    </w:lvl>
  </w:abstractNum>
  <w:abstractNum w:abstractNumId="29">
    <w:nsid w:val="1F9EC322"/>
    <w:multiLevelType w:val="hybridMultilevel"/>
    <w:lvl w:ilvl="0">
      <w:lvlJc w:val="left"/>
      <w:lvlText w:val="•"/>
      <w:numFmt w:val="bullet"/>
      <w:start w:val="1"/>
    </w:lvl>
  </w:abstractNum>
  <w:abstractNum w:abstractNumId="30">
    <w:nsid w:val="3410ED56"/>
    <w:multiLevelType w:val="hybridMultilevel"/>
    <w:lvl w:ilvl="0">
      <w:lvlJc w:val="left"/>
      <w:lvlText w:val="•"/>
      <w:numFmt w:val="bullet"/>
      <w:start w:val="1"/>
    </w:lvl>
  </w:abstractNum>
  <w:abstractNum w:abstractNumId="31">
    <w:nsid w:val="23C049A"/>
    <w:multiLevelType w:val="hybridMultilevel"/>
    <w:lvl w:ilvl="0">
      <w:lvlJc w:val="left"/>
      <w:lvlText w:val="•"/>
      <w:numFmt w:val="bullet"/>
      <w:start w:val="1"/>
    </w:lvl>
  </w:abstractNum>
  <w:abstractNum w:abstractNumId="32">
    <w:nsid w:val="5BDA35D4"/>
    <w:multiLevelType w:val="hybridMultilevel"/>
    <w:lvl w:ilvl="0">
      <w:lvlJc w:val="left"/>
      <w:lvlText w:val="•"/>
      <w:numFmt w:val="bullet"/>
      <w:start w:val="1"/>
    </w:lvl>
  </w:abstractNum>
  <w:abstractNum w:abstractNumId="33">
    <w:nsid w:val="496FB218"/>
    <w:multiLevelType w:val="hybridMultilevel"/>
    <w:lvl w:ilvl="0">
      <w:lvlJc w:val="left"/>
      <w:lvlText w:val="•"/>
      <w:numFmt w:val="bullet"/>
      <w:start w:val="1"/>
    </w:lvl>
  </w:abstractNum>
  <w:abstractNum w:abstractNumId="34">
    <w:nsid w:val="680EA5D1"/>
    <w:multiLevelType w:val="hybridMultilevel"/>
    <w:lvl w:ilvl="0">
      <w:lvlJc w:val="left"/>
      <w:lvlText w:val="•"/>
      <w:numFmt w:val="bullet"/>
      <w:start w:val="1"/>
    </w:lvl>
  </w:abstractNum>
  <w:abstractNum w:abstractNumId="35">
    <w:nsid w:val="4A9554FE"/>
    <w:multiLevelType w:val="hybridMultilevel"/>
    <w:lvl w:ilvl="0">
      <w:lvlJc w:val="left"/>
      <w:lvlText w:val="•"/>
      <w:numFmt w:val="bullet"/>
      <w:start w:val="1"/>
    </w:lvl>
  </w:abstractNum>
  <w:abstractNum w:abstractNumId="36">
    <w:nsid w:val="392EDBE4"/>
    <w:multiLevelType w:val="hybridMultilevel"/>
    <w:lvl w:ilvl="0">
      <w:lvlJc w:val="left"/>
      <w:lvlText w:val="•"/>
      <w:numFmt w:val="bullet"/>
      <w:start w:val="1"/>
    </w:lvl>
  </w:abstractNum>
  <w:abstractNum w:abstractNumId="37">
    <w:nsid w:val="3D1A2DD9"/>
    <w:multiLevelType w:val="hybridMultilevel"/>
    <w:lvl w:ilvl="0">
      <w:lvlJc w:val="left"/>
      <w:lvlText w:val="•"/>
      <w:numFmt w:val="bullet"/>
      <w:start w:val="1"/>
    </w:lvl>
  </w:abstractNum>
  <w:abstractNum w:abstractNumId="38">
    <w:nsid w:val="7F618FCD"/>
    <w:multiLevelType w:val="hybridMultilevel"/>
    <w:lvl w:ilvl="0">
      <w:lvlJc w:val="left"/>
      <w:lvlText w:val="•"/>
      <w:numFmt w:val="bullet"/>
      <w:start w:val="1"/>
    </w:lvl>
  </w:abstractNum>
  <w:abstractNum w:abstractNumId="39">
    <w:nsid w:val="7843E45"/>
    <w:multiLevelType w:val="hybridMultilevel"/>
    <w:lvl w:ilvl="0">
      <w:lvlJc w:val="left"/>
      <w:lvlText w:val="(%1)"/>
      <w:numFmt w:val="decimal"/>
      <w:start w:val="1"/>
    </w:lvl>
  </w:abstractNum>
  <w:abstractNum w:abstractNumId="40">
    <w:nsid w:val="9815DA3"/>
    <w:multiLevelType w:val="hybridMultilevel"/>
    <w:lvl w:ilvl="0">
      <w:lvlJc w:val="left"/>
      <w:lvlText w:val="•"/>
      <w:numFmt w:val="bullet"/>
      <w:start w:val="1"/>
    </w:lvl>
  </w:abstractNum>
  <w:abstractNum w:abstractNumId="41">
    <w:nsid w:val="5204A191"/>
    <w:multiLevelType w:val="hybridMultilevel"/>
    <w:lvl w:ilvl="0">
      <w:lvlJc w:val="left"/>
      <w:lvlText w:val="(%1)"/>
      <w:numFmt w:val="lowerRoman"/>
      <w:start w:val="2"/>
    </w:lvl>
  </w:abstractNum>
  <w:abstractNum w:abstractNumId="42">
    <w:nsid w:val="4C73A9C6"/>
    <w:multiLevelType w:val="hybridMultilevel"/>
    <w:lvl w:ilvl="0">
      <w:lvlJc w:val="left"/>
      <w:lvlText w:val="(%1)"/>
      <w:numFmt w:val="lowerRoman"/>
      <w:start w:val="2"/>
    </w:lvl>
  </w:abstractNum>
  <w:abstractNum w:abstractNumId="43">
    <w:nsid w:val="1C7E3C01"/>
    <w:multiLevelType w:val="hybridMultilevel"/>
    <w:lvl w:ilvl="0">
      <w:lvlJc w:val="left"/>
      <w:lvlText w:val="•"/>
      <w:numFmt w:val="bullet"/>
      <w:start w:val="1"/>
    </w:lvl>
  </w:abstractNum>
  <w:abstractNum w:abstractNumId="44">
    <w:nsid w:val="1C2201FF"/>
    <w:multiLevelType w:val="hybridMultilevel"/>
    <w:lvl w:ilvl="0">
      <w:lvlJc w:val="left"/>
      <w:lvlText w:val="(%1)"/>
      <w:numFmt w:val="decimal"/>
      <w:start w:val="1"/>
    </w:lvl>
  </w:abstractNum>
  <w:abstractNum w:abstractNumId="45">
    <w:nsid w:val="50ABCEC9"/>
    <w:multiLevelType w:val="hybridMultilevel"/>
    <w:lvl w:ilvl="0">
      <w:lvlJc w:val="left"/>
      <w:lvlText w:val="•"/>
      <w:numFmt w:val="bullet"/>
      <w:start w:val="1"/>
    </w:lvl>
  </w:abstractNum>
  <w:abstractNum w:abstractNumId="46">
    <w:nsid w:val="7635AA2A"/>
    <w:multiLevelType w:val="hybridMultilevel"/>
    <w:lvl w:ilvl="0">
      <w:lvlJc w:val="left"/>
      <w:lvlText w:val="•"/>
      <w:numFmt w:val="bullet"/>
      <w:start w:val="1"/>
    </w:lvl>
  </w:abstractNum>
  <w:abstractNum w:abstractNumId="47">
    <w:nsid w:val="5E74C4D9"/>
    <w:multiLevelType w:val="hybridMultilevel"/>
    <w:lvl w:ilvl="0">
      <w:lvlJc w:val="left"/>
      <w:lvlText w:val="•"/>
      <w:numFmt w:val="bullet"/>
      <w:start w:val="1"/>
    </w:lvl>
  </w:abstractNum>
  <w:abstractNum w:abstractNumId="48">
    <w:nsid w:val="3B3EBE15"/>
    <w:multiLevelType w:val="hybridMultilevel"/>
    <w:lvl w:ilvl="0">
      <w:lvlJc w:val="left"/>
      <w:lvlText w:val="•"/>
      <w:numFmt w:val="bullet"/>
      <w:start w:val="1"/>
    </w:lvl>
  </w:abstractNum>
  <w:abstractNum w:abstractNumId="49">
    <w:nsid w:val="3822CB01"/>
    <w:multiLevelType w:val="hybridMultilevel"/>
    <w:lvl w:ilvl="0">
      <w:lvlJc w:val="left"/>
      <w:lvlText w:val="•"/>
      <w:numFmt w:val="bullet"/>
      <w:start w:val="1"/>
    </w:lvl>
  </w:abstractNum>
  <w:abstractNum w:abstractNumId="50">
    <w:nsid w:val="6CE00443"/>
    <w:multiLevelType w:val="hybridMultilevel"/>
    <w:lvl w:ilvl="0">
      <w:lvlJc w:val="left"/>
      <w:lvlText w:val="•"/>
      <w:numFmt w:val="bullet"/>
      <w:start w:val="1"/>
    </w:lvl>
  </w:abstractNum>
  <w:abstractNum w:abstractNumId="51">
    <w:nsid w:val="79F0D62F"/>
    <w:multiLevelType w:val="hybridMultilevel"/>
    <w:lvl w:ilvl="0">
      <w:lvlJc w:val="left"/>
      <w:lvlText w:val="•"/>
      <w:numFmt w:val="bullet"/>
      <w:start w:val="1"/>
    </w:lvl>
  </w:abstractNum>
  <w:abstractNum w:abstractNumId="52">
    <w:nsid w:val="7975E8EE"/>
    <w:multiLevelType w:val="hybridMultilevel"/>
    <w:lvl w:ilvl="0">
      <w:lvlJc w:val="left"/>
      <w:lvlText w:val="•"/>
      <w:numFmt w:val="bullet"/>
      <w:start w:val="1"/>
    </w:lvl>
  </w:abstractNum>
  <w:abstractNum w:abstractNumId="53">
    <w:nsid w:val="73154115"/>
    <w:multiLevelType w:val="hybridMultilevel"/>
    <w:lvl w:ilvl="0">
      <w:lvlJc w:val="left"/>
      <w:lvlText w:val="(%1)"/>
      <w:numFmt w:val="decimal"/>
      <w:start w:val="1"/>
    </w:lvl>
  </w:abstractNum>
  <w:abstractNum w:abstractNumId="54">
    <w:nsid w:val="622D8102"/>
    <w:multiLevelType w:val="hybridMultilevel"/>
    <w:lvl w:ilvl="0">
      <w:lvlJc w:val="left"/>
      <w:lvlText w:val="•"/>
      <w:numFmt w:val="bullet"/>
      <w:start w:val="1"/>
    </w:lvl>
  </w:abstractNum>
  <w:abstractNum w:abstractNumId="55">
    <w:nsid w:val="2AB26587"/>
    <w:multiLevelType w:val="hybridMultilevel"/>
    <w:lvl w:ilvl="0">
      <w:lvlJc w:val="left"/>
      <w:lvlText w:val="•"/>
      <w:numFmt w:val="bullet"/>
      <w:start w:val="1"/>
    </w:lvl>
  </w:abstractNum>
  <w:abstractNum w:abstractNumId="56">
    <w:nsid w:val="44B3FA61"/>
    <w:multiLevelType w:val="hybridMultilevel"/>
    <w:lvl w:ilvl="0">
      <w:lvlJc w:val="left"/>
      <w:lvlText w:val="•"/>
      <w:numFmt w:val="bullet"/>
      <w:start w:val="1"/>
    </w:lvl>
  </w:abstractNum>
  <w:abstractNum w:abstractNumId="57">
    <w:nsid w:val="1C0CA67C"/>
    <w:multiLevelType w:val="hybridMultilevel"/>
    <w:lvl w:ilvl="0">
      <w:lvlJc w:val="left"/>
      <w:lvlText w:val="•"/>
      <w:numFmt w:val="bullet"/>
      <w:start w:val="1"/>
    </w:lvl>
  </w:abstractNum>
  <w:abstractNum w:abstractNumId="58">
    <w:nsid w:val="3D206613"/>
    <w:multiLevelType w:val="hybridMultilevel"/>
    <w:lvl w:ilvl="0">
      <w:lvlJc w:val="left"/>
      <w:lvlText w:val="•"/>
      <w:numFmt w:val="bullet"/>
      <w:start w:val="1"/>
    </w:lvl>
  </w:abstractNum>
  <w:abstractNum w:abstractNumId="59">
    <w:nsid w:val="7993B662"/>
    <w:multiLevelType w:val="hybridMultilevel"/>
    <w:lvl w:ilvl="0">
      <w:lvlJc w:val="left"/>
      <w:lvlText w:val="•"/>
      <w:numFmt w:val="bullet"/>
      <w:start w:val="1"/>
    </w:lvl>
  </w:abstractNum>
  <w:abstractNum w:abstractNumId="60">
    <w:nsid w:val="3BAB699E"/>
    <w:multiLevelType w:val="hybridMultilevel"/>
    <w:lvl w:ilvl="0">
      <w:lvlJc w:val="left"/>
      <w:lvlText w:val="%1)"/>
      <w:numFmt w:val="decimal"/>
      <w:start w:val="13"/>
    </w:lvl>
  </w:abstractNum>
  <w:abstractNum w:abstractNumId="61">
    <w:nsid w:val="71315369"/>
    <w:multiLevelType w:val="hybridMultilevel"/>
    <w:lvl w:ilvl="0">
      <w:lvlJc w:val="left"/>
      <w:lvlText w:val="•"/>
      <w:numFmt w:val="bullet"/>
      <w:start w:val="1"/>
    </w:lvl>
  </w:abstractNum>
  <w:abstractNum w:abstractNumId="62">
    <w:nsid w:val="7BCFBAFC"/>
    <w:multiLevelType w:val="hybridMultilevel"/>
    <w:lvl w:ilvl="0">
      <w:lvlJc w:val="left"/>
      <w:lvlText w:val="•"/>
      <w:numFmt w:val="bullet"/>
      <w:start w:val="1"/>
    </w:lvl>
  </w:abstractNum>
  <w:abstractNum w:abstractNumId="63">
    <w:nsid w:val="17859F72"/>
    <w:multiLevelType w:val="hybridMultilevel"/>
    <w:lvl w:ilvl="0">
      <w:lvlJc w:val="left"/>
      <w:lvlText w:val="•"/>
      <w:numFmt w:val="bullet"/>
      <w:start w:val="1"/>
    </w:lvl>
  </w:abstractNum>
  <w:abstractNum w:abstractNumId="64">
    <w:nsid w:val="3AA10581"/>
    <w:multiLevelType w:val="hybridMultilevel"/>
    <w:lvl w:ilvl="0">
      <w:lvlJc w:val="left"/>
      <w:lvlText w:val="•"/>
      <w:numFmt w:val="bullet"/>
      <w:start w:val="1"/>
    </w:lvl>
  </w:abstractNum>
  <w:abstractNum w:abstractNumId="65">
    <w:nsid w:val="63DE60CD"/>
    <w:multiLevelType w:val="hybridMultilevel"/>
    <w:lvl w:ilvl="0">
      <w:lvlJc w:val="left"/>
      <w:lvlText w:val="•"/>
      <w:numFmt w:val="bullet"/>
      <w:start w:val="1"/>
    </w:lvl>
  </w:abstractNum>
  <w:abstractNum w:abstractNumId="66">
    <w:nsid w:val="621AF471"/>
    <w:multiLevelType w:val="hybridMultilevel"/>
    <w:lvl w:ilvl="0">
      <w:lvlJc w:val="left"/>
      <w:lvlText w:val="(%1)"/>
      <w:numFmt w:val="lowerRoman"/>
      <w:start w:val="2"/>
    </w:lvl>
  </w:abstractNum>
  <w:abstractNum w:abstractNumId="67">
    <w:nsid w:val="73CFE165"/>
    <w:multiLevelType w:val="hybridMultilevel"/>
    <w:lvl w:ilvl="0">
      <w:lvlJc w:val="left"/>
      <w:lvlText w:val="•"/>
      <w:numFmt w:val="bullet"/>
      <w:start w:val="1"/>
    </w:lvl>
  </w:abstractNum>
  <w:abstractNum w:abstractNumId="68">
    <w:nsid w:val="20F88EA6"/>
    <w:multiLevelType w:val="hybridMultilevel"/>
    <w:lvl w:ilvl="0">
      <w:lvlJc w:val="left"/>
      <w:lvlText w:val="•"/>
      <w:numFmt w:val="bullet"/>
      <w:start w:val="1"/>
    </w:lvl>
  </w:abstractNum>
  <w:abstractNum w:abstractNumId="69">
    <w:nsid w:val="617C843E"/>
    <w:multiLevelType w:val="hybridMultilevel"/>
    <w:lvl w:ilvl="0">
      <w:lvlJc w:val="left"/>
      <w:lvlText w:val="•"/>
      <w:numFmt w:val="bullet"/>
      <w:start w:val="1"/>
    </w:lvl>
  </w:abstractNum>
  <w:abstractNum w:abstractNumId="70">
    <w:nsid w:val="7B541FAB"/>
    <w:multiLevelType w:val="hybridMultilevel"/>
    <w:lvl w:ilvl="0">
      <w:lvlJc w:val="left"/>
      <w:lvlText w:val="•"/>
      <w:numFmt w:val="bullet"/>
      <w:start w:val="1"/>
    </w:lvl>
  </w:abstractNum>
  <w:abstractNum w:abstractNumId="71">
    <w:nsid w:val="2A79EC49"/>
    <w:multiLevelType w:val="hybridMultilevel"/>
    <w:lvl w:ilvl="0">
      <w:lvlJc w:val="left"/>
      <w:lvlText w:val="•"/>
      <w:numFmt w:val="bullet"/>
      <w:start w:val="1"/>
    </w:lvl>
  </w:abstractNum>
  <w:abstractNum w:abstractNumId="72">
    <w:nsid w:val="338125CF"/>
    <w:multiLevelType w:val="hybridMultilevel"/>
    <w:lvl w:ilvl="0">
      <w:lvlJc w:val="left"/>
      <w:lvlText w:val="•"/>
      <w:numFmt w:val="bullet"/>
      <w:start w:val="1"/>
    </w:lvl>
  </w:abstractNum>
  <w:abstractNum w:abstractNumId="73">
    <w:nsid w:val="47C7C971"/>
    <w:multiLevelType w:val="hybridMultilevel"/>
    <w:lvl w:ilvl="0">
      <w:lvlJc w:val="left"/>
      <w:lvlText w:val="•"/>
      <w:numFmt w:val="bullet"/>
      <w:start w:val="1"/>
    </w:lvl>
  </w:abstractNum>
  <w:abstractNum w:abstractNumId="74">
    <w:nsid w:val="46F8284B"/>
    <w:multiLevelType w:val="hybridMultilevel"/>
    <w:lvl w:ilvl="0">
      <w:lvlJc w:val="left"/>
      <w:lvlText w:val="•"/>
      <w:numFmt w:val="bullet"/>
      <w:start w:val="1"/>
    </w:lvl>
  </w:abstractNum>
  <w:abstractNum w:abstractNumId="75">
    <w:nsid w:val="4FA327CE"/>
    <w:multiLevelType w:val="hybridMultilevel"/>
    <w:lvl w:ilvl="0">
      <w:lvlJc w:val="left"/>
      <w:lvlText w:val="*"/>
      <w:numFmt w:val="bullet"/>
      <w:start w:val="1"/>
    </w:lvl>
  </w:abstractNum>
  <w:abstractNum w:abstractNumId="76">
    <w:nsid w:val="1873983A"/>
    <w:multiLevelType w:val="hybridMultilevel"/>
    <w:lvl w:ilvl="0">
      <w:lvlJc w:val="left"/>
      <w:lvlText w:val="(%1)"/>
      <w:numFmt w:val="decimal"/>
      <w:start w:val="1"/>
    </w:lvl>
  </w:abstractNum>
  <w:abstractNum w:abstractNumId="77">
    <w:nsid w:val="3D2DD275"/>
    <w:multiLevelType w:val="hybridMultilevel"/>
    <w:lvl w:ilvl="0">
      <w:lvlJc w:val="left"/>
      <w:lvlText w:val="•"/>
      <w:numFmt w:val="bullet"/>
      <w:start w:val="1"/>
    </w:lvl>
  </w:abstractNum>
  <w:abstractNum w:abstractNumId="78">
    <w:nsid w:val="2E17ECA7"/>
    <w:multiLevelType w:val="hybridMultilevel"/>
    <w:lvl w:ilvl="0">
      <w:lvlJc w:val="left"/>
      <w:lvlText w:val="•"/>
      <w:numFmt w:val="bullet"/>
      <w:start w:val="1"/>
    </w:lvl>
  </w:abstractNum>
  <w:abstractNum w:abstractNumId="79">
    <w:nsid w:val="53B2564F"/>
    <w:multiLevelType w:val="hybridMultilevel"/>
    <w:lvl w:ilvl="0">
      <w:lvlJc w:val="left"/>
      <w:lvlText w:val="•"/>
      <w:numFmt w:val="bullet"/>
      <w:start w:val="1"/>
    </w:lvl>
  </w:abstractNum>
  <w:abstractNum w:abstractNumId="80">
    <w:nsid w:val="75509D76"/>
    <w:multiLevelType w:val="hybridMultilevel"/>
    <w:lvl w:ilvl="0">
      <w:lvlJc w:val="left"/>
      <w:lvlText w:val="•"/>
      <w:numFmt w:val="bullet"/>
      <w:start w:val="1"/>
    </w:lvl>
  </w:abstractNum>
  <w:abstractNum w:abstractNumId="81">
    <w:nsid w:val="1AF7F0EA"/>
    <w:multiLevelType w:val="hybridMultilevel"/>
    <w:lvl w:ilvl="0">
      <w:lvlJc w:val="left"/>
      <w:lvlText w:val="(%1)"/>
      <w:numFmt w:val="decimal"/>
      <w:start w:val="1"/>
    </w:lvl>
  </w:abstractNum>
  <w:abstractNum w:abstractNumId="82">
    <w:nsid w:val="4DA32C7E"/>
    <w:multiLevelType w:val="hybridMultilevel"/>
    <w:lvl w:ilvl="0">
      <w:lvlJc w:val="left"/>
      <w:lvlText w:val="•"/>
      <w:numFmt w:val="bullet"/>
      <w:start w:val="1"/>
    </w:lvl>
  </w:abstractNum>
  <w:abstractNum w:abstractNumId="83">
    <w:nsid w:val="6EC68664"/>
    <w:multiLevelType w:val="hybridMultilevel"/>
    <w:lvl w:ilvl="0">
      <w:lvlJc w:val="left"/>
      <w:lvlText w:val="(%1)"/>
      <w:numFmt w:val="decimal"/>
      <w:start w:val="1"/>
    </w:lvl>
  </w:abstractNum>
  <w:abstractNum w:abstractNumId="84">
    <w:nsid w:val="E0D31FF"/>
    <w:multiLevelType w:val="hybridMultilevel"/>
    <w:lvl w:ilvl="0">
      <w:lvlJc w:val="left"/>
      <w:lvlText w:val="(%1)"/>
      <w:numFmt w:val="decimal"/>
      <w:start w:val="1"/>
    </w:lvl>
  </w:abstractNum>
  <w:abstractNum w:abstractNumId="85">
    <w:nsid w:val="2FD0AD81"/>
    <w:multiLevelType w:val="hybridMultilevel"/>
    <w:lvl w:ilvl="0">
      <w:lvlJc w:val="left"/>
      <w:lvlText w:val="(%1)"/>
      <w:numFmt w:val="decimal"/>
      <w:start w:val="3"/>
    </w:lvl>
  </w:abstractNum>
  <w:abstractNum w:abstractNumId="86">
    <w:nsid w:val="1978EBEB"/>
    <w:multiLevelType w:val="hybridMultilevel"/>
    <w:lvl w:ilvl="0">
      <w:lvlJc w:val="left"/>
      <w:lvlText w:val="•"/>
      <w:numFmt w:val="bullet"/>
      <w:start w:val="1"/>
    </w:lvl>
  </w:abstractNum>
  <w:abstractNum w:abstractNumId="87">
    <w:nsid w:val="52C12C61"/>
    <w:multiLevelType w:val="hybridMultilevel"/>
    <w:lvl w:ilvl="0">
      <w:lvlJc w:val="left"/>
      <w:lvlText w:val="•"/>
      <w:numFmt w:val="bullet"/>
      <w:start w:val="1"/>
    </w:lvl>
  </w:abstractNum>
  <w:abstractNum w:abstractNumId="88">
    <w:nsid w:val="4BDD53FD"/>
    <w:multiLevelType w:val="hybridMultilevel"/>
    <w:lvl w:ilvl="0">
      <w:lvlJc w:val="left"/>
      <w:lvlText w:val="•"/>
      <w:numFmt w:val="bullet"/>
      <w:start w:val="1"/>
    </w:lvl>
  </w:abstractNum>
  <w:abstractNum w:abstractNumId="89">
    <w:nsid w:val="569951FE"/>
    <w:multiLevelType w:val="hybridMultilevel"/>
    <w:lvl w:ilvl="0">
      <w:lvlJc w:val="left"/>
      <w:lvlText w:val="(%1)"/>
      <w:numFmt w:val="decimal"/>
      <w:start w:val="1"/>
    </w:lvl>
  </w:abstractNum>
  <w:abstractNum w:abstractNumId="90">
    <w:nsid w:val="4C54E2C3"/>
    <w:multiLevelType w:val="hybridMultilevel"/>
    <w:lvl w:ilvl="0">
      <w:lvlJc w:val="left"/>
      <w:lvlText w:val="(%1)"/>
      <w:numFmt w:val="decimal"/>
      <w:start w:val="1"/>
    </w:lvl>
  </w:abstractNum>
  <w:abstractNum w:abstractNumId="91">
    <w:nsid w:val="788BD9B"/>
    <w:multiLevelType w:val="hybridMultilevel"/>
    <w:lvl w:ilvl="0">
      <w:lvlJc w:val="left"/>
      <w:lvlText w:val="•"/>
      <w:numFmt w:val="bullet"/>
      <w:start w:val="1"/>
    </w:lvl>
  </w:abstractNum>
  <w:abstractNum w:abstractNumId="92">
    <w:nsid w:val="47CAA567"/>
    <w:multiLevelType w:val="hybridMultilevel"/>
    <w:lvl w:ilvl="0">
      <w:lvlJc w:val="left"/>
      <w:lvlText w:val="*"/>
      <w:numFmt w:val="bullet"/>
      <w:start w:val="1"/>
    </w:lvl>
  </w:abstractNum>
  <w:abstractNum w:abstractNumId="93">
    <w:nsid w:val="48249DBF"/>
    <w:multiLevelType w:val="hybridMultilevel"/>
    <w:lvl w:ilvl="0">
      <w:lvlJc w:val="left"/>
      <w:lvlText w:val="(%1)"/>
      <w:numFmt w:val="decimal"/>
      <w:start w:val="1"/>
    </w:lvl>
    <w:lvl w:ilvl="1">
      <w:lvlJc w:val="left"/>
      <w:lvlText w:val="(%2)"/>
      <w:numFmt w:val="lowerLetter"/>
      <w:start w:val="2"/>
    </w:lvl>
  </w:abstractNum>
  <w:abstractNum w:abstractNumId="94">
    <w:nsid w:val="1F0E5D0D"/>
    <w:multiLevelType w:val="hybridMultilevel"/>
    <w:lvl w:ilvl="0">
      <w:lvlJc w:val="left"/>
      <w:lvlText w:val="(%1)"/>
      <w:numFmt w:val="decimal"/>
      <w:start w:val="9"/>
    </w:lvl>
    <w:lvl w:ilvl="1">
      <w:lvlJc w:val="left"/>
      <w:lvlText w:val="(%2)"/>
      <w:numFmt w:val="lowerLetter"/>
      <w:start w:val="4"/>
    </w:lvl>
  </w:abstractNum>
  <w:abstractNum w:abstractNumId="95">
    <w:nsid w:val="26BAAE9"/>
    <w:multiLevelType w:val="hybridMultilevel"/>
    <w:lvl w:ilvl="0">
      <w:lvlJc w:val="left"/>
      <w:lvlText w:val="•"/>
      <w:numFmt w:val="bullet"/>
      <w:start w:val="1"/>
    </w:lvl>
  </w:abstractNum>
  <w:abstractNum w:abstractNumId="96">
    <w:nsid w:val="2C02FE8C"/>
    <w:multiLevelType w:val="hybridMultilevel"/>
    <w:lvl w:ilvl="0">
      <w:lvlJc w:val="left"/>
      <w:lvlText w:val="•"/>
      <w:numFmt w:val="bullet"/>
      <w:start w:val="1"/>
    </w:lvl>
  </w:abstractNum>
  <w:abstractNum w:abstractNumId="97">
    <w:nsid w:val="129517E"/>
    <w:multiLevelType w:val="hybridMultilevel"/>
    <w:lvl w:ilvl="0">
      <w:lvlJc w:val="left"/>
      <w:lvlText w:val="•"/>
      <w:numFmt w:val="bullet"/>
      <w:start w:val="1"/>
    </w:lvl>
  </w:abstractNum>
  <w:abstractNum w:abstractNumId="98">
    <w:nsid w:val="763B8C4E"/>
    <w:multiLevelType w:val="hybridMultilevel"/>
    <w:lvl w:ilvl="0">
      <w:lvlJc w:val="left"/>
      <w:lvlText w:val="•"/>
      <w:numFmt w:val="bullet"/>
      <w:start w:val="1"/>
    </w:lvl>
  </w:abstractNum>
  <w:abstractNum w:abstractNumId="99">
    <w:nsid w:val="4CFB8D32"/>
    <w:multiLevelType w:val="hybridMultilevel"/>
    <w:lvl w:ilvl="0">
      <w:lvlJc w:val="left"/>
      <w:lvlText w:val="•"/>
      <w:numFmt w:val="bullet"/>
      <w:start w:val="1"/>
    </w:lvl>
  </w:abstractNum>
  <w:abstractNum w:abstractNumId="100">
    <w:nsid w:val="62A5D5BD"/>
    <w:multiLevelType w:val="hybridMultilevel"/>
    <w:lvl w:ilvl="0">
      <w:lvlJc w:val="left"/>
      <w:lvlText w:val="•"/>
      <w:numFmt w:val="bullet"/>
      <w:start w:val="1"/>
    </w:lvl>
  </w:abstractNum>
  <w:abstractNum w:abstractNumId="101">
    <w:nsid w:val="718FABF9"/>
    <w:multiLevelType w:val="hybridMultilevel"/>
    <w:lvl w:ilvl="0">
      <w:lvlJc w:val="left"/>
      <w:lvlText w:val="•"/>
      <w:numFmt w:val="bullet"/>
      <w:start w:val="1"/>
    </w:lvl>
  </w:abstractNum>
  <w:abstractNum w:abstractNumId="102">
    <w:nsid w:val="7775797C"/>
    <w:multiLevelType w:val="hybridMultilevel"/>
    <w:lvl w:ilvl="0">
      <w:lvlJc w:val="left"/>
      <w:lvlText w:val="•"/>
      <w:numFmt w:val="bullet"/>
      <w:start w:val="1"/>
    </w:lvl>
  </w:abstractNum>
  <w:abstractNum w:abstractNumId="103">
    <w:nsid w:val="1626FB8C"/>
    <w:multiLevelType w:val="hybridMultilevel"/>
    <w:lvl w:ilvl="0">
      <w:lvlJc w:val="left"/>
      <w:lvlText w:val="•"/>
      <w:numFmt w:val="bullet"/>
      <w:start w:val="1"/>
    </w:lvl>
  </w:abstractNum>
  <w:abstractNum w:abstractNumId="104">
    <w:nsid w:val="3957756A"/>
    <w:multiLevelType w:val="hybridMultilevel"/>
    <w:lvl w:ilvl="0">
      <w:lvlJc w:val="left"/>
      <w:lvlText w:val="•"/>
      <w:numFmt w:val="bullet"/>
      <w:start w:val="1"/>
    </w:lvl>
  </w:abstractNum>
  <w:abstractNum w:abstractNumId="105">
    <w:nsid w:val="3E6DA1C7"/>
    <w:multiLevelType w:val="hybridMultilevel"/>
    <w:lvl w:ilvl="0">
      <w:lvlJc w:val="left"/>
      <w:lvlText w:val="•"/>
      <w:numFmt w:val="bullet"/>
      <w:start w:val="1"/>
    </w:lvl>
  </w:abstractNum>
  <w:abstractNum w:abstractNumId="106">
    <w:nsid w:val="65CA235B"/>
    <w:multiLevelType w:val="hybridMultilevel"/>
    <w:lvl w:ilvl="0">
      <w:lvlJc w:val="left"/>
      <w:lvlText w:val="•"/>
      <w:numFmt w:val="bullet"/>
      <w:start w:val="1"/>
    </w:lvl>
  </w:abstractNum>
  <w:abstractNum w:abstractNumId="107">
    <w:nsid w:val="51CB0DA4"/>
    <w:multiLevelType w:val="hybridMultilevel"/>
    <w:lvl w:ilvl="0">
      <w:lvlJc w:val="left"/>
      <w:lvlText w:val="•"/>
      <w:numFmt w:val="bullet"/>
      <w:start w:val="1"/>
    </w:lvl>
  </w:abstractNum>
  <w:abstractNum w:abstractNumId="108">
    <w:nsid w:val="7B9B743C"/>
    <w:multiLevelType w:val="hybridMultilevel"/>
    <w:lvl w:ilvl="0">
      <w:lvlJc w:val="left"/>
      <w:lvlText w:val="•"/>
      <w:numFmt w:val="bullet"/>
      <w:start w:val="1"/>
    </w:lvl>
  </w:abstractNum>
  <w:abstractNum w:abstractNumId="109">
    <w:nsid w:val="13E21002"/>
    <w:multiLevelType w:val="hybridMultilevel"/>
    <w:lvl w:ilvl="0">
      <w:lvlJc w:val="left"/>
      <w:lvlText w:val="•"/>
      <w:numFmt w:val="bullet"/>
      <w:start w:val="1"/>
    </w:lvl>
  </w:abstractNum>
  <w:abstractNum w:abstractNumId="110">
    <w:nsid w:val="257D63F4"/>
    <w:multiLevelType w:val="hybridMultilevel"/>
    <w:lvl w:ilvl="0">
      <w:lvlJc w:val="left"/>
      <w:lvlText w:val="(%1)"/>
      <w:numFmt w:val="lowerLetter"/>
      <w:start w:val="2"/>
    </w:lvl>
  </w:abstractNum>
  <w:abstractNum w:abstractNumId="111">
    <w:nsid w:val="70EC11B2"/>
    <w:multiLevelType w:val="hybridMultilevel"/>
    <w:lvl w:ilvl="0">
      <w:lvlJc w:val="left"/>
      <w:lvlText w:val="•"/>
      <w:numFmt w:val="bullet"/>
      <w:start w:val="1"/>
    </w:lvl>
  </w:abstractNum>
  <w:abstractNum w:abstractNumId="112">
    <w:nsid w:val="2EDA00ED"/>
    <w:multiLevelType w:val="hybridMultilevel"/>
    <w:lvl w:ilvl="0">
      <w:lvlJc w:val="left"/>
      <w:lvlText w:val="•"/>
      <w:numFmt w:val="bullet"/>
      <w:start w:val="1"/>
    </w:lvl>
    <w:lvl w:ilvl="1">
      <w:lvlJc w:val="left"/>
      <w:lvlText w:val="•"/>
      <w:numFmt w:val="bullet"/>
      <w:start w:val="1"/>
    </w:lvl>
  </w:abstractNum>
  <w:abstractNum w:abstractNumId="113">
    <w:nsid w:val="73209072"/>
    <w:multiLevelType w:val="hybridMultilevel"/>
    <w:lvl w:ilvl="0">
      <w:lvlJc w:val="left"/>
      <w:lvlText w:val="(%1)"/>
      <w:numFmt w:val="lowerLetter"/>
      <w:start w:val="2"/>
    </w:lvl>
  </w:abstractNum>
  <w:abstractNum w:abstractNumId="114">
    <w:nsid w:val="5FB29816"/>
    <w:multiLevelType w:val="hybridMultilevel"/>
    <w:lvl w:ilvl="0">
      <w:lvlJc w:val="left"/>
      <w:lvlText w:val="(%1)"/>
      <w:numFmt w:val="lowerRoman"/>
      <w:start w:val="2"/>
    </w:lvl>
  </w:abstractNum>
  <w:abstractNum w:abstractNumId="115">
    <w:nsid w:val="3CE732EC"/>
    <w:multiLevelType w:val="hybridMultilevel"/>
    <w:lvl w:ilvl="0">
      <w:lvlJc w:val="left"/>
      <w:lvlText w:val="•"/>
      <w:numFmt w:val="bullet"/>
      <w:start w:val="1"/>
    </w:lvl>
  </w:abstractNum>
  <w:abstractNum w:abstractNumId="116">
    <w:nsid w:val="22F13DF3"/>
    <w:multiLevelType w:val="hybridMultilevel"/>
    <w:lvl w:ilvl="0">
      <w:lvlJc w:val="left"/>
      <w:lvlText w:val="%1."/>
      <w:numFmt w:val="decimal"/>
      <w:start w:val="2"/>
    </w:lvl>
  </w:abstractNum>
  <w:abstractNum w:abstractNumId="117">
    <w:nsid w:val="792B8401"/>
    <w:multiLevelType w:val="hybridMultilevel"/>
    <w:lvl w:ilvl="0">
      <w:lvlJc w:val="left"/>
      <w:lvlText w:val="•"/>
      <w:numFmt w:val="bullet"/>
      <w:start w:val="1"/>
    </w:lvl>
  </w:abstractNum>
  <w:abstractNum w:abstractNumId="118">
    <w:nsid w:val="FA85F4D"/>
    <w:multiLevelType w:val="hybridMultilevel"/>
    <w:lvl w:ilvl="0">
      <w:lvlJc w:val="left"/>
      <w:lvlText w:val="%1."/>
      <w:numFmt w:val="decimal"/>
      <w:start w:val="3"/>
    </w:lvl>
  </w:abstractNum>
  <w:abstractNum w:abstractNumId="119">
    <w:nsid w:val="6ECE91F0"/>
    <w:multiLevelType w:val="hybridMultilevel"/>
    <w:lvl w:ilvl="0">
      <w:lvlJc w:val="left"/>
      <w:lvlText w:val="%1."/>
      <w:numFmt w:val="decimal"/>
      <w:start w:val="4"/>
    </w:lvl>
  </w:abstractNum>
  <w:abstractNum w:abstractNumId="120">
    <w:nsid w:val="4FC4D600"/>
    <w:multiLevelType w:val="hybridMultilevel"/>
    <w:lvl w:ilvl="0">
      <w:lvlJc w:val="left"/>
      <w:lvlText w:val="%1."/>
      <w:numFmt w:val="decimal"/>
      <w:start w:val="5"/>
    </w:lvl>
  </w:abstractNum>
  <w:abstractNum w:abstractNumId="121">
    <w:nsid w:val="5BFD4210"/>
    <w:multiLevelType w:val="hybridMultilevel"/>
    <w:lvl w:ilvl="0">
      <w:lvlJc w:val="left"/>
      <w:lvlText w:val="(%1)"/>
      <w:numFmt w:val="lowerRoman"/>
      <w:start w:val="2"/>
    </w:lvl>
  </w:abstractNum>
  <w:abstractNum w:abstractNumId="122">
    <w:nsid w:val="76574F8B"/>
    <w:multiLevelType w:val="hybridMultilevel"/>
    <w:lvl w:ilvl="0">
      <w:lvlJc w:val="left"/>
      <w:lvlText w:val="(%1)"/>
      <w:numFmt w:val="decimal"/>
      <w:start w:val="1"/>
    </w:lvl>
  </w:abstractNum>
  <w:abstractNum w:abstractNumId="123">
    <w:nsid w:val="178F7B67"/>
    <w:multiLevelType w:val="hybridMultilevel"/>
    <w:lvl w:ilvl="0">
      <w:lvlJc w:val="left"/>
      <w:lvlText w:val="%1."/>
      <w:numFmt w:val="decimal"/>
      <w:start w:val="2"/>
    </w:lvl>
  </w:abstractNum>
  <w:abstractNum w:abstractNumId="124">
    <w:nsid w:val="2421DFCF"/>
    <w:multiLevelType w:val="hybridMultilevel"/>
    <w:lvl w:ilvl="0">
      <w:lvlJc w:val="left"/>
      <w:lvlText w:val="•"/>
      <w:numFmt w:val="bullet"/>
      <w:start w:val="1"/>
    </w:lvl>
  </w:abstractNum>
  <w:abstractNum w:abstractNumId="125">
    <w:nsid w:val="1565AC99"/>
    <w:multiLevelType w:val="hybridMultilevel"/>
    <w:lvl w:ilvl="0">
      <w:lvlJc w:val="left"/>
      <w:lvlText w:val="%1."/>
      <w:numFmt w:val="decimal"/>
      <w:start w:val="3"/>
    </w:lvl>
  </w:abstractNum>
  <w:abstractNum w:abstractNumId="126">
    <w:nsid w:val="19FB2650"/>
    <w:multiLevelType w:val="hybridMultilevel"/>
    <w:lvl w:ilvl="0">
      <w:lvlJc w:val="left"/>
      <w:lvlText w:val="%1."/>
      <w:numFmt w:val="decimal"/>
      <w:start w:val="4"/>
    </w:lvl>
  </w:abstractNum>
  <w:abstractNum w:abstractNumId="127">
    <w:nsid w:val="5024DE5B"/>
    <w:multiLevelType w:val="hybridMultilevel"/>
    <w:lvl w:ilvl="0">
      <w:lvlJc w:val="left"/>
      <w:lvlText w:val="%1."/>
      <w:numFmt w:val="decimal"/>
      <w:start w:val="5"/>
    </w:lvl>
  </w:abstractNum>
  <w:abstractNum w:abstractNumId="128">
    <w:nsid w:val="168EFE17"/>
    <w:multiLevelType w:val="hybridMultilevel"/>
    <w:lvl w:ilvl="0">
      <w:lvlJc w:val="left"/>
      <w:lvlText w:val="(%1)"/>
      <w:numFmt w:val="lowerRoman"/>
      <w:start w:val="1"/>
    </w:lvl>
  </w:abstractNum>
  <w:abstractNum w:abstractNumId="129">
    <w:nsid w:val="1036B29F"/>
    <w:multiLevelType w:val="hybridMultilevel"/>
    <w:lvl w:ilvl="0">
      <w:lvlJc w:val="left"/>
      <w:lvlText w:val="(%1)"/>
      <w:numFmt w:val="decimal"/>
      <w:start w:val="1"/>
    </w:lvl>
  </w:abstractNum>
  <w:abstractNum w:abstractNumId="130">
    <w:nsid w:val="1D206B8E"/>
    <w:multiLevelType w:val="hybridMultilevel"/>
    <w:lvl w:ilvl="0">
      <w:lvlJc w:val="left"/>
      <w:lvlText w:val="%1."/>
      <w:numFmt w:val="decimal"/>
      <w:start w:val="7"/>
    </w:lvl>
  </w:abstractNum>
  <w:abstractNum w:abstractNumId="131">
    <w:nsid w:val="7934D3D4"/>
    <w:multiLevelType w:val="hybridMultilevel"/>
    <w:lvl w:ilvl="0">
      <w:lvlJc w:val="left"/>
      <w:lvlText w:val="(%1)"/>
      <w:numFmt w:val="lowerRoman"/>
      <w:start w:val="2"/>
    </w:lvl>
  </w:abstractNum>
  <w:abstractNum w:abstractNumId="132">
    <w:nsid w:val="1C65E98"/>
    <w:multiLevelType w:val="hybridMultilevel"/>
    <w:lvl w:ilvl="0">
      <w:lvlJc w:val="left"/>
      <w:lvlText w:val="•"/>
      <w:numFmt w:val="bullet"/>
      <w:start w:val="1"/>
    </w:lvl>
  </w:abstractNum>
  <w:abstractNum w:abstractNumId="133">
    <w:nsid w:val="1495E50A"/>
    <w:multiLevelType w:val="hybridMultilevel"/>
    <w:lvl w:ilvl="0">
      <w:lvlJc w:val="left"/>
      <w:lvlText w:val="•"/>
      <w:numFmt w:val="bullet"/>
      <w:start w:val="1"/>
    </w:lvl>
  </w:abstractNum>
  <w:abstractNum w:abstractNumId="134">
    <w:nsid w:val="F5BCF61"/>
    <w:multiLevelType w:val="hybridMultilevel"/>
    <w:lvl w:ilvl="0">
      <w:lvlJc w:val="left"/>
      <w:lvlText w:val="•"/>
      <w:numFmt w:val="bullet"/>
      <w:start w:val="1"/>
    </w:lvl>
  </w:abstractNum>
  <w:abstractNum w:abstractNumId="135">
    <w:nsid w:val="3B1DD403"/>
    <w:multiLevelType w:val="hybridMultilevel"/>
    <w:lvl w:ilvl="0">
      <w:lvlJc w:val="left"/>
      <w:lvlText w:val="(%1)"/>
      <w:numFmt w:val="lowerLetter"/>
      <w:start w:val="3"/>
    </w:lvl>
    <w:lvl w:ilvl="1">
      <w:lvlJc w:val="left"/>
      <w:lvlText w:val="%2."/>
      <w:numFmt w:val="decimal"/>
      <w:start w:val="1"/>
    </w:lvl>
  </w:abstractNum>
  <w:abstractNum w:abstractNumId="136">
    <w:nsid w:val="530386D1"/>
    <w:multiLevelType w:val="hybridMultilevel"/>
    <w:lvl w:ilvl="0">
      <w:lvlJc w:val="left"/>
      <w:lvlText w:val="(%1)"/>
      <w:numFmt w:val="lowerLetter"/>
      <w:start w:val="1"/>
    </w:lvl>
  </w:abstractNum>
  <w:abstractNum w:abstractNumId="137">
    <w:nsid w:val="7525F2BC"/>
    <w:multiLevelType w:val="hybridMultilevel"/>
    <w:lvl w:ilvl="0">
      <w:lvlJc w:val="left"/>
      <w:lvlText w:val="+"/>
      <w:numFmt w:val="bullet"/>
      <w:start w:val="1"/>
    </w:lvl>
  </w:abstractNum>
  <w:abstractNum w:abstractNumId="138">
    <w:nsid w:val="CE8E1A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9">
    <w:nsid w:val="4E9EFB0D"/>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40">
    <w:nsid w:val="90802B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1">
    <w:nsid w:val="3266459B"/>
    <w:multiLevelType w:val="hybridMultilevel"/>
    <w:lvl w:ilvl="0">
      <w:lvlJc w:val="left"/>
      <w:lvlText w:val="(%1)"/>
      <w:numFmt w:val="lowerLetter"/>
      <w:start w:val="3"/>
    </w:lvl>
    <w:lvl w:ilvl="1">
      <w:lvlJc w:val="left"/>
      <w:lvlText w:val="-"/>
      <w:numFmt w:val="bullet"/>
      <w:start w:val="1"/>
    </w:lvl>
  </w:abstractNum>
  <w:abstractNum w:abstractNumId="142">
    <w:nsid w:val="3F8B0CBF"/>
    <w:multiLevelType w:val="hybridMultilevel"/>
    <w:lvl w:ilvl="0">
      <w:lvlJc w:val="left"/>
      <w:lvlText w:val="(%1)"/>
      <w:numFmt w:val="lowerLetter"/>
      <w:start w:val="6"/>
    </w:lvl>
    <w:lvl w:ilvl="1">
      <w:lvlJc w:val="left"/>
      <w:lvlText w:val="-"/>
      <w:numFmt w:val="bullet"/>
      <w:start w:val="1"/>
    </w:lvl>
  </w:abstractNum>
  <w:abstractNum w:abstractNumId="143">
    <w:nsid w:val="37E203AB"/>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44">
    <w:nsid w:val="2586D60E"/>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145">
    <w:nsid w:val="1F3DA4D5"/>
    <w:multiLevelType w:val="hybridMultilevel"/>
    <w:lvl w:ilvl="0">
      <w:lvlJc w:val="left"/>
      <w:lvlText w:val="(%1)"/>
      <w:numFmt w:val="lowerLetter"/>
      <w:start w:val="35"/>
    </w:lvl>
    <w:lvl w:ilvl="1">
      <w:lvlJc w:val="left"/>
      <w:lvlText w:val="(%2)"/>
      <w:numFmt w:val="lowerLetter"/>
      <w:start w:val="12"/>
    </w:lvl>
    <w:lvl w:ilvl="2">
      <w:lvlJc w:val="left"/>
      <w:lvlText w:val="-"/>
      <w:numFmt w:val="bullet"/>
      <w:start w:val="1"/>
    </w:lvl>
  </w:abstractNum>
  <w:abstractNum w:abstractNumId="146">
    <w:nsid w:val="74C93698"/>
    <w:multiLevelType w:val="hybridMultilevel"/>
    <w:lvl w:ilvl="0">
      <w:lvlJc w:val="left"/>
      <w:lvlText w:val="(%1)"/>
      <w:numFmt w:val="lowerLetter"/>
      <w:start w:val="13"/>
    </w:lvl>
    <w:lvl w:ilvl="1">
      <w:lvlJc w:val="left"/>
      <w:lvlText w:val="-"/>
      <w:numFmt w:val="bullet"/>
      <w:start w:val="1"/>
    </w:lvl>
  </w:abstractNum>
  <w:abstractNum w:abstractNumId="147">
    <w:nsid w:val="48781401"/>
    <w:multiLevelType w:val="hybridMultilevel"/>
    <w:lvl w:ilvl="0">
      <w:lvlJc w:val="left"/>
      <w:lvlText w:val="(%1)"/>
      <w:numFmt w:val="lowerLetter"/>
      <w:start w:val="17"/>
    </w:lvl>
    <w:lvl w:ilvl="1">
      <w:lvlJc w:val="left"/>
      <w:lvlText w:val="-"/>
      <w:numFmt w:val="bullet"/>
      <w:start w:val="1"/>
    </w:lvl>
  </w:abstractNum>
  <w:abstractNum w:abstractNumId="148">
    <w:nsid w:val="186928D6"/>
    <w:multiLevelType w:val="hybridMultilevel"/>
    <w:lvl w:ilvl="0">
      <w:lvlJc w:val="left"/>
      <w:lvlText w:val="(%1)"/>
      <w:numFmt w:val="lowerLetter"/>
      <w:start w:val="22"/>
    </w:lvl>
  </w:abstractNum>
  <w:abstractNum w:abstractNumId="149">
    <w:nsid w:val="47195E5"/>
    <w:multiLevelType w:val="hybridMultilevel"/>
    <w:lvl w:ilvl="0">
      <w:lvlJc w:val="left"/>
      <w:lvlText w:val="(%1)"/>
      <w:numFmt w:val="lowerLetter"/>
      <w:start w:val="27"/>
    </w:lvl>
    <w:lvl w:ilvl="1">
      <w:lvlJc w:val="left"/>
      <w:lvlText w:val="-"/>
      <w:numFmt w:val="bullet"/>
      <w:start w:val="1"/>
    </w:lvl>
  </w:abstractNum>
  <w:abstractNum w:abstractNumId="150">
    <w:nsid w:val="3746A5F2"/>
    <w:multiLevelType w:val="hybridMultilevel"/>
    <w:lvl w:ilvl="0">
      <w:lvlJc w:val="left"/>
      <w:lvlText w:val="%1"/>
      <w:numFmt w:val="lowerLetter"/>
      <w:start w:val="1"/>
    </w:lvl>
    <w:lvl w:ilvl="1">
      <w:lvlJc w:val="left"/>
      <w:lvlText w:val="(%2)"/>
      <w:numFmt w:val="lowerLetter"/>
      <w:start w:val="28"/>
    </w:lvl>
    <w:lvl w:ilvl="2">
      <w:lvlJc w:val="left"/>
      <w:lvlText w:val="-"/>
      <w:numFmt w:val="bullet"/>
      <w:start w:val="1"/>
    </w:lvl>
  </w:abstractNum>
  <w:abstractNum w:abstractNumId="151">
    <w:nsid w:val="682DFED6"/>
    <w:multiLevelType w:val="hybridMultilevel"/>
    <w:lvl w:ilvl="0">
      <w:lvlJc w:val="left"/>
      <w:lvlText w:val="(%1)"/>
      <w:numFmt w:val="lowerLetter"/>
      <w:start w:val="61"/>
    </w:lvl>
    <w:lvl w:ilvl="1">
      <w:lvlJc w:val="left"/>
      <w:lvlText w:val="(%2)"/>
      <w:numFmt w:val="lowerLetter"/>
      <w:start w:val="29"/>
    </w:lvl>
    <w:lvl w:ilvl="2">
      <w:lvlJc w:val="left"/>
      <w:lvlText w:val="-"/>
      <w:numFmt w:val="bullet"/>
      <w:start w:val="1"/>
    </w:lvl>
  </w:abstractNum>
  <w:abstractNum w:abstractNumId="152">
    <w:nsid w:val="606ED7F6"/>
    <w:multiLevelType w:val="hybridMultilevel"/>
    <w:lvl w:ilvl="0">
      <w:lvlJc w:val="left"/>
      <w:lvlText w:val="(%1)"/>
      <w:numFmt w:val="lowerLetter"/>
      <w:start w:val="31"/>
    </w:lvl>
    <w:lvl w:ilvl="1">
      <w:lvlJc w:val="left"/>
      <w:lvlText w:val="-"/>
      <w:numFmt w:val="bullet"/>
      <w:start w:val="1"/>
    </w:lvl>
  </w:abstractNum>
  <w:abstractNum w:abstractNumId="153">
    <w:nsid w:val="2D9DF57D"/>
    <w:multiLevelType w:val="hybridMultilevel"/>
    <w:lvl w:ilvl="0">
      <w:lvlJc w:val="left"/>
      <w:lvlText w:val="(%1)"/>
      <w:numFmt w:val="lowerLetter"/>
      <w:start w:val="33"/>
    </w:lvl>
    <w:lvl w:ilvl="1">
      <w:lvlJc w:val="left"/>
      <w:lvlText w:val="-"/>
      <w:numFmt w:val="bullet"/>
      <w:start w:val="1"/>
    </w:lvl>
  </w:abstractNum>
  <w:abstractNum w:abstractNumId="154">
    <w:nsid w:val="7FBD7A3E"/>
    <w:multiLevelType w:val="hybridMultilevel"/>
    <w:lvl w:ilvl="0">
      <w:lvlJc w:val="left"/>
      <w:lvlText w:val="(%1)"/>
      <w:numFmt w:val="lowerLetter"/>
      <w:start w:val="34"/>
    </w:lvl>
    <w:lvl w:ilvl="1">
      <w:lvlJc w:val="left"/>
      <w:lvlText w:val="(%2)"/>
      <w:numFmt w:val="lowerRoman"/>
      <w:start w:val="1"/>
    </w:lvl>
    <w:lvl w:ilvl="2">
      <w:lvlJc w:val="left"/>
      <w:lvlText w:val="-"/>
      <w:numFmt w:val="bullet"/>
      <w:start w:val="1"/>
    </w:lvl>
  </w:abstractNum>
  <w:abstractNum w:abstractNumId="155">
    <w:nsid w:val="490B7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156">
    <w:nsid w:val="4303A216"/>
    <w:multiLevelType w:val="hybridMultilevel"/>
    <w:lvl w:ilvl="0">
      <w:lvlJc w:val="left"/>
      <w:lvlText w:val="(%1)"/>
      <w:numFmt w:val="upperLetter"/>
      <w:start w:val="2"/>
    </w:lvl>
    <w:lvl w:ilvl="1">
      <w:lvlJc w:val="left"/>
      <w:lvlText w:val="(%2)"/>
      <w:numFmt w:val="lowerLetter"/>
      <w:start w:val="37"/>
    </w:lvl>
    <w:lvl w:ilvl="2">
      <w:lvlJc w:val="left"/>
      <w:lvlText w:val="(%3)"/>
      <w:numFmt w:val="lowerLetter"/>
      <w:start w:val="61"/>
    </w:lvl>
    <w:lvl w:ilvl="3">
      <w:lvlJc w:val="left"/>
      <w:lvlText w:val="-"/>
      <w:numFmt w:val="bullet"/>
      <w:start w:val="1"/>
    </w:lvl>
  </w:abstractNum>
  <w:abstractNum w:abstractNumId="157">
    <w:nsid w:val="19B8A08E"/>
    <w:multiLevelType w:val="hybridMultilevel"/>
    <w:lvl w:ilvl="0">
      <w:lvlJc w:val="left"/>
      <w:lvlText w:val="(%1)"/>
      <w:numFmt w:val="lowerLetter"/>
      <w:start w:val="40"/>
    </w:lvl>
    <w:lvl w:ilvl="1">
      <w:lvlJc w:val="left"/>
      <w:lvlText w:val="-"/>
      <w:numFmt w:val="bullet"/>
      <w:start w:val="1"/>
    </w:lvl>
  </w:abstractNum>
  <w:abstractNum w:abstractNumId="158">
    <w:nsid w:val="54B59621"/>
    <w:multiLevelType w:val="hybridMultilevel"/>
    <w:lvl w:ilvl="0">
      <w:lvlJc w:val="left"/>
      <w:lvlText w:val="(%1)"/>
      <w:numFmt w:val="lowerLetter"/>
      <w:start w:val="44"/>
    </w:lvl>
    <w:lvl w:ilvl="1">
      <w:lvlJc w:val="left"/>
      <w:lvlText w:val="-"/>
      <w:numFmt w:val="bullet"/>
      <w:start w:val="1"/>
    </w:lvl>
  </w:abstractNum>
  <w:abstractNum w:abstractNumId="159">
    <w:nsid w:val="5992A02E"/>
    <w:multiLevelType w:val="hybridMultilevel"/>
    <w:lvl w:ilvl="0">
      <w:lvlJc w:val="left"/>
      <w:lvlText w:val="(%1)"/>
      <w:numFmt w:val="lowerLetter"/>
      <w:start w:val="47"/>
    </w:lvl>
    <w:lvl w:ilvl="1">
      <w:lvlJc w:val="left"/>
      <w:lvlText w:val="-"/>
      <w:numFmt w:val="bullet"/>
      <w:start w:val="1"/>
    </w:lvl>
  </w:abstractNum>
  <w:abstractNum w:abstractNumId="160">
    <w:nsid w:val="29EF53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1"/>
    </w:lvl>
    <w:lvl w:ilvl="3">
      <w:lvlJc w:val="left"/>
      <w:lvlText w:val="-"/>
      <w:numFmt w:val="bullet"/>
      <w:start w:val="1"/>
    </w:lvl>
  </w:abstractNum>
  <w:abstractNum w:abstractNumId="161">
    <w:nsid w:val="71D601A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62">
    <w:nsid w:val="52C7740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3">
    <w:nsid w:val="2BB5B1C6"/>
    <w:multiLevelType w:val="hybridMultilevel"/>
    <w:lvl w:ilvl="0">
      <w:lvlJc w:val="left"/>
      <w:lvlText w:val="(%1)"/>
      <w:numFmt w:val="lowerLetter"/>
      <w:start w:val="3"/>
    </w:lvl>
    <w:lvl w:ilvl="1">
      <w:lvlJc w:val="left"/>
      <w:lvlText w:val="-"/>
      <w:numFmt w:val="bullet"/>
      <w:start w:val="1"/>
    </w:lvl>
  </w:abstractNum>
  <w:abstractNum w:abstractNumId="164">
    <w:nsid w:val="66BE6B9"/>
    <w:multiLevelType w:val="hybridMultilevel"/>
    <w:lvl w:ilvl="0">
      <w:lvlJc w:val="left"/>
      <w:lvlText w:val="(%1)"/>
      <w:numFmt w:val="lowerLetter"/>
      <w:start w:val="7"/>
    </w:lvl>
    <w:lvl w:ilvl="1">
      <w:lvlJc w:val="left"/>
      <w:lvlText w:val="-"/>
      <w:numFmt w:val="bullet"/>
      <w:start w:val="1"/>
    </w:lvl>
  </w:abstractNum>
  <w:abstractNum w:abstractNumId="165">
    <w:nsid w:val="62234363"/>
    <w:multiLevelType w:val="hybridMultilevel"/>
    <w:lvl w:ilvl="0">
      <w:lvlJc w:val="left"/>
      <w:lvlText w:val="(%1)"/>
      <w:numFmt w:val="lowerLetter"/>
      <w:start w:val="10"/>
    </w:lvl>
    <w:lvl w:ilvl="1">
      <w:lvlJc w:val="left"/>
      <w:lvlText w:val="-"/>
      <w:numFmt w:val="bullet"/>
      <w:start w:val="1"/>
    </w:lvl>
  </w:abstractNum>
  <w:abstractNum w:abstractNumId="166">
    <w:nsid w:val="66D385C9"/>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167">
    <w:nsid w:val="596F6D8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68">
    <w:nsid w:val="5749361F"/>
    <w:multiLevelType w:val="hybridMultilevel"/>
    <w:lvl w:ilvl="0">
      <w:lvlJc w:val="left"/>
      <w:lvlText w:val="(%1)"/>
      <w:numFmt w:val="upperLetter"/>
      <w:start w:val="6"/>
    </w:lvl>
    <w:lvl w:ilvl="1">
      <w:lvlJc w:val="left"/>
      <w:lvlText w:val="(%2)"/>
      <w:numFmt w:val="lowerLetter"/>
      <w:start w:val="16"/>
    </w:lvl>
  </w:abstractNum>
  <w:abstractNum w:abstractNumId="169">
    <w:nsid w:val="73BC6770"/>
    <w:multiLevelType w:val="hybridMultilevel"/>
    <w:lvl w:ilvl="0">
      <w:lvlJc w:val="left"/>
      <w:lvlText w:val="(%1)"/>
      <w:numFmt w:val="lowerLetter"/>
      <w:start w:val="19"/>
    </w:lvl>
    <w:lvl w:ilvl="1">
      <w:lvlJc w:val="left"/>
      <w:lvlText w:val="-"/>
      <w:numFmt w:val="bullet"/>
      <w:start w:val="1"/>
    </w:lvl>
  </w:abstractNum>
  <w:abstractNum w:abstractNumId="170">
    <w:nsid w:val="280E689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71">
    <w:nsid w:val="605138D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172">
    <w:nsid w:val="2622AD0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
      <w:numFmt w:val="bullet"/>
      <w:start w:val="1"/>
    </w:lvl>
  </w:abstractNum>
  <w:abstractNum w:abstractNumId="173">
    <w:nsid w:val="67997556"/>
    <w:multiLevelType w:val="hybridMultilevel"/>
    <w:lvl w:ilvl="0">
      <w:lvlJc w:val="left"/>
      <w:lvlText w:val="(%1)"/>
      <w:numFmt w:val="lowerLetter"/>
      <w:start w:val="5"/>
    </w:lvl>
    <w:lvl w:ilvl="1">
      <w:lvlJc w:val="left"/>
      <w:lvlText w:val="-"/>
      <w:numFmt w:val="bullet"/>
      <w:start w:val="1"/>
    </w:lvl>
  </w:abstractNum>
  <w:abstractNum w:abstractNumId="174">
    <w:nsid w:val="18333C89"/>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175">
    <w:nsid w:val="4BA9831A"/>
    <w:multiLevelType w:val="hybridMultilevel"/>
    <w:lvl w:ilvl="0">
      <w:lvlJc w:val="left"/>
      <w:lvlText w:val="(%1)"/>
      <w:numFmt w:val="lowerLetter"/>
      <w:start w:val="14"/>
    </w:lvl>
  </w:abstractNum>
  <w:abstractNum w:abstractNumId="176">
    <w:nsid w:val="6D71A2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77">
    <w:nsid w:val="CFC7321"/>
    <w:multiLevelType w:val="hybridMultilevel"/>
    <w:lvl w:ilvl="0">
      <w:lvlJc w:val="left"/>
      <w:lvlText w:val="(%1)"/>
      <w:numFmt w:val="lowerLetter"/>
      <w:start w:val="2"/>
    </w:lvl>
    <w:lvl w:ilvl="1">
      <w:lvlJc w:val="left"/>
      <w:lvlText w:val="-"/>
      <w:numFmt w:val="bullet"/>
      <w:start w:val="1"/>
    </w:lvl>
  </w:abstractNum>
  <w:abstractNum w:abstractNumId="178">
    <w:nsid w:val="142197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
      <w:numFmt w:val="bullet"/>
      <w:start w:val="1"/>
    </w:lvl>
  </w:abstractNum>
  <w:abstractNum w:abstractNumId="179">
    <w:nsid w:val="1F404301"/>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180">
    <w:nsid w:val="116E090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1">
    <w:nsid w:val="4B683D0D"/>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82">
    <w:nsid w:val="76E41D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3">
    <w:nsid w:val="71DCE0F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84">
    <w:nsid w:val="7906328B"/>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85">
    <w:nsid w:val="72BBC16"/>
    <w:multiLevelType w:val="hybridMultilevel"/>
    <w:lvl w:ilvl="0">
      <w:lvlJc w:val="left"/>
      <w:lvlText w:val="(%1)"/>
      <w:numFmt w:val="lowerLetter"/>
      <w:start w:val="10"/>
    </w:lvl>
  </w:abstractNum>
  <w:abstractNum w:abstractNumId="186">
    <w:nsid w:val="766D98C2"/>
    <w:multiLevelType w:val="hybridMultilevel"/>
    <w:lvl w:ilvl="0">
      <w:lvlJc w:val="left"/>
      <w:lvlText w:val="%1."/>
      <w:numFmt w:val="decimal"/>
      <w:start w:val="1"/>
    </w:lvl>
  </w:abstractNum>
  <w:abstractNum w:abstractNumId="187">
    <w:nsid w:val="3C09D4A1"/>
    <w:multiLevelType w:val="hybridMultilevel"/>
    <w:lvl w:ilvl="0">
      <w:lvlJc w:val="left"/>
      <w:lvlText w:val="(%1)"/>
      <w:numFmt w:val="decimal"/>
      <w:start w:val="1"/>
    </w:lvl>
  </w:abstractNum>
  <w:abstractNum w:abstractNumId="188">
    <w:nsid w:val="20E45CA4"/>
    <w:multiLevelType w:val="hybridMultilevel"/>
    <w:lvl w:ilvl="0">
      <w:lvlJc w:val="left"/>
      <w:lvlText w:val="(%1)"/>
      <w:numFmt w:val="lowerRoman"/>
      <w:start w:val="9"/>
    </w:lvl>
  </w:abstractNum>
  <w:abstractNum w:abstractNumId="189">
    <w:nsid w:val="4B232EE3"/>
    <w:multiLevelType w:val="hybridMultilevel"/>
    <w:lvl w:ilvl="0">
      <w:lvlJc w:val="left"/>
      <w:lvlText w:val="(%1)"/>
      <w:numFmt w:val="lowerRoman"/>
      <w:start w:val="3"/>
    </w:lvl>
  </w:abstractNum>
  <w:abstractNum w:abstractNumId="190">
    <w:nsid w:val="159C74CF"/>
    <w:multiLevelType w:val="hybridMultilevel"/>
    <w:lvl w:ilvl="0">
      <w:lvlJc w:val="left"/>
      <w:lvlText w:val="%1."/>
      <w:numFmt w:val="upperLetter"/>
      <w:start w:val="1"/>
    </w:lvl>
  </w:abstractNum>
  <w:abstractNum w:abstractNumId="191">
    <w:nsid w:val="4AD3AFD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92">
    <w:nsid w:val="3CF93092"/>
    <w:multiLevelType w:val="hybridMultilevel"/>
    <w:lvl w:ilvl="0">
      <w:lvlJc w:val="left"/>
      <w:lvlText w:val="(%1)"/>
      <w:numFmt w:val="lowerLetter"/>
      <w:start w:val="2"/>
    </w:lvl>
  </w:abstractNum>
  <w:abstractNum w:abstractNumId="193">
    <w:nsid w:val="6863E8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4">
    <w:nsid w:val="7689619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95">
    <w:nsid w:val="4365174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6">
    <w:nsid w:val="4A872C35"/>
    <w:multiLevelType w:val="hybridMultilevel"/>
    <w:lvl w:ilvl="0">
      <w:lvlJc w:val="left"/>
      <w:lvlText w:val="%1"/>
      <w:numFmt w:val="lowerLetter"/>
      <w:start w:val="1"/>
    </w:lvl>
    <w:lvl w:ilvl="1">
      <w:lvlJc w:val="left"/>
      <w:lvlText w:val="(%2)"/>
      <w:numFmt w:val="lowerRoman"/>
      <w:start w:val="1"/>
    </w:lvl>
  </w:abstractNum>
  <w:abstractNum w:abstractNumId="197">
    <w:nsid w:val="5D5CE761"/>
    <w:multiLevelType w:val="hybridMultilevel"/>
    <w:lvl w:ilvl="0">
      <w:lvlJc w:val="left"/>
      <w:lvlText w:val="(%1)"/>
      <w:numFmt w:val="lowerLetter"/>
      <w:start w:val="3"/>
    </w:lvl>
    <w:lvl w:ilvl="1">
      <w:lvlJc w:val="left"/>
      <w:lvlText w:val="(%2)"/>
      <w:numFmt w:val="lowerRoman"/>
      <w:start w:val="1"/>
    </w:lvl>
  </w:abstractNum>
  <w:abstractNum w:abstractNumId="198">
    <w:nsid w:val="1CD484D5"/>
    <w:multiLevelType w:val="hybridMultilevel"/>
    <w:lvl w:ilvl="0">
      <w:lvlJc w:val="left"/>
      <w:lvlText w:val="%1"/>
      <w:numFmt w:val="lowerLetter"/>
      <w:start w:val="1"/>
    </w:lvl>
    <w:lvl w:ilvl="1">
      <w:lvlJc w:val="left"/>
      <w:lvlText w:val="(%2)"/>
      <w:numFmt w:val="lowerRoman"/>
      <w:start w:val="1"/>
    </w:lvl>
  </w:abstractNum>
  <w:abstractNum w:abstractNumId="199">
    <w:nsid w:val="21D06255"/>
    <w:multiLevelType w:val="hybridMultilevel"/>
    <w:lvl w:ilvl="0">
      <w:lvlJc w:val="left"/>
      <w:lvlText w:val="(%1)"/>
      <w:numFmt w:val="lowerLetter"/>
      <w:start w:val="5"/>
    </w:lvl>
    <w:lvl w:ilvl="1">
      <w:lvlJc w:val="left"/>
      <w:lvlText w:val="(%2)"/>
      <w:numFmt w:val="lowerRoman"/>
      <w:start w:val="1"/>
    </w:lvl>
  </w:abstractNum>
  <w:abstractNum w:abstractNumId="200">
    <w:nsid w:val="51194ED1"/>
    <w:multiLevelType w:val="hybridMultilevel"/>
    <w:lvl w:ilvl="0">
      <w:lvlJc w:val="left"/>
      <w:lvlText w:val="%1"/>
      <w:numFmt w:val="lowerLetter"/>
      <w:start w:val="1"/>
    </w:lvl>
    <w:lvl w:ilvl="1">
      <w:lvlJc w:val="left"/>
      <w:lvlText w:val="(%2)"/>
      <w:numFmt w:val="lowerRoman"/>
      <w:start w:val="1"/>
    </w:lvl>
  </w:abstractNum>
  <w:abstractNum w:abstractNumId="201">
    <w:nsid w:val="44E2ED6C"/>
    <w:multiLevelType w:val="hybridMultilevel"/>
    <w:lvl w:ilvl="0">
      <w:lvlJc w:val="left"/>
      <w:lvlText w:val="(%1)"/>
      <w:numFmt w:val="lowerLetter"/>
      <w:start w:val="7"/>
    </w:lvl>
    <w:lvl w:ilvl="1">
      <w:lvlJc w:val="left"/>
      <w:lvlText w:val="(%2)"/>
      <w:numFmt w:val="lowerRoman"/>
      <w:start w:val="1"/>
    </w:lvl>
  </w:abstractNum>
  <w:abstractNum w:abstractNumId="202">
    <w:nsid w:val="2219B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03">
    <w:nsid w:val="773BFBD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04">
    <w:nsid w:val="2C7C62C2"/>
    <w:multiLevelType w:val="hybridMultilevel"/>
    <w:lvl w:ilvl="0">
      <w:lvlJc w:val="left"/>
      <w:lvlText w:val="(%1)"/>
      <w:numFmt w:val="lowerRoman"/>
      <w:start w:val="2"/>
    </w:lvl>
  </w:abstractNum>
  <w:abstractNum w:abstractNumId="205">
    <w:nsid w:val="1A54D7BC"/>
    <w:multiLevelType w:val="hybridMultilevel"/>
    <w:lvl w:ilvl="0">
      <w:lvlJc w:val="left"/>
      <w:lvlText w:val="%1"/>
      <w:numFmt w:val="lowerLetter"/>
      <w:start w:val="1"/>
    </w:lvl>
    <w:lvl w:ilvl="1">
      <w:lvlJc w:val="left"/>
      <w:lvlText w:val="(%2)"/>
      <w:numFmt w:val="lowerRoman"/>
      <w:start w:val="4"/>
    </w:lvl>
  </w:abstractNum>
  <w:abstractNum w:abstractNumId="206">
    <w:nsid w:val="42E57EF7"/>
    <w:multiLevelType w:val="hybridMultilevel"/>
    <w:lvl w:ilvl="0">
      <w:lvlJc w:val="left"/>
      <w:lvlText w:val="(%1)"/>
      <w:numFmt w:val="lowerLetter"/>
      <w:start w:val="2"/>
    </w:lvl>
    <w:lvl w:ilvl="1">
      <w:lvlJc w:val="left"/>
      <w:lvlText w:val="%2"/>
      <w:numFmt w:val="lowerRoman"/>
      <w:start w:val="1"/>
    </w:lvl>
  </w:abstractNum>
  <w:abstractNum w:abstractNumId="207">
    <w:nsid w:val="33537CED"/>
    <w:multiLevelType w:val="hybridMultilevel"/>
    <w:lvl w:ilvl="0">
      <w:lvlJc w:val="left"/>
      <w:lvlText w:val="%1"/>
      <w:numFmt w:val="decimal"/>
      <w:start w:val="1"/>
    </w:lvl>
    <w:lvl w:ilvl="1">
      <w:lvlJc w:val="left"/>
      <w:lvlText w:val="(%2)"/>
      <w:numFmt w:val="lowerLetter"/>
      <w:start w:val="3"/>
    </w:lvl>
  </w:abstractNum>
  <w:abstractNum w:abstractNumId="208">
    <w:nsid w:val="27514ADE"/>
    <w:multiLevelType w:val="hybridMultilevel"/>
    <w:lvl w:ilvl="0">
      <w:lvlJc w:val="left"/>
      <w:lvlText w:val="%1."/>
      <w:numFmt w:val="decimal"/>
      <w:start w:val="4"/>
    </w:lvl>
    <w:lvl w:ilvl="1">
      <w:lvlJc w:val="left"/>
      <w:lvlText w:val="(%2)"/>
      <w:numFmt w:val="lowerLetter"/>
      <w:start w:val="1"/>
    </w:lvl>
  </w:abstractNum>
  <w:abstractNum w:abstractNumId="209">
    <w:nsid w:val="57071613"/>
    <w:multiLevelType w:val="hybridMultilevel"/>
    <w:lvl w:ilvl="0">
      <w:lvlJc w:val="left"/>
      <w:lvlText w:val="%1."/>
      <w:numFmt w:val="decimal"/>
      <w:start w:val="5"/>
    </w:lvl>
  </w:abstractNum>
  <w:abstractNum w:abstractNumId="210">
    <w:nsid w:val="5293BFEF"/>
    <w:multiLevelType w:val="hybridMultilevel"/>
    <w:lvl w:ilvl="0">
      <w:lvlJc w:val="left"/>
      <w:lvlText w:val="(%1)"/>
      <w:numFmt w:val="lowerLetter"/>
      <w:start w:val="1"/>
    </w:lvl>
  </w:abstractNum>
  <w:abstractNum w:abstractNumId="211">
    <w:nsid w:val="38BF53E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12">
    <w:nsid w:val="226F5320"/>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13">
    <w:nsid w:val="5A0201C7"/>
    <w:multiLevelType w:val="hybridMultilevel"/>
    <w:lvl w:ilvl="0">
      <w:lvlJc w:val="left"/>
      <w:lvlText w:val="(%1)"/>
      <w:numFmt w:val="lowerRoman"/>
      <w:start w:val="2"/>
    </w:lvl>
  </w:abstractNum>
  <w:abstractNum w:abstractNumId="214">
    <w:nsid w:val="2A9C34E2"/>
    <w:multiLevelType w:val="hybridMultilevel"/>
    <w:lvl w:ilvl="0">
      <w:lvlJc w:val="left"/>
      <w:lvlText w:val="(%1)"/>
      <w:numFmt w:val="upperLetter"/>
      <w:start w:val="1"/>
    </w:lvl>
  </w:abstractNum>
  <w:abstractNum w:abstractNumId="215">
    <w:nsid w:val="1B7585AB"/>
    <w:multiLevelType w:val="hybridMultilevel"/>
    <w:lvl w:ilvl="0">
      <w:lvlJc w:val="left"/>
      <w:lvlText w:val="%1"/>
      <w:numFmt w:val="lowerRoman"/>
      <w:start w:val="1"/>
    </w:lvl>
    <w:lvl w:ilvl="1">
      <w:lvlJc w:val="left"/>
      <w:lvlText w:val="(%2)"/>
      <w:numFmt w:val="upperLetter"/>
      <w:start w:val="2"/>
    </w:lvl>
  </w:abstractNum>
  <w:abstractNum w:abstractNumId="216">
    <w:nsid w:val="612DBDDD"/>
    <w:multiLevelType w:val="hybridMultilevel"/>
    <w:lvl w:ilvl="0">
      <w:lvlJc w:val="left"/>
      <w:lvlText w:val="(%1)"/>
      <w:numFmt w:val="lowerRoman"/>
      <w:start w:val="5"/>
    </w:lvl>
    <w:lvl w:ilvl="1">
      <w:lvlJc w:val="left"/>
      <w:lvlText w:val="%2"/>
      <w:numFmt w:val="upperLetter"/>
      <w:start w:val="1"/>
    </w:lvl>
  </w:abstractNum>
  <w:abstractNum w:abstractNumId="217">
    <w:nsid w:val="2109CDA4"/>
    <w:multiLevelType w:val="hybridMultilevel"/>
    <w:lvl w:ilvl="0">
      <w:lvlJc w:val="left"/>
      <w:lvlText w:val="(%1)"/>
      <w:numFmt w:val="upperLetter"/>
      <w:start w:val="1"/>
    </w:lvl>
  </w:abstractNum>
  <w:abstractNum w:abstractNumId="218">
    <w:nsid w:val="577F5A4D"/>
    <w:multiLevelType w:val="hybridMultilevel"/>
    <w:lvl w:ilvl="0">
      <w:lvlJc w:val="left"/>
      <w:lvlText w:val="(%1)"/>
      <w:numFmt w:val="upperLetter"/>
      <w:start w:val="2"/>
    </w:lvl>
  </w:abstractNum>
  <w:abstractNum w:abstractNumId="219">
    <w:nsid w:val="2121A81"/>
    <w:multiLevelType w:val="hybridMultilevel"/>
    <w:lvl w:ilvl="0">
      <w:lvlJc w:val="left"/>
      <w:lvlText w:val="%1"/>
      <w:numFmt w:val="lowerLetter"/>
      <w:start w:val="1"/>
    </w:lvl>
    <w:lvl w:ilvl="1">
      <w:lvlJc w:val="left"/>
      <w:lvlText w:val="(%2)"/>
      <w:numFmt w:val="lowerRoman"/>
      <w:start w:val="6"/>
    </w:lvl>
  </w:abstractNum>
  <w:abstractNum w:abstractNumId="220">
    <w:nsid w:val="6C2CFC88"/>
    <w:multiLevelType w:val="hybridMultilevel"/>
    <w:lvl w:ilvl="0">
      <w:lvlJc w:val="left"/>
      <w:lvlText w:val="(%1)"/>
      <w:numFmt w:val="lowerLetter"/>
      <w:start w:val="9"/>
    </w:lvl>
    <w:lvl w:ilvl="1">
      <w:lvlJc w:val="left"/>
      <w:lvlText w:val="%2"/>
      <w:numFmt w:val="lowerRoman"/>
      <w:start w:val="1"/>
    </w:lvl>
  </w:abstractNum>
  <w:abstractNum w:abstractNumId="221">
    <w:nsid w:val="6D1BCF1C"/>
    <w:multiLevelType w:val="hybridMultilevel"/>
    <w:lvl w:ilvl="0">
      <w:lvlJc w:val="left"/>
      <w:lvlText w:val="(%1)"/>
      <w:numFmt w:val="lowerLetter"/>
      <w:start w:val="11"/>
    </w:lvl>
    <w:lvl w:ilvl="1">
      <w:lvlJc w:val="left"/>
      <w:lvlText w:val="(%2)"/>
      <w:numFmt w:val="lowerRoman"/>
      <w:start w:val="1"/>
    </w:lvl>
  </w:abstractNum>
  <w:abstractNum w:abstractNumId="222">
    <w:nsid w:val="4CE5CA53"/>
    <w:multiLevelType w:val="hybridMultilevel"/>
    <w:lvl w:ilvl="0">
      <w:lvlJc w:val="left"/>
      <w:lvlText w:val="(%1)"/>
      <w:numFmt w:val="lowerLetter"/>
      <w:start w:val="13"/>
    </w:lvl>
  </w:abstractNum>
  <w:abstractNum w:abstractNumId="223">
    <w:nsid w:val="29262D1A"/>
    <w:multiLevelType w:val="hybridMultilevel"/>
    <w:lvl w:ilvl="0">
      <w:lvlJc w:val="left"/>
      <w:lvlText w:val="%1."/>
      <w:numFmt w:val="decimal"/>
      <w:start w:val="6"/>
    </w:lvl>
  </w:abstractNum>
  <w:abstractNum w:abstractNumId="224">
    <w:nsid w:val="557FB7EE"/>
    <w:multiLevelType w:val="hybridMultilevel"/>
    <w:lvl w:ilvl="0">
      <w:lvlJc w:val="left"/>
      <w:lvlText w:val="%1."/>
      <w:numFmt w:val="upperLetter"/>
      <w:start w:val="1"/>
    </w:lvl>
  </w:abstractNum>
  <w:abstractNum w:abstractNumId="225">
    <w:nsid w:val="436F2BEB"/>
    <w:multiLevelType w:val="hybridMultilevel"/>
    <w:lvl w:ilvl="0">
      <w:lvlJc w:val="left"/>
      <w:lvlText w:val="%1."/>
      <w:numFmt w:val="upperLetter"/>
      <w:start w:val="3"/>
    </w:lvl>
  </w:abstractNum>
  <w:abstractNum w:abstractNumId="226">
    <w:nsid w:val="6C8B4466"/>
    <w:multiLevelType w:val="hybridMultilevel"/>
    <w:lvl w:ilvl="0">
      <w:lvlJc w:val="left"/>
      <w:lvlText w:val="%1."/>
      <w:numFmt w:val="upperLetter"/>
      <w:start w:val="1"/>
    </w:lvl>
  </w:abstractNum>
  <w:abstractNum w:abstractNumId="227">
    <w:nsid w:val="2006E424"/>
    <w:multiLevelType w:val="hybridMultilevel"/>
    <w:lvl w:ilvl="0">
      <w:lvlJc w:val="left"/>
      <w:lvlText w:val="(%1)"/>
      <w:numFmt w:val="lowerRoman"/>
      <w:start w:val="2"/>
    </w:lvl>
    <w:lvl w:ilvl="1">
      <w:lvlJc w:val="left"/>
      <w:lvlText w:val="*"/>
      <w:numFmt w:val="bullet"/>
      <w:start w:val="1"/>
    </w:lvl>
  </w:abstractNum>
  <w:abstractNum w:abstractNumId="228">
    <w:nsid w:val="20CC134C"/>
    <w:multiLevelType w:val="hybridMultilevel"/>
    <w:lvl w:ilvl="0">
      <w:lvlJc w:val="left"/>
      <w:lvlText w:val="(%1)"/>
      <w:numFmt w:val="decimal"/>
      <w:start w:val="1"/>
    </w:lvl>
  </w:abstractNum>
  <w:abstractNum w:abstractNumId="229">
    <w:nsid w:val="95FC93B"/>
    <w:multiLevelType w:val="hybridMultilevel"/>
    <w:lvl w:ilvl="0">
      <w:lvlJc w:val="left"/>
      <w:lvlText w:val="(%1)"/>
      <w:numFmt w:val="decimal"/>
      <w:start w:val="9"/>
    </w:lvl>
  </w:abstractNum>
  <w:abstractNum w:abstractNumId="230">
    <w:nsid w:val="41D74679"/>
    <w:multiLevelType w:val="hybridMultilevel"/>
    <w:lvl w:ilvl="0">
      <w:lvlJc w:val="left"/>
      <w:lvlText w:val="(%1)"/>
      <w:numFmt w:val="decimal"/>
      <w:start w:val="1"/>
    </w:lvl>
  </w:abstractNum>
  <w:abstractNum w:abstractNumId="231">
    <w:nsid w:val="71E5621E"/>
    <w:multiLevelType w:val="hybridMultilevel"/>
    <w:lvl w:ilvl="0">
      <w:lvlJc w:val="left"/>
      <w:lvlText w:val="%1."/>
      <w:numFmt w:val="decimal"/>
      <w:start w:val="1"/>
    </w:lvl>
    <w:lvl w:ilvl="1">
      <w:lvlJc w:val="left"/>
      <w:lvlText w:val="(%2)"/>
      <w:numFmt w:val="lowerLetter"/>
      <w:start w:val="1"/>
    </w:lvl>
  </w:abstractNum>
  <w:abstractNum w:abstractNumId="232">
    <w:nsid w:val="4E42B6A8"/>
    <w:multiLevelType w:val="hybridMultilevel"/>
    <w:lvl w:ilvl="0">
      <w:lvlJc w:val="left"/>
      <w:lvlText w:val="(%1)"/>
      <w:numFmt w:val="lowerRoman"/>
      <w:start w:val="1"/>
    </w:lvl>
  </w:abstractNum>
  <w:abstractNum w:abstractNumId="233">
    <w:nsid w:val="43F8E1AC"/>
    <w:multiLevelType w:val="hybridMultilevel"/>
    <w:lvl w:ilvl="0">
      <w:lvlJc w:val="left"/>
      <w:lvlText w:val="(%1)"/>
      <w:numFmt w:val="lowerRoman"/>
      <w:start w:val="2"/>
    </w:lvl>
  </w:abstractNum>
  <w:abstractNum w:abstractNumId="234">
    <w:nsid w:val="69215DFB"/>
    <w:multiLevelType w:val="hybridMultilevel"/>
    <w:lvl w:ilvl="0">
      <w:lvlJc w:val="left"/>
      <w:lvlText w:val="(%1)"/>
      <w:numFmt w:val="lowerLetter"/>
      <w:start w:val="5"/>
    </w:lvl>
  </w:abstractNum>
  <w:abstractNum w:abstractNumId="235">
    <w:nsid w:val="7ABF196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36">
    <w:nsid w:val="5E4DB96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37">
    <w:nsid w:val="2C06DCF3"/>
    <w:multiLevelType w:val="hybridMultilevel"/>
    <w:lvl w:ilvl="0">
      <w:lvlJc w:val="left"/>
      <w:lvlText w:val="(%1)"/>
      <w:numFmt w:val="lowerLetter"/>
      <w:start w:val="14"/>
    </w:lvl>
  </w:abstractNum>
  <w:abstractNum w:abstractNumId="238">
    <w:nsid w:val="2E129658"/>
    <w:multiLevelType w:val="hybridMultilevel"/>
    <w:lvl w:ilvl="0">
      <w:lvlJc w:val="left"/>
      <w:lvlText w:val="(%1)"/>
      <w:numFmt w:val="lowerLetter"/>
      <w:start w:val="19"/>
    </w:lvl>
  </w:abstractNum>
  <w:abstractNum w:abstractNumId="239">
    <w:nsid w:val="59F0446"/>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240">
    <w:nsid w:val="30DF30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41">
    <w:nsid w:val="A65647"/>
    <w:multiLevelType w:val="hybridMultilevel"/>
    <w:lvl w:ilvl="0">
      <w:lvlJc w:val="left"/>
      <w:lvlText w:val="%1"/>
      <w:numFmt w:val="lowerLetter"/>
      <w:start w:val="1"/>
    </w:lvl>
    <w:lvl w:ilvl="1">
      <w:lvlJc w:val="left"/>
      <w:lvlText w:val="(%2)"/>
      <w:numFmt w:val="lowerRoman"/>
      <w:start w:val="2"/>
    </w:lvl>
  </w:abstractNum>
  <w:abstractNum w:abstractNumId="242">
    <w:nsid w:val="3E5E582B"/>
    <w:multiLevelType w:val="hybridMultilevel"/>
    <w:lvl w:ilvl="0">
      <w:lvlJc w:val="left"/>
      <w:lvlText w:val="(%1)"/>
      <w:numFmt w:val="lowerLetter"/>
      <w:start w:val="3"/>
    </w:lvl>
    <w:lvl w:ilvl="1">
      <w:lvlJc w:val="left"/>
      <w:lvlText w:val="%2"/>
      <w:numFmt w:val="lowerRoman"/>
      <w:start w:val="1"/>
    </w:lvl>
  </w:abstractNum>
  <w:abstractNum w:abstractNumId="243">
    <w:nsid w:val="257D462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4">
    <w:nsid w:val="5AA8580E"/>
    <w:multiLevelType w:val="hybridMultilevel"/>
    <w:lvl w:ilvl="0">
      <w:lvlJc w:val="left"/>
      <w:lvlText w:val="%1"/>
      <w:numFmt w:val="decimal"/>
      <w:start w:val="1"/>
    </w:lvl>
    <w:lvl w:ilvl="1">
      <w:lvlJc w:val="left"/>
      <w:lvlText w:val="(%2)"/>
      <w:numFmt w:val="lowerLetter"/>
      <w:start w:val="3"/>
    </w:lvl>
  </w:abstractNum>
  <w:abstractNum w:abstractNumId="245">
    <w:nsid w:val="68FA8D0D"/>
    <w:multiLevelType w:val="hybridMultilevel"/>
    <w:lvl w:ilvl="0">
      <w:lvlJc w:val="left"/>
      <w:lvlText w:val="%1."/>
      <w:numFmt w:val="decimal"/>
      <w:start w:val="6"/>
    </w:lvl>
    <w:lvl w:ilvl="1">
      <w:lvlJc w:val="left"/>
      <w:lvlText w:val="%2"/>
      <w:numFmt w:val="lowerLetter"/>
      <w:start w:val="1"/>
    </w:lvl>
  </w:abstractNum>
  <w:abstractNum w:abstractNumId="246">
    <w:nsid w:val="40F2CBD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7">
    <w:nsid w:val="3BD615EB"/>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248">
    <w:nsid w:val="A045AB2"/>
    <w:multiLevelType w:val="hybridMultilevel"/>
    <w:lvl w:ilvl="0">
      <w:lvlJc w:val="left"/>
      <w:lvlText w:val="(%1)"/>
      <w:numFmt w:val="lowerRoman"/>
      <w:start w:val="2"/>
    </w:lvl>
  </w:abstractNum>
  <w:abstractNum w:abstractNumId="249">
    <w:nsid w:val="187226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50">
    <w:nsid w:val="3DE8306C"/>
    <w:multiLevelType w:val="hybridMultilevel"/>
    <w:lvl w:ilvl="0">
      <w:lvlJc w:val="left"/>
      <w:lvlText w:val="(%1)"/>
      <w:numFmt w:val="lowerRoman"/>
      <w:start w:val="3"/>
    </w:lvl>
    <w:lvl w:ilvl="1">
      <w:lvlJc w:val="left"/>
      <w:lvlText w:val="(%2)"/>
      <w:numFmt w:val="lowerLetter"/>
      <w:start w:val="4"/>
    </w:lvl>
    <w:lvl w:ilvl="2">
      <w:lvlJc w:val="left"/>
      <w:lvlText w:val="(%3)"/>
      <w:numFmt w:val="lowerRoman"/>
      <w:start w:val="5"/>
    </w:lvl>
  </w:abstractNum>
  <w:abstractNum w:abstractNumId="251">
    <w:nsid w:val="763157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52">
    <w:nsid w:val="58DF53B"/>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53">
    <w:nsid w:val="ACDFAC0"/>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254">
    <w:nsid w:val="1F578454"/>
    <w:multiLevelType w:val="hybridMultilevel"/>
    <w:lvl w:ilvl="0">
      <w:lvlJc w:val="left"/>
      <w:lvlText w:val="(%1)"/>
      <w:numFmt w:val="lowerLetter"/>
      <w:start w:val="9"/>
    </w:lvl>
    <w:lvl w:ilvl="1">
      <w:lvlJc w:val="left"/>
      <w:lvlText w:val="(%2)"/>
      <w:numFmt w:val="lowerLetter"/>
      <w:start w:val="10"/>
    </w:lvl>
    <w:lvl w:ilvl="2">
      <w:lvlJc w:val="left"/>
      <w:lvlText w:val="%3"/>
      <w:numFmt w:val="lowerRoman"/>
      <w:start w:val="1"/>
    </w:lvl>
  </w:abstractNum>
  <w:abstractNum w:abstractNumId="255">
    <w:nsid w:val="5B0DAD2A"/>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256">
    <w:nsid w:val="4E3D26A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57">
    <w:nsid w:val="BE2C8BA"/>
    <w:multiLevelType w:val="hybridMultilevel"/>
    <w:lvl w:ilvl="0">
      <w:lvlJc w:val="left"/>
      <w:lvlText w:val="%1"/>
      <w:numFmt w:val="lowerLetter"/>
      <w:start w:val="1"/>
    </w:lvl>
    <w:lvl w:ilvl="1">
      <w:lvlJc w:val="left"/>
      <w:lvlText w:val="(%2)"/>
      <w:numFmt w:val="lowerRoman"/>
      <w:start w:val="2"/>
    </w:lvl>
  </w:abstractNum>
  <w:abstractNum w:abstractNumId="258">
    <w:nsid w:val="7B14914E"/>
    <w:multiLevelType w:val="hybridMultilevel"/>
    <w:lvl w:ilvl="0">
      <w:lvlJc w:val="left"/>
      <w:lvlText w:val="(%1)"/>
      <w:numFmt w:val="lowerLetter"/>
      <w:start w:val="2"/>
    </w:lvl>
    <w:lvl w:ilvl="1">
      <w:lvlJc w:val="left"/>
      <w:lvlText w:val="(%2)"/>
      <w:numFmt w:val="lowerRoman"/>
      <w:start w:val="1"/>
    </w:lvl>
  </w:abstractNum>
  <w:abstractNum w:abstractNumId="259">
    <w:nsid w:val="6F0939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0">
    <w:nsid w:val="154291F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1">
    <w:nsid w:val="3CEBD7C7"/>
    <w:multiLevelType w:val="hybridMultilevel"/>
    <w:lvl w:ilvl="0">
      <w:lvlJc w:val="left"/>
      <w:lvlText w:val="%1"/>
      <w:numFmt w:val="lowerLetter"/>
      <w:start w:val="1"/>
    </w:lvl>
    <w:lvl w:ilvl="1">
      <w:lvlJc w:val="left"/>
      <w:lvlText w:val="(%2)"/>
      <w:numFmt w:val="lowerLetter"/>
      <w:start w:val="2"/>
    </w:lvl>
  </w:abstractNum>
  <w:abstractNum w:abstractNumId="262">
    <w:nsid w:val="60EE9C16"/>
    <w:multiLevelType w:val="hybridMultilevel"/>
    <w:lvl w:ilvl="0">
      <w:lvlJc w:val="left"/>
      <w:lvlText w:val="(%1)"/>
      <w:numFmt w:val="lowerLetter"/>
      <w:start w:val="61"/>
    </w:lvl>
    <w:lvl w:ilvl="1">
      <w:lvlJc w:val="left"/>
      <w:lvlText w:val="(%2)"/>
      <w:numFmt w:val="lowerLetter"/>
      <w:start w:val="5"/>
    </w:lvl>
  </w:abstractNum>
  <w:abstractNum w:abstractNumId="263">
    <w:nsid w:val="6385489E"/>
    <w:multiLevelType w:val="hybridMultilevel"/>
    <w:lvl w:ilvl="0">
      <w:lvlJc w:val="left"/>
      <w:lvlText w:val="(%1)"/>
      <w:numFmt w:val="lowerLetter"/>
      <w:start w:val="9"/>
    </w:lvl>
    <w:lvl w:ilvl="1">
      <w:lvlJc w:val="left"/>
      <w:lvlText w:val="(%2)"/>
      <w:numFmt w:val="lowerLetter"/>
      <w:start w:val="7"/>
    </w:lvl>
  </w:abstractNum>
  <w:abstractNum w:abstractNumId="264">
    <w:nsid w:val="E4B973"/>
    <w:multiLevelType w:val="hybridMultilevel"/>
    <w:lvl w:ilvl="0">
      <w:lvlJc w:val="left"/>
      <w:lvlText w:val="(%1)"/>
      <w:numFmt w:val="lowerLetter"/>
      <w:start w:val="35"/>
    </w:lvl>
    <w:lvl w:ilvl="1">
      <w:lvlJc w:val="left"/>
      <w:lvlText w:val="%2"/>
      <w:numFmt w:val="lowerLetter"/>
      <w:start w:val="1"/>
    </w:lvl>
  </w:abstractNum>
  <w:abstractNum w:abstractNumId="265">
    <w:nsid w:val="4A0FFA1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266">
    <w:nsid w:val="5E446208"/>
    <w:multiLevelType w:val="hybridMultilevel"/>
    <w:lvl w:ilvl="0">
      <w:lvlJc w:val="left"/>
      <w:lvlText w:val="(%1)"/>
      <w:numFmt w:val="decimal"/>
      <w:start w:val="90"/>
    </w:lvl>
    <w:lvl w:ilvl="1">
      <w:lvlJc w:val="left"/>
      <w:lvlText w:val="%2"/>
      <w:numFmt w:val="lowerLetter"/>
      <w:start w:val="1"/>
    </w:lvl>
    <w:lvl w:ilvl="2">
      <w:lvlJc w:val="left"/>
      <w:lvlText w:val="(%3)"/>
      <w:numFmt w:val="lowerLetter"/>
      <w:start w:val="35"/>
    </w:lvl>
  </w:abstractNum>
  <w:abstractNum w:abstractNumId="267">
    <w:nsid w:val="5F3272DB"/>
    <w:multiLevelType w:val="hybridMultilevel"/>
    <w:lvl w:ilvl="0">
      <w:lvlJc w:val="left"/>
      <w:lvlText w:val="(%1)"/>
      <w:numFmt w:val="decimal"/>
      <w:start w:val="90"/>
    </w:lvl>
    <w:lvl w:ilvl="1">
      <w:lvlJc w:val="left"/>
      <w:lvlText w:val="(%2)"/>
      <w:numFmt w:val="lowerLetter"/>
      <w:start w:val="10"/>
    </w:lvl>
    <w:lvl w:ilvl="2">
      <w:lvlJc w:val="left"/>
      <w:lvlText w:val="%3"/>
      <w:numFmt w:val="lowerLetter"/>
      <w:start w:val="1"/>
    </w:lvl>
  </w:abstractNum>
  <w:abstractNum w:abstractNumId="268">
    <w:nsid w:val="7616D704"/>
    <w:multiLevelType w:val="hybridMultilevel"/>
    <w:lvl w:ilvl="0">
      <w:lvlJc w:val="left"/>
      <w:lvlText w:val="%1."/>
      <w:numFmt w:val="decimal"/>
      <w:start w:val="10"/>
    </w:lvl>
    <w:lvl w:ilvl="1">
      <w:lvlJc w:val="left"/>
      <w:lvlText w:val="(%2)"/>
      <w:numFmt w:val="lowerLetter"/>
      <w:start w:val="1"/>
    </w:lvl>
  </w:abstractNum>
  <w:abstractNum w:abstractNumId="269">
    <w:nsid w:val="C56F860"/>
    <w:multiLevelType w:val="hybridMultilevel"/>
    <w:lvl w:ilvl="0">
      <w:lvlJc w:val="left"/>
      <w:lvlText w:val="(%1)"/>
      <w:numFmt w:val="lowerLetter"/>
      <w:start w:val="2"/>
    </w:lvl>
    <w:lvl w:ilvl="1">
      <w:lvlJc w:val="left"/>
      <w:lvlText w:val="(%2)"/>
      <w:numFmt w:val="lowerRoman"/>
      <w:start w:val="1"/>
    </w:lvl>
  </w:abstractNum>
  <w:abstractNum w:abstractNumId="270">
    <w:nsid w:val="64D1772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71">
    <w:nsid w:val="7924CA0A"/>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72">
    <w:nsid w:val="CFD4EA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73">
    <w:nsid w:val="232FCF4D"/>
    <w:multiLevelType w:val="hybridMultilevel"/>
    <w:lvl w:ilvl="0">
      <w:lvlJc w:val="left"/>
      <w:lvlText w:val="%1."/>
      <w:numFmt w:val="decimal"/>
      <w:start w:val="11"/>
    </w:lvl>
    <w:lvl w:ilvl="1">
      <w:lvlJc w:val="left"/>
      <w:lvlText w:val="(%2)"/>
      <w:numFmt w:val="lowerLetter"/>
      <w:start w:val="1"/>
    </w:lvl>
  </w:abstractNum>
  <w:abstractNum w:abstractNumId="274">
    <w:nsid w:val="1EA21031"/>
    <w:multiLevelType w:val="hybridMultilevel"/>
    <w:lvl w:ilvl="0">
      <w:lvlJc w:val="left"/>
      <w:lvlText w:val="%1"/>
      <w:numFmt w:val="decimal"/>
      <w:start w:val="1"/>
    </w:lvl>
    <w:lvl w:ilvl="1">
      <w:lvlJc w:val="left"/>
      <w:lvlText w:val="(%2)"/>
      <w:numFmt w:val="lowerLetter"/>
      <w:start w:val="5"/>
    </w:lvl>
  </w:abstractNum>
  <w:abstractNum w:abstractNumId="275">
    <w:nsid w:val="67A5A6B5"/>
    <w:multiLevelType w:val="hybridMultilevel"/>
    <w:lvl w:ilvl="0">
      <w:lvlJc w:val="left"/>
      <w:lvlText w:val="%1."/>
      <w:numFmt w:val="decimal"/>
      <w:start w:val="12"/>
    </w:lvl>
    <w:lvl w:ilvl="1">
      <w:lvlJc w:val="left"/>
      <w:lvlText w:val="(%2)"/>
      <w:numFmt w:val="lowerLetter"/>
      <w:start w:val="1"/>
    </w:lvl>
  </w:abstractNum>
  <w:abstractNum w:abstractNumId="276">
    <w:nsid w:val="C2A5C5B"/>
    <w:multiLevelType w:val="hybridMultilevel"/>
    <w:lvl w:ilvl="0">
      <w:lvlJc w:val="left"/>
      <w:lvlText w:val="%1."/>
      <w:numFmt w:val="decimal"/>
      <w:start w:val="14"/>
    </w:lvl>
  </w:abstractNum>
  <w:abstractNum w:abstractNumId="277">
    <w:nsid w:val="5F94DC0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8">
    <w:nsid w:val="237BBCA0"/>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279">
    <w:nsid w:val="162EB70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80">
    <w:nsid w:val="78070222"/>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281">
    <w:nsid w:val="6163ED0D"/>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82">
    <w:nsid w:val="C600E47"/>
    <w:multiLevelType w:val="hybridMultilevel"/>
    <w:lvl w:ilvl="0">
      <w:lvlJc w:val="left"/>
      <w:lvlText w:val="(%1)"/>
      <w:numFmt w:val="decimal"/>
      <w:start w:val="15"/>
    </w:lvl>
    <w:lvl w:ilvl="1">
      <w:lvlJc w:val="left"/>
      <w:lvlText w:val="%2."/>
      <w:numFmt w:val="decimal"/>
      <w:start w:val="9"/>
    </w:lvl>
    <w:lvl w:ilvl="2">
      <w:lvlJc w:val="left"/>
      <w:lvlText w:val="(%3)"/>
      <w:numFmt w:val="lowerLetter"/>
      <w:start w:val="4"/>
    </w:lvl>
  </w:abstractNum>
  <w:abstractNum w:abstractNumId="283">
    <w:nsid w:val="7D94F75D"/>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84">
    <w:nsid w:val="6C31E7C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85">
    <w:nsid w:val="2BB7929B"/>
    <w:multiLevelType w:val="hybridMultilevel"/>
    <w:lvl w:ilvl="0">
      <w:lvlJc w:val="left"/>
      <w:lvlText w:val="%1."/>
      <w:numFmt w:val="decimal"/>
      <w:start w:val="12"/>
    </w:lvl>
    <w:lvl w:ilvl="1">
      <w:lvlJc w:val="left"/>
      <w:lvlText w:val="(%2)"/>
      <w:numFmt w:val="lowerLetter"/>
      <w:start w:val="1"/>
    </w:lvl>
  </w:abstractNum>
  <w:abstractNum w:abstractNumId="286">
    <w:nsid w:val="58A2A487"/>
    <w:multiLevelType w:val="hybridMultilevel"/>
    <w:lvl w:ilvl="0">
      <w:lvlJc w:val="left"/>
      <w:lvlText w:val="%1"/>
      <w:numFmt w:val="decimal"/>
      <w:start w:val="1"/>
    </w:lvl>
    <w:lvl w:ilvl="1">
      <w:lvlJc w:val="left"/>
      <w:lvlText w:val="(%2)"/>
      <w:numFmt w:val="lowerLetter"/>
      <w:start w:val="3"/>
    </w:lvl>
  </w:abstractNum>
  <w:abstractNum w:abstractNumId="287">
    <w:nsid w:val="3A6F0E78"/>
    <w:multiLevelType w:val="hybridMultilevel"/>
    <w:lvl w:ilvl="0">
      <w:lvlJc w:val="left"/>
      <w:lvlText w:val="%1."/>
      <w:numFmt w:val="decimal"/>
      <w:start w:val="16"/>
    </w:lvl>
    <w:lvl w:ilvl="1">
      <w:lvlJc w:val="left"/>
      <w:lvlText w:val="%2"/>
      <w:numFmt w:val="lowerLetter"/>
      <w:start w:val="1"/>
    </w:lvl>
  </w:abstractNum>
  <w:abstractNum w:abstractNumId="288">
    <w:nsid w:val="379A5B56"/>
    <w:multiLevelType w:val="hybridMultilevel"/>
    <w:lvl w:ilvl="0">
      <w:lvlJc w:val="left"/>
      <w:lvlText w:val="%1"/>
      <w:numFmt w:val="decimal"/>
      <w:start w:val="1"/>
    </w:lvl>
    <w:lvl w:ilvl="1">
      <w:lvlJc w:val="left"/>
      <w:lvlText w:val="☐"/>
      <w:numFmt w:val="bullet"/>
      <w:start w:val="1"/>
    </w:lvl>
  </w:abstractNum>
  <w:abstractNum w:abstractNumId="289">
    <w:nsid w:val="53B735D5"/>
    <w:multiLevelType w:val="hybridMultilevel"/>
    <w:lvl w:ilvl="0">
      <w:lvlJc w:val="left"/>
      <w:lvlText w:val="2"/>
      <w:numFmt w:val="bullet"/>
      <w:start w:val="1"/>
    </w:lvl>
  </w:abstractNum>
  <w:abstractNum w:abstractNumId="290">
    <w:nsid w:val="29784870"/>
    <w:multiLevelType w:val="hybridMultilevel"/>
    <w:lvl w:ilvl="0">
      <w:lvlJc w:val="left"/>
      <w:lvlText w:val="3"/>
      <w:numFmt w:val="bullet"/>
      <w:start w:val="1"/>
    </w:lvl>
  </w:abstractNum>
  <w:abstractNum w:abstractNumId="291">
    <w:nsid w:val="4CDCED4C"/>
    <w:multiLevelType w:val="hybridMultilevel"/>
    <w:lvl w:ilvl="0">
      <w:lvlJc w:val="left"/>
      <w:lvlText w:val="%1."/>
      <w:numFmt w:val="decimal"/>
      <w:start w:val="1"/>
    </w:lvl>
  </w:abstractNum>
  <w:abstractNum w:abstractNumId="292">
    <w:nsid w:val="10A30D9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3">
    <w:nsid w:val="A66E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94">
    <w:nsid w:val="306235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5">
    <w:nsid w:val="1187C70F"/>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96">
    <w:nsid w:val="5476DE98"/>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97">
    <w:nsid w:val="EA697F2"/>
    <w:multiLevelType w:val="hybridMultilevel"/>
    <w:lvl w:ilvl="0">
      <w:lvlJc w:val="left"/>
      <w:lvlText w:val="%1."/>
      <w:numFmt w:val="decimal"/>
      <w:start w:val="1"/>
    </w:lvl>
  </w:abstractNum>
  <w:abstractNum w:abstractNumId="298">
    <w:nsid w:val="70BA39EB"/>
    <w:multiLevelType w:val="hybridMultilevel"/>
    <w:lvl w:ilvl="0">
      <w:lvlJc w:val="left"/>
      <w:lvlText w:val="%1."/>
      <w:numFmt w:val="decimal"/>
      <w:start w:val="7"/>
    </w:lvl>
  </w:abstractNum>
  <w:abstractNum w:abstractNumId="299">
    <w:nsid w:val="4A8DB59C"/>
    <w:multiLevelType w:val="hybridMultilevel"/>
    <w:lvl w:ilvl="0">
      <w:lvlJc w:val="left"/>
      <w:lvlText w:val="%1."/>
      <w:numFmt w:val="decimal"/>
      <w:start w:val="13"/>
    </w:lvl>
  </w:abstractNum>
  <w:abstractNum w:abstractNumId="300">
    <w:nsid w:val="1AFD9053"/>
    <w:multiLevelType w:val="hybridMultilevel"/>
    <w:lvl w:ilvl="0">
      <w:lvlJc w:val="left"/>
      <w:lvlText w:val="%1."/>
      <w:numFmt w:val="decimal"/>
      <w:start w:val="16"/>
    </w:lvl>
  </w:abstractNum>
  <w:abstractNum w:abstractNumId="301">
    <w:nsid w:val="558BB10D"/>
    <w:multiLevelType w:val="hybridMultilevel"/>
    <w:lvl w:ilvl="0">
      <w:lvlJc w:val="left"/>
      <w:lvlText w:val="%1."/>
      <w:numFmt w:val="decimal"/>
      <w:start w:val="1"/>
    </w:lvl>
  </w:abstractNum>
  <w:abstractNum w:abstractNumId="302">
    <w:nsid w:val="43B27FA7"/>
    <w:multiLevelType w:val="hybridMultilevel"/>
    <w:lvl w:ilvl="0">
      <w:lvlJc w:val="left"/>
      <w:lvlText w:val="%1."/>
      <w:numFmt w:val="decimal"/>
      <w:start w:val="3"/>
    </w:lvl>
  </w:abstractNum>
  <w:abstractNum w:abstractNumId="303">
    <w:nsid w:val="27FADEFA"/>
    <w:multiLevelType w:val="hybridMultilevel"/>
    <w:lvl w:ilvl="0">
      <w:lvlJc w:val="left"/>
      <w:lvlText w:val="(%1)"/>
      <w:numFmt w:val="lowerLetter"/>
      <w:start w:val="1"/>
    </w:lvl>
  </w:abstractNum>
  <w:abstractNum w:abstractNumId="304">
    <w:nsid w:val="78BB805A"/>
    <w:multiLevelType w:val="hybridMultilevel"/>
    <w:lvl w:ilvl="0">
      <w:lvlJc w:val="left"/>
      <w:lvlText w:val="(%1)"/>
      <w:numFmt w:val="lowerLetter"/>
      <w:start w:val="7"/>
    </w:lvl>
  </w:abstractNum>
  <w:abstractNum w:abstractNumId="305">
    <w:nsid w:val="62548FD8"/>
    <w:multiLevelType w:val="hybridMultilevel"/>
    <w:lvl w:ilvl="0">
      <w:lvlJc w:val="left"/>
      <w:lvlText w:val="(%1)"/>
      <w:numFmt w:val="lowerLetter"/>
      <w:start w:val="5"/>
    </w:lvl>
  </w:abstractNum>
  <w:abstractNum w:abstractNumId="306">
    <w:nsid w:val="FA085B0"/>
    <w:multiLevelType w:val="hybridMultilevel"/>
    <w:lvl w:ilvl="0">
      <w:lvlJc w:val="left"/>
      <w:lvlText w:val="%1."/>
      <w:numFmt w:val="decimal"/>
      <w:start w:val="5"/>
    </w:lvl>
  </w:abstractNum>
  <w:abstractNum w:abstractNumId="307">
    <w:nsid w:val="4E5DCB5"/>
    <w:multiLevelType w:val="hybridMultilevel"/>
    <w:lvl w:ilvl="0">
      <w:lvlJc w:val="left"/>
      <w:lvlText w:val="(%1)"/>
      <w:numFmt w:val="lowerLetter"/>
      <w:start w:val="1"/>
    </w:lvl>
  </w:abstractNum>
  <w:abstractNum w:abstractNumId="308">
    <w:nsid w:val="41E96BDB"/>
    <w:multiLevelType w:val="hybridMultilevel"/>
    <w:lvl w:ilvl="0">
      <w:lvlJc w:val="left"/>
      <w:lvlText w:val="%1"/>
      <w:numFmt w:val="lowerLetter"/>
      <w:start w:val="1"/>
    </w:lvl>
    <w:lvl w:ilvl="1">
      <w:lvlJc w:val="left"/>
      <w:lvlText w:val="(%2)"/>
      <w:numFmt w:val="lowerLetter"/>
      <w:start w:val="2"/>
    </w:lvl>
  </w:abstractNum>
  <w:abstractNum w:abstractNumId="309">
    <w:nsid w:val="331C4250"/>
    <w:multiLevelType w:val="hybridMultilevel"/>
    <w:lvl w:ilvl="0">
      <w:lvlJc w:val="left"/>
      <w:lvlText w:val="(%1)"/>
      <w:numFmt w:val="lowerLetter"/>
      <w:start w:val="2"/>
    </w:lvl>
    <w:lvl w:ilvl="1">
      <w:lvlJc w:val="left"/>
      <w:lvlText w:val="(%2)"/>
      <w:numFmt w:val="lowerLetter"/>
      <w:start w:val="3"/>
    </w:lvl>
  </w:abstractNum>
  <w:abstractNum w:abstractNumId="310">
    <w:nsid w:val="1B1493C2"/>
    <w:multiLevelType w:val="hybridMultilevel"/>
    <w:lvl w:ilvl="0">
      <w:lvlJc w:val="left"/>
      <w:lvlText w:val="%1."/>
      <w:numFmt w:val="decimal"/>
      <w:start w:val="6"/>
    </w:lvl>
  </w:abstractNum>
  <w:abstractNum w:abstractNumId="311">
    <w:nsid w:val="39F06DFD"/>
    <w:multiLevelType w:val="hybridMultilevel"/>
    <w:lvl w:ilvl="0">
      <w:lvlJc w:val="left"/>
      <w:lvlText w:val="%1."/>
      <w:numFmt w:val="decimal"/>
      <w:start w:val="7"/>
    </w:lvl>
  </w:abstractNum>
  <w:abstractNum w:abstractNumId="312">
    <w:nsid w:val="14802F5D"/>
    <w:multiLevelType w:val="hybridMultilevel"/>
    <w:lvl w:ilvl="0">
      <w:lvlJc w:val="left"/>
      <w:lvlText w:val="%1."/>
      <w:numFmt w:val="decimal"/>
      <w:start w:val="8"/>
    </w:lvl>
  </w:abstractNum>
  <w:abstractNum w:abstractNumId="313">
    <w:nsid w:val="2774A209"/>
    <w:multiLevelType w:val="hybridMultilevel"/>
    <w:lvl w:ilvl="0">
      <w:lvlJc w:val="left"/>
      <w:lvlText w:val="(%1)"/>
      <w:numFmt w:val="lowerLetter"/>
      <w:start w:val="2"/>
    </w:lvl>
  </w:abstractNum>
  <w:abstractNum w:abstractNumId="314">
    <w:nsid w:val="3785655A"/>
    <w:multiLevelType w:val="hybridMultilevel"/>
    <w:lvl w:ilvl="0">
      <w:lvlJc w:val="left"/>
      <w:lvlText w:val="%1."/>
      <w:numFmt w:val="decimal"/>
      <w:start w:val="9"/>
    </w:lvl>
  </w:abstractNum>
  <w:abstractNum w:abstractNumId="315">
    <w:nsid w:val="B2172A"/>
    <w:multiLevelType w:val="hybridMultilevel"/>
    <w:lvl w:ilvl="0">
      <w:lvlJc w:val="left"/>
      <w:lvlText w:val="(%1)"/>
      <w:numFmt w:val="lowerLetter"/>
      <w:start w:val="2"/>
    </w:lvl>
  </w:abstractNum>
  <w:abstractNum w:abstractNumId="316">
    <w:nsid w:val="532C34A5"/>
    <w:multiLevelType w:val="hybridMultilevel"/>
    <w:lvl w:ilvl="0">
      <w:lvlJc w:val="left"/>
      <w:lvlText w:val="%1."/>
      <w:numFmt w:val="decimal"/>
      <w:start w:val="10"/>
    </w:lvl>
  </w:abstractNum>
  <w:abstractNum w:abstractNumId="317">
    <w:nsid w:val="102809E2"/>
    <w:multiLevelType w:val="hybridMultilevel"/>
    <w:lvl w:ilvl="0">
      <w:lvlJc w:val="left"/>
      <w:lvlText w:val="(%1)"/>
      <w:numFmt w:val="lowerLetter"/>
      <w:start w:val="1"/>
    </w:lvl>
  </w:abstractNum>
  <w:abstractNum w:abstractNumId="318">
    <w:nsid w:val="3B2125A3"/>
    <w:multiLevelType w:val="hybridMultilevel"/>
    <w:lvl w:ilvl="0">
      <w:lvlJc w:val="left"/>
      <w:lvlText w:val="(%1)"/>
      <w:numFmt w:val="lowerLetter"/>
      <w:start w:val="3"/>
    </w:lvl>
  </w:abstractNum>
  <w:abstractNum w:abstractNumId="319">
    <w:nsid w:val="AC68FFB"/>
    <w:multiLevelType w:val="hybridMultilevel"/>
    <w:lvl w:ilvl="0">
      <w:lvlJc w:val="left"/>
      <w:lvlText w:val="%1."/>
      <w:numFmt w:val="decimal"/>
      <w:start w:val="11"/>
    </w:lvl>
    <w:lvl w:ilvl="1">
      <w:lvlJc w:val="left"/>
      <w:lvlText w:val="(%2)"/>
      <w:numFmt w:val="lowerLetter"/>
      <w:start w:val="1"/>
    </w:lvl>
  </w:abstractNum>
  <w:abstractNum w:abstractNumId="320">
    <w:nsid w:val="63DF3FB7"/>
    <w:multiLevelType w:val="hybridMultilevel"/>
    <w:lvl w:ilvl="0">
      <w:lvlJc w:val="left"/>
      <w:lvlText w:val="%1."/>
      <w:numFmt w:val="decimal"/>
      <w:start w:val="13"/>
    </w:lvl>
  </w:abstractNum>
  <w:abstractNum w:abstractNumId="321">
    <w:nsid w:val="64996E13"/>
    <w:multiLevelType w:val="hybridMultilevel"/>
    <w:lvl w:ilvl="0">
      <w:lvlJc w:val="left"/>
      <w:lvlText w:val="%1."/>
      <w:numFmt w:val="decimal"/>
      <w:start w:val="14"/>
    </w:lvl>
  </w:abstractNum>
  <w:abstractNum w:abstractNumId="322">
    <w:nsid w:val="57A37D47"/>
    <w:multiLevelType w:val="hybridMultilevel"/>
    <w:lvl w:ilvl="0">
      <w:lvlJc w:val="left"/>
      <w:lvlText w:val="%1."/>
      <w:numFmt w:val="decimal"/>
      <w:start w:val="15"/>
    </w:lvl>
  </w:abstractNum>
  <w:abstractNum w:abstractNumId="323">
    <w:nsid w:val="74824D54"/>
    <w:multiLevelType w:val="hybridMultilevel"/>
    <w:lvl w:ilvl="0">
      <w:lvlJc w:val="left"/>
      <w:lvlText w:val="%1."/>
      <w:numFmt w:val="decimal"/>
      <w:start w:val="16"/>
    </w:lvl>
  </w:abstractNum>
  <w:abstractNum w:abstractNumId="324">
    <w:nsid w:val="6F00529A"/>
    <w:multiLevelType w:val="hybridMultilevel"/>
    <w:lvl w:ilvl="0">
      <w:lvlJc w:val="left"/>
      <w:lvlText w:val="%1."/>
      <w:numFmt w:val="decimal"/>
      <w:start w:val="18"/>
    </w:lvl>
  </w:abstractNum>
  <w:abstractNum w:abstractNumId="325">
    <w:nsid w:val="805B331"/>
    <w:multiLevelType w:val="hybridMultilevel"/>
    <w:lvl w:ilvl="0">
      <w:lvlJc w:val="left"/>
      <w:lvlText w:val="%1."/>
      <w:numFmt w:val="decimal"/>
      <w:start w:val="22"/>
    </w:lvl>
  </w:abstractNum>
  <w:abstractNum w:abstractNumId="326">
    <w:nsid w:val="60A1463"/>
    <w:multiLevelType w:val="hybridMultilevel"/>
    <w:lvl w:ilvl="0">
      <w:lvlJc w:val="left"/>
      <w:lvlText w:val="%1."/>
      <w:numFmt w:val="decimal"/>
      <w:start w:val="27"/>
    </w:lvl>
  </w:abstractNum>
  <w:abstractNum w:abstractNumId="327">
    <w:nsid w:val="43773132"/>
    <w:multiLevelType w:val="hybridMultilevel"/>
    <w:lvl w:ilvl="0">
      <w:lvlJc w:val="left"/>
      <w:lvlText w:val="(%1)"/>
      <w:numFmt w:val="lowerLetter"/>
      <w:start w:val="1"/>
    </w:lvl>
  </w:abstractNum>
  <w:abstractNum w:abstractNumId="328">
    <w:nsid w:val="16AC4B23"/>
    <w:multiLevelType w:val="hybridMultilevel"/>
    <w:lvl w:ilvl="0">
      <w:lvlJc w:val="left"/>
      <w:lvlText w:val="(%1)"/>
      <w:numFmt w:val="lowerLetter"/>
      <w:start w:val="1"/>
    </w:lvl>
  </w:abstractNum>
  <w:abstractNum w:abstractNumId="329">
    <w:nsid w:val="76C44E4E"/>
    <w:multiLevelType w:val="hybridMultilevel"/>
    <w:lvl w:ilvl="0">
      <w:lvlJc w:val="left"/>
      <w:lvlText w:val="(%1)"/>
      <w:numFmt w:val="lowerLetter"/>
      <w:start w:val="19"/>
    </w:lvl>
  </w:abstractNum>
  <w:abstractNum w:abstractNumId="330">
    <w:nsid w:val="E04E6CE"/>
    <w:multiLevelType w:val="hybridMultilevel"/>
    <w:lvl w:ilvl="0">
      <w:lvlJc w:val="left"/>
      <w:lvlText w:val="(%1)"/>
      <w:numFmt w:val="lowerLetter"/>
      <w:start w:val="27"/>
    </w:lvl>
  </w:abstractNum>
  <w:abstractNum w:abstractNumId="331">
    <w:nsid w:val="31A9DB76"/>
    <w:multiLevelType w:val="hybridMultilevel"/>
    <w:lvl w:ilvl="0">
      <w:lvlJc w:val="left"/>
      <w:lvlText w:val="%1."/>
      <w:numFmt w:val="decimal"/>
      <w:start w:val="1"/>
    </w:lvl>
  </w:abstractNum>
  <w:abstractNum w:abstractNumId="332">
    <w:nsid w:val="4C4FFF5B"/>
    <w:multiLevelType w:val="hybridMultilevel"/>
    <w:lvl w:ilvl="0">
      <w:lvlJc w:val="left"/>
      <w:lvlText w:val="(%1)"/>
      <w:numFmt w:val="lowerRoman"/>
      <w:start w:val="1"/>
    </w:lvl>
  </w:abstractNum>
  <w:abstractNum w:abstractNumId="333">
    <w:nsid w:val="51B76675"/>
    <w:multiLevelType w:val="hybridMultilevel"/>
    <w:lvl w:ilvl="0">
      <w:lvlJc w:val="left"/>
      <w:lvlText w:val="%1."/>
      <w:numFmt w:val="decimal"/>
      <w:start w:val="4"/>
    </w:lvl>
  </w:abstractNum>
  <w:abstractNum w:abstractNumId="334">
    <w:nsid w:val="59A4BA71"/>
    <w:multiLevelType w:val="hybridMultilevel"/>
    <w:lvl w:ilvl="0">
      <w:lvlJc w:val="left"/>
      <w:lvlText w:val="%1."/>
      <w:numFmt w:val="decimal"/>
      <w:start w:val="5"/>
    </w:lvl>
  </w:abstractNum>
  <w:abstractNum w:abstractNumId="335">
    <w:nsid w:val="450B7FB6"/>
    <w:multiLevelType w:val="hybridMultilevel"/>
    <w:lvl w:ilvl="0">
      <w:lvlJc w:val="left"/>
      <w:lvlText w:val="%1."/>
      <w:numFmt w:val="decimal"/>
      <w:start w:val="7"/>
    </w:lvl>
  </w:abstractNum>
  <w:abstractNum w:abstractNumId="336">
    <w:nsid w:val="340BF64D"/>
    <w:multiLevelType w:val="hybridMultilevel"/>
    <w:lvl w:ilvl="0">
      <w:lvlJc w:val="left"/>
      <w:lvlText w:val="%1."/>
      <w:numFmt w:val="decimal"/>
      <w:start w:val="8"/>
    </w:lvl>
  </w:abstractNum>
  <w:abstractNum w:abstractNumId="337">
    <w:nsid w:val="69454021"/>
    <w:multiLevelType w:val="hybridMultilevel"/>
    <w:lvl w:ilvl="0">
      <w:lvlJc w:val="left"/>
      <w:lvlText w:val="☐"/>
      <w:numFmt w:val="bullet"/>
      <w:start w:val="1"/>
    </w:lvl>
  </w:abstractNum>
  <w:abstractNum w:abstractNumId="338">
    <w:nsid w:val="49F15C6B"/>
    <w:multiLevelType w:val="hybridMultilevel"/>
    <w:lvl w:ilvl="0">
      <w:lvlJc w:val="left"/>
      <w:lvlText w:val="☐"/>
      <w:numFmt w:val="bullet"/>
      <w:start w:val="1"/>
    </w:lvl>
  </w:abstractNum>
  <w:abstractNum w:abstractNumId="339">
    <w:nsid w:val="75F56228"/>
    <w:multiLevelType w:val="hybridMultilevel"/>
    <w:lvl w:ilvl="0">
      <w:lvlJc w:val="left"/>
      <w:lvlText w:val="%1."/>
      <w:numFmt w:val="decimal"/>
      <w:start w:val="1"/>
    </w:lvl>
  </w:abstractNum>
  <w:abstractNum w:abstractNumId="340">
    <w:nsid w:val="1C618271"/>
    <w:multiLevelType w:val="hybridMultilevel"/>
    <w:lvl w:ilvl="0">
      <w:lvlJc w:val="left"/>
      <w:lvlText w:val="(%1)"/>
      <w:numFmt w:val="lowerRoman"/>
      <w:start w:val="1"/>
    </w:lvl>
  </w:abstractNum>
  <w:abstractNum w:abstractNumId="341">
    <w:nsid w:val="6505F02E"/>
    <w:multiLevelType w:val="hybridMultilevel"/>
    <w:lvl w:ilvl="0">
      <w:lvlJc w:val="left"/>
      <w:lvlText w:val="%1."/>
      <w:numFmt w:val="decimal"/>
      <w:start w:val="7"/>
    </w:lvl>
    <w:lvl w:ilvl="1">
      <w:lvlJc w:val="left"/>
      <w:lvlText w:val="(%2)"/>
      <w:numFmt w:val="lowerLetter"/>
      <w:start w:val="1"/>
    </w:lvl>
  </w:abstractNum>
  <w:abstractNum w:abstractNumId="342">
    <w:nsid w:val="2FE5D02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43">
    <w:nsid w:val="30E1B1C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44">
    <w:nsid w:val="C7A9237"/>
    <w:multiLevelType w:val="hybridMultilevel"/>
    <w:lvl w:ilvl="0">
      <w:lvlJc w:val="left"/>
      <w:lvlText w:val="%1."/>
      <w:numFmt w:val="decimal"/>
      <w:start w:val="10"/>
    </w:lvl>
  </w:abstractNum>
  <w:abstractNum w:abstractNumId="345">
    <w:nsid w:val="676B3580"/>
    <w:multiLevelType w:val="hybridMultilevel"/>
    <w:lvl w:ilvl="0">
      <w:lvlJc w:val="left"/>
      <w:lvlText w:val="%1."/>
      <w:numFmt w:val="decimal"/>
      <w:start w:val="16"/>
    </w:lvl>
  </w:abstractNum>
  <w:abstractNum w:abstractNumId="346">
    <w:nsid w:val="3193C8F9"/>
    <w:multiLevelType w:val="hybridMultilevel"/>
    <w:lvl w:ilvl="0">
      <w:lvlJc w:val="left"/>
      <w:lvlText w:val="%1."/>
      <w:numFmt w:val="decimal"/>
      <w:start w:val="18"/>
    </w:lvl>
  </w:abstractNum>
  <w:abstractNum w:abstractNumId="347">
    <w:nsid w:val="5FA6C6DC"/>
    <w:multiLevelType w:val="hybridMultilevel"/>
    <w:lvl w:ilvl="0">
      <w:lvlJc w:val="left"/>
      <w:lvlText w:val="%1."/>
      <w:numFmt w:val="decimal"/>
      <w:start w:val="20"/>
    </w:lvl>
  </w:abstractNum>
  <w:abstractNum w:abstractNumId="348">
    <w:nsid w:val="77933F62"/>
    <w:multiLevelType w:val="hybridMultilevel"/>
    <w:lvl w:ilvl="0">
      <w:lvlJc w:val="left"/>
      <w:lvlText w:val=","/>
      <w:numFmt w:val="bullet"/>
      <w:start w:val="1"/>
    </w:lvl>
  </w:abstractNum>
  <w:abstractNum w:abstractNumId="349">
    <w:nsid w:val="6CB4EE9C"/>
    <w:multiLevelType w:val="hybridMultilevel"/>
    <w:lvl w:ilvl="0">
      <w:lvlJc w:val="left"/>
      <w:lvlText w:val="%1."/>
      <w:numFmt w:val="decimal"/>
      <w:start w:val="1"/>
    </w:lvl>
    <w:lvl w:ilvl="1">
      <w:lvlJc w:val="left"/>
      <w:lvlText w:val="(%2)"/>
      <w:numFmt w:val="lowerLetter"/>
      <w:start w:val="1"/>
    </w:lvl>
  </w:abstractNum>
  <w:abstractNum w:abstractNumId="350">
    <w:nsid w:val="6A6D56D7"/>
    <w:multiLevelType w:val="hybridMultilevel"/>
    <w:lvl w:ilvl="0">
      <w:lvlJc w:val="left"/>
      <w:lvlText w:val="%1."/>
      <w:numFmt w:val="decimal"/>
      <w:start w:val="4"/>
    </w:lvl>
    <w:lvl w:ilvl="1">
      <w:lvlJc w:val="left"/>
      <w:lvlText w:val="(%2)"/>
      <w:numFmt w:val="lowerLetter"/>
      <w:start w:val="1"/>
    </w:lvl>
  </w:abstractNum>
  <w:abstractNum w:abstractNumId="351">
    <w:nsid w:val="5B727F19"/>
    <w:multiLevelType w:val="hybridMultilevel"/>
    <w:lvl w:ilvl="0">
      <w:lvlJc w:val="left"/>
      <w:lvlText w:val="%1"/>
      <w:numFmt w:val="decimal"/>
      <w:start w:val="1"/>
    </w:lvl>
    <w:lvl w:ilvl="1">
      <w:lvlJc w:val="left"/>
      <w:lvlText w:val="(%2)"/>
      <w:numFmt w:val="lowerLetter"/>
      <w:start w:val="2"/>
    </w:lvl>
  </w:abstractNum>
  <w:abstractNum w:abstractNumId="352">
    <w:nsid w:val="514E5CB0"/>
    <w:multiLevelType w:val="hybridMultilevel"/>
    <w:lvl w:ilvl="0">
      <w:lvlJc w:val="left"/>
      <w:lvlText w:val="%1."/>
      <w:numFmt w:val="decimal"/>
      <w:start w:val="6"/>
    </w:lvl>
    <w:lvl w:ilvl="1">
      <w:lvlJc w:val="left"/>
      <w:lvlText w:val="%2"/>
      <w:numFmt w:val="lowerLetter"/>
      <w:start w:val="1"/>
    </w:lvl>
  </w:abstractNum>
  <w:abstractNum w:abstractNumId="353">
    <w:nsid w:val="4210D41E"/>
    <w:multiLevelType w:val="hybridMultilevel"/>
    <w:lvl w:ilvl="0">
      <w:lvlJc w:val="left"/>
      <w:lvlText w:val="(%1)"/>
      <w:numFmt w:val="lowerLetter"/>
      <w:start w:val="2"/>
    </w:lvl>
  </w:abstractNum>
  <w:abstractNum w:abstractNumId="354">
    <w:nsid w:val="4FF4CC6D"/>
    <w:multiLevelType w:val="hybridMultilevel"/>
    <w:lvl w:ilvl="0">
      <w:lvlJc w:val="left"/>
      <w:lvlText w:val="%1."/>
      <w:numFmt w:val="decimal"/>
      <w:start w:val="8"/>
    </w:lvl>
    <w:lvl w:ilvl="1">
      <w:lvlJc w:val="left"/>
      <w:lvlText w:val="(%2)"/>
      <w:numFmt w:val="lowerLetter"/>
      <w:start w:val="1"/>
    </w:lvl>
  </w:abstractNum>
  <w:abstractNum w:abstractNumId="355">
    <w:nsid w:val="404EAF4A"/>
    <w:multiLevelType w:val="hybridMultilevel"/>
    <w:lvl w:ilvl="0">
      <w:lvlJc w:val="left"/>
      <w:lvlText w:val="(%1)"/>
      <w:numFmt w:val="lowerRoman"/>
      <w:start w:val="1"/>
    </w:lvl>
  </w:abstractNum>
  <w:abstractNum w:abstractNumId="356">
    <w:nsid w:val="4A16874F"/>
    <w:multiLevelType w:val="hybridMultilevel"/>
    <w:lvl w:ilvl="0">
      <w:lvlJc w:val="left"/>
      <w:lvlText w:val="%1"/>
      <w:numFmt w:val="decimal"/>
      <w:start w:val="1"/>
    </w:lvl>
    <w:lvl w:ilvl="1">
      <w:lvlJc w:val="left"/>
      <w:lvlText w:val="(%2)"/>
      <w:numFmt w:val="lowerLetter"/>
      <w:start w:val="2"/>
    </w:lvl>
  </w:abstractNum>
  <w:abstractNum w:abstractNumId="357">
    <w:nsid w:val="55FEE0D1"/>
    <w:multiLevelType w:val="hybridMultilevel"/>
    <w:lvl w:ilvl="0">
      <w:lvlJc w:val="left"/>
      <w:lvlText w:val="%1."/>
      <w:numFmt w:val="decimal"/>
      <w:start w:val="10"/>
    </w:lvl>
    <w:lvl w:ilvl="1">
      <w:lvlJc w:val="left"/>
      <w:lvlText w:val="(%2)"/>
      <w:numFmt w:val="lowerLetter"/>
      <w:start w:val="1"/>
    </w:lvl>
  </w:abstractNum>
  <w:abstractNum w:abstractNumId="358">
    <w:nsid w:val="3C5E07C"/>
    <w:multiLevelType w:val="hybridMultilevel"/>
    <w:lvl w:ilvl="0">
      <w:lvlJc w:val="left"/>
      <w:lvlText w:val="(%1)"/>
      <w:numFmt w:val="lowerLetter"/>
      <w:start w:val="8"/>
    </w:lvl>
  </w:abstractNum>
  <w:abstractNum w:abstractNumId="359">
    <w:nsid w:val="60C2D273"/>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60">
    <w:nsid w:val="4CC32F1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1">
    <w:nsid w:val="11CAC74A"/>
    <w:multiLevelType w:val="hybridMultilevel"/>
    <w:lvl w:ilvl="0">
      <w:lvlJc w:val="left"/>
      <w:lvlText w:val="%1"/>
      <w:numFmt w:val="lowerLetter"/>
      <w:start w:val="1"/>
    </w:lvl>
    <w:lvl w:ilvl="1">
      <w:lvlJc w:val="left"/>
      <w:lvlText w:val="%2."/>
      <w:numFmt w:val="decimal"/>
      <w:start w:val="13"/>
    </w:lvl>
  </w:abstractNum>
  <w:abstractNum w:abstractNumId="362">
    <w:nsid w:val="126CADE9"/>
    <w:multiLevelType w:val="hybridMultilevel"/>
    <w:lvl w:ilvl="0">
      <w:lvlJc w:val="left"/>
      <w:lvlText w:val="(%1)"/>
      <w:numFmt w:val="lowerLetter"/>
      <w:start w:val="2"/>
    </w:lvl>
    <w:lvl w:ilvl="1">
      <w:lvlJc w:val="left"/>
      <w:lvlText w:val="%2"/>
      <w:numFmt w:val="decimal"/>
      <w:start w:val="1"/>
    </w:lvl>
  </w:abstractNum>
  <w:abstractNum w:abstractNumId="363">
    <w:nsid w:val="19132E7B"/>
    <w:multiLevelType w:val="hybridMultilevel"/>
    <w:lvl w:ilvl="0">
      <w:lvlJc w:val="left"/>
      <w:lvlText w:val="%1."/>
      <w:numFmt w:val="decimal"/>
      <w:start w:val="17"/>
    </w:lvl>
  </w:abstractNum>
  <w:abstractNum w:abstractNumId="364">
    <w:nsid w:val="63822DC0"/>
    <w:multiLevelType w:val="hybridMultilevel"/>
    <w:lvl w:ilvl="0">
      <w:lvlJc w:val="left"/>
      <w:lvlText w:val="%1."/>
      <w:numFmt w:val="decimal"/>
      <w:start w:val="21"/>
    </w:lvl>
  </w:abstractNum>
  <w:abstractNum w:abstractNumId="365">
    <w:nsid w:val="6C11685A"/>
    <w:multiLevelType w:val="hybridMultilevel"/>
    <w:lvl w:ilvl="0">
      <w:lvlJc w:val="left"/>
      <w:lvlText w:val="%1."/>
      <w:numFmt w:val="decimal"/>
      <w:start w:val="23"/>
    </w:lvl>
  </w:abstractNum>
  <w:abstractNum w:abstractNumId="366">
    <w:nsid w:val="5E1EAE31"/>
    <w:multiLevelType w:val="hybridMultilevel"/>
    <w:lvl w:ilvl="0">
      <w:lvlJc w:val="left"/>
      <w:lvlText w:val="%1."/>
      <w:numFmt w:val="decimal"/>
      <w:start w:val="1"/>
    </w:lvl>
  </w:abstractNum>
  <w:abstractNum w:abstractNumId="367">
    <w:nsid w:val="178E240D"/>
    <w:multiLevelType w:val="hybridMultilevel"/>
    <w:lvl w:ilvl="0">
      <w:lvlJc w:val="left"/>
      <w:lvlText w:val="%1."/>
      <w:numFmt w:val="decimal"/>
      <w:start w:val="4"/>
    </w:lvl>
    <w:lvl w:ilvl="1">
      <w:lvlJc w:val="left"/>
      <w:lvlText w:val="(%2)"/>
      <w:numFmt w:val="lowerLetter"/>
      <w:start w:val="1"/>
    </w:lvl>
  </w:abstractNum>
  <w:abstractNum w:abstractNumId="368">
    <w:nsid w:val="5556A87B"/>
    <w:multiLevelType w:val="hybridMultilevel"/>
    <w:lvl w:ilvl="0">
      <w:lvlJc w:val="left"/>
      <w:lvlText w:val="%1."/>
      <w:numFmt w:val="decimal"/>
      <w:start w:val="5"/>
    </w:lvl>
    <w:lvl w:ilvl="1">
      <w:lvlJc w:val="left"/>
      <w:lvlText w:val="(%2)"/>
      <w:numFmt w:val="lowerLetter"/>
      <w:start w:val="1"/>
    </w:lvl>
  </w:abstractNum>
  <w:abstractNum w:abstractNumId="369">
    <w:nsid w:val="28100A9C"/>
    <w:multiLevelType w:val="hybridMultilevel"/>
    <w:lvl w:ilvl="0">
      <w:lvlJc w:val="left"/>
      <w:lvlText w:val="%1."/>
      <w:numFmt w:val="decimal"/>
      <w:start w:val="6"/>
    </w:lvl>
    <w:lvl w:ilvl="1">
      <w:lvlJc w:val="left"/>
      <w:lvlText w:val="(%2)"/>
      <w:numFmt w:val="lowerLetter"/>
      <w:start w:val="1"/>
    </w:lvl>
  </w:abstractNum>
  <w:abstractNum w:abstractNumId="370">
    <w:nsid w:val="D838636"/>
    <w:multiLevelType w:val="hybridMultilevel"/>
    <w:lvl w:ilvl="0">
      <w:lvlJc w:val="left"/>
      <w:lvlText w:val="(%1)"/>
      <w:numFmt w:val="lowerLetter"/>
      <w:start w:val="2"/>
    </w:lvl>
  </w:abstractNum>
  <w:abstractNum w:abstractNumId="371">
    <w:nsid w:val="71B82AED"/>
    <w:multiLevelType w:val="hybridMultilevel"/>
    <w:lvl w:ilvl="0">
      <w:lvlJc w:val="left"/>
      <w:lvlText w:val="%1"/>
      <w:numFmt w:val="decimal"/>
      <w:start w:val="1"/>
    </w:lvl>
    <w:lvl w:ilvl="1">
      <w:lvlJc w:val="left"/>
      <w:lvlText w:val="(%2)"/>
      <w:numFmt w:val="lowerLetter"/>
      <w:start w:val="6"/>
    </w:lvl>
  </w:abstractNum>
  <w:abstractNum w:abstractNumId="372">
    <w:nsid w:val="D15FACA"/>
    <w:multiLevelType w:val="hybridMultilevel"/>
    <w:lvl w:ilvl="0">
      <w:lvlJc w:val="left"/>
      <w:lvlText w:val="%1."/>
      <w:numFmt w:val="decimal"/>
      <w:start w:val="10"/>
    </w:lvl>
    <w:lvl w:ilvl="1">
      <w:lvlJc w:val="left"/>
      <w:lvlText w:val="(%2)"/>
      <w:numFmt w:val="lowerLetter"/>
      <w:start w:val="1"/>
    </w:lvl>
  </w:abstractNum>
  <w:abstractNum w:abstractNumId="373">
    <w:nsid w:val="3D69565B"/>
    <w:multiLevelType w:val="hybridMultilevel"/>
    <w:lvl w:ilvl="0">
      <w:lvlJc w:val="left"/>
      <w:lvlText w:val="%1."/>
      <w:numFmt w:val="decimal"/>
      <w:start w:val="11"/>
    </w:lvl>
    <w:lvl w:ilvl="1">
      <w:lvlJc w:val="left"/>
      <w:lvlText w:val="(%2)"/>
      <w:numFmt w:val="lowerLetter"/>
      <w:start w:val="1"/>
    </w:lvl>
  </w:abstractNum>
  <w:abstractNum w:abstractNumId="374">
    <w:nsid w:val="2299DCBC"/>
    <w:multiLevelType w:val="hybridMultilevel"/>
    <w:lvl w:ilvl="0">
      <w:lvlJc w:val="left"/>
      <w:lvlText w:val="%1."/>
      <w:numFmt w:val="decimal"/>
      <w:start w:val="15"/>
    </w:lvl>
  </w:abstractNum>
  <w:abstractNum w:abstractNumId="375">
    <w:nsid w:val="19908D02"/>
    <w:multiLevelType w:val="hybridMultilevel"/>
    <w:lvl w:ilvl="0">
      <w:lvlJc w:val="left"/>
      <w:lvlText w:val="%1."/>
      <w:numFmt w:val="decimal"/>
      <w:start w:val="22"/>
    </w:lvl>
    <w:lvl w:ilvl="1">
      <w:lvlJc w:val="left"/>
      <w:lvlText w:val="(%2)"/>
      <w:numFmt w:val="lowerLetter"/>
      <w:start w:val="1"/>
    </w:lvl>
  </w:abstractNum>
  <w:abstractNum w:abstractNumId="376">
    <w:nsid w:val="24D48BDB"/>
    <w:multiLevelType w:val="hybridMultilevel"/>
    <w:lvl w:ilvl="0">
      <w:lvlJc w:val="left"/>
      <w:lvlText w:val="%1."/>
      <w:numFmt w:val="decimal"/>
      <w:start w:val="26"/>
    </w:lvl>
    <w:lvl w:ilvl="1">
      <w:lvlJc w:val="left"/>
      <w:lvlText w:val="(%2)"/>
      <w:numFmt w:val="lowerLetter"/>
      <w:start w:val="1"/>
    </w:lvl>
  </w:abstractNum>
  <w:abstractNum w:abstractNumId="377">
    <w:nsid w:val="542DA5B5"/>
    <w:multiLevelType w:val="hybridMultilevel"/>
    <w:lvl w:ilvl="0">
      <w:lvlJc w:val="left"/>
      <w:lvlText w:val="(%1)"/>
      <w:numFmt w:val="lowerLetter"/>
      <w:start w:val="5"/>
    </w:lvl>
    <w:lvl w:ilvl="1">
      <w:lvlJc w:val="left"/>
      <w:lvlText w:val="(%2)"/>
      <w:numFmt w:val="lowerRoman"/>
      <w:start w:val="1"/>
    </w:lvl>
  </w:abstractNum>
  <w:abstractNum w:abstractNumId="378">
    <w:nsid w:val="793753DE"/>
    <w:multiLevelType w:val="hybridMultilevel"/>
    <w:lvl w:ilvl="0">
      <w:lvlJc w:val="left"/>
      <w:lvlText w:val="(%1)"/>
      <w:numFmt w:val="lowerLetter"/>
      <w:start w:val="15"/>
    </w:lvl>
  </w:abstractNum>
  <w:abstractNum w:abstractNumId="379">
    <w:nsid w:val="1C67CB3D"/>
    <w:multiLevelType w:val="hybridMultilevel"/>
    <w:lvl w:ilvl="0">
      <w:lvlJc w:val="left"/>
      <w:lvlText w:val="☐"/>
      <w:numFmt w:val="bullet"/>
      <w:start w:val="1"/>
    </w:lvl>
  </w:abstractNum>
  <w:abstractNum w:abstractNumId="380">
    <w:nsid w:val="40E29452"/>
    <w:multiLevelType w:val="hybridMultilevel"/>
    <w:lvl w:ilvl="0">
      <w:lvlJc w:val="left"/>
      <w:lvlText w:val="☐"/>
      <w:numFmt w:val="bullet"/>
      <w:start w:val="1"/>
    </w:lvl>
  </w:abstractNum>
  <w:abstractNum w:abstractNumId="381">
    <w:nsid w:val="63A4AAB6"/>
    <w:multiLevelType w:val="hybridMultilevel"/>
    <w:lvl w:ilvl="0">
      <w:lvlJc w:val="left"/>
      <w:lvlText w:val="%1."/>
      <w:numFmt w:val="decimal"/>
      <w:start w:val="1"/>
    </w:lvl>
  </w:abstractNum>
  <w:abstractNum w:abstractNumId="382">
    <w:nsid w:val="77DA4A57"/>
    <w:multiLevelType w:val="hybridMultilevel"/>
    <w:lvl w:ilvl="0">
      <w:lvlJc w:val="left"/>
      <w:lvlText w:val="%1."/>
      <w:numFmt w:val="decimal"/>
      <w:start w:val="2"/>
    </w:lvl>
  </w:abstractNum>
  <w:abstractNum w:abstractNumId="383">
    <w:nsid w:val="1230F102"/>
    <w:multiLevelType w:val="hybridMultilevel"/>
    <w:lvl w:ilvl="0">
      <w:lvlJc w:val="left"/>
      <w:lvlText w:val="(%1)"/>
      <w:numFmt w:val="lowerLetter"/>
      <w:start w:val="1"/>
    </w:lvl>
    <w:lvl w:ilvl="1">
      <w:lvlJc w:val="left"/>
      <w:lvlText w:val="(%2)"/>
      <w:numFmt w:val="lowerRoman"/>
      <w:start w:val="2"/>
    </w:lvl>
  </w:abstractNum>
  <w:abstractNum w:abstractNumId="384">
    <w:nsid w:val="25B57ED4"/>
    <w:multiLevelType w:val="hybridMultilevel"/>
    <w:lvl w:ilvl="0">
      <w:lvlJc w:val="left"/>
      <w:lvlText w:val="(%1)"/>
      <w:numFmt w:val="upperLetter"/>
      <w:start w:val="26"/>
    </w:lvl>
    <w:lvl w:ilvl="1">
      <w:lvlJc w:val="left"/>
      <w:lvlText w:val="(%2)"/>
      <w:numFmt w:val="lowerLetter"/>
      <w:start w:val="3"/>
    </w:lvl>
  </w:abstractNum>
  <w:abstractNum w:abstractNumId="385">
    <w:nsid w:val="47CF16C4"/>
    <w:multiLevelType w:val="hybridMultilevel"/>
    <w:lvl w:ilvl="0">
      <w:lvlJc w:val="left"/>
      <w:lvlText w:val="%1"/>
      <w:numFmt w:val="decimal"/>
      <w:start w:val="1"/>
    </w:lvl>
    <w:lvl w:ilvl="1">
      <w:lvlJc w:val="left"/>
      <w:lvlText w:val="(%2)"/>
      <w:numFmt w:val="lowerLetter"/>
      <w:start w:val="1"/>
    </w:lvl>
  </w:abstractNum>
  <w:abstractNum w:abstractNumId="386">
    <w:nsid w:val="527FA04C"/>
    <w:multiLevelType w:val="hybridMultilevel"/>
    <w:lvl w:ilvl="0">
      <w:lvlJc w:val="left"/>
      <w:lvlText w:val="(%1)"/>
      <w:numFmt w:val="decimal"/>
      <w:start w:val="30"/>
    </w:lvl>
    <w:lvl w:ilvl="1">
      <w:lvlJc w:val="left"/>
      <w:lvlText w:val="(%2)"/>
      <w:numFmt w:val="lowerLetter"/>
      <w:start w:val="4"/>
    </w:lvl>
  </w:abstractNum>
  <w:abstractNum w:abstractNumId="387">
    <w:nsid w:val="6FCC0624"/>
    <w:multiLevelType w:val="hybridMultilevel"/>
    <w:lvl w:ilvl="0">
      <w:lvlJc w:val="left"/>
      <w:lvlText w:val="(%1)"/>
      <w:numFmt w:val="lowerLetter"/>
      <w:start w:val="1"/>
    </w:lvl>
  </w:abstractNum>
  <w:abstractNum w:abstractNumId="388">
    <w:nsid w:val="1DCDF795"/>
    <w:multiLevelType w:val="hybridMultilevel"/>
    <w:lvl w:ilvl="0">
      <w:lvlJc w:val="left"/>
      <w:lvlText w:val="%1."/>
      <w:numFmt w:val="decimal"/>
      <w:start w:val="3"/>
    </w:lvl>
  </w:abstractNum>
  <w:abstractNum w:abstractNumId="389">
    <w:nsid w:val="564580C8"/>
    <w:multiLevelType w:val="hybridMultilevel"/>
    <w:lvl w:ilvl="0">
      <w:lvlJc w:val="left"/>
      <w:lvlText w:val="(%1)"/>
      <w:numFmt w:val="lowerLetter"/>
      <w:start w:val="1"/>
    </w:lvl>
  </w:abstractNum>
  <w:abstractNum w:abstractNumId="390">
    <w:nsid w:val="508ED897"/>
    <w:multiLevelType w:val="hybridMultilevel"/>
    <w:lvl w:ilvl="0">
      <w:lvlJc w:val="left"/>
      <w:lvlText w:val="(%1)"/>
      <w:numFmt w:val="lowerLetter"/>
      <w:start w:val="1"/>
    </w:lvl>
  </w:abstractNum>
  <w:abstractNum w:abstractNumId="391">
    <w:nsid w:val="6A9126B5"/>
    <w:multiLevelType w:val="hybridMultilevel"/>
    <w:lvl w:ilvl="0">
      <w:lvlJc w:val="left"/>
      <w:lvlText w:val="%1."/>
      <w:numFmt w:val="decimal"/>
      <w:start w:val="4"/>
    </w:lvl>
  </w:abstractNum>
  <w:abstractNum w:abstractNumId="392">
    <w:nsid w:val="68104812"/>
    <w:multiLevelType w:val="hybridMultilevel"/>
    <w:lvl w:ilvl="0">
      <w:lvlJc w:val="left"/>
      <w:lvlText w:val="%1"/>
      <w:numFmt w:val="lowerLetter"/>
      <w:start w:val="1"/>
    </w:lvl>
    <w:lvl w:ilvl="1">
      <w:lvlJc w:val="left"/>
      <w:lvlText w:val="(%2)"/>
      <w:numFmt w:val="lowerLetter"/>
      <w:start w:val="1"/>
    </w:lvl>
  </w:abstractNum>
  <w:abstractNum w:abstractNumId="393">
    <w:nsid w:val="62FB8680"/>
    <w:multiLevelType w:val="hybridMultilevel"/>
    <w:lvl w:ilvl="0">
      <w:lvlJc w:val="left"/>
      <w:lvlText w:val="(%1)"/>
      <w:numFmt w:val="lowerLetter"/>
      <w:start w:val="25"/>
    </w:lvl>
    <w:lvl w:ilvl="1">
      <w:lvlJc w:val="left"/>
      <w:lvlText w:val="%2"/>
      <w:numFmt w:val="lowerLetter"/>
      <w:start w:val="1"/>
    </w:lvl>
  </w:abstractNum>
  <w:abstractNum w:abstractNumId="394">
    <w:nsid w:val="3A45530"/>
    <w:multiLevelType w:val="hybridMultilevel"/>
    <w:lvl w:ilvl="0">
      <w:lvlJc w:val="left"/>
      <w:lvlText w:val="%1."/>
      <w:numFmt w:val="decimal"/>
      <w:start w:val="5"/>
    </w:lvl>
  </w:abstractNum>
  <w:abstractNum w:abstractNumId="395">
    <w:nsid w:val="4B9275D2"/>
    <w:multiLevelType w:val="hybridMultilevel"/>
    <w:lvl w:ilvl="0">
      <w:lvlJc w:val="left"/>
      <w:lvlText w:val="(%1)"/>
      <w:numFmt w:val="lowerRoman"/>
      <w:start w:val="2"/>
    </w:lvl>
  </w:abstractNum>
  <w:abstractNum w:abstractNumId="396">
    <w:nsid w:val="4F0CEEDB"/>
    <w:multiLevelType w:val="hybridMultilevel"/>
    <w:lvl w:ilvl="0">
      <w:lvlJc w:val="left"/>
      <w:lvlText w:val="(%1)"/>
      <w:numFmt w:val="lowerLetter"/>
      <w:start w:val="1"/>
    </w:lvl>
  </w:abstractNum>
  <w:abstractNum w:abstractNumId="397">
    <w:nsid w:val="61C30361"/>
    <w:multiLevelType w:val="hybridMultilevel"/>
    <w:lvl w:ilvl="0">
      <w:lvlJc w:val="left"/>
      <w:lvlText w:val="%1."/>
      <w:numFmt w:val="decimal"/>
      <w:start w:val="6"/>
    </w:lvl>
    <w:lvl w:ilvl="1">
      <w:lvlJc w:val="left"/>
      <w:lvlText w:val="(%2)"/>
      <w:numFmt w:val="lowerLetter"/>
      <w:start w:val="1"/>
    </w:lvl>
  </w:abstractNum>
  <w:abstractNum w:abstractNumId="398">
    <w:nsid w:val="632099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9">
    <w:nsid w:val="2463975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0">
    <w:nsid w:val="9D30DFD"/>
    <w:multiLevelType w:val="hybridMultilevel"/>
    <w:lvl w:ilvl="0">
      <w:lvlJc w:val="left"/>
      <w:lvlText w:val="(%1)"/>
      <w:numFmt w:val="lowerRoman"/>
      <w:start w:val="3"/>
    </w:lvl>
  </w:abstractNum>
  <w:abstractNum w:abstractNumId="401">
    <w:nsid w:val="70A42016"/>
    <w:multiLevelType w:val="hybridMultilevel"/>
    <w:lvl w:ilvl="0">
      <w:lvlJc w:val="left"/>
      <w:lvlText w:val="(%1)"/>
      <w:numFmt w:val="lowerLetter"/>
      <w:start w:val="2"/>
    </w:lvl>
  </w:abstractNum>
  <w:abstractNum w:abstractNumId="402">
    <w:nsid w:val="161BC243"/>
    <w:multiLevelType w:val="hybridMultilevel"/>
    <w:lvl w:ilvl="0">
      <w:lvlJc w:val="left"/>
      <w:lvlText w:val="(%1)"/>
      <w:numFmt w:val="lowerLetter"/>
      <w:start w:val="1"/>
    </w:lvl>
  </w:abstractNum>
  <w:abstractNum w:abstractNumId="403">
    <w:nsid w:val="16E908C8"/>
    <w:multiLevelType w:val="hybridMultilevel"/>
    <w:lvl w:ilvl="0">
      <w:lvlJc w:val="left"/>
      <w:lvlText w:val="(%1)"/>
      <w:numFmt w:val="lowerLetter"/>
      <w:start w:val="3"/>
    </w:lvl>
  </w:abstractNum>
  <w:abstractNum w:abstractNumId="404">
    <w:nsid w:val="2E0D7671"/>
    <w:multiLevelType w:val="hybridMultilevel"/>
    <w:lvl w:ilvl="0">
      <w:lvlJc w:val="left"/>
      <w:lvlText w:val="(%1)"/>
      <w:numFmt w:val="lowerLetter"/>
      <w:start w:val="2"/>
    </w:lvl>
  </w:abstractNum>
  <w:abstractNum w:abstractNumId="405">
    <w:nsid w:val="38B59EFF"/>
    <w:multiLevelType w:val="hybridMultilevel"/>
    <w:lvl w:ilvl="0">
      <w:lvlJc w:val="left"/>
      <w:lvlText w:val="%1"/>
      <w:numFmt w:val="decimal"/>
      <w:start w:val="1"/>
    </w:lvl>
    <w:lvl w:ilvl="1">
      <w:lvlJc w:val="left"/>
      <w:lvlText w:val="(%2)"/>
      <w:numFmt w:val="lowerLetter"/>
      <w:start w:val="1"/>
    </w:lvl>
  </w:abstractNum>
  <w:abstractNum w:abstractNumId="406">
    <w:nsid w:val="307995CA"/>
    <w:multiLevelType w:val="hybridMultilevel"/>
    <w:lvl w:ilvl="0">
      <w:lvlJc w:val="left"/>
      <w:lvlText w:val="%1."/>
      <w:numFmt w:val="decimal"/>
      <w:start w:val="7"/>
    </w:lvl>
    <w:lvl w:ilvl="1">
      <w:lvlJc w:val="left"/>
      <w:lvlText w:val="%2"/>
      <w:numFmt w:val="lowerLetter"/>
      <w:start w:val="1"/>
    </w:lvl>
  </w:abstractNum>
  <w:abstractNum w:abstractNumId="407">
    <w:nsid w:val="52E2024D"/>
    <w:multiLevelType w:val="hybridMultilevel"/>
    <w:lvl w:ilvl="0">
      <w:lvlJc w:val="left"/>
      <w:lvlText w:val="(%1)"/>
      <w:numFmt w:val="lowerLetter"/>
      <w:start w:val="4"/>
    </w:lvl>
  </w:abstractNum>
  <w:abstractNum w:abstractNumId="408">
    <w:nsid w:val="CE344B5"/>
    <w:multiLevelType w:val="hybridMultilevel"/>
    <w:lvl w:ilvl="0">
      <w:lvlJc w:val="left"/>
      <w:lvlText w:val="%1."/>
      <w:numFmt w:val="decimal"/>
      <w:start w:val="8"/>
    </w:lvl>
  </w:abstractNum>
  <w:abstractNum w:abstractNumId="409">
    <w:nsid w:val="29B0E9A8"/>
    <w:multiLevelType w:val="hybridMultilevel"/>
    <w:lvl w:ilvl="0">
      <w:lvlJc w:val="left"/>
      <w:lvlText w:val="%1"/>
      <w:numFmt w:val="decimal"/>
      <w:start w:val="1"/>
    </w:lvl>
    <w:lvl w:ilvl="1">
      <w:lvlJc w:val="left"/>
      <w:lvlText w:val="(%2)"/>
      <w:numFmt w:val="lowerLetter"/>
      <w:start w:val="1"/>
    </w:lvl>
  </w:abstractNum>
  <w:abstractNum w:abstractNumId="410">
    <w:nsid w:val="6F49CD8A"/>
    <w:multiLevelType w:val="hybridMultilevel"/>
    <w:lvl w:ilvl="0">
      <w:lvlJc w:val="left"/>
      <w:lvlText w:val="(%1)"/>
      <w:numFmt w:val="decimal"/>
      <w:start w:val="30"/>
    </w:lvl>
    <w:lvl w:ilvl="1">
      <w:lvlJc w:val="left"/>
      <w:lvlText w:val="%2"/>
      <w:numFmt w:val="lowerLetter"/>
      <w:start w:val="1"/>
    </w:lvl>
  </w:abstractNum>
  <w:abstractNum w:abstractNumId="411">
    <w:nsid w:val="4DC5D907"/>
    <w:multiLevelType w:val="hybridMultilevel"/>
    <w:lvl w:ilvl="0">
      <w:lvlJc w:val="left"/>
      <w:lvlText w:val="(%1)"/>
      <w:numFmt w:val="lowerLetter"/>
      <w:start w:val="1"/>
    </w:lvl>
  </w:abstractNum>
  <w:abstractNum w:abstractNumId="412">
    <w:nsid w:val="D55945E"/>
    <w:multiLevelType w:val="hybridMultilevel"/>
    <w:lvl w:ilvl="0">
      <w:lvlJc w:val="left"/>
      <w:lvlText w:val="(%1)"/>
      <w:numFmt w:val="lowerLetter"/>
      <w:start w:val="35"/>
    </w:lvl>
    <w:lvl w:ilvl="1">
      <w:lvlJc w:val="left"/>
      <w:lvlText w:val="(%2)"/>
      <w:numFmt w:val="lowerLetter"/>
      <w:start w:val="2"/>
    </w:lvl>
  </w:abstractNum>
  <w:abstractNum w:abstractNumId="413">
    <w:nsid w:val="672417E1"/>
    <w:multiLevelType w:val="hybridMultilevel"/>
    <w:lvl w:ilvl="0">
      <w:lvlJc w:val="left"/>
      <w:lvlText w:val="%1."/>
      <w:numFmt w:val="decimal"/>
      <w:start w:val="9"/>
    </w:lvl>
  </w:abstractNum>
  <w:abstractNum w:abstractNumId="414">
    <w:nsid w:val="5FF6CA09"/>
    <w:multiLevelType w:val="hybridMultilevel"/>
    <w:lvl w:ilvl="0">
      <w:lvlJc w:val="left"/>
      <w:lvlText w:val="(%1)"/>
      <w:numFmt w:val="lowerLetter"/>
      <w:start w:val="1"/>
    </w:lvl>
    <w:lvl w:ilvl="1">
      <w:lvlJc w:val="left"/>
      <w:lvlText w:val="(%2)"/>
      <w:numFmt w:val="lowerRoman"/>
      <w:start w:val="1"/>
    </w:lvl>
  </w:abstractNum>
  <w:abstractNum w:abstractNumId="415">
    <w:nsid w:val="330B1333"/>
    <w:multiLevelType w:val="hybridMultilevel"/>
    <w:lvl w:ilvl="0">
      <w:lvlJc w:val="left"/>
      <w:lvlText w:val="(%1)"/>
      <w:numFmt w:val="lowerRoman"/>
      <w:start w:val="6"/>
    </w:lvl>
  </w:abstractNum>
  <w:abstractNum w:abstractNumId="416">
    <w:nsid w:val="2EF32EA6"/>
    <w:multiLevelType w:val="hybridMultilevel"/>
    <w:lvl w:ilvl="0">
      <w:lvlJc w:val="left"/>
      <w:lvlText w:val="(%1)"/>
      <w:numFmt w:val="lowerLetter"/>
      <w:start w:val="1"/>
    </w:lvl>
  </w:abstractNum>
  <w:abstractNum w:abstractNumId="417">
    <w:nsid w:val="32766A55"/>
    <w:multiLevelType w:val="hybridMultilevel"/>
    <w:lvl w:ilvl="0">
      <w:lvlJc w:val="left"/>
      <w:lvlText w:val="%1."/>
      <w:numFmt w:val="decimal"/>
      <w:start w:val="10"/>
    </w:lvl>
  </w:abstractNum>
  <w:abstractNum w:abstractNumId="418">
    <w:nsid w:val="22D71957"/>
    <w:multiLevelType w:val="hybridMultilevel"/>
    <w:lvl w:ilvl="0">
      <w:lvlJc w:val="left"/>
      <w:lvlText w:val="(%1)"/>
      <w:numFmt w:val="decimal"/>
      <w:start w:val="3"/>
    </w:lvl>
  </w:abstractNum>
  <w:abstractNum w:abstractNumId="419">
    <w:nsid w:val="4CC1263B"/>
    <w:multiLevelType w:val="hybridMultilevel"/>
    <w:lvl w:ilvl="0">
      <w:lvlJc w:val="left"/>
      <w:lvlText w:val="%1."/>
      <w:numFmt w:val="decimal"/>
      <w:start w:val="11"/>
    </w:lvl>
  </w:abstractNum>
  <w:abstractNum w:abstractNumId="420">
    <w:nsid w:val="8BBEB1D"/>
    <w:multiLevelType w:val="hybridMultilevel"/>
    <w:lvl w:ilvl="0">
      <w:lvlJc w:val="left"/>
      <w:lvlText w:val="%1."/>
      <w:numFmt w:val="decimal"/>
      <w:start w:val="12"/>
    </w:lvl>
  </w:abstractNum>
  <w:abstractNum w:abstractNumId="421">
    <w:nsid w:val="7365F1EE"/>
    <w:multiLevelType w:val="hybridMultilevel"/>
    <w:lvl w:ilvl="0">
      <w:lvlJc w:val="left"/>
      <w:lvlText w:val="(%1)"/>
      <w:numFmt w:val="lowerRoman"/>
      <w:start w:val="1"/>
    </w:lvl>
  </w:abstractNum>
  <w:abstractNum w:abstractNumId="422">
    <w:nsid w:val="37524CF0"/>
    <w:multiLevelType w:val="hybridMultilevel"/>
    <w:lvl w:ilvl="0">
      <w:lvlJc w:val="left"/>
      <w:lvlText w:val="%1"/>
      <w:numFmt w:val="lowerLetter"/>
      <w:start w:val="1"/>
    </w:lvl>
    <w:lvl w:ilvl="1">
      <w:lvlJc w:val="left"/>
      <w:lvlText w:val="(%2)"/>
      <w:numFmt w:val="lowerRoman"/>
      <w:start w:val="3"/>
    </w:lvl>
  </w:abstractNum>
  <w:abstractNum w:abstractNumId="423">
    <w:nsid w:val="70CC332F"/>
    <w:multiLevelType w:val="hybridMultilevel"/>
    <w:lvl w:ilvl="0">
      <w:lvlJc w:val="left"/>
      <w:lvlText w:val="(%1)"/>
      <w:numFmt w:val="lowerLetter"/>
      <w:start w:val="2"/>
    </w:lvl>
    <w:lvl w:ilvl="1">
      <w:lvlJc w:val="left"/>
      <w:lvlText w:val="%2"/>
      <w:numFmt w:val="lowerRoman"/>
      <w:start w:val="1"/>
    </w:lvl>
  </w:abstractNum>
  <w:abstractNum w:abstractNumId="424">
    <w:nsid w:val="5661786E"/>
    <w:multiLevelType w:val="hybridMultilevel"/>
    <w:lvl w:ilvl="0">
      <w:lvlJc w:val="left"/>
      <w:lvlText w:val="%1."/>
      <w:numFmt w:val="decimal"/>
      <w:start w:val="13"/>
    </w:lvl>
  </w:abstractNum>
  <w:abstractNum w:abstractNumId="425">
    <w:nsid w:val="3AF6A220"/>
    <w:multiLevelType w:val="hybridMultilevel"/>
    <w:lvl w:ilvl="0">
      <w:lvlJc w:val="left"/>
      <w:lvlText w:val="(%1)"/>
      <w:numFmt w:val="lowerLetter"/>
      <w:start w:val="9"/>
    </w:lvl>
  </w:abstractNum>
  <w:abstractNum w:abstractNumId="426">
    <w:nsid w:val="3C5EA902"/>
    <w:multiLevelType w:val="hybridMultilevel"/>
    <w:lvl w:ilvl="0">
      <w:lvlJc w:val="left"/>
      <w:lvlText w:val="(%1)"/>
      <w:numFmt w:val="lowerLetter"/>
      <w:start w:val="2"/>
    </w:lvl>
  </w:abstractNum>
  <w:abstractNum w:abstractNumId="427">
    <w:nsid w:val="256E6749"/>
    <w:multiLevelType w:val="hybridMultilevel"/>
    <w:lvl w:ilvl="0">
      <w:lvlJc w:val="left"/>
      <w:lvlText w:val="(%1)"/>
      <w:numFmt w:val="lowerLetter"/>
      <w:start w:val="3"/>
    </w:lvl>
  </w:abstractNum>
  <w:abstractNum w:abstractNumId="428">
    <w:nsid w:val="1CB9A581"/>
    <w:multiLevelType w:val="hybridMultilevel"/>
    <w:lvl w:ilvl="0">
      <w:lvlJc w:val="left"/>
      <w:lvlText w:val="(%1)"/>
      <w:numFmt w:val="lowerRoman"/>
      <w:start w:val="1"/>
    </w:lvl>
  </w:abstractNum>
  <w:abstractNum w:abstractNumId="429">
    <w:nsid w:val="1F7F42E2"/>
    <w:multiLevelType w:val="hybridMultilevel"/>
    <w:lvl w:ilvl="0">
      <w:lvlJc w:val="left"/>
      <w:lvlText w:val="(%1)"/>
      <w:numFmt w:val="lowerLetter"/>
      <w:start w:val="1"/>
    </w:lvl>
  </w:abstractNum>
  <w:abstractNum w:abstractNumId="430">
    <w:nsid w:val="49D1FEA0"/>
    <w:multiLevelType w:val="hybridMultilevel"/>
    <w:lvl w:ilvl="0">
      <w:lvlJc w:val="left"/>
      <w:lvlText w:val="(%1)"/>
      <w:numFmt w:val="lowerLetter"/>
      <w:start w:val="3"/>
    </w:lvl>
  </w:abstractNum>
  <w:abstractNum w:abstractNumId="431">
    <w:nsid w:val="268CB37F"/>
    <w:multiLevelType w:val="hybridMultilevel"/>
    <w:lvl w:ilvl="0">
      <w:lvlJc w:val="left"/>
      <w:lvlText w:val="(%1)"/>
      <w:numFmt w:val="lowerLetter"/>
      <w:start w:val="3"/>
    </w:lvl>
  </w:abstractNum>
  <w:abstractNum w:abstractNumId="432">
    <w:nsid w:val="102362F8"/>
    <w:multiLevelType w:val="hybridMultilevel"/>
    <w:lvl w:ilvl="0">
      <w:lvlJc w:val="left"/>
      <w:lvlText w:val="(%1)"/>
      <w:numFmt w:val="lowerLetter"/>
      <w:start w:val="1"/>
    </w:lvl>
  </w:abstractNum>
  <w:abstractNum w:abstractNumId="433">
    <w:nsid w:val="5FEDC0E3"/>
    <w:multiLevelType w:val="hybridMultilevel"/>
    <w:lvl w:ilvl="0">
      <w:lvlJc w:val="left"/>
      <w:lvlText w:val="(%1)"/>
      <w:numFmt w:val="lowerLetter"/>
      <w:start w:val="1"/>
    </w:lvl>
  </w:abstractNum>
  <w:abstractNum w:abstractNumId="434">
    <w:nsid w:val="3D75BC47"/>
    <w:multiLevelType w:val="hybridMultilevel"/>
    <w:lvl w:ilvl="0">
      <w:lvlJc w:val="left"/>
      <w:lvlText w:val="(%1)"/>
      <w:numFmt w:val="lowerLetter"/>
      <w:start w:val="2"/>
    </w:lvl>
  </w:abstractNum>
  <w:abstractNum w:abstractNumId="435">
    <w:nsid w:val="3E30D969"/>
    <w:multiLevelType w:val="hybridMultilevel"/>
    <w:lvl w:ilvl="0">
      <w:lvlJc w:val="left"/>
      <w:lvlText w:val="(%1)"/>
      <w:numFmt w:val="lowerRoman"/>
      <w:start w:val="1"/>
    </w:lvl>
  </w:abstractNum>
  <w:abstractNum w:abstractNumId="436">
    <w:nsid w:val="18A35FE3"/>
    <w:multiLevelType w:val="hybridMultilevel"/>
    <w:lvl w:ilvl="0">
      <w:lvlJc w:val="left"/>
      <w:lvlText w:val="(%1)"/>
      <w:numFmt w:val="lowerRoman"/>
      <w:start w:val="1"/>
    </w:lvl>
  </w:abstractNum>
  <w:abstractNum w:abstractNumId="437">
    <w:nsid w:val="6DEF5211"/>
    <w:multiLevelType w:val="hybridMultilevel"/>
    <w:lvl w:ilvl="0">
      <w:lvlJc w:val="left"/>
      <w:lvlText w:val="%1."/>
      <w:numFmt w:val="decimal"/>
      <w:start w:val="1"/>
    </w:lvl>
  </w:abstractNum>
  <w:abstractNum w:abstractNumId="438">
    <w:nsid w:val="1112DBB6"/>
    <w:multiLevelType w:val="hybridMultilevel"/>
    <w:lvl w:ilvl="0">
      <w:lvlJc w:val="left"/>
      <w:lvlText w:val="%1."/>
      <w:numFmt w:val="decimal"/>
      <w:start w:val="8"/>
    </w:lvl>
  </w:abstractNum>
  <w:abstractNum w:abstractNumId="439">
    <w:nsid w:val="2586A498"/>
    <w:multiLevelType w:val="hybridMultilevel"/>
    <w:lvl w:ilvl="0">
      <w:lvlJc w:val="left"/>
      <w:lvlText w:val="*"/>
      <w:numFmt w:val="bullet"/>
      <w:start w:val="1"/>
    </w:lvl>
  </w:abstractNum>
  <w:abstractNum w:abstractNumId="440">
    <w:nsid w:val="17A03BB9"/>
    <w:multiLevelType w:val="hybridMultilevel"/>
    <w:lvl w:ilvl="0">
      <w:lvlJc w:val="left"/>
      <w:lvlText w:val="(%1)"/>
      <w:numFmt w:val="lowerLetter"/>
      <w:start w:val="2"/>
    </w:lvl>
  </w:abstractNum>
  <w:abstractNum w:abstractNumId="441">
    <w:nsid w:val="5CA941"/>
    <w:multiLevelType w:val="hybridMultilevel"/>
    <w:lvl w:ilvl="0">
      <w:lvlJc w:val="left"/>
      <w:lvlText w:val="%1)"/>
      <w:numFmt w:val="decimal"/>
      <w:start w:val="10"/>
    </w:lvl>
  </w:abstractNum>
  <w:abstractNum w:abstractNumId="442">
    <w:nsid w:val="734C7D9F"/>
    <w:multiLevelType w:val="hybridMultilevel"/>
    <w:lvl w:ilvl="0">
      <w:lvlJc w:val="left"/>
      <w:lvlText w:val="%1)"/>
      <w:numFmt w:val="decimal"/>
      <w:start w:val="3"/>
    </w:lvl>
  </w:abstractNum>
  <w:abstractNum w:abstractNumId="443">
    <w:nsid w:val="24F5D018"/>
    <w:multiLevelType w:val="hybridMultilevel"/>
    <w:lvl w:ilvl="0">
      <w:lvlJc w:val="left"/>
      <w:lvlText w:val="%1)"/>
      <w:numFmt w:val="decimal"/>
      <w:start w:val="4"/>
    </w:lvl>
  </w:abstractNum>
  <w:abstractNum w:abstractNumId="444">
    <w:nsid w:val="6780C122"/>
    <w:multiLevelType w:val="hybridMultilevel"/>
    <w:lvl w:ilvl="0">
      <w:lvlJc w:val="left"/>
      <w:lvlText w:val="(%1)"/>
      <w:numFmt w:val="lowerLetter"/>
      <w:start w:val="1"/>
    </w:lvl>
  </w:abstractNum>
  <w:abstractNum w:abstractNumId="445">
    <w:nsid w:val="534347A8"/>
    <w:multiLevelType w:val="hybridMultilevel"/>
    <w:lvl w:ilvl="0">
      <w:lvlJc w:val="left"/>
      <w:lvlText w:val="%1"/>
      <w:numFmt w:val="lowerLetter"/>
      <w:start w:val="1"/>
    </w:lvl>
    <w:lvl w:ilvl="1">
      <w:lvlJc w:val="left"/>
      <w:lvlText w:val="(%2)"/>
      <w:numFmt w:val="lowerLetter"/>
      <w:start w:val="4"/>
    </w:lvl>
  </w:abstractNum>
  <w:abstractNum w:abstractNumId="446">
    <w:nsid w:val="5800E34B"/>
    <w:multiLevelType w:val="hybridMultilevel"/>
    <w:lvl w:ilvl="0">
      <w:lvlJc w:val="left"/>
      <w:lvlText w:val="(%1)"/>
      <w:numFmt w:val="lowerLetter"/>
      <w:start w:val="25"/>
    </w:lvl>
    <w:lvl w:ilvl="1">
      <w:lvlJc w:val="left"/>
      <w:lvlText w:val="%2"/>
      <w:numFmt w:val="lowerLetter"/>
      <w:start w:val="1"/>
    </w:lvl>
  </w:abstractNum>
  <w:abstractNum w:abstractNumId="447">
    <w:nsid w:val="1673EFC8"/>
    <w:multiLevelType w:val="hybridMultilevel"/>
    <w:lvl w:ilvl="0">
      <w:lvlJc w:val="left"/>
      <w:lvlText w:val="(%1)"/>
      <w:numFmt w:val="lowerLetter"/>
      <w:start w:val="1"/>
    </w:lvl>
  </w:abstractNum>
  <w:abstractNum w:abstractNumId="448">
    <w:nsid w:val="5B9B1FD"/>
    <w:multiLevelType w:val="hybridMultilevel"/>
    <w:lvl w:ilvl="0">
      <w:lvlJc w:val="left"/>
      <w:lvlText w:val="(%1)"/>
      <w:numFmt w:val="lowerLetter"/>
      <w:start w:val="3"/>
    </w:lvl>
  </w:abstractNum>
  <w:abstractNum w:abstractNumId="449">
    <w:nsid w:val="7AD7FCA2"/>
    <w:multiLevelType w:val="hybridMultilevel"/>
    <w:lvl w:ilvl="0">
      <w:lvlJc w:val="left"/>
      <w:lvlText w:val="(%1)"/>
      <w:numFmt w:val="lowerLetter"/>
      <w:start w:val="1"/>
    </w:lvl>
  </w:abstractNum>
  <w:abstractNum w:abstractNumId="450">
    <w:nsid w:val="63351604"/>
    <w:multiLevelType w:val="hybridMultilevel"/>
    <w:lvl w:ilvl="0">
      <w:lvlJc w:val="left"/>
      <w:lvlText w:val="(%1)"/>
      <w:numFmt w:val="decimal"/>
      <w:start w:val="1"/>
    </w:lvl>
  </w:abstractNum>
  <w:abstractNum w:abstractNumId="451">
    <w:nsid w:val="E759D1A"/>
    <w:multiLevelType w:val="hybridMultilevel"/>
    <w:lvl w:ilvl="0">
      <w:lvlJc w:val="left"/>
      <w:lvlText w:val="(%1)"/>
      <w:numFmt w:val="lowerLetter"/>
      <w:start w:val="1"/>
    </w:lvl>
  </w:abstractNum>
  <w:abstractNum w:abstractNumId="452">
    <w:nsid w:val="6E3DEE90"/>
    <w:multiLevelType w:val="hybridMultilevel"/>
    <w:lvl w:ilvl="0">
      <w:lvlJc w:val="left"/>
      <w:lvlText w:val="(%1)"/>
      <w:numFmt w:val="lowerRoman"/>
      <w:start w:val="3"/>
    </w:lvl>
  </w:abstractNum>
  <w:abstractNum w:abstractNumId="453">
    <w:nsid w:val="1A8762F4"/>
    <w:multiLevelType w:val="hybridMultilevel"/>
    <w:lvl w:ilvl="0">
      <w:lvlJc w:val="left"/>
      <w:lvlText w:val="["/>
      <w:numFmt w:val="bullet"/>
      <w:start w:val="1"/>
    </w:lvl>
    <w:lvl w:ilvl="1">
      <w:lvlJc w:val="left"/>
      <w:lvlText w:val="%2."/>
      <w:numFmt w:val="decimal"/>
      <w:start w:val="2"/>
    </w:lvl>
  </w:abstractNum>
  <w:abstractNum w:abstractNumId="454">
    <w:nsid w:val="7F41D049"/>
    <w:multiLevelType w:val="hybridMultilevel"/>
    <w:lvl w:ilvl="0">
      <w:lvlJc w:val="left"/>
      <w:lvlText w:val="%1."/>
      <w:numFmt w:val="decimal"/>
      <w:start w:val="3"/>
    </w:lvl>
  </w:abstractNum>
  <w:abstractNum w:abstractNumId="455">
    <w:nsid w:val="449F66FE"/>
    <w:multiLevelType w:val="hybridMultilevel"/>
    <w:lvl w:ilvl="0">
      <w:lvlJc w:val="left"/>
      <w:lvlText w:val="%1."/>
      <w:numFmt w:val="decimal"/>
      <w:start w:val="1"/>
    </w:lvl>
  </w:abstractNum>
  <w:abstractNum w:abstractNumId="456">
    <w:nsid w:val="557E0515"/>
    <w:multiLevelType w:val="hybridMultilevel"/>
    <w:lvl w:ilvl="0">
      <w:lvlJc w:val="left"/>
      <w:lvlText w:val="(%1)"/>
      <w:numFmt w:val="lowerRoman"/>
      <w:start w:val="3"/>
    </w:lvl>
  </w:abstractNum>
  <w:abstractNum w:abstractNumId="457">
    <w:nsid w:val="3BA0794B"/>
    <w:multiLevelType w:val="hybridMultilevel"/>
    <w:lvl w:ilvl="0">
      <w:lvlJc w:val="left"/>
      <w:lvlText w:val="(%1)"/>
      <w:numFmt w:val="lowerLetter"/>
      <w:start w:val="3"/>
    </w:lvl>
  </w:abstractNum>
  <w:abstractNum w:abstractNumId="458">
    <w:nsid w:val="6A0DCE48"/>
    <w:multiLevelType w:val="hybridMultilevel"/>
    <w:lvl w:ilvl="0">
      <w:lvlJc w:val="left"/>
      <w:lvlText w:val="%1."/>
      <w:numFmt w:val="decimal"/>
      <w:start w:val="4"/>
    </w:lvl>
  </w:abstractNum>
  <w:abstractNum w:abstractNumId="459">
    <w:nsid w:val="7237AA96"/>
    <w:multiLevelType w:val="hybridMultilevel"/>
    <w:lvl w:ilvl="0">
      <w:lvlJc w:val="left"/>
      <w:lvlText w:val="%1."/>
      <w:numFmt w:val="decimal"/>
      <w:start w:val="5"/>
    </w:lvl>
  </w:abstractNum>
  <w:abstractNum w:abstractNumId="460">
    <w:nsid w:val="5B1FBC2D"/>
    <w:multiLevelType w:val="hybridMultilevel"/>
    <w:lvl w:ilvl="0">
      <w:lvlJc w:val="left"/>
      <w:lvlText w:val="%1."/>
      <w:numFmt w:val="decimal"/>
      <w:start w:val="1"/>
    </w:lvl>
  </w:abstractNum>
  <w:abstractNum w:abstractNumId="461">
    <w:nsid w:val="33DFCCE8"/>
    <w:multiLevelType w:val="hybridMultilevel"/>
    <w:lvl w:ilvl="0">
      <w:lvlJc w:val="left"/>
      <w:lvlText w:val="(%1)"/>
      <w:numFmt w:val="lowerRoman"/>
      <w:start w:val="3"/>
    </w:lvl>
  </w:abstractNum>
  <w:abstractNum w:abstractNumId="462">
    <w:nsid w:val="18C45E15"/>
    <w:multiLevelType w:val="hybridMultilevel"/>
    <w:lvl w:ilvl="0">
      <w:lvlJc w:val="left"/>
      <w:lvlText w:val="(%1)"/>
      <w:numFmt w:val="lowerLetter"/>
      <w:start w:val="2"/>
    </w:lvl>
  </w:abstractNum>
  <w:abstractNum w:abstractNumId="463">
    <w:nsid w:val="6B431F25"/>
    <w:multiLevelType w:val="hybridMultilevel"/>
    <w:lvl w:ilvl="0">
      <w:lvlJc w:val="left"/>
      <w:lvlText w:val="(%1)"/>
      <w:numFmt w:val="lowerLetter"/>
      <w:start w:val="2"/>
    </w:lvl>
  </w:abstractNum>
  <w:abstractNum w:abstractNumId="464">
    <w:nsid w:val="13CD8DCB"/>
    <w:multiLevelType w:val="hybridMultilevel"/>
    <w:lvl w:ilvl="0">
      <w:lvlJc w:val="left"/>
      <w:lvlText w:val="%1."/>
      <w:numFmt w:val="decimal"/>
      <w:start w:val="5"/>
    </w:lvl>
  </w:abstractNum>
  <w:abstractNum w:abstractNumId="465">
    <w:nsid w:val="563A1A5C"/>
    <w:multiLevelType w:val="hybridMultilevel"/>
    <w:lvl w:ilvl="0">
      <w:lvlJc w:val="left"/>
      <w:lvlText w:val="%1"/>
      <w:numFmt w:val="decimal"/>
      <w:start w:val="1"/>
    </w:lvl>
    <w:lvl w:ilvl="1">
      <w:lvlJc w:val="left"/>
      <w:lvlText w:val="(%2)"/>
      <w:numFmt w:val="lowerLetter"/>
      <w:start w:val="1"/>
    </w:lvl>
  </w:abstractNum>
  <w:abstractNum w:abstractNumId="466">
    <w:nsid w:val="2973F88F"/>
    <w:multiLevelType w:val="hybridMultilevel"/>
    <w:lvl w:ilvl="0">
      <w:lvlJc w:val="left"/>
      <w:lvlText w:val="%1."/>
      <w:numFmt w:val="decimal"/>
      <w:start w:val="7"/>
    </w:lvl>
    <w:lvl w:ilvl="1">
      <w:lvlJc w:val="left"/>
      <w:lvlText w:val="%2"/>
      <w:numFmt w:val="lowerLetter"/>
      <w:start w:val="1"/>
    </w:lvl>
  </w:abstractNum>
  <w:abstractNum w:abstractNumId="467">
    <w:nsid w:val="2C70EDAE"/>
    <w:multiLevelType w:val="hybridMultilevel"/>
    <w:lvl w:ilvl="0">
      <w:lvlJc w:val="left"/>
      <w:lvlText w:val="%1."/>
      <w:numFmt w:val="decimal"/>
      <w:start w:val="8"/>
    </w:lvl>
    <w:lvl w:ilvl="1">
      <w:lvlJc w:val="left"/>
      <w:lvlText w:val="(%2)"/>
      <w:numFmt w:val="lowerRoman"/>
      <w:start w:val="1"/>
    </w:lvl>
  </w:abstractNum>
  <w:abstractNum w:abstractNumId="468">
    <w:nsid w:val="44296C6D"/>
    <w:multiLevelType w:val="hybridMultilevel"/>
    <w:lvl w:ilvl="0">
      <w:lvlJc w:val="left"/>
      <w:lvlText w:val="(%1)"/>
      <w:numFmt w:val="lowerRoman"/>
      <w:start w:val="17"/>
    </w:lvl>
  </w:abstractNum>
  <w:abstractNum w:abstractNumId="469">
    <w:nsid w:val="3A86D445"/>
    <w:multiLevelType w:val="hybridMultilevel"/>
    <w:lvl w:ilvl="0">
      <w:lvlJc w:val="left"/>
      <w:lvlText w:val="%1."/>
      <w:numFmt w:val="decimal"/>
      <w:start w:val="1"/>
    </w:lvl>
  </w:abstractNum>
  <w:abstractNum w:abstractNumId="470">
    <w:nsid w:val="51F79246"/>
    <w:multiLevelType w:val="hybridMultilevel"/>
    <w:lvl w:ilvl="0">
      <w:lvlJc w:val="left"/>
      <w:lvlText w:val="%1."/>
      <w:numFmt w:val="decimal"/>
      <w:start w:val="8"/>
    </w:lvl>
  </w:abstractNum>
  <w:abstractNum w:abstractNumId="471">
    <w:nsid w:val="5BC9A827"/>
    <w:multiLevelType w:val="hybridMultilevel"/>
    <w:lvl w:ilvl="0">
      <w:lvlJc w:val="left"/>
      <w:lvlText w:val="*"/>
      <w:numFmt w:val="bullet"/>
      <w:start w:val="1"/>
    </w:lvl>
  </w:abstractNum>
  <w:abstractNum w:abstractNumId="472">
    <w:nsid w:val="3AE37D86"/>
    <w:multiLevelType w:val="hybridMultilevel"/>
    <w:lvl w:ilvl="0">
      <w:lvlJc w:val="left"/>
      <w:lvlText w:val="(%1)"/>
      <w:numFmt w:val="lowerLetter"/>
      <w:start w:val="1"/>
    </w:lvl>
  </w:abstractNum>
  <w:abstractNum w:abstractNumId="473">
    <w:nsid w:val="45440FE5"/>
    <w:multiLevelType w:val="hybridMultilevel"/>
    <w:lvl w:ilvl="0">
      <w:lvlJc w:val="left"/>
      <w:lvlText w:val="%1"/>
      <w:numFmt w:val="lowerLetter"/>
      <w:start w:val="1"/>
    </w:lvl>
    <w:lvl w:ilvl="1">
      <w:lvlJc w:val="left"/>
      <w:lvlText w:val="(%2)"/>
      <w:numFmt w:val="lowerLetter"/>
      <w:start w:val="4"/>
    </w:lvl>
  </w:abstractNum>
  <w:abstractNum w:abstractNumId="474">
    <w:nsid w:val="BF783F"/>
    <w:multiLevelType w:val="hybridMultilevel"/>
    <w:lvl w:ilvl="0">
      <w:lvlJc w:val="left"/>
      <w:lvlText w:val="(%1)"/>
      <w:numFmt w:val="lowerLetter"/>
      <w:start w:val="25"/>
    </w:lvl>
    <w:lvl w:ilvl="1">
      <w:lvlJc w:val="left"/>
      <w:lvlText w:val="%2"/>
      <w:numFmt w:val="lowerLetter"/>
      <w:start w:val="1"/>
    </w:lvl>
  </w:abstractNum>
  <w:abstractNum w:abstractNumId="475">
    <w:nsid w:val="22643EA9"/>
    <w:multiLevelType w:val="hybridMultilevel"/>
    <w:lvl w:ilvl="0">
      <w:lvlJc w:val="left"/>
      <w:lvlText w:val="%1."/>
      <w:numFmt w:val="decimal"/>
      <w:start w:val="2"/>
    </w:lvl>
  </w:abstractNum>
  <w:abstractNum w:abstractNumId="476">
    <w:nsid w:val="1887578D"/>
    <w:multiLevelType w:val="hybridMultilevel"/>
    <w:lvl w:ilvl="0">
      <w:lvlJc w:val="left"/>
      <w:lvlText w:val="%1."/>
      <w:numFmt w:val="decimal"/>
      <w:start w:val="3"/>
    </w:lvl>
  </w:abstractNum>
  <w:abstractNum w:abstractNumId="477">
    <w:nsid w:val="58C05B8A"/>
    <w:multiLevelType w:val="hybridMultilevel"/>
    <w:lvl w:ilvl="0">
      <w:lvlJc w:val="left"/>
      <w:lvlText w:val="(%1)"/>
      <w:numFmt w:val="lowerLetter"/>
      <w:start w:val="1"/>
    </w:lvl>
  </w:abstractNum>
  <w:abstractNum w:abstractNumId="478">
    <w:nsid w:val="38D82E71"/>
    <w:multiLevelType w:val="hybridMultilevel"/>
    <w:lvl w:ilvl="0">
      <w:lvlJc w:val="left"/>
      <w:lvlText w:val="(%1)"/>
      <w:numFmt w:val="lowerLetter"/>
      <w:start w:val="1"/>
    </w:lvl>
  </w:abstractNum>
  <w:abstractNum w:abstractNumId="479">
    <w:nsid w:val="1E41098A"/>
    <w:multiLevelType w:val="hybridMultilevel"/>
    <w:lvl w:ilvl="0">
      <w:lvlJc w:val="left"/>
      <w:lvlText w:val="(%1)"/>
      <w:numFmt w:val="lowerRoman"/>
      <w:start w:val="1"/>
    </w:lvl>
  </w:abstractNum>
  <w:abstractNum w:abstractNumId="480">
    <w:nsid w:val="5398582C"/>
    <w:multiLevelType w:val="hybridMultilevel"/>
    <w:lvl w:ilvl="0">
      <w:lvlJc w:val="left"/>
      <w:lvlText w:val="%1."/>
      <w:numFmt w:val="decimal"/>
      <w:start w:val="4"/>
    </w:lvl>
  </w:abstractNum>
  <w:abstractNum w:abstractNumId="481">
    <w:nsid w:val="1C0D4475"/>
    <w:multiLevelType w:val="hybridMultilevel"/>
    <w:lvl w:ilvl="0">
      <w:lvlJc w:val="left"/>
      <w:lvlText w:val="%1."/>
      <w:numFmt w:val="decimal"/>
      <w:start w:val="5"/>
    </w:lvl>
  </w:abstractNum>
  <w:abstractNum w:abstractNumId="482">
    <w:nsid w:val="2CB6A6A4"/>
    <w:multiLevelType w:val="hybridMultilevel"/>
    <w:lvl w:ilvl="0">
      <w:lvlJc w:val="left"/>
      <w:lvlText w:val="(%1)"/>
      <w:numFmt w:val="lowerLetter"/>
      <w:start w:val="1"/>
    </w:lvl>
  </w:abstractNum>
  <w:abstractNum w:abstractNumId="483">
    <w:nsid w:val="41D646BC"/>
    <w:multiLevelType w:val="hybridMultilevel"/>
    <w:lvl w:ilvl="0">
      <w:lvlJc w:val="left"/>
      <w:lvlText w:val="(%1)"/>
      <w:numFmt w:val="lowerRoman"/>
      <w:start w:val="3"/>
    </w:lvl>
  </w:abstractNum>
  <w:abstractNum w:abstractNumId="484">
    <w:nsid w:val="3694A76A"/>
    <w:multiLevelType w:val="hybridMultilevel"/>
    <w:lvl w:ilvl="0">
      <w:lvlJc w:val="left"/>
      <w:lvlText w:val="["/>
      <w:numFmt w:val="bullet"/>
      <w:start w:val="1"/>
    </w:lvl>
    <w:lvl w:ilvl="1">
      <w:lvlJc w:val="left"/>
      <w:lvlText w:val="%2."/>
      <w:numFmt w:val="decimal"/>
      <w:start w:val="2"/>
    </w:lvl>
  </w:abstractNum>
  <w:abstractNum w:abstractNumId="485">
    <w:nsid w:val="2BF876EE"/>
    <w:multiLevelType w:val="hybridMultilevel"/>
    <w:lvl w:ilvl="0">
      <w:lvlJc w:val="left"/>
      <w:lvlText w:val="%1."/>
      <w:numFmt w:val="decimal"/>
      <w:start w:val="3"/>
    </w:lvl>
  </w:abstractNum>
  <w:abstractNum w:abstractNumId="486">
    <w:nsid w:val="675ADBA"/>
    <w:multiLevelType w:val="hybridMultilevel"/>
    <w:lvl w:ilvl="0">
      <w:lvlJc w:val="left"/>
      <w:lvlText w:val="(%1)"/>
      <w:numFmt w:val="lowerLetter"/>
      <w:start w:val="1"/>
    </w:lvl>
  </w:abstractNum>
  <w:abstractNum w:abstractNumId="487">
    <w:nsid w:val="C12AC7F"/>
    <w:multiLevelType w:val="hybridMultilevel"/>
    <w:lvl w:ilvl="0">
      <w:lvlJc w:val="left"/>
      <w:lvlText w:val="%1"/>
      <w:numFmt w:val="lowerLetter"/>
      <w:start w:val="1"/>
    </w:lvl>
    <w:lvl w:ilvl="1">
      <w:lvlJc w:val="left"/>
      <w:lvlText w:val="(%2)"/>
      <w:numFmt w:val="lowerLetter"/>
      <w:start w:val="4"/>
    </w:lvl>
  </w:abstractNum>
  <w:abstractNum w:abstractNumId="488">
    <w:nsid w:val="6798F039"/>
    <w:multiLevelType w:val="hybridMultilevel"/>
    <w:lvl w:ilvl="0">
      <w:lvlJc w:val="left"/>
      <w:lvlText w:val="(%1)"/>
      <w:numFmt w:val="lowerLetter"/>
      <w:start w:val="25"/>
    </w:lvl>
    <w:lvl w:ilvl="1">
      <w:lvlJc w:val="left"/>
      <w:lvlText w:val="%2"/>
      <w:numFmt w:val="lowerLetter"/>
      <w:start w:val="1"/>
    </w:lvl>
  </w:abstractNum>
  <w:abstractNum w:abstractNumId="489">
    <w:nsid w:val="70837C02"/>
    <w:multiLevelType w:val="hybridMultilevel"/>
    <w:lvl w:ilvl="0">
      <w:lvlJc w:val="left"/>
      <w:lvlText w:val="%1."/>
      <w:numFmt w:val="decimal"/>
      <w:start w:val="6"/>
    </w:lvl>
  </w:abstractNum>
  <w:abstractNum w:abstractNumId="490">
    <w:nsid w:val="7E4A5715"/>
    <w:multiLevelType w:val="hybridMultilevel"/>
    <w:lvl w:ilvl="0">
      <w:lvlJc w:val="left"/>
      <w:lvlText w:val="%1."/>
      <w:numFmt w:val="decimal"/>
      <w:start w:val="7"/>
    </w:lvl>
  </w:abstractNum>
  <w:abstractNum w:abstractNumId="491">
    <w:nsid w:val="42B8AC67"/>
    <w:multiLevelType w:val="hybridMultilevel"/>
    <w:lvl w:ilvl="0">
      <w:lvlJc w:val="left"/>
      <w:lvlText w:val="(%1)"/>
      <w:numFmt w:val="lowerLetter"/>
      <w:start w:val="1"/>
    </w:lvl>
  </w:abstractNum>
  <w:abstractNum w:abstractNumId="492">
    <w:nsid w:val="246348EA"/>
    <w:multiLevelType w:val="hybridMultilevel"/>
    <w:lvl w:ilvl="0">
      <w:lvlJc w:val="left"/>
      <w:lvlText w:val="(%1)"/>
      <w:numFmt w:val="lowerLetter"/>
      <w:start w:val="1"/>
    </w:lvl>
  </w:abstractNum>
  <w:abstractNum w:abstractNumId="493">
    <w:nsid w:val="170EB52B"/>
    <w:multiLevelType w:val="hybridMultilevel"/>
    <w:lvl w:ilvl="0">
      <w:lvlJc w:val="left"/>
      <w:lvlText w:val="(%1)"/>
      <w:numFmt w:val="lowerRoman"/>
      <w:start w:val="1"/>
    </w:lvl>
  </w:abstractNum>
  <w:abstractNum w:abstractNumId="494">
    <w:nsid w:val="2DFBCB8C"/>
    <w:multiLevelType w:val="hybridMultilevel"/>
    <w:lvl w:ilvl="0">
      <w:lvlJc w:val="left"/>
      <w:lvlText w:val="%1."/>
      <w:numFmt w:val="decimal"/>
      <w:start w:val="8"/>
    </w:lvl>
  </w:abstractNum>
  <w:abstractNum w:abstractNumId="495">
    <w:nsid w:val="3830D6B6"/>
    <w:multiLevelType w:val="hybridMultilevel"/>
    <w:lvl w:ilvl="0">
      <w:lvlJc w:val="left"/>
      <w:lvlText w:val="%1."/>
      <w:numFmt w:val="decimal"/>
      <w:start w:val="9"/>
    </w:lvl>
  </w:abstractNum>
  <w:abstractNum w:abstractNumId="496">
    <w:nsid w:val="6D48CF87"/>
    <w:multiLevelType w:val="hybridMultilevel"/>
    <w:lvl w:ilvl="0">
      <w:lvlJc w:val="left"/>
      <w:lvlText w:val="(%1)"/>
      <w:numFmt w:val="lowerLetter"/>
      <w:start w:val="1"/>
    </w:lvl>
  </w:abstractNum>
  <w:abstractNum w:abstractNumId="497">
    <w:nsid w:val="576FC41B"/>
    <w:multiLevelType w:val="hybridMultilevel"/>
    <w:lvl w:ilvl="0">
      <w:lvlJc w:val="left"/>
      <w:lvlText w:val="(%1)"/>
      <w:numFmt w:val="lowerRoman"/>
      <w:start w:val="3"/>
    </w:lvl>
  </w:abstractNum>
  <w:abstractNum w:abstractNumId="498">
    <w:nsid w:val="64A1C464"/>
    <w:multiLevelType w:val="hybridMultilevel"/>
    <w:lvl w:ilvl="0">
      <w:lvlJc w:val="left"/>
      <w:lvlText w:val="["/>
      <w:numFmt w:val="bullet"/>
      <w:start w:val="1"/>
    </w:lvl>
    <w:lvl w:ilvl="1">
      <w:lvlJc w:val="left"/>
      <w:lvlText w:val="%2."/>
      <w:numFmt w:val="decimal"/>
      <w:start w:val="5"/>
    </w:lvl>
  </w:abstractNum>
  <w:abstractNum w:abstractNumId="499">
    <w:nsid w:val="31723BF5"/>
    <w:multiLevelType w:val="hybridMultilevel"/>
    <w:lvl w:ilvl="0">
      <w:lvlJc w:val="left"/>
      <w:lvlText w:val="%1."/>
      <w:numFmt w:val="decimal"/>
      <w:start w:val="6"/>
    </w:lvl>
  </w:abstractNum>
  <w:abstractNum w:abstractNumId="500">
    <w:nsid w:val="11F69861"/>
    <w:multiLevelType w:val="hybridMultilevel"/>
    <w:lvl w:ilvl="0">
      <w:lvlJc w:val="left"/>
      <w:lvlText w:val="Y"/>
      <w:numFmt w:val="bullet"/>
      <w:start w:val="1"/>
    </w:lvl>
  </w:abstractNum>
  <w:abstractNum w:abstractNumId="501">
    <w:nsid w:val="369956AB"/>
    <w:multiLevelType w:val="hybridMultilevel"/>
    <w:lvl w:ilvl="0">
      <w:lvlJc w:val="left"/>
      <w:lvlText w:val="(%1)"/>
      <w:numFmt w:val="lowerLetter"/>
      <w:start w:val="1"/>
    </w:lvl>
  </w:abstractNum>
  <w:abstractNum w:abstractNumId="502">
    <w:nsid w:val="D3BE41C"/>
    <w:multiLevelType w:val="hybridMultilevel"/>
    <w:lvl w:ilvl="0">
      <w:lvlJc w:val="left"/>
      <w:lvlText w:val="%1"/>
      <w:numFmt w:val="lowerLetter"/>
      <w:start w:val="1"/>
    </w:lvl>
    <w:lvl w:ilvl="1">
      <w:lvlJc w:val="left"/>
      <w:lvlText w:val="(%2)"/>
      <w:numFmt w:val="lowerLetter"/>
      <w:start w:val="4"/>
    </w:lvl>
  </w:abstractNum>
  <w:abstractNum w:abstractNumId="503">
    <w:nsid w:val="4CDA15E7"/>
    <w:multiLevelType w:val="hybridMultilevel"/>
    <w:lvl w:ilvl="0">
      <w:lvlJc w:val="left"/>
      <w:lvlText w:val="(%1)"/>
      <w:numFmt w:val="lowerLetter"/>
      <w:start w:val="25"/>
    </w:lvl>
    <w:lvl w:ilvl="1">
      <w:lvlJc w:val="left"/>
      <w:lvlText w:val="%2"/>
      <w:numFmt w:val="lowerLetter"/>
      <w:start w:val="1"/>
    </w:lvl>
  </w:abstractNum>
  <w:abstractNum w:abstractNumId="504">
    <w:nsid w:val="7BDD6690"/>
    <w:multiLevelType w:val="hybridMultilevel"/>
    <w:lvl w:ilvl="0">
      <w:lvlJc w:val="left"/>
      <w:lvlText w:val="%1."/>
      <w:numFmt w:val="decimal"/>
      <w:start w:val="10"/>
    </w:lvl>
  </w:abstractNum>
  <w:abstractNum w:abstractNumId="505">
    <w:nsid w:val="DFB5C5B"/>
    <w:multiLevelType w:val="hybridMultilevel"/>
    <w:lvl w:ilvl="0">
      <w:lvlJc w:val="left"/>
      <w:lvlText w:val="%1."/>
      <w:numFmt w:val="decimal"/>
      <w:start w:val="11"/>
    </w:lvl>
  </w:abstractNum>
  <w:abstractNum w:abstractNumId="506">
    <w:nsid w:val="6F3E5490"/>
    <w:multiLevelType w:val="hybridMultilevel"/>
    <w:lvl w:ilvl="0">
      <w:lvlJc w:val="left"/>
      <w:lvlText w:val="(%1)"/>
      <w:numFmt w:val="lowerLetter"/>
      <w:start w:val="1"/>
    </w:lvl>
  </w:abstractNum>
  <w:abstractNum w:abstractNumId="507">
    <w:nsid w:val="1464BE1E"/>
    <w:multiLevelType w:val="hybridMultilevel"/>
    <w:lvl w:ilvl="0">
      <w:lvlJc w:val="left"/>
      <w:lvlText w:val="(%1)"/>
      <w:numFmt w:val="lowerLetter"/>
      <w:start w:val="1"/>
    </w:lvl>
  </w:abstractNum>
  <w:abstractNum w:abstractNumId="508">
    <w:nsid w:val="66BBB7E5"/>
    <w:multiLevelType w:val="hybridMultilevel"/>
    <w:lvl w:ilvl="0">
      <w:lvlJc w:val="left"/>
      <w:lvlText w:val="(%1)"/>
      <w:numFmt w:val="lowerRoman"/>
      <w:start w:val="1"/>
    </w:lvl>
  </w:abstractNum>
  <w:abstractNum w:abstractNumId="509">
    <w:nsid w:val="28168302"/>
    <w:multiLevelType w:val="hybridMultilevel"/>
    <w:lvl w:ilvl="0">
      <w:lvlJc w:val="left"/>
      <w:lvlText w:val="%1."/>
      <w:numFmt w:val="decimal"/>
      <w:start w:val="12"/>
    </w:lvl>
  </w:abstractNum>
  <w:abstractNum w:abstractNumId="510">
    <w:nsid w:val="32A5C7A8"/>
    <w:multiLevelType w:val="hybridMultilevel"/>
    <w:lvl w:ilvl="0">
      <w:lvlJc w:val="left"/>
      <w:lvlText w:val="%1."/>
      <w:numFmt w:val="decimal"/>
      <w:start w:val="13"/>
    </w:lvl>
  </w:abstractNum>
  <w:abstractNum w:abstractNumId="511">
    <w:nsid w:val="3A541011"/>
    <w:multiLevelType w:val="hybridMultilevel"/>
    <w:lvl w:ilvl="0">
      <w:lvlJc w:val="left"/>
      <w:lvlText w:val="(%1)"/>
      <w:numFmt w:val="lowerLetter"/>
      <w:start w:val="1"/>
    </w:lvl>
  </w:abstractNum>
  <w:abstractNum w:abstractNumId="512">
    <w:nsid w:val="4423C777"/>
    <w:multiLevelType w:val="hybridMultilevel"/>
    <w:lvl w:ilvl="0">
      <w:lvlJc w:val="left"/>
      <w:lvlText w:val="(%1)"/>
      <w:numFmt w:val="lowerRoman"/>
      <w:start w:val="3"/>
    </w:lvl>
  </w:abstractNum>
  <w:abstractNum w:abstractNumId="513">
    <w:nsid w:val="5F5C6E4D"/>
    <w:multiLevelType w:val="hybridMultilevel"/>
    <w:lvl w:ilvl="0">
      <w:lvlJc w:val="left"/>
      <w:lvlText w:val="["/>
      <w:numFmt w:val="bullet"/>
      <w:start w:val="1"/>
    </w:lvl>
    <w:lvl w:ilvl="1">
      <w:lvlJc w:val="left"/>
      <w:lvlText w:val="%2."/>
      <w:numFmt w:val="decimal"/>
      <w:start w:val="8"/>
    </w:lvl>
  </w:abstractNum>
  <w:abstractNum w:abstractNumId="514">
    <w:nsid w:val="7C2A56CD"/>
    <w:multiLevelType w:val="hybridMultilevel"/>
    <w:lvl w:ilvl="0">
      <w:lvlJc w:val="left"/>
      <w:lvlText w:val="%1."/>
      <w:numFmt w:val="decimal"/>
      <w:start w:val="9"/>
    </w:lvl>
  </w:abstractNum>
  <w:abstractNum w:abstractNumId="515">
    <w:nsid w:val="7AB86EE1"/>
    <w:multiLevelType w:val="hybridMultilevel"/>
    <w:lvl w:ilvl="0">
      <w:lvlJc w:val="left"/>
      <w:lvlText w:val="Y"/>
      <w:numFmt w:val="bullet"/>
      <w:start w:val="1"/>
    </w:lvl>
  </w:abstractNum>
  <w:abstractNum w:abstractNumId="516">
    <w:nsid w:val="B54E53B"/>
    <w:multiLevelType w:val="hybridMultilevel"/>
    <w:lvl w:ilvl="0">
      <w:lvlJc w:val="left"/>
      <w:lvlText w:val="A"/>
      <w:numFmt w:val="bullet"/>
      <w:start w:val="1"/>
    </w:lvl>
  </w:abstractNum>
  <w:abstractNum w:abstractNumId="517">
    <w:nsid w:val="2A00487"/>
    <w:multiLevelType w:val="hybridMultilevel"/>
    <w:lvl w:ilvl="0">
      <w:lvlJc w:val="left"/>
      <w:lvlText w:val="(%1)"/>
      <w:numFmt w:val="lowerLetter"/>
      <w:start w:val="1"/>
    </w:lvl>
  </w:abstractNum>
  <w:abstractNum w:abstractNumId="518">
    <w:nsid w:val="6CB1B60"/>
    <w:multiLevelType w:val="hybridMultilevel"/>
    <w:lvl w:ilvl="0">
      <w:lvlJc w:val="left"/>
      <w:lvlText w:val="%1"/>
      <w:numFmt w:val="lowerLetter"/>
      <w:start w:val="1"/>
    </w:lvl>
    <w:lvl w:ilvl="1">
      <w:lvlJc w:val="left"/>
      <w:lvlText w:val="(%2)"/>
      <w:numFmt w:val="lowerLetter"/>
      <w:start w:val="4"/>
    </w:lvl>
  </w:abstractNum>
  <w:abstractNum w:abstractNumId="519">
    <w:nsid w:val="72EDD574"/>
    <w:multiLevelType w:val="hybridMultilevel"/>
    <w:lvl w:ilvl="0">
      <w:lvlJc w:val="left"/>
      <w:lvlText w:val="(%1)"/>
      <w:numFmt w:val="lowerLetter"/>
      <w:start w:val="25"/>
    </w:lvl>
    <w:lvl w:ilvl="1">
      <w:lvlJc w:val="left"/>
      <w:lvlText w:val="%2"/>
      <w:numFmt w:val="lowerLetter"/>
      <w:start w:val="1"/>
    </w:lvl>
  </w:abstractNum>
  <w:abstractNum w:abstractNumId="520">
    <w:nsid w:val="7323808A"/>
    <w:multiLevelType w:val="hybridMultilevel"/>
    <w:lvl w:ilvl="0">
      <w:lvlJc w:val="left"/>
      <w:lvlText w:val="%1."/>
      <w:numFmt w:val="decimal"/>
      <w:start w:val="14"/>
    </w:lvl>
  </w:abstractNum>
  <w:abstractNum w:abstractNumId="521">
    <w:nsid w:val="5157276"/>
    <w:multiLevelType w:val="hybridMultilevel"/>
    <w:lvl w:ilvl="0">
      <w:lvlJc w:val="left"/>
      <w:lvlText w:val="%1."/>
      <w:numFmt w:val="decimal"/>
      <w:start w:val="15"/>
    </w:lvl>
  </w:abstractNum>
  <w:abstractNum w:abstractNumId="522">
    <w:nsid w:val="35A681DB"/>
    <w:multiLevelType w:val="hybridMultilevel"/>
    <w:lvl w:ilvl="0">
      <w:lvlJc w:val="left"/>
      <w:lvlText w:val="(%1)"/>
      <w:numFmt w:val="lowerLetter"/>
      <w:start w:val="1"/>
    </w:lvl>
  </w:abstractNum>
  <w:abstractNum w:abstractNumId="523">
    <w:nsid w:val="1786C974"/>
    <w:multiLevelType w:val="hybridMultilevel"/>
    <w:lvl w:ilvl="0">
      <w:lvlJc w:val="left"/>
      <w:lvlText w:val="(%1)"/>
      <w:numFmt w:val="lowerLetter"/>
      <w:start w:val="1"/>
    </w:lvl>
  </w:abstractNum>
  <w:abstractNum w:abstractNumId="524">
    <w:nsid w:val="1C2427A1"/>
    <w:multiLevelType w:val="hybridMultilevel"/>
    <w:lvl w:ilvl="0">
      <w:lvlJc w:val="left"/>
      <w:lvlText w:val="(%1)"/>
      <w:numFmt w:val="lowerRoman"/>
      <w:start w:val="1"/>
    </w:lvl>
  </w:abstractNum>
  <w:abstractNum w:abstractNumId="525">
    <w:nsid w:val="63A24D68"/>
    <w:multiLevelType w:val="hybridMultilevel"/>
    <w:lvl w:ilvl="0">
      <w:lvlJc w:val="left"/>
      <w:lvlText w:val="%1."/>
      <w:numFmt w:val="decimal"/>
      <w:start w:val="16"/>
    </w:lvl>
  </w:abstractNum>
  <w:abstractNum w:abstractNumId="526">
    <w:nsid w:val="4FB7A02A"/>
    <w:multiLevelType w:val="hybridMultilevel"/>
    <w:lvl w:ilvl="0">
      <w:lvlJc w:val="left"/>
      <w:lvlText w:val="%1."/>
      <w:numFmt w:val="decimal"/>
      <w:start w:val="17"/>
    </w:lvl>
  </w:abstractNum>
  <w:abstractNum w:abstractNumId="527">
    <w:nsid w:val="96CF728"/>
    <w:multiLevelType w:val="hybridMultilevel"/>
    <w:lvl w:ilvl="0">
      <w:lvlJc w:val="left"/>
      <w:lvlText w:val="(%1)"/>
      <w:numFmt w:val="lowerLetter"/>
      <w:start w:val="1"/>
    </w:lvl>
  </w:abstractNum>
  <w:abstractNum w:abstractNumId="528">
    <w:nsid w:val="3B121183"/>
    <w:multiLevelType w:val="hybridMultilevel"/>
    <w:lvl w:ilvl="0">
      <w:lvlJc w:val="left"/>
      <w:lvlText w:val="(%1)"/>
      <w:numFmt w:val="lowerRoman"/>
      <w:start w:val="3"/>
    </w:lvl>
  </w:abstractNum>
  <w:abstractNum w:abstractNumId="529">
    <w:nsid w:val="3459648F"/>
    <w:multiLevelType w:val="hybridMultilevel"/>
    <w:lvl w:ilvl="0">
      <w:lvlJc w:val="left"/>
      <w:lvlText w:val="["/>
      <w:numFmt w:val="bullet"/>
      <w:start w:val="1"/>
    </w:lvl>
    <w:lvl w:ilvl="1">
      <w:lvlJc w:val="left"/>
      <w:lvlText w:val="%2."/>
      <w:numFmt w:val="decimal"/>
      <w:start w:val="11"/>
    </w:lvl>
  </w:abstractNum>
  <w:abstractNum w:abstractNumId="530">
    <w:nsid w:val="3ADF331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2019-12-07T03:36:10Z</dcterms:created>
  <dcterms:modified xsi:type="dcterms:W3CDTF">2019-12-07T03:36:10Z</dcterms:modified>
</cp:coreProperties>
</file>