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56680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566801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Lydon Nicholas</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80" w:type="dxa"/>
            <w:vAlign w:val="bottom"/>
            <w:tcBorders>
              <w:top w:val="single" w:sz="8" w:color="0000EE"/>
              <w:bottom w:val="single" w:sz="8" w:color="9A9A9A"/>
            </w:tcBorders>
          </w:tcPr>
          <w:p>
            <w:pPr>
              <w:spacing w:after="0"/>
              <w:rPr>
                <w:sz w:val="15"/>
                <w:szCs w:val="15"/>
                <w:color w:val="auto"/>
              </w:rPr>
            </w:pPr>
          </w:p>
        </w:tc>
        <w:tc>
          <w:tcPr>
            <w:tcW w:w="184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01/25/2017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ANAPTYSBIO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ANAB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84"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14"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ANAPTYSBIO, INC.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10421 PACIFIC CENTER COURT, SUITE</w:t>
      </w:r>
    </w:p>
    <w:p>
      <w:pPr>
        <w:spacing w:after="0" w:line="38"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200</w:t>
      </w:r>
    </w:p>
    <w:p>
      <w:pPr>
        <w:spacing w:after="0" w:line="294"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800" w:type="dxa"/>
            <w:vAlign w:val="bottom"/>
          </w:tcPr>
          <w:p>
            <w:pPr>
              <w:spacing w:after="0"/>
              <w:rPr>
                <w:sz w:val="20"/>
                <w:szCs w:val="20"/>
                <w:color w:val="auto"/>
              </w:rPr>
            </w:pPr>
            <w:r>
              <w:rPr>
                <w:rFonts w:ascii="Arial" w:cs="Arial" w:eastAsia="Arial" w:hAnsi="Arial"/>
                <w:sz w:val="14"/>
                <w:szCs w:val="14"/>
                <w:color w:val="auto"/>
              </w:rPr>
              <w:t>(Street)</w:t>
            </w:r>
          </w:p>
        </w:tc>
        <w:tc>
          <w:tcPr>
            <w:tcW w:w="840" w:type="dxa"/>
            <w:vAlign w:val="bottom"/>
          </w:tcPr>
          <w:p>
            <w:pPr>
              <w:spacing w:after="0"/>
              <w:rPr>
                <w:sz w:val="14"/>
                <w:szCs w:val="14"/>
                <w:color w:val="auto"/>
              </w:rPr>
            </w:pPr>
          </w:p>
        </w:tc>
      </w:tr>
      <w:tr>
        <w:trPr>
          <w:trHeight w:val="242"/>
        </w:trPr>
        <w:tc>
          <w:tcPr>
            <w:tcW w:w="1800" w:type="dxa"/>
            <w:vAlign w:val="bottom"/>
          </w:tcPr>
          <w:p>
            <w:pPr>
              <w:ind w:left="40"/>
              <w:spacing w:after="0"/>
              <w:rPr>
                <w:sz w:val="20"/>
                <w:szCs w:val="20"/>
                <w:color w:val="auto"/>
              </w:rPr>
            </w:pPr>
            <w:r>
              <w:rPr>
                <w:rFonts w:ascii="Arial" w:cs="Arial" w:eastAsia="Arial" w:hAnsi="Arial"/>
                <w:sz w:val="18"/>
                <w:szCs w:val="18"/>
                <w:color w:val="0000FF"/>
              </w:rPr>
              <w:t>SAN DIEGO  CA</w:t>
            </w:r>
          </w:p>
        </w:tc>
        <w:tc>
          <w:tcPr>
            <w:tcW w:w="840" w:type="dxa"/>
            <w:vAlign w:val="bottom"/>
          </w:tcPr>
          <w:p>
            <w:pPr>
              <w:jc w:val="right"/>
              <w:spacing w:after="0"/>
              <w:rPr>
                <w:sz w:val="20"/>
                <w:szCs w:val="20"/>
                <w:color w:val="auto"/>
              </w:rPr>
            </w:pPr>
            <w:r>
              <w:rPr>
                <w:rFonts w:ascii="Arial" w:cs="Arial" w:eastAsia="Arial" w:hAnsi="Arial"/>
                <w:sz w:val="18"/>
                <w:szCs w:val="18"/>
                <w:color w:val="0000FF"/>
              </w:rPr>
              <w:t>92121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338"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66"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125"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60" w:type="dxa"/>
            <w:vAlign w:val="bottom"/>
          </w:tcPr>
          <w:p>
            <w:pPr>
              <w:jc w:val="right"/>
              <w:ind w:right="878"/>
              <w:spacing w:after="0"/>
              <w:rPr>
                <w:sz w:val="20"/>
                <w:szCs w:val="20"/>
                <w:color w:val="auto"/>
              </w:rPr>
            </w:pPr>
            <w:r>
              <w:rPr>
                <w:rFonts w:ascii="Arial" w:cs="Arial" w:eastAsia="Arial" w:hAnsi="Arial"/>
                <w:sz w:val="18"/>
                <w:szCs w:val="18"/>
                <w:color w:val="0000FF"/>
              </w:rPr>
              <w:t>67,332</w:t>
            </w:r>
          </w:p>
        </w:tc>
        <w:tc>
          <w:tcPr>
            <w:tcW w:w="700" w:type="dxa"/>
            <w:vAlign w:val="bottom"/>
          </w:tcPr>
          <w:p>
            <w:pPr>
              <w:ind w:left="4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26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2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5620" w:type="dxa"/>
            <w:vAlign w:val="bottom"/>
            <w:gridSpan w:val="6"/>
          </w:tcPr>
          <w:p>
            <w:pPr>
              <w:ind w:left="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2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3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20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2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20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260" w:type="dxa"/>
            <w:vAlign w:val="bottom"/>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700" w:type="dxa"/>
            <w:vAlign w:val="bottom"/>
          </w:tcPr>
          <w:p>
            <w:pPr>
              <w:ind w:left="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Expiration</w:t>
            </w:r>
          </w:p>
        </w:tc>
        <w:tc>
          <w:tcPr>
            <w:tcW w:w="2060" w:type="dxa"/>
            <w:vAlign w:val="bottom"/>
          </w:tcPr>
          <w:p>
            <w:pPr>
              <w:spacing w:after="0"/>
              <w:rPr>
                <w:sz w:val="12"/>
                <w:szCs w:val="12"/>
                <w:color w:val="auto"/>
              </w:rPr>
            </w:pPr>
          </w:p>
        </w:tc>
        <w:tc>
          <w:tcPr>
            <w:tcW w:w="70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20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700" w:type="dxa"/>
            <w:vAlign w:val="bottom"/>
          </w:tcPr>
          <w:p>
            <w:pPr>
              <w:ind w:left="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26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rPr>
              <w:t>Series B Preferred Stock</w:t>
            </w:r>
          </w:p>
        </w:tc>
        <w:tc>
          <w:tcPr>
            <w:tcW w:w="11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2060" w:type="dxa"/>
            <w:vAlign w:val="bottom"/>
          </w:tcPr>
          <w:p>
            <w:pPr>
              <w:jc w:val="center"/>
              <w:spacing w:after="0"/>
              <w:rPr>
                <w:sz w:val="20"/>
                <w:szCs w:val="20"/>
                <w:color w:val="auto"/>
              </w:rPr>
            </w:pPr>
            <w:r>
              <w:rPr>
                <w:rFonts w:ascii="Arial" w:cs="Arial" w:eastAsia="Arial" w:hAnsi="Arial"/>
                <w:sz w:val="18"/>
                <w:szCs w:val="18"/>
                <w:color w:val="0000FF"/>
                <w:w w:val="89"/>
              </w:rPr>
              <w:t>Common Stock</w:t>
            </w:r>
          </w:p>
        </w:tc>
        <w:tc>
          <w:tcPr>
            <w:tcW w:w="700" w:type="dxa"/>
            <w:vAlign w:val="bottom"/>
          </w:tcPr>
          <w:p>
            <w:pPr>
              <w:jc w:val="center"/>
              <w:spacing w:after="0"/>
              <w:rPr>
                <w:sz w:val="20"/>
                <w:szCs w:val="20"/>
                <w:color w:val="auto"/>
              </w:rPr>
            </w:pPr>
            <w:r>
              <w:rPr>
                <w:rFonts w:ascii="Arial" w:cs="Arial" w:eastAsia="Arial" w:hAnsi="Arial"/>
                <w:sz w:val="18"/>
                <w:szCs w:val="18"/>
                <w:color w:val="0000FF"/>
                <w:w w:val="87"/>
              </w:rPr>
              <w:t>80,877</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rPr>
              <w:t>Series C Preferred Stock</w:t>
            </w:r>
          </w:p>
        </w:tc>
        <w:tc>
          <w:tcPr>
            <w:tcW w:w="11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2060" w:type="dxa"/>
            <w:vAlign w:val="bottom"/>
          </w:tcPr>
          <w:p>
            <w:pPr>
              <w:jc w:val="center"/>
              <w:spacing w:after="0"/>
              <w:rPr>
                <w:sz w:val="20"/>
                <w:szCs w:val="20"/>
                <w:color w:val="auto"/>
              </w:rPr>
            </w:pPr>
            <w:r>
              <w:rPr>
                <w:rFonts w:ascii="Arial" w:cs="Arial" w:eastAsia="Arial" w:hAnsi="Arial"/>
                <w:sz w:val="18"/>
                <w:szCs w:val="18"/>
                <w:color w:val="0000FF"/>
                <w:w w:val="89"/>
              </w:rPr>
              <w:t>Common Stock</w:t>
            </w:r>
          </w:p>
        </w:tc>
        <w:tc>
          <w:tcPr>
            <w:tcW w:w="700" w:type="dxa"/>
            <w:vAlign w:val="bottom"/>
          </w:tcPr>
          <w:p>
            <w:pPr>
              <w:jc w:val="center"/>
              <w:spacing w:after="0"/>
              <w:rPr>
                <w:sz w:val="20"/>
                <w:szCs w:val="20"/>
                <w:color w:val="auto"/>
              </w:rPr>
            </w:pPr>
            <w:r>
              <w:rPr>
                <w:rFonts w:ascii="Arial" w:cs="Arial" w:eastAsia="Arial" w:hAnsi="Arial"/>
                <w:sz w:val="18"/>
                <w:szCs w:val="18"/>
                <w:color w:val="0000FF"/>
                <w:w w:val="87"/>
              </w:rPr>
              <w:t>55,403</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rPr>
              <w:t>Series D Preferred Stock</w:t>
            </w:r>
          </w:p>
        </w:tc>
        <w:tc>
          <w:tcPr>
            <w:tcW w:w="11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1"/>
                <w:szCs w:val="11"/>
                <w:color w:val="008000"/>
                <w:w w:val="88"/>
              </w:rPr>
              <w:t>(1)</w:t>
            </w:r>
          </w:p>
        </w:tc>
        <w:tc>
          <w:tcPr>
            <w:tcW w:w="2060" w:type="dxa"/>
            <w:vAlign w:val="bottom"/>
          </w:tcPr>
          <w:p>
            <w:pPr>
              <w:jc w:val="center"/>
              <w:spacing w:after="0"/>
              <w:rPr>
                <w:sz w:val="20"/>
                <w:szCs w:val="20"/>
                <w:color w:val="auto"/>
              </w:rPr>
            </w:pPr>
            <w:r>
              <w:rPr>
                <w:rFonts w:ascii="Arial" w:cs="Arial" w:eastAsia="Arial" w:hAnsi="Arial"/>
                <w:sz w:val="18"/>
                <w:szCs w:val="18"/>
                <w:color w:val="0000FF"/>
                <w:w w:val="89"/>
              </w:rPr>
              <w:t>Common Stock</w:t>
            </w:r>
          </w:p>
        </w:tc>
        <w:tc>
          <w:tcPr>
            <w:tcW w:w="700" w:type="dxa"/>
            <w:vAlign w:val="bottom"/>
          </w:tcPr>
          <w:p>
            <w:pPr>
              <w:jc w:val="center"/>
              <w:spacing w:after="0"/>
              <w:rPr>
                <w:sz w:val="20"/>
                <w:szCs w:val="20"/>
                <w:color w:val="auto"/>
              </w:rPr>
            </w:pPr>
            <w:r>
              <w:rPr>
                <w:rFonts w:ascii="Arial" w:cs="Arial" w:eastAsia="Arial" w:hAnsi="Arial"/>
                <w:sz w:val="18"/>
                <w:szCs w:val="18"/>
                <w:color w:val="0000FF"/>
                <w:w w:val="87"/>
              </w:rPr>
              <w:t>67,345</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0.00</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rPr>
              <w:t>Director Stock Option (right to buy)</w:t>
            </w:r>
          </w:p>
        </w:tc>
        <w:tc>
          <w:tcPr>
            <w:tcW w:w="11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12/08/2021</w:t>
            </w:r>
          </w:p>
        </w:tc>
        <w:tc>
          <w:tcPr>
            <w:tcW w:w="2060" w:type="dxa"/>
            <w:vAlign w:val="bottom"/>
          </w:tcPr>
          <w:p>
            <w:pPr>
              <w:jc w:val="center"/>
              <w:spacing w:after="0"/>
              <w:rPr>
                <w:sz w:val="20"/>
                <w:szCs w:val="20"/>
                <w:color w:val="auto"/>
              </w:rPr>
            </w:pPr>
            <w:r>
              <w:rPr>
                <w:rFonts w:ascii="Arial" w:cs="Arial" w:eastAsia="Arial" w:hAnsi="Arial"/>
                <w:sz w:val="18"/>
                <w:szCs w:val="18"/>
                <w:color w:val="0000FF"/>
                <w:w w:val="89"/>
              </w:rPr>
              <w:t>Common Stock</w:t>
            </w:r>
          </w:p>
        </w:tc>
        <w:tc>
          <w:tcPr>
            <w:tcW w:w="700" w:type="dxa"/>
            <w:vAlign w:val="bottom"/>
          </w:tcPr>
          <w:p>
            <w:pPr>
              <w:jc w:val="center"/>
              <w:spacing w:after="0"/>
              <w:rPr>
                <w:sz w:val="20"/>
                <w:szCs w:val="20"/>
                <w:color w:val="auto"/>
              </w:rPr>
            </w:pPr>
            <w:r>
              <w:rPr>
                <w:rFonts w:ascii="Arial" w:cs="Arial" w:eastAsia="Arial" w:hAnsi="Arial"/>
                <w:sz w:val="18"/>
                <w:szCs w:val="18"/>
                <w:color w:val="0000FF"/>
                <w:w w:val="88"/>
              </w:rPr>
              <w:t>6,828</w:t>
            </w:r>
          </w:p>
        </w:tc>
        <w:tc>
          <w:tcPr>
            <w:tcW w:w="880" w:type="dxa"/>
            <w:vAlign w:val="bottom"/>
          </w:tcPr>
          <w:p>
            <w:pPr>
              <w:jc w:val="center"/>
              <w:spacing w:after="0"/>
              <w:rPr>
                <w:sz w:val="20"/>
                <w:szCs w:val="20"/>
                <w:color w:val="auto"/>
              </w:rPr>
            </w:pPr>
            <w:r>
              <w:rPr>
                <w:rFonts w:ascii="Arial" w:cs="Arial" w:eastAsia="Arial" w:hAnsi="Arial"/>
                <w:sz w:val="18"/>
                <w:szCs w:val="18"/>
                <w:color w:val="0000FF"/>
                <w:w w:val="91"/>
              </w:rPr>
              <w:t>1.12</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rPr>
              <w:t>Director Stock Option (right to buy)</w:t>
            </w:r>
          </w:p>
        </w:tc>
        <w:tc>
          <w:tcPr>
            <w:tcW w:w="11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07/10/2024</w:t>
            </w:r>
          </w:p>
        </w:tc>
        <w:tc>
          <w:tcPr>
            <w:tcW w:w="2060" w:type="dxa"/>
            <w:vAlign w:val="bottom"/>
          </w:tcPr>
          <w:p>
            <w:pPr>
              <w:jc w:val="center"/>
              <w:spacing w:after="0"/>
              <w:rPr>
                <w:sz w:val="20"/>
                <w:szCs w:val="20"/>
                <w:color w:val="auto"/>
              </w:rPr>
            </w:pPr>
            <w:r>
              <w:rPr>
                <w:rFonts w:ascii="Arial" w:cs="Arial" w:eastAsia="Arial" w:hAnsi="Arial"/>
                <w:sz w:val="18"/>
                <w:szCs w:val="18"/>
                <w:color w:val="0000FF"/>
                <w:w w:val="89"/>
              </w:rPr>
              <w:t>Common Stock</w:t>
            </w:r>
          </w:p>
        </w:tc>
        <w:tc>
          <w:tcPr>
            <w:tcW w:w="700" w:type="dxa"/>
            <w:vAlign w:val="bottom"/>
          </w:tcPr>
          <w:p>
            <w:pPr>
              <w:jc w:val="center"/>
              <w:spacing w:after="0"/>
              <w:rPr>
                <w:sz w:val="20"/>
                <w:szCs w:val="20"/>
                <w:color w:val="auto"/>
              </w:rPr>
            </w:pPr>
            <w:r>
              <w:rPr>
                <w:rFonts w:ascii="Arial" w:cs="Arial" w:eastAsia="Arial" w:hAnsi="Arial"/>
                <w:sz w:val="18"/>
                <w:szCs w:val="18"/>
                <w:color w:val="0000FF"/>
                <w:w w:val="87"/>
              </w:rPr>
              <w:t>24,184</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0.7</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2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20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3260" w:type="dxa"/>
            <w:vAlign w:val="bottom"/>
          </w:tcPr>
          <w:p>
            <w:pPr>
              <w:ind w:left="60"/>
              <w:spacing w:after="0"/>
              <w:rPr>
                <w:sz w:val="20"/>
                <w:szCs w:val="20"/>
                <w:color w:val="auto"/>
              </w:rPr>
            </w:pPr>
            <w:r>
              <w:rPr>
                <w:rFonts w:ascii="Arial" w:cs="Arial" w:eastAsia="Arial" w:hAnsi="Arial"/>
                <w:sz w:val="18"/>
                <w:szCs w:val="18"/>
                <w:color w:val="0000FF"/>
                <w:w w:val="86"/>
              </w:rPr>
              <w:t>Warrant to Purchase Series C Preferred Stock</w:t>
            </w:r>
          </w:p>
        </w:tc>
        <w:tc>
          <w:tcPr>
            <w:tcW w:w="1180" w:type="dxa"/>
            <w:vAlign w:val="bottom"/>
            <w:gridSpan w:val="2"/>
            <w:vMerge w:val="restart"/>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vMerge w:val="restart"/>
          </w:tcPr>
          <w:p>
            <w:pPr>
              <w:jc w:val="center"/>
              <w:spacing w:after="0"/>
              <w:rPr>
                <w:sz w:val="20"/>
                <w:szCs w:val="20"/>
                <w:color w:val="auto"/>
              </w:rPr>
            </w:pPr>
            <w:r>
              <w:rPr>
                <w:rFonts w:ascii="Arial" w:cs="Arial" w:eastAsia="Arial" w:hAnsi="Arial"/>
                <w:sz w:val="14"/>
                <w:szCs w:val="14"/>
                <w:color w:val="0000FF"/>
                <w:w w:val="85"/>
              </w:rPr>
              <w:t>11/04/2018</w:t>
            </w:r>
          </w:p>
        </w:tc>
        <w:tc>
          <w:tcPr>
            <w:tcW w:w="2060" w:type="dxa"/>
            <w:vAlign w:val="bottom"/>
            <w:vMerge w:val="restart"/>
          </w:tcPr>
          <w:p>
            <w:pPr>
              <w:jc w:val="center"/>
              <w:spacing w:after="0"/>
              <w:rPr>
                <w:sz w:val="20"/>
                <w:szCs w:val="20"/>
                <w:color w:val="auto"/>
              </w:rPr>
            </w:pPr>
            <w:r>
              <w:rPr>
                <w:rFonts w:ascii="Arial" w:cs="Arial" w:eastAsia="Arial" w:hAnsi="Arial"/>
                <w:sz w:val="18"/>
                <w:szCs w:val="18"/>
                <w:color w:val="0000FF"/>
                <w:w w:val="85"/>
              </w:rPr>
              <w:t>Series C Preferred Stock</w:t>
            </w:r>
            <w:r>
              <w:rPr>
                <w:rFonts w:ascii="Arial" w:cs="Arial" w:eastAsia="Arial" w:hAnsi="Arial"/>
                <w:sz w:val="22"/>
                <w:szCs w:val="22"/>
                <w:color w:val="008000"/>
                <w:w w:val="85"/>
                <w:vertAlign w:val="superscript"/>
              </w:rPr>
              <w:t>(1)</w:t>
            </w:r>
          </w:p>
        </w:tc>
        <w:tc>
          <w:tcPr>
            <w:tcW w:w="700" w:type="dxa"/>
            <w:vAlign w:val="bottom"/>
            <w:vMerge w:val="restart"/>
          </w:tcPr>
          <w:p>
            <w:pPr>
              <w:jc w:val="center"/>
              <w:spacing w:after="0"/>
              <w:rPr>
                <w:sz w:val="20"/>
                <w:szCs w:val="20"/>
                <w:color w:val="auto"/>
              </w:rPr>
            </w:pPr>
            <w:r>
              <w:rPr>
                <w:rFonts w:ascii="Arial" w:cs="Arial" w:eastAsia="Arial" w:hAnsi="Arial"/>
                <w:sz w:val="18"/>
                <w:szCs w:val="18"/>
                <w:color w:val="0000FF"/>
                <w:w w:val="87"/>
              </w:rPr>
              <w:t>16,483</w:t>
            </w:r>
          </w:p>
        </w:tc>
        <w:tc>
          <w:tcPr>
            <w:tcW w:w="880" w:type="dxa"/>
            <w:vAlign w:val="bottom"/>
            <w:vMerge w:val="restart"/>
          </w:tcPr>
          <w:p>
            <w:pPr>
              <w:jc w:val="center"/>
              <w:spacing w:after="0"/>
              <w:rPr>
                <w:sz w:val="20"/>
                <w:szCs w:val="20"/>
                <w:color w:val="auto"/>
              </w:rPr>
            </w:pPr>
            <w:r>
              <w:rPr>
                <w:rFonts w:ascii="Arial" w:cs="Arial" w:eastAsia="Arial" w:hAnsi="Arial"/>
                <w:sz w:val="18"/>
                <w:szCs w:val="18"/>
                <w:color w:val="0000FF"/>
                <w:w w:val="91"/>
              </w:rPr>
              <w:t>4.55</w:t>
            </w:r>
          </w:p>
        </w:tc>
        <w:tc>
          <w:tcPr>
            <w:tcW w:w="880" w:type="dxa"/>
            <w:vAlign w:val="bottom"/>
            <w:vMerge w:val="restart"/>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3260" w:type="dxa"/>
            <w:vAlign w:val="bottom"/>
            <w:vMerge w:val="restart"/>
          </w:tcPr>
          <w:p>
            <w:pPr>
              <w:ind w:left="60"/>
              <w:spacing w:after="0"/>
              <w:rPr>
                <w:sz w:val="20"/>
                <w:szCs w:val="20"/>
                <w:color w:val="auto"/>
              </w:rPr>
            </w:pPr>
            <w:r>
              <w:rPr>
                <w:rFonts w:ascii="Arial" w:cs="Arial" w:eastAsia="Arial" w:hAnsi="Arial"/>
                <w:sz w:val="18"/>
                <w:szCs w:val="18"/>
                <w:color w:val="0000FF"/>
              </w:rPr>
              <w:t>(right to buy)</w:t>
            </w:r>
          </w:p>
        </w:tc>
        <w:tc>
          <w:tcPr>
            <w:tcW w:w="1180" w:type="dxa"/>
            <w:vAlign w:val="bottom"/>
            <w:gridSpan w:val="2"/>
            <w:vMerge w:val="continue"/>
          </w:tcPr>
          <w:p>
            <w:pPr>
              <w:spacing w:after="0"/>
              <w:rPr>
                <w:sz w:val="14"/>
                <w:szCs w:val="14"/>
                <w:color w:val="auto"/>
              </w:rPr>
            </w:pPr>
          </w:p>
        </w:tc>
        <w:tc>
          <w:tcPr>
            <w:tcW w:w="800" w:type="dxa"/>
            <w:vAlign w:val="bottom"/>
            <w:vMerge w:val="continue"/>
          </w:tcPr>
          <w:p>
            <w:pPr>
              <w:spacing w:after="0"/>
              <w:rPr>
                <w:sz w:val="14"/>
                <w:szCs w:val="14"/>
                <w:color w:val="auto"/>
              </w:rPr>
            </w:pPr>
          </w:p>
        </w:tc>
        <w:tc>
          <w:tcPr>
            <w:tcW w:w="2060" w:type="dxa"/>
            <w:vAlign w:val="bottom"/>
            <w:vMerge w:val="continue"/>
          </w:tcPr>
          <w:p>
            <w:pPr>
              <w:spacing w:after="0"/>
              <w:rPr>
                <w:sz w:val="14"/>
                <w:szCs w:val="14"/>
                <w:color w:val="auto"/>
              </w:rPr>
            </w:pPr>
          </w:p>
        </w:tc>
        <w:tc>
          <w:tcPr>
            <w:tcW w:w="70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880" w:type="dxa"/>
            <w:vAlign w:val="bottom"/>
            <w:vMerge w:val="continue"/>
          </w:tcPr>
          <w:p>
            <w:pPr>
              <w:spacing w:after="0"/>
              <w:rPr>
                <w:sz w:val="14"/>
                <w:szCs w:val="14"/>
                <w:color w:val="auto"/>
              </w:rPr>
            </w:pPr>
          </w:p>
        </w:tc>
        <w:tc>
          <w:tcPr>
            <w:tcW w:w="1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3260" w:type="dxa"/>
            <w:vAlign w:val="bottom"/>
            <w:vMerge w:val="continue"/>
          </w:tcPr>
          <w:p>
            <w:pPr>
              <w:spacing w:after="0"/>
              <w:rPr>
                <w:sz w:val="4"/>
                <w:szCs w:val="4"/>
                <w:color w:val="auto"/>
              </w:rPr>
            </w:pPr>
          </w:p>
        </w:tc>
        <w:tc>
          <w:tcPr>
            <w:tcW w:w="3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2060" w:type="dxa"/>
            <w:vAlign w:val="bottom"/>
          </w:tcPr>
          <w:p>
            <w:pPr>
              <w:spacing w:after="0"/>
              <w:rPr>
                <w:sz w:val="4"/>
                <w:szCs w:val="4"/>
                <w:color w:val="auto"/>
              </w:rPr>
            </w:pPr>
          </w:p>
        </w:tc>
        <w:tc>
          <w:tcPr>
            <w:tcW w:w="7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107"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4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Each share of Preferred Stock will be automatically converted into one (1) share of Common Stock, for no additional consideration, immediately prior to the consummation of the Issuer's initial public offering, and has no expiration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is fully vested and immediately exercisable.</w:t>
      </w:r>
    </w:p>
    <w:p>
      <w:pPr>
        <w:spacing w:after="0" w:line="41" w:lineRule="exact"/>
        <w:rPr>
          <w:rFonts w:ascii="Arial" w:cs="Arial" w:eastAsia="Arial" w:hAnsi="Arial"/>
          <w:sz w:val="14"/>
          <w:szCs w:val="14"/>
          <w:color w:val="008000"/>
        </w:rPr>
      </w:pPr>
    </w:p>
    <w:p>
      <w:pPr>
        <w:ind w:left="40" w:right="160" w:firstLine="9"/>
        <w:spacing w:after="0" w:line="239" w:lineRule="auto"/>
        <w:tabs>
          <w:tab w:leader="none" w:pos="175"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The stock option vested and became exercisable as to 25% of the shares subject to the option on January 1, 2015, and thereafter vests as to 1/48th of the shares in equal monthly installments, until such time as the option is 100% vested, subject to the continuing service of the Reporting Person on each vesting date.</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4"/>
        </w:numPr>
        <w:rPr>
          <w:rFonts w:ascii="Arial" w:cs="Arial" w:eastAsia="Arial" w:hAnsi="Arial"/>
          <w:sz w:val="14"/>
          <w:szCs w:val="14"/>
          <w:color w:val="008000"/>
        </w:rPr>
      </w:pPr>
      <w:r>
        <w:rPr>
          <w:rFonts w:ascii="Arial" w:cs="Arial" w:eastAsia="Arial" w:hAnsi="Arial"/>
          <w:sz w:val="14"/>
          <w:szCs w:val="14"/>
          <w:color w:val="008000"/>
        </w:rPr>
        <w:t>This warrant is exercisable at any time.</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/s/ Nicholas B. Lydon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1188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11885"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Dominic Piscitelli, Attorney-</w:t>
      </w:r>
      <w:r>
        <w:rPr>
          <w:sz w:val="20"/>
          <w:szCs w:val="20"/>
          <w:color w:val="auto"/>
        </w:rPr>
        <w:tab/>
      </w:r>
      <w:r>
        <w:rPr>
          <w:rFonts w:ascii="Arial" w:cs="Arial" w:eastAsia="Arial" w:hAnsi="Arial"/>
          <w:sz w:val="15"/>
          <w:szCs w:val="15"/>
          <w:color w:val="0000FF"/>
        </w:rPr>
        <w:t>01/25/2017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3155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31559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5"/>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1459" w:firstLine="843"/>
        <w:spacing w:after="0" w:line="237" w:lineRule="auto"/>
        <w:rPr>
          <w:sz w:val="20"/>
          <w:szCs w:val="20"/>
          <w:color w:val="auto"/>
        </w:rPr>
      </w:pPr>
      <w:r>
        <w:rPr>
          <w:rFonts w:ascii="Courier New" w:cs="Courier New" w:eastAsia="Courier New" w:hAnsi="Courier New"/>
          <w:sz w:val="18"/>
          <w:szCs w:val="18"/>
          <w:color w:val="auto"/>
        </w:rPr>
        <w:t>KNOW ALL MEN BY THESE PRESENTS, that the undersigned hereby constitutes and appoints Hamza Suria, Dominic Piscitelli, Ryan McRobert, Nanette Agustines and Winston Macaraeg, and each of them, as his or her true and lawful attorney-in-fact to:</w:t>
      </w:r>
    </w:p>
    <w:p>
      <w:pPr>
        <w:spacing w:after="0" w:line="207" w:lineRule="exact"/>
        <w:rPr>
          <w:sz w:val="20"/>
          <w:szCs w:val="20"/>
          <w:color w:val="auto"/>
        </w:rPr>
      </w:pPr>
    </w:p>
    <w:p>
      <w:pPr>
        <w:ind w:right="61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representative of AnaptysBio, Inc. (the "Company"), any and all Form ID, or</w:t>
      </w:r>
    </w:p>
    <w:p>
      <w:pPr>
        <w:ind w:right="199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Form 3, 4 or 5 reports and any amendments thereto required to be filed by the undersigned in accordance with Section 16(a) of the Securities Exchange Act of</w:t>
      </w:r>
    </w:p>
    <w:p>
      <w:pPr>
        <w:ind w:right="1879"/>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1934 (the "Exchange Act") and the rules thereunder with respect to transactions in the Company's securities;</w:t>
      </w:r>
    </w:p>
    <w:p>
      <w:pPr>
        <w:spacing w:after="0" w:line="5" w:lineRule="exact"/>
        <w:rPr>
          <w:rFonts w:ascii="Courier New" w:cs="Courier New" w:eastAsia="Courier New" w:hAnsi="Courier New"/>
          <w:sz w:val="16"/>
          <w:szCs w:val="16"/>
          <w:color w:val="auto"/>
        </w:rPr>
      </w:pPr>
    </w:p>
    <w:p>
      <w:pPr>
        <w:ind w:right="739" w:firstLine="851"/>
        <w:spacing w:after="0" w:line="235" w:lineRule="auto"/>
        <w:tabs>
          <w:tab w:leader="none" w:pos="1686"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ID, or Form</w:t>
      </w:r>
    </w:p>
    <w:p>
      <w:pPr>
        <w:spacing w:after="0" w:line="5" w:lineRule="exact"/>
        <w:rPr>
          <w:rFonts w:ascii="Courier New" w:cs="Courier New" w:eastAsia="Courier New" w:hAnsi="Courier New"/>
          <w:sz w:val="18"/>
          <w:szCs w:val="18"/>
          <w:color w:val="auto"/>
        </w:rPr>
      </w:pPr>
    </w:p>
    <w:p>
      <w:pPr>
        <w:ind w:right="1779"/>
        <w:spacing w:after="0" w:line="236"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3, 4 or 5 report and any amendments thereto and timely file such report with the U.S. Securities and Exchange Commission and any stock exchange or similar authority; and</w:t>
      </w:r>
    </w:p>
    <w:p>
      <w:pPr>
        <w:spacing w:after="0" w:line="6" w:lineRule="exact"/>
        <w:rPr>
          <w:rFonts w:ascii="Courier New" w:cs="Courier New" w:eastAsia="Courier New" w:hAnsi="Courier New"/>
          <w:sz w:val="18"/>
          <w:szCs w:val="18"/>
          <w:color w:val="auto"/>
        </w:rPr>
      </w:pPr>
    </w:p>
    <w:p>
      <w:pPr>
        <w:ind w:right="1459" w:firstLine="851"/>
        <w:spacing w:after="0" w:line="268" w:lineRule="auto"/>
        <w:tabs>
          <w:tab w:leader="none" w:pos="1686"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such attorney in-fact, may be of benefit to,</w:t>
      </w:r>
    </w:p>
    <w:p>
      <w:pPr>
        <w:ind w:right="177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in the best interest of, or legally required by, the undersigned, it being understood that the documents executed by such attorney in-fact on behalf of the undersigned, pursuant to this Power of Attorney, shall be in such form and shall contain such terms and conditions as such attorney in-fact may approve in his or her discretion.</w:t>
      </w:r>
    </w:p>
    <w:p>
      <w:pPr>
        <w:spacing w:after="0" w:line="209" w:lineRule="exact"/>
        <w:rPr>
          <w:sz w:val="20"/>
          <w:szCs w:val="20"/>
          <w:color w:val="auto"/>
        </w:rPr>
      </w:pPr>
    </w:p>
    <w:p>
      <w:pPr>
        <w:ind w:right="1779" w:firstLine="948"/>
        <w:spacing w:after="0" w:line="238" w:lineRule="auto"/>
        <w:rPr>
          <w:sz w:val="20"/>
          <w:szCs w:val="20"/>
          <w:color w:val="auto"/>
        </w:rPr>
      </w:pPr>
      <w:r>
        <w:rPr>
          <w:rFonts w:ascii="Courier New" w:cs="Courier New" w:eastAsia="Courier New" w:hAnsi="Courier New"/>
          <w:sz w:val="18"/>
          <w:szCs w:val="18"/>
          <w:color w:val="auto"/>
        </w:rPr>
        <w:t>The undersigned hereby grants to each such attorney-in-fact full power and authority to do and perform each and every act and thing whatsoever requisite, necessary, and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his or her substitute or substitutes, shall lawfully do or cause to be done by virtue of this Power of Attorney and the rights and powers herein granted. The undersigned acknowledges that no such attorney in-fact, in serving in such capacity at the request of the undersigned, is hereby assuming, nor is the Company hereby assuming, any of the undersigned's responsibilities to comply with Section 16 of the Exchange Act.</w:t>
      </w:r>
    </w:p>
    <w:p>
      <w:pPr>
        <w:spacing w:after="0" w:line="207" w:lineRule="exact"/>
        <w:rPr>
          <w:sz w:val="20"/>
          <w:szCs w:val="20"/>
          <w:color w:val="auto"/>
        </w:rPr>
      </w:pPr>
    </w:p>
    <w:p>
      <w:pPr>
        <w:ind w:right="1779" w:firstLine="948"/>
        <w:spacing w:after="0" w:line="237" w:lineRule="auto"/>
        <w:rPr>
          <w:sz w:val="20"/>
          <w:szCs w:val="20"/>
          <w:color w:val="auto"/>
        </w:rPr>
      </w:pPr>
      <w:r>
        <w:rPr>
          <w:rFonts w:ascii="Courier New" w:cs="Courier New" w:eastAsia="Courier New" w:hAnsi="Courier New"/>
          <w:sz w:val="18"/>
          <w:szCs w:val="18"/>
          <w:color w:val="auto"/>
        </w:rPr>
        <w:t>This Power of Attorney shall remain in full force and effect until the undersigned is no longer required to file Form 3, 4 or 5 reports with respect to the undersigned's holdings of and transactions in securities issued by the Company, unless earlier revoked by the undersigned in a signed writing delivered to the foregoing attorneys in-fact.</w:t>
      </w:r>
    </w:p>
    <w:p>
      <w:pPr>
        <w:spacing w:after="0" w:line="209" w:lineRule="exact"/>
        <w:rPr>
          <w:sz w:val="20"/>
          <w:szCs w:val="20"/>
          <w:color w:val="auto"/>
        </w:rPr>
      </w:pPr>
    </w:p>
    <w:p>
      <w:pPr>
        <w:ind w:right="1999" w:firstLine="948"/>
        <w:spacing w:after="0" w:line="235"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20th day of January, 2017.</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Nicholas B. Lydon</w:t>
      </w:r>
    </w:p>
    <w:p>
      <w:pPr>
        <w:spacing w:after="0" w:line="238" w:lineRule="auto"/>
        <w:rPr>
          <w:sz w:val="20"/>
          <w:szCs w:val="20"/>
          <w:color w:val="auto"/>
        </w:rPr>
      </w:pPr>
      <w:r>
        <w:rPr>
          <w:rFonts w:ascii="Courier New" w:cs="Courier New" w:eastAsia="Courier New" w:hAnsi="Courier New"/>
          <w:sz w:val="18"/>
          <w:szCs w:val="18"/>
          <w:color w:val="auto"/>
        </w:rPr>
        <w:t>Nicholas B. Lydon</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639935" TargetMode="External"/><Relationship Id="rId12" Type="http://schemas.openxmlformats.org/officeDocument/2006/relationships/hyperlink" Target="http://www.sec.gov/cgi-bin/browse-edgar?action=getcompany&amp;CIK=00013700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2019-12-04T01:32:15Z</dcterms:created>
  <dcterms:modified xsi:type="dcterms:W3CDTF">2019-12-04T01:32:15Z</dcterms:modified>
</cp:coreProperties>
</file>