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(Rule 13d-102)</w:t>
      </w:r>
    </w:p>
    <w:p>
      <w:pPr>
        <w:spacing w:after="0" w:line="211" w:lineRule="exact"/>
        <w:rPr>
          <w:sz w:val="24"/>
          <w:szCs w:val="24"/>
          <w:color w:val="auto"/>
        </w:rPr>
      </w:pPr>
    </w:p>
    <w:p>
      <w:pPr>
        <w:jc w:val="center"/>
        <w:ind w:left="340" w:right="2740"/>
        <w:spacing w:after="0" w:line="263" w:lineRule="auto"/>
        <w:rPr>
          <w:sz w:val="20"/>
          <w:szCs w:val="20"/>
          <w:color w:val="auto"/>
        </w:rPr>
      </w:pPr>
      <w:r>
        <w:rPr>
          <w:rFonts w:ascii="Arial" w:cs="Arial" w:eastAsia="Arial" w:hAnsi="Arial"/>
          <w:sz w:val="18"/>
          <w:szCs w:val="18"/>
          <w:color w:val="auto"/>
        </w:rPr>
        <w:t>INFORMATION TO BE INCLUDED IN STATEMENTS FILED PURSUANT TO RULES 13d-1(b)(c), AND (d) AND AMENDMENTS THERETO FILED PURSUANT TO RULE 13d-2(b)</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 *</w:t>
      </w:r>
    </w:p>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32"/>
          <w:szCs w:val="32"/>
          <w:color w:val="auto"/>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August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(Page 1 of 9 Pages)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ind w:right="20" w:firstLine="8"/>
        <w:spacing w:after="0" w:line="260"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5"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 w:name="page2"/>
    <w:bookmarkEnd w:id="1"/>
    <w:p>
      <w:pPr>
        <w:spacing w:after="0"/>
        <w:tabs>
          <w:tab w:leader="none" w:pos="1180" w:val="left"/>
          <w:tab w:leader="none" w:pos="5460" w:val="left"/>
          <w:tab w:leader="none" w:pos="104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032724106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648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20" w:right="344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Mgmt,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5.</w:t>
            </w:r>
          </w:p>
        </w:tc>
        <w:tc>
          <w:tcPr>
            <w:tcW w:w="5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6.</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1,466,600 (1)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7.</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260" w:type="dxa"/>
            <w:vAlign w:val="bottom"/>
            <w:tcBorders>
              <w:right w:val="single" w:sz="8" w:color="auto"/>
            </w:tcBorders>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8.</w:t>
            </w:r>
          </w:p>
        </w:tc>
        <w:tc>
          <w:tcPr>
            <w:tcW w:w="54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1,466,600 (1)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1,466,600 (1)</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5.19%</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20" w:hanging="1263"/>
        <w:spacing w:after="0"/>
        <w:tabs>
          <w:tab w:leader="none" w:pos="2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PN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Comprised of shares of common stock held by Deerfield Partners,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tabs>
          <w:tab w:leader="none" w:pos="1180" w:val="left"/>
          <w:tab w:leader="none" w:pos="5460" w:val="left"/>
          <w:tab w:leader="none" w:pos="104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032724106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648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20" w:right="344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Management Company,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5.</w:t>
            </w:r>
          </w:p>
        </w:tc>
        <w:tc>
          <w:tcPr>
            <w:tcW w:w="5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6.</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1,466,600 (2)</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7.</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260" w:type="dxa"/>
            <w:vAlign w:val="bottom"/>
            <w:tcBorders>
              <w:right w:val="single" w:sz="8" w:color="auto"/>
            </w:tcBorders>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8.</w:t>
            </w:r>
          </w:p>
        </w:tc>
        <w:tc>
          <w:tcPr>
            <w:tcW w:w="54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1,466,600 (2)</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1,466,600 (2)</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5.19%</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20" w:hanging="1263"/>
        <w:spacing w:after="0"/>
        <w:tabs>
          <w:tab w:leader="none" w:pos="2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PN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 Comprised of shares of common stock held by Deerfield Partners,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tabs>
          <w:tab w:leader="none" w:pos="1180" w:val="left"/>
          <w:tab w:leader="none" w:pos="5460" w:val="left"/>
          <w:tab w:leader="none" w:pos="104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032724106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6489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20" w:right="344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Partners,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5.</w:t>
            </w:r>
          </w:p>
        </w:tc>
        <w:tc>
          <w:tcPr>
            <w:tcW w:w="5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6.</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1,466,600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7.</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260" w:type="dxa"/>
            <w:vAlign w:val="bottom"/>
            <w:tcBorders>
              <w:right w:val="single" w:sz="8" w:color="auto"/>
            </w:tcBorders>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8.</w:t>
            </w:r>
          </w:p>
        </w:tc>
        <w:tc>
          <w:tcPr>
            <w:tcW w:w="54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1,466,600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1,466,600</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5.19%</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20" w:right="6320" w:hanging="1263"/>
        <w:spacing w:after="0" w:line="527" w:lineRule="auto"/>
        <w:tabs>
          <w:tab w:leader="none" w:pos="2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tabs>
          <w:tab w:leader="none" w:pos="1180" w:val="left"/>
          <w:tab w:leader="none" w:pos="5460" w:val="left"/>
          <w:tab w:leader="none" w:pos="104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032724106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648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20" w:right="344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James E. Flynn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5.</w:t>
            </w:r>
          </w:p>
        </w:tc>
        <w:tc>
          <w:tcPr>
            <w:tcW w:w="5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6.</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1,466,600 (3)</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7.</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260" w:type="dxa"/>
            <w:vAlign w:val="bottom"/>
            <w:tcBorders>
              <w:right w:val="single" w:sz="8" w:color="auto"/>
            </w:tcBorders>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8.</w:t>
            </w:r>
          </w:p>
        </w:tc>
        <w:tc>
          <w:tcPr>
            <w:tcW w:w="54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1,466,600 (3)</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1,466,600 (3)</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5.19%</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20" w:hanging="1263"/>
        <w:spacing w:after="0"/>
        <w:tabs>
          <w:tab w:leader="none" w:pos="2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IN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Comprised of shares of common stock held by Deerfield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CUSIP No.</w:t>
            </w:r>
          </w:p>
        </w:tc>
        <w:tc>
          <w:tcPr>
            <w:tcW w:w="4460" w:type="dxa"/>
            <w:vAlign w:val="bottom"/>
          </w:tcPr>
          <w:p>
            <w:pPr>
              <w:ind w:left="280"/>
              <w:spacing w:after="0"/>
              <w:rPr>
                <w:sz w:val="20"/>
                <w:szCs w:val="20"/>
                <w:color w:val="auto"/>
              </w:rPr>
            </w:pPr>
            <w:r>
              <w:rPr>
                <w:rFonts w:ascii="Arial" w:cs="Arial" w:eastAsia="Arial" w:hAnsi="Arial"/>
                <w:sz w:val="18"/>
                <w:szCs w:val="18"/>
                <w:color w:val="auto"/>
              </w:rPr>
              <w:t>032724106</w:t>
            </w:r>
          </w:p>
        </w:tc>
        <w:tc>
          <w:tcPr>
            <w:tcW w:w="4680" w:type="dxa"/>
            <w:vAlign w:val="bottom"/>
          </w:tcPr>
          <w:p>
            <w:pPr>
              <w:ind w:left="100"/>
              <w:spacing w:after="0"/>
              <w:rPr>
                <w:sz w:val="20"/>
                <w:szCs w:val="20"/>
                <w:color w:val="auto"/>
              </w:rPr>
            </w:pPr>
            <w:r>
              <w:rPr>
                <w:rFonts w:ascii="Arial" w:cs="Arial" w:eastAsia="Arial" w:hAnsi="Arial"/>
                <w:sz w:val="18"/>
                <w:szCs w:val="18"/>
                <w:color w:val="auto"/>
              </w:rPr>
              <w:t>13G</w:t>
            </w:r>
          </w:p>
        </w:tc>
        <w:tc>
          <w:tcPr>
            <w:tcW w:w="1180" w:type="dxa"/>
            <w:vAlign w:val="bottom"/>
          </w:tcPr>
          <w:p>
            <w:pPr>
              <w:ind w:left="360"/>
              <w:spacing w:after="0"/>
              <w:rPr>
                <w:sz w:val="20"/>
                <w:szCs w:val="20"/>
                <w:color w:val="auto"/>
              </w:rPr>
            </w:pPr>
            <w:r>
              <w:rPr>
                <w:rFonts w:ascii="Arial" w:cs="Arial" w:eastAsia="Arial" w:hAnsi="Arial"/>
                <w:sz w:val="18"/>
                <w:szCs w:val="18"/>
                <w:color w:val="auto"/>
                <w:w w:val="86"/>
              </w:rPr>
              <w:t>Page 6 of 9</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4460" w:type="dxa"/>
            <w:vAlign w:val="bottom"/>
          </w:tcPr>
          <w:p>
            <w:pPr>
              <w:spacing w:after="0"/>
              <w:rPr>
                <w:sz w:val="20"/>
                <w:szCs w:val="20"/>
                <w:color w:val="auto"/>
              </w:rPr>
            </w:pPr>
            <w:r>
              <w:rPr>
                <w:rFonts w:ascii="Arial" w:cs="Arial" w:eastAsia="Arial" w:hAnsi="Arial"/>
                <w:sz w:val="18"/>
                <w:szCs w:val="18"/>
                <w:color w:val="auto"/>
              </w:rPr>
              <w:t>Name of Issuer:</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AnaptysBio, Inc.</w:t>
            </w:r>
          </w:p>
        </w:tc>
        <w:tc>
          <w:tcPr>
            <w:tcW w:w="4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446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10770 Wateridge Circle, Suite 210</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7"/>
        </w:trPr>
        <w:tc>
          <w:tcPr>
            <w:tcW w:w="92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San Diego, CA 92121</w:t>
            </w:r>
          </w:p>
        </w:tc>
        <w:tc>
          <w:tcPr>
            <w:tcW w:w="46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2(a).</w:t>
            </w:r>
          </w:p>
        </w:tc>
        <w:tc>
          <w:tcPr>
            <w:tcW w:w="4460" w:type="dxa"/>
            <w:vAlign w:val="bottom"/>
          </w:tcPr>
          <w:p>
            <w:pPr>
              <w:spacing w:after="0"/>
              <w:rPr>
                <w:sz w:val="20"/>
                <w:szCs w:val="20"/>
                <w:color w:val="auto"/>
              </w:rPr>
            </w:pPr>
            <w:r>
              <w:rPr>
                <w:rFonts w:ascii="Arial" w:cs="Arial" w:eastAsia="Arial" w:hAnsi="Arial"/>
                <w:sz w:val="18"/>
                <w:szCs w:val="18"/>
                <w:color w:val="auto"/>
              </w:rPr>
              <w:t>Name of Person Filing:</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9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James E. Flynn, Deerfield Mgmt, L.P., Deerfield Partners, L.P. and Deerfield Management Company, L.P.</w:t>
            </w: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2(b).</w:t>
            </w:r>
          </w:p>
        </w:tc>
        <w:tc>
          <w:tcPr>
            <w:tcW w:w="4460" w:type="dxa"/>
            <w:vAlign w:val="bottom"/>
          </w:tcPr>
          <w:p>
            <w:pPr>
              <w:spacing w:after="0"/>
              <w:rPr>
                <w:sz w:val="20"/>
                <w:szCs w:val="20"/>
                <w:color w:val="auto"/>
              </w:rPr>
            </w:pPr>
            <w:r>
              <w:rPr>
                <w:rFonts w:ascii="Arial" w:cs="Arial" w:eastAsia="Arial" w:hAnsi="Arial"/>
                <w:sz w:val="18"/>
                <w:szCs w:val="18"/>
                <w:color w:val="auto"/>
                <w:w w:val="92"/>
              </w:rPr>
              <w:t>Address of Principal Business Office, or if None, Residence:</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90"/>
              </w:rPr>
              <w:t>James E. Flynn, Deerfield Mgmt, L.P., Deerfield Partners, L.P. and Deerfield Management Company, L.P., 345 Park Avenue South, 12th Floor,</w:t>
            </w:r>
          </w:p>
        </w:tc>
      </w:tr>
      <w:tr>
        <w:trPr>
          <w:trHeight w:val="237"/>
        </w:trPr>
        <w:tc>
          <w:tcPr>
            <w:tcW w:w="92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New York, NY 10010</w:t>
            </w:r>
          </w:p>
        </w:tc>
        <w:tc>
          <w:tcPr>
            <w:tcW w:w="46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2(c).</w:t>
            </w:r>
          </w:p>
        </w:tc>
        <w:tc>
          <w:tcPr>
            <w:tcW w:w="4460" w:type="dxa"/>
            <w:vAlign w:val="bottom"/>
          </w:tcPr>
          <w:p>
            <w:pPr>
              <w:spacing w:after="0"/>
              <w:rPr>
                <w:sz w:val="20"/>
                <w:szCs w:val="20"/>
                <w:color w:val="auto"/>
              </w:rPr>
            </w:pPr>
            <w:r>
              <w:rPr>
                <w:rFonts w:ascii="Arial" w:cs="Arial" w:eastAsia="Arial" w:hAnsi="Arial"/>
                <w:sz w:val="18"/>
                <w:szCs w:val="18"/>
                <w:color w:val="auto"/>
              </w:rPr>
              <w:t>Citizenship:</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w w:val="94"/>
              </w:rPr>
              <w:t>Deerfield Mgmt, L.P., Deerfield Management Company, L.P. and Deerfield Partners, L.P. - Delaware limited partnerships;</w:t>
            </w: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United States citizen</w:t>
            </w:r>
          </w:p>
        </w:tc>
        <w:tc>
          <w:tcPr>
            <w:tcW w:w="4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2(d).</w:t>
            </w:r>
          </w:p>
        </w:tc>
        <w:tc>
          <w:tcPr>
            <w:tcW w:w="4460" w:type="dxa"/>
            <w:vAlign w:val="bottom"/>
          </w:tcPr>
          <w:p>
            <w:pPr>
              <w:spacing w:after="0"/>
              <w:rPr>
                <w:sz w:val="20"/>
                <w:szCs w:val="20"/>
                <w:color w:val="auto"/>
              </w:rPr>
            </w:pPr>
            <w:r>
              <w:rPr>
                <w:rFonts w:ascii="Arial" w:cs="Arial" w:eastAsia="Arial" w:hAnsi="Arial"/>
                <w:sz w:val="18"/>
                <w:szCs w:val="18"/>
                <w:color w:val="auto"/>
              </w:rPr>
              <w:t>Title of Class of Securities:</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w:t>
            </w:r>
          </w:p>
        </w:tc>
        <w:tc>
          <w:tcPr>
            <w:tcW w:w="4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2(e).</w:t>
            </w:r>
          </w:p>
        </w:tc>
        <w:tc>
          <w:tcPr>
            <w:tcW w:w="4460" w:type="dxa"/>
            <w:vAlign w:val="bottom"/>
          </w:tcPr>
          <w:p>
            <w:pPr>
              <w:spacing w:after="0"/>
              <w:rPr>
                <w:sz w:val="20"/>
                <w:szCs w:val="20"/>
                <w:color w:val="auto"/>
              </w:rPr>
            </w:pPr>
            <w:r>
              <w:rPr>
                <w:rFonts w:ascii="Arial" w:cs="Arial" w:eastAsia="Arial" w:hAnsi="Arial"/>
                <w:sz w:val="18"/>
                <w:szCs w:val="18"/>
                <w:color w:val="auto"/>
              </w:rPr>
              <w:t>CUSIP Number:</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032724106</w:t>
            </w:r>
          </w:p>
        </w:tc>
        <w:tc>
          <w:tcPr>
            <w:tcW w:w="4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140" w:type="dxa"/>
            <w:vAlign w:val="bottom"/>
            <w:gridSpan w:val="2"/>
          </w:tcPr>
          <w:p>
            <w:pPr>
              <w:spacing w:after="0"/>
              <w:rPr>
                <w:sz w:val="20"/>
                <w:szCs w:val="20"/>
                <w:color w:val="auto"/>
              </w:rPr>
            </w:pPr>
            <w:r>
              <w:rPr>
                <w:rFonts w:ascii="Arial" w:cs="Arial" w:eastAsia="Arial" w:hAnsi="Arial"/>
                <w:sz w:val="18"/>
                <w:szCs w:val="18"/>
                <w:color w:val="auto"/>
              </w:rPr>
              <w:t>If This Statement is Filed Pursuant to Rule 13d-1(b), or 13d-2(b) or (c), Check Whether the Person Filing is a:</w:t>
            </w:r>
          </w:p>
        </w:tc>
        <w:tc>
          <w:tcPr>
            <w:tcW w:w="1180" w:type="dxa"/>
            <w:vAlign w:val="bottom"/>
          </w:tcPr>
          <w:p>
            <w:pPr>
              <w:spacing w:after="0"/>
              <w:rPr>
                <w:sz w:val="24"/>
                <w:szCs w:val="24"/>
                <w:color w:val="auto"/>
              </w:rPr>
            </w:pPr>
          </w:p>
        </w:tc>
      </w:tr>
    </w:tbl>
    <w:p>
      <w:pPr>
        <w:spacing w:after="0" w:line="169" w:lineRule="exact"/>
        <w:rPr>
          <w:sz w:val="20"/>
          <w:szCs w:val="20"/>
          <w:color w:val="auto"/>
        </w:rPr>
      </w:pPr>
    </w:p>
    <w:p>
      <w:pPr>
        <w:ind w:left="1060" w:hanging="656"/>
        <w:spacing w:after="0" w:line="207" w:lineRule="exact"/>
        <w:tabs>
          <w:tab w:leader="none" w:pos="106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1060" w:hanging="656"/>
        <w:spacing w:after="0" w:line="196" w:lineRule="exact"/>
        <w:tabs>
          <w:tab w:leader="none" w:pos="1060" w:val="left"/>
        </w:tabs>
        <w:numPr>
          <w:ilvl w:val="0"/>
          <w:numId w:val="13"/>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 church plan that is excluded from the definition of an investment company under Section 3(c)(14) of the Investment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tabs>
          <w:tab w:leader="none" w:pos="1180" w:val="left"/>
          <w:tab w:leader="none" w:pos="5460" w:val="left"/>
          <w:tab w:leader="none" w:pos="104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032724106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7 of 9</w:t>
      </w:r>
    </w:p>
    <w:p>
      <w:pPr>
        <w:spacing w:after="0" w:line="200" w:lineRule="exact"/>
        <w:rPr>
          <w:sz w:val="20"/>
          <w:szCs w:val="20"/>
          <w:color w:val="auto"/>
        </w:rPr>
      </w:pPr>
    </w:p>
    <w:p>
      <w:pPr>
        <w:spacing w:after="0" w:line="235" w:lineRule="exact"/>
        <w:rPr>
          <w:sz w:val="20"/>
          <w:szCs w:val="20"/>
          <w:color w:val="auto"/>
        </w:rPr>
      </w:pPr>
    </w:p>
    <w:p>
      <w:pPr>
        <w:ind w:left="1060" w:hanging="656"/>
        <w:spacing w:after="0" w:line="207" w:lineRule="exact"/>
        <w:tabs>
          <w:tab w:leader="none" w:pos="106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920" w:hanging="516"/>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Deerfield Mgmt, L.P. - 1,466,600 shares</w:t>
      </w:r>
    </w:p>
    <w:p>
      <w:pPr>
        <w:spacing w:after="0" w:line="23" w:lineRule="exact"/>
        <w:rPr>
          <w:rFonts w:ascii="Arial" w:cs="Arial" w:eastAsia="Arial" w:hAnsi="Arial"/>
          <w:sz w:val="18"/>
          <w:szCs w:val="18"/>
          <w:color w:val="auto"/>
        </w:rPr>
      </w:pPr>
    </w:p>
    <w:p>
      <w:pPr>
        <w:ind w:left="920" w:right="6200"/>
        <w:spacing w:after="0" w:line="250" w:lineRule="auto"/>
        <w:rPr>
          <w:rFonts w:ascii="Arial" w:cs="Arial" w:eastAsia="Arial" w:hAnsi="Arial"/>
          <w:sz w:val="18"/>
          <w:szCs w:val="18"/>
          <w:color w:val="auto"/>
        </w:rPr>
      </w:pPr>
      <w:r>
        <w:rPr>
          <w:rFonts w:ascii="Arial" w:cs="Arial" w:eastAsia="Arial" w:hAnsi="Arial"/>
          <w:sz w:val="18"/>
          <w:szCs w:val="18"/>
          <w:color w:val="auto"/>
        </w:rPr>
        <w:t>Deerfield Management Company, L.P. - 1,466,600 shares Deerfield Partners, L.P. - 1,466,600 shares</w:t>
      </w:r>
    </w:p>
    <w:p>
      <w:pPr>
        <w:ind w:left="920"/>
        <w:spacing w:after="0"/>
        <w:rPr>
          <w:rFonts w:ascii="Arial" w:cs="Arial" w:eastAsia="Arial" w:hAnsi="Arial"/>
          <w:sz w:val="18"/>
          <w:szCs w:val="18"/>
          <w:color w:val="auto"/>
        </w:rPr>
      </w:pPr>
      <w:r>
        <w:rPr>
          <w:rFonts w:ascii="Arial" w:cs="Arial" w:eastAsia="Arial" w:hAnsi="Arial"/>
          <w:sz w:val="18"/>
          <w:szCs w:val="18"/>
          <w:color w:val="auto"/>
        </w:rPr>
        <w:t>James E. Flynn – 1,466,600 shares</w:t>
      </w:r>
    </w:p>
    <w:p>
      <w:pPr>
        <w:spacing w:after="0" w:line="237" w:lineRule="exact"/>
        <w:rPr>
          <w:rFonts w:ascii="Arial" w:cs="Arial" w:eastAsia="Arial" w:hAnsi="Arial"/>
          <w:sz w:val="18"/>
          <w:szCs w:val="18"/>
          <w:color w:val="auto"/>
        </w:rPr>
      </w:pPr>
    </w:p>
    <w:p>
      <w:pPr>
        <w:ind w:left="920" w:hanging="516"/>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Deerfield Mgmt, L.P. – 5.19%</w:t>
      </w:r>
    </w:p>
    <w:p>
      <w:pPr>
        <w:spacing w:after="0" w:line="23" w:lineRule="exact"/>
        <w:rPr>
          <w:rFonts w:ascii="Arial" w:cs="Arial" w:eastAsia="Arial" w:hAnsi="Arial"/>
          <w:sz w:val="18"/>
          <w:szCs w:val="18"/>
          <w:color w:val="auto"/>
        </w:rPr>
      </w:pPr>
    </w:p>
    <w:p>
      <w:pPr>
        <w:ind w:left="920" w:right="6940"/>
        <w:spacing w:after="0" w:line="250" w:lineRule="auto"/>
        <w:rPr>
          <w:rFonts w:ascii="Arial" w:cs="Arial" w:eastAsia="Arial" w:hAnsi="Arial"/>
          <w:sz w:val="18"/>
          <w:szCs w:val="18"/>
          <w:color w:val="auto"/>
        </w:rPr>
      </w:pPr>
      <w:r>
        <w:rPr>
          <w:rFonts w:ascii="Arial" w:cs="Arial" w:eastAsia="Arial" w:hAnsi="Arial"/>
          <w:sz w:val="18"/>
          <w:szCs w:val="18"/>
          <w:color w:val="auto"/>
        </w:rPr>
        <w:t>Deerfield Management Company, L.P. - 5.19% Deerfield Partners, L.P. – 5.19%</w:t>
      </w:r>
    </w:p>
    <w:p>
      <w:pPr>
        <w:ind w:left="920"/>
        <w:spacing w:after="0"/>
        <w:rPr>
          <w:rFonts w:ascii="Arial" w:cs="Arial" w:eastAsia="Arial" w:hAnsi="Arial"/>
          <w:sz w:val="18"/>
          <w:szCs w:val="18"/>
          <w:color w:val="auto"/>
        </w:rPr>
      </w:pPr>
      <w:r>
        <w:rPr>
          <w:rFonts w:ascii="Arial" w:cs="Arial" w:eastAsia="Arial" w:hAnsi="Arial"/>
          <w:sz w:val="18"/>
          <w:szCs w:val="18"/>
          <w:color w:val="auto"/>
        </w:rPr>
        <w:t>James E. Flynn – 5.19%</w:t>
      </w:r>
    </w:p>
    <w:p>
      <w:pPr>
        <w:spacing w:after="0" w:line="237" w:lineRule="exact"/>
        <w:rPr>
          <w:rFonts w:ascii="Arial" w:cs="Arial" w:eastAsia="Arial" w:hAnsi="Arial"/>
          <w:sz w:val="18"/>
          <w:szCs w:val="18"/>
          <w:color w:val="auto"/>
        </w:rPr>
      </w:pPr>
    </w:p>
    <w:p>
      <w:pPr>
        <w:ind w:left="920" w:hanging="516"/>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-276225</wp:posOffset>
            </wp:positionV>
            <wp:extent cx="65576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-1253490</wp:posOffset>
            </wp:positionV>
            <wp:extent cx="65576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37"/>
        </w:trPr>
        <w:tc>
          <w:tcPr>
            <w:tcW w:w="420" w:type="dxa"/>
            <w:vAlign w:val="bottom"/>
          </w:tcPr>
          <w:p>
            <w:pPr>
              <w:spacing w:after="0"/>
              <w:rPr>
                <w:sz w:val="20"/>
                <w:szCs w:val="20"/>
                <w:color w:val="auto"/>
              </w:rPr>
            </w:pPr>
            <w:r>
              <w:rPr>
                <w:rFonts w:ascii="Arial" w:cs="Arial" w:eastAsia="Arial" w:hAnsi="Arial"/>
                <w:sz w:val="18"/>
                <w:szCs w:val="18"/>
                <w:color w:val="auto"/>
              </w:rPr>
              <w:t>(i)</w:t>
            </w:r>
          </w:p>
        </w:tc>
        <w:tc>
          <w:tcPr>
            <w:tcW w:w="5180" w:type="dxa"/>
            <w:vAlign w:val="bottom"/>
          </w:tcPr>
          <w:p>
            <w:pPr>
              <w:ind w:left="140"/>
              <w:spacing w:after="0"/>
              <w:rPr>
                <w:sz w:val="20"/>
                <w:szCs w:val="20"/>
                <w:color w:val="auto"/>
              </w:rPr>
            </w:pPr>
            <w:r>
              <w:rPr>
                <w:rFonts w:ascii="Arial" w:cs="Arial" w:eastAsia="Arial" w:hAnsi="Arial"/>
                <w:sz w:val="18"/>
                <w:szCs w:val="18"/>
                <w:color w:val="auto"/>
              </w:rPr>
              <w:t>Sole power to vote or to direct the vote: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- 0</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(ii)</w:t>
            </w:r>
          </w:p>
        </w:tc>
        <w:tc>
          <w:tcPr>
            <w:tcW w:w="5180" w:type="dxa"/>
            <w:vAlign w:val="bottom"/>
          </w:tcPr>
          <w:p>
            <w:pPr>
              <w:ind w:left="140"/>
              <w:spacing w:after="0"/>
              <w:rPr>
                <w:sz w:val="20"/>
                <w:szCs w:val="20"/>
                <w:color w:val="auto"/>
              </w:rPr>
            </w:pPr>
            <w:r>
              <w:rPr>
                <w:rFonts w:ascii="Arial" w:cs="Arial" w:eastAsia="Arial" w:hAnsi="Arial"/>
                <w:sz w:val="18"/>
                <w:szCs w:val="18"/>
                <w:color w:val="auto"/>
              </w:rPr>
              <w:t>Shared power to vote or to direct the vote:</w:t>
            </w:r>
          </w:p>
        </w:tc>
        <w:tc>
          <w:tcPr>
            <w:tcW w:w="4720" w:type="dxa"/>
            <w:vAlign w:val="bottom"/>
          </w:tcPr>
          <w:p>
            <w:pPr>
              <w:spacing w:after="0"/>
              <w:rPr>
                <w:sz w:val="20"/>
                <w:szCs w:val="20"/>
                <w:color w:val="auto"/>
              </w:rPr>
            </w:pPr>
            <w:r>
              <w:rPr>
                <w:rFonts w:ascii="Arial" w:cs="Arial" w:eastAsia="Arial" w:hAnsi="Arial"/>
                <w:sz w:val="18"/>
                <w:szCs w:val="18"/>
                <w:color w:val="auto"/>
              </w:rPr>
              <w:t>Deerfield Mgmt, L.P. - 1,466,600</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Management Company, L.P. - 1,466,600</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Partners, L.P. - 1,466,600</w:t>
            </w:r>
          </w:p>
        </w:tc>
      </w:tr>
      <w:tr>
        <w:trPr>
          <w:trHeight w:val="237"/>
        </w:trPr>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1,466,600</w:t>
            </w:r>
          </w:p>
        </w:tc>
      </w:tr>
      <w:tr>
        <w:trPr>
          <w:trHeight w:val="439"/>
        </w:trPr>
        <w:tc>
          <w:tcPr>
            <w:tcW w:w="420" w:type="dxa"/>
            <w:vAlign w:val="bottom"/>
          </w:tcPr>
          <w:p>
            <w:pPr>
              <w:spacing w:after="0"/>
              <w:rPr>
                <w:sz w:val="20"/>
                <w:szCs w:val="20"/>
                <w:color w:val="auto"/>
              </w:rPr>
            </w:pPr>
            <w:r>
              <w:rPr>
                <w:rFonts w:ascii="Arial" w:cs="Arial" w:eastAsia="Arial" w:hAnsi="Arial"/>
                <w:sz w:val="18"/>
                <w:szCs w:val="18"/>
                <w:color w:val="auto"/>
              </w:rPr>
              <w:t>(iii)</w:t>
            </w:r>
          </w:p>
        </w:tc>
        <w:tc>
          <w:tcPr>
            <w:tcW w:w="5180" w:type="dxa"/>
            <w:vAlign w:val="bottom"/>
          </w:tcPr>
          <w:p>
            <w:pPr>
              <w:ind w:left="140"/>
              <w:spacing w:after="0"/>
              <w:rPr>
                <w:sz w:val="20"/>
                <w:szCs w:val="20"/>
                <w:color w:val="auto"/>
              </w:rPr>
            </w:pPr>
            <w:r>
              <w:rPr>
                <w:rFonts w:ascii="Arial" w:cs="Arial" w:eastAsia="Arial" w:hAnsi="Arial"/>
                <w:sz w:val="18"/>
                <w:szCs w:val="18"/>
                <w:color w:val="auto"/>
              </w:rPr>
              <w:t>Sole power to dispose or to direct the disposition of:</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- 0</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(iv)</w:t>
            </w:r>
          </w:p>
        </w:tc>
        <w:tc>
          <w:tcPr>
            <w:tcW w:w="5180" w:type="dxa"/>
            <w:vAlign w:val="bottom"/>
          </w:tcPr>
          <w:p>
            <w:pPr>
              <w:ind w:left="140"/>
              <w:spacing w:after="0"/>
              <w:rPr>
                <w:sz w:val="20"/>
                <w:szCs w:val="20"/>
                <w:color w:val="auto"/>
              </w:rPr>
            </w:pPr>
            <w:r>
              <w:rPr>
                <w:rFonts w:ascii="Arial" w:cs="Arial" w:eastAsia="Arial" w:hAnsi="Arial"/>
                <w:sz w:val="18"/>
                <w:szCs w:val="18"/>
                <w:color w:val="auto"/>
              </w:rPr>
              <w:t>Shared power to dispose or to direct the disposition of:</w:t>
            </w:r>
          </w:p>
        </w:tc>
        <w:tc>
          <w:tcPr>
            <w:tcW w:w="4720" w:type="dxa"/>
            <w:vAlign w:val="bottom"/>
          </w:tcPr>
          <w:p>
            <w:pPr>
              <w:spacing w:after="0"/>
              <w:rPr>
                <w:sz w:val="20"/>
                <w:szCs w:val="20"/>
                <w:color w:val="auto"/>
              </w:rPr>
            </w:pPr>
            <w:r>
              <w:rPr>
                <w:rFonts w:ascii="Arial" w:cs="Arial" w:eastAsia="Arial" w:hAnsi="Arial"/>
                <w:sz w:val="18"/>
                <w:szCs w:val="18"/>
                <w:color w:val="auto"/>
              </w:rPr>
              <w:t>Deerfield Mgmt, L.P. - 1,466,600</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Management Company, L.P. - 1,466,600</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Partners, L.P. - 1,466,600</w:t>
            </w:r>
          </w:p>
        </w:tc>
      </w:tr>
      <w:tr>
        <w:trPr>
          <w:trHeight w:val="237"/>
        </w:trPr>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1,466,600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tabs>
          <w:tab w:leader="none" w:pos="1180" w:val="left"/>
          <w:tab w:leader="none" w:pos="5460" w:val="left"/>
          <w:tab w:leader="none" w:pos="104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032724106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8 of 9</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right="200" w:firstLine="324"/>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262255</wp:posOffset>
            </wp:positionV>
            <wp:extent cx="65576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ind w:left="920" w:right="40" w:hanging="903"/>
        <w:spacing w:after="0" w:line="277"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tabs>
          <w:tab w:leader="none" w:pos="1180" w:val="left"/>
          <w:tab w:leader="none" w:pos="5460" w:val="left"/>
          <w:tab w:leader="none" w:pos="104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032724106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9 of 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center"/>
        <w:ind w:right="-25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Joint Filing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Item 8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 Power of Attorney (1).</w:t>
      </w:r>
    </w:p>
    <w:p>
      <w:pPr>
        <w:spacing w:after="0" w:line="225" w:lineRule="exact"/>
        <w:rPr>
          <w:sz w:val="20"/>
          <w:szCs w:val="20"/>
          <w:color w:val="auto"/>
        </w:rPr>
      </w:pPr>
    </w:p>
    <w:p>
      <w:pPr>
        <w:jc w:val="both"/>
        <w:ind w:firstLine="8"/>
        <w:spacing w:after="0" w:line="342" w:lineRule="auto"/>
        <w:tabs>
          <w:tab w:leader="none" w:pos="2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Power of Attorney previously filed as Exhibit 24 to a Form 4 with regard to DA32 Life Science Tech Acquisition Corp. filed with the Securities and Exchange Commission on August 3, 2021 by Deerfield Partners, L.P., Deerfield Mgmt, L.P., Deerfield Management Company,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341" w:right="599" w:bottom="1440" w:gutter="0" w:footer="0" w:header="0"/>
        </w:sectPr>
      </w:pPr>
    </w:p>
    <w:bookmarkStart w:id="10" w:name="page11"/>
    <w:bookmarkEnd w:id="10"/>
    <w:p>
      <w:pPr>
        <w:jc w:val="center"/>
        <w:ind w:right="-23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agree that this Schedule 13G, and all amendments thereto, relating to the Common Stock of AnaptysBio, Inc. shall be filed on behalf of the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341" w:right="559" w:bottom="1440" w:gutter="0" w:footer="0" w:header="0"/>
        </w:sectPr>
      </w:pPr>
    </w:p>
    <w:bookmarkStart w:id="11" w:name="page12"/>
    <w:bookmarkEnd w:id="11"/>
    <w:p>
      <w:pPr>
        <w:jc w:val="center"/>
        <w:ind w:right="-21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Due to the relationships between them, the reporting persons hereunder may be deemed to constitute a “group” with one another for purposes of Section 13(d)(3) of the Securities Exchange Act of 1934.</w:t>
      </w:r>
    </w:p>
    <w:sectPr>
      <w:pgSz w:w="11900" w:h="16838" w:orient="portrait"/>
      <w:cols w:equalWidth="0" w:num="1">
        <w:col w:w="11040"/>
      </w:cols>
      <w:pgMar w:left="320" w:top="34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2"/>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2"/>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2"/>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2"/>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0"/>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2022-08-15T17:37:06Z</dcterms:created>
  <dcterms:modified xsi:type="dcterms:W3CDTF">2022-08-15T17:37:06Z</dcterms:modified>
</cp:coreProperties>
</file>