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ANAPTYSBIO,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11/29/2019</w:t>
      </w:r>
    </w:p>
    <w:p>
      <w:pPr>
        <w:spacing w:after="0" w:line="201" w:lineRule="exact"/>
        <w:rPr>
          <w:sz w:val="24"/>
          <w:szCs w:val="24"/>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1" w:lineRule="exact"/>
        <w:rPr>
          <w:sz w:val="24"/>
          <w:szCs w:val="24"/>
          <w:color w:val="auto"/>
        </w:rPr>
      </w:pPr>
    </w:p>
    <w:p>
      <w:pPr>
        <w:jc w:val="both"/>
        <w:ind w:right="2839" w:firstLine="8"/>
        <w:spacing w:after="0" w:line="31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032724106</w:t>
      </w:r>
    </w:p>
    <w:p>
      <w:pPr>
        <w:spacing w:after="0" w:line="201" w:lineRule="exact"/>
        <w:rPr>
          <w:sz w:val="24"/>
          <w:szCs w:val="24"/>
          <w:color w:val="auto"/>
        </w:rPr>
      </w:pPr>
    </w:p>
    <w:p>
      <w:pPr>
        <w:ind w:right="2839" w:firstLine="8"/>
        <w:spacing w:after="0" w:line="34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18" w:lineRule="exact"/>
        <w:rPr>
          <w:rFonts w:ascii="Courier New" w:cs="Courier New" w:eastAsia="Courier New" w:hAnsi="Courier New"/>
          <w:sz w:val="18"/>
          <w:szCs w:val="18"/>
          <w:color w:val="auto"/>
        </w:rPr>
      </w:pPr>
    </w:p>
    <w:p>
      <w:pPr>
        <w:ind w:right="2619" w:firstLine="8"/>
        <w:spacing w:after="0" w:line="34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18"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1" w:lineRule="exact"/>
        <w:rPr>
          <w:rFonts w:ascii="Courier New" w:cs="Courier New" w:eastAsia="Courier New" w:hAnsi="Courier New"/>
          <w:sz w:val="18"/>
          <w:szCs w:val="18"/>
          <w:color w:val="auto"/>
        </w:rPr>
      </w:pPr>
    </w:p>
    <w:p>
      <w:pPr>
        <w:ind w:right="2619" w:firstLine="8"/>
        <w:spacing w:after="0" w:line="34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(a). Name of Issuer: ANAPTYSBIO, INC. ("Anaptysbio")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10421 Pacific Center Court, Suite 200 San Diego, CA 92121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 Name, Principal Business Address, and Citizenship of</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4"/>
          <w:szCs w:val="24"/>
          <w:color w:val="auto"/>
        </w:rPr>
      </w:pPr>
    </w:p>
    <w:p>
      <w:pPr>
        <w:ind w:right="2839" w:firstLine="8"/>
        <w:spacing w:after="0" w:line="34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 CUSIP Number: 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w:t>
      </w:r>
    </w:p>
    <w:p>
      <w:pPr>
        <w:sectPr>
          <w:pgSz w:w="11900" w:h="16838" w:orient="portrait"/>
          <w:cols w:equalWidth="0" w:num="1">
            <w:col w:w="10219"/>
          </w:cols>
          <w:pgMar w:left="240" w:top="218" w:right="1440" w:bottom="0" w:gutter="0" w:footer="0" w:header="0"/>
        </w:sectPr>
      </w:pPr>
    </w:p>
    <w:bookmarkStart w:id="1" w:name="page2"/>
    <w:bookmarkEnd w:id="1"/>
    <w:p>
      <w:pPr>
        <w:ind w:right="2619"/>
        <w:spacing w:after="0" w:line="274"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3159"/>
        <w:spacing w:after="0" w:line="347"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18" w:lineRule="exact"/>
        <w:rPr>
          <w:sz w:val="20"/>
          <w:szCs w:val="20"/>
          <w:color w:val="auto"/>
        </w:rPr>
      </w:pPr>
    </w:p>
    <w:p>
      <w:pPr>
        <w:ind w:right="2619"/>
        <w:spacing w:after="0" w:line="281" w:lineRule="auto"/>
        <w:rPr>
          <w:sz w:val="20"/>
          <w:szCs w:val="20"/>
          <w:color w:val="auto"/>
        </w:rPr>
      </w:pPr>
      <w:r>
        <w:rPr>
          <w:rFonts w:ascii="Courier New" w:cs="Courier New" w:eastAsia="Courier New" w:hAnsi="Courier New"/>
          <w:sz w:val="16"/>
          <w:szCs w:val="16"/>
          <w:color w:val="auto"/>
        </w:rPr>
        <w:t>Janus Henderson has an indirect 97.11% ownership stake in Intech Investment Management LLC ("Intech") and a 100% ownership stake in Janus Capital Management LLC ("Janus Capital"), Janus Capital International Limited ("JCIL"), Perkins Investment Management LLC ("Perkins"), Geneva Capital Management LLC ("Geneva"),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290" w:lineRule="exact"/>
        <w:rPr>
          <w:sz w:val="20"/>
          <w:szCs w:val="20"/>
          <w:color w:val="auto"/>
        </w:rPr>
      </w:pPr>
    </w:p>
    <w:p>
      <w:pPr>
        <w:ind w:right="261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0 shares or 0.0% of the shares outstanding of Anaptysbio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303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3159"/>
        <w:spacing w:after="0" w:line="292"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 ceased to be the beneficial owners of more than five percent of the class of securities.</w:t>
      </w:r>
    </w:p>
    <w:p>
      <w:pPr>
        <w:spacing w:after="0" w:line="66" w:lineRule="exact"/>
        <w:rPr>
          <w:sz w:val="20"/>
          <w:szCs w:val="20"/>
          <w:color w:val="auto"/>
        </w:rPr>
      </w:pPr>
    </w:p>
    <w:p>
      <w:pPr>
        <w:ind w:right="283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293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ind w:right="2839"/>
        <w:spacing w:after="0" w:line="344" w:lineRule="auto"/>
        <w:rPr>
          <w:sz w:val="20"/>
          <w:szCs w:val="20"/>
          <w:color w:val="auto"/>
        </w:rPr>
      </w:pPr>
      <w:r>
        <w:rPr>
          <w:rFonts w:ascii="Courier New" w:cs="Courier New" w:eastAsia="Courier New" w:hAnsi="Courier New"/>
          <w:sz w:val="16"/>
          <w:szCs w:val="16"/>
          <w:color w:val="auto"/>
        </w:rPr>
        <w:t>Intech, Janus Capital, JCIL, Perkins, Geneva, HGIL and JHIAIFML are indirect subsidiaries of Janus Henderson and are registered investment advisers furnishing investment advice to Managed Portfolios.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8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ectPr>
          <w:pgSz w:w="11900" w:h="16838" w:orient="portrait"/>
          <w:cols w:equalWidth="0" w:num="1">
            <w:col w:w="10219"/>
          </w:cols>
          <w:pgMar w:left="24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By /s/ Kristin Mariani</w:t>
      </w:r>
    </w:p>
    <w:p>
      <w:pPr>
        <w:spacing w:after="0" w:line="31" w:lineRule="exact"/>
        <w:rPr>
          <w:sz w:val="20"/>
          <w:szCs w:val="20"/>
          <w:color w:val="auto"/>
        </w:rPr>
      </w:pPr>
    </w:p>
    <w:p>
      <w:pPr>
        <w:ind w:right="4619"/>
        <w:spacing w:after="0" w:line="309" w:lineRule="auto"/>
        <w:rPr>
          <w:sz w:val="20"/>
          <w:szCs w:val="20"/>
          <w:color w:val="auto"/>
        </w:rPr>
      </w:pPr>
      <w:r>
        <w:rPr>
          <w:rFonts w:ascii="Courier New" w:cs="Courier New" w:eastAsia="Courier New" w:hAnsi="Courier New"/>
          <w:sz w:val="18"/>
          <w:szCs w:val="18"/>
          <w:color w:val="auto"/>
        </w:rPr>
        <w:t>Kristin Mariani, Global Head of Investment Compliance Date 12/10/2019</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2019-12-10T12:45:24Z</dcterms:created>
  <dcterms:modified xsi:type="dcterms:W3CDTF">2019-12-10T12:45:24Z</dcterms:modified>
</cp:coreProperties>
</file>