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UNITED STATES SECURITIES AND EXCHANGE COMMISSION Washington, D.C. 20549</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ANAPTYSBIO,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032724106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12/31/2017</w:t>
      </w:r>
    </w:p>
    <w:p>
      <w:pPr>
        <w:spacing w:after="0" w:line="207"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 [ ] Rule 13d-1(c) [ ] Rule 13d-1(d)</w:t>
      </w:r>
    </w:p>
    <w:p>
      <w:pPr>
        <w:spacing w:after="0" w:line="207"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032724106</w:t>
      </w:r>
    </w:p>
    <w:p>
      <w:pPr>
        <w:spacing w:after="0" w:line="207" w:lineRule="exact"/>
        <w:rPr>
          <w:sz w:val="24"/>
          <w:szCs w:val="24"/>
          <w:color w:val="auto"/>
        </w:rPr>
      </w:pPr>
    </w:p>
    <w:p>
      <w:pPr>
        <w:ind w:right="283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 Janus Henderson Group plc EIN #00-0000000</w:t>
      </w:r>
    </w:p>
    <w:p>
      <w:pPr>
        <w:spacing w:after="0" w:line="208" w:lineRule="exact"/>
        <w:rPr>
          <w:rFonts w:ascii="Courier New" w:cs="Courier New" w:eastAsia="Courier New" w:hAnsi="Courier New"/>
          <w:sz w:val="18"/>
          <w:szCs w:val="18"/>
          <w:color w:val="auto"/>
        </w:rPr>
      </w:pPr>
    </w:p>
    <w:p>
      <w:pPr>
        <w:ind w:right="261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___ b. ___ 3. SEC USE ONLY</w:t>
      </w:r>
    </w:p>
    <w:p>
      <w:pPr>
        <w:spacing w:after="0" w:line="203"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Jersey, Channel Islands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1,445,796**</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1,445,796**</w:t>
      </w:r>
    </w:p>
    <w:p>
      <w:pPr>
        <w:spacing w:after="0" w:line="206"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1,445,796**</w:t>
      </w:r>
    </w:p>
    <w:p>
      <w:pPr>
        <w:spacing w:after="0" w:line="208" w:lineRule="exact"/>
        <w:rPr>
          <w:rFonts w:ascii="Courier New" w:cs="Courier New" w:eastAsia="Courier New" w:hAnsi="Courier New"/>
          <w:sz w:val="18"/>
          <w:szCs w:val="18"/>
          <w:color w:val="auto"/>
        </w:rPr>
      </w:pPr>
    </w:p>
    <w:p>
      <w:pPr>
        <w:ind w:right="261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7" w:lineRule="exact"/>
        <w:rPr>
          <w:sz w:val="24"/>
          <w:szCs w:val="24"/>
          <w:color w:val="auto"/>
        </w:rPr>
      </w:pPr>
    </w:p>
    <w:p>
      <w:pPr>
        <w:ind w:right="7259" w:firstLine="8"/>
        <w:spacing w:after="0" w:line="470"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 Item 1.</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Name of Issuer: ANAPTYSBIO, INC. ("Anaptysbio")</w:t>
      </w:r>
    </w:p>
    <w:p>
      <w:pPr>
        <w:spacing w:after="0" w:line="206" w:lineRule="exact"/>
        <w:rPr>
          <w:rFonts w:ascii="Courier New" w:cs="Courier New" w:eastAsia="Courier New" w:hAnsi="Courier New"/>
          <w:sz w:val="18"/>
          <w:szCs w:val="18"/>
          <w:color w:val="auto"/>
        </w:rPr>
      </w:pPr>
    </w:p>
    <w:p>
      <w:pPr>
        <w:ind w:right="4199"/>
        <w:spacing w:after="0" w:line="4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Address of Issuer's Principal Executive Offices: 10421 Pacific Center Court, Suite 200 San Diego, CA 92121 Item 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 Name, Principal Business Address, and Citizenship of</w:t>
      </w:r>
    </w:p>
    <w:p>
      <w:pPr>
        <w:spacing w:after="0" w:line="238" w:lineRule="auto"/>
        <w:rPr>
          <w:sz w:val="20"/>
          <w:szCs w:val="20"/>
          <w:color w:val="auto"/>
        </w:rPr>
      </w:pPr>
      <w:r>
        <w:rPr>
          <w:rFonts w:ascii="Courier New" w:cs="Courier New" w:eastAsia="Courier New" w:hAnsi="Courier New"/>
          <w:sz w:val="18"/>
          <w:szCs w:val="18"/>
          <w:color w:val="auto"/>
        </w:rPr>
        <w:t>Persons Filing:</w:t>
      </w:r>
    </w:p>
    <w:p>
      <w:pPr>
        <w:spacing w:after="0" w:line="207" w:lineRule="exact"/>
        <w:rPr>
          <w:sz w:val="24"/>
          <w:szCs w:val="24"/>
          <w:color w:val="auto"/>
        </w:rPr>
      </w:pPr>
    </w:p>
    <w:p>
      <w:pPr>
        <w:ind w:right="283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 EC2M 3AE, United Kingdom Citizenship: Jersey, Channel Islands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 Title of Class of Securities: Common Stock</w:t>
      </w:r>
    </w:p>
    <w:p>
      <w:pPr>
        <w:sectPr>
          <w:pgSz w:w="11900" w:h="16855" w:orient="portrait"/>
          <w:cols w:equalWidth="0" w:num="1">
            <w:col w:w="10219"/>
          </w:cols>
          <w:pgMar w:left="240" w:top="250"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 CUSIP Number: 032724106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Henderson Group plc ("Janus Henderson"), is a parent holding company/control person in accordance with Section 240.13d-1(b)(ii)(G). See Item 4 for additional information.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8" w:lineRule="exact"/>
        <w:rPr>
          <w:sz w:val="20"/>
          <w:szCs w:val="20"/>
          <w:color w:val="auto"/>
        </w:rPr>
      </w:pPr>
    </w:p>
    <w:p>
      <w:pPr>
        <w:ind w:right="2619"/>
        <w:spacing w:after="0" w:line="270" w:lineRule="auto"/>
        <w:rPr>
          <w:sz w:val="20"/>
          <w:szCs w:val="20"/>
          <w:color w:val="auto"/>
        </w:rPr>
      </w:pPr>
      <w:r>
        <w:rPr>
          <w:rFonts w:ascii="Courier New" w:cs="Courier New" w:eastAsia="Courier New" w:hAnsi="Courier New"/>
          <w:sz w:val="16"/>
          <w:szCs w:val="16"/>
          <w:color w:val="auto"/>
        </w:rPr>
        <w:t>Janus Henderson has an indirect 97.11% ownership stake in Intech Investment Management LLC ("Intech") and a 100% ownership stake in Janus Capital Management LLC ("Janus Capital"), Perkins Investment Management LLC ("Perkins"), Geneva Capital Management LLC ("Geneva"), Henderson Global Investors Limited ("HGIL"), Janus Henderson Investors Australia Institutional Funds Management Limited ("HGIAIFML") and Henderson Global Investors North America Inc ("HGINA"),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185"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Janus Capital may be deemed to be the beneficial owner of 1,445,796 shares or 6.2% of the shares outstanding of Anaptysbio Common Stock held by such Managed Portfolios. However, Janus Capital does not have the right to receive any dividends from, or the proceeds from the sale of, the securities held in the Managed Portfolios and disclaims any ownership associated with such rights.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209"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The interest of any one such person does not exceed 5% of the class of securities.</w:t>
      </w:r>
    </w:p>
    <w:p>
      <w:pPr>
        <w:spacing w:after="0" w:line="208"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spacing w:after="0" w:line="170"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70" w:lineRule="exact"/>
        <w:rPr>
          <w:sz w:val="20"/>
          <w:szCs w:val="20"/>
          <w:color w:val="auto"/>
        </w:rPr>
      </w:pPr>
    </w:p>
    <w:p>
      <w:pPr>
        <w:ind w:right="2839"/>
        <w:spacing w:after="0" w:line="279" w:lineRule="auto"/>
        <w:rPr>
          <w:sz w:val="20"/>
          <w:szCs w:val="20"/>
          <w:color w:val="auto"/>
        </w:rPr>
      </w:pPr>
      <w:r>
        <w:rPr>
          <w:rFonts w:ascii="Courier New" w:cs="Courier New" w:eastAsia="Courier New" w:hAnsi="Courier New"/>
          <w:sz w:val="16"/>
          <w:szCs w:val="16"/>
          <w:color w:val="auto"/>
        </w:rPr>
        <w:t>Janus Capital, Intech, Perkins, Geneva, HGIL, HGIAIFML and HGINA are indirect subsidiaries of Janus Henderson and are registered investment advisers furnishing investment advice to Managed Portfolios.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complete and correct.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Bruce Koepfgen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Bruce Koepfgen, Head of North America</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2/12/2018</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4"/>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2019-12-21T02:32:34Z</dcterms:created>
  <dcterms:modified xsi:type="dcterms:W3CDTF">2019-12-21T02:32:34Z</dcterms:modified>
</cp:coreProperties>
</file>