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7516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751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Topper James 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FRAZIER HEALTHCARE PARTNERS 601 UNION STREET, SUITE 3200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ANAPTYSBIO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ANAB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183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8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26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2,228,377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2,228,377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733,740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733,740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209,095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209,095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311,291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1,045,031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88,709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297,804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gridSpan w:val="13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1,428,571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01/31/2017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26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23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1,428,571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604,055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01/31/2017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26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3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604,055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C-1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195,751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01/31/2017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26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3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195,751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733,740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01/31/2017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26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3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733,740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209,095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01/31/2017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26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43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209,095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7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connection with the consummation of the Issuer's initial public offering on January 31, 2017, each share of Series B Preferred Stock, Series C Preferred Stock, Series C-1 Preferred Stock and Series D Preferred Stock automatically converted into one (1) share of Common Stock for no additional consideration, and had no expiration date. All shares of Common Stock issued upon conversion were aggregated.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held by Frazier Healthcare V, L.P., an affiliate of Frazier Healthcare Ventures. Dr. Topper is a General Partner of Frazier Healthcare. Mr. Topper disclaims beneficial ownership of these shares except to the extent of his pecuniary interest therein.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held by Frazier Healthcare VII, L.P., an affiliate of Frazier Healthcare Ventures. Dr. Topper is a General Partner of Frazier Healthcare. Mr. Topper disclaims beneficial ownership of these shares except to the extent of his pecuniary interest therein.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held by Frazier Healthcare VII-A, L.P., an affiliate of Frazier Healthcare Ventures. Dr. Topper is a General Partner of Frazier Healthcare. Mr. Topper disclaims beneficial ownership of these shares except to the extent of his pecuniary interest therein.</w:t>
      </w:r>
    </w:p>
    <w:p>
      <w:pPr>
        <w:sectPr>
          <w:pgSz w:w="11900" w:h="16850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James N. Topper by Dominic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3175</wp:posOffset>
            </wp:positionV>
            <wp:extent cx="1388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Piscitelli,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-14605</wp:posOffset>
            </wp:positionV>
            <wp:extent cx="11512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3175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50" w:orient="portrait"/>
          <w:cols w:equalWidth="0" w:num="2">
            <w:col w:w="9040" w:space="100"/>
            <w:col w:w="238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679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38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2019-12-24T03:34:55Z</dcterms:created>
  <dcterms:modified xsi:type="dcterms:W3CDTF">2019-12-24T03:34:55Z</dcterms:modified>
</cp:coreProperties>
</file>