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-199390</wp:posOffset>
            </wp:positionV>
            <wp:extent cx="26244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165735</wp:posOffset>
            </wp:positionV>
            <wp:extent cx="26244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39"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183515</wp:posOffset>
            </wp:positionV>
            <wp:extent cx="2624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1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6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28" w:lineRule="exact"/>
        <w:rPr>
          <w:sz w:val="24"/>
          <w:szCs w:val="24"/>
          <w:color w:val="auto"/>
        </w:rPr>
      </w:pPr>
    </w:p>
    <w:p>
      <w:pPr>
        <w:ind w:left="3460"/>
        <w:spacing w:after="0"/>
        <w:tabs>
          <w:tab w:leader="none" w:pos="6760" w:val="left"/>
          <w:tab w:leader="none" w:pos="7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13239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9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001-37985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180340</wp:posOffset>
            </wp:positionV>
            <wp:extent cx="2624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1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ANAPTYSBIO, INC.</w:t>
      </w:r>
    </w:p>
    <w:p>
      <w:pPr>
        <w:spacing w:after="0" w:line="8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180340</wp:posOffset>
            </wp:positionV>
            <wp:extent cx="2624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1300"/>
          </w:cols>
          <w:pgMar w:left="240" w:top="486" w:right="35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2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82" w:lineRule="exact"/>
        <w:rPr>
          <w:sz w:val="24"/>
          <w:szCs w:val="24"/>
          <w:color w:val="auto"/>
        </w:rPr>
      </w:pPr>
    </w:p>
    <w:p>
      <w:pPr>
        <w:sectPr>
          <w:pgSz w:w="11900" w:h="16838" w:orient="portrait"/>
          <w:cols w:equalWidth="0" w:num="2">
            <w:col w:w="7260" w:space="720"/>
            <w:col w:w="3320"/>
          </w:cols>
          <w:pgMar w:left="240" w:top="486" w:right="359" w:bottom="1440" w:gutter="0" w:footer="0" w:header="0"/>
          <w:type w:val="continuous"/>
        </w:sectPr>
      </w:pPr>
    </w:p>
    <w:p>
      <w:pPr>
        <w:ind w:left="216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1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18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6980" w:space="720"/>
            <w:col w:w="3600"/>
          </w:cols>
          <w:pgMar w:left="240" w:top="486" w:right="359" w:bottom="1440" w:gutter="0" w:footer="0" w:header="0"/>
          <w:type w:val="continuous"/>
        </w:sectPr>
      </w:pP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10421 Pacific Center Court, Suite 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San Diego, CA 92121</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0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(858) 362-6295</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182245</wp:posOffset>
            </wp:positionV>
            <wp:extent cx="2624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1300"/>
          </w:cols>
          <w:pgMar w:left="240" w:top="486" w:right="359" w:bottom="1440" w:gutter="0" w:footer="0" w:header="0"/>
          <w:type w:val="continuous"/>
        </w:sectPr>
      </w:pPr>
    </w:p>
    <w:p>
      <w:pPr>
        <w:spacing w:after="0" w:line="341"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60"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20"/>
              <w:spacing w:after="0"/>
              <w:rPr>
                <w:sz w:val="20"/>
                <w:szCs w:val="20"/>
                <w:color w:val="auto"/>
              </w:rPr>
            </w:pPr>
            <w:r>
              <w:rPr>
                <w:rFonts w:ascii="Arial" w:cs="Arial" w:eastAsia="Arial" w:hAnsi="Arial"/>
                <w:sz w:val="18"/>
                <w:szCs w:val="18"/>
                <w:color w:val="auto"/>
              </w:rPr>
              <w:t>x</w:t>
            </w:r>
          </w:p>
        </w:tc>
      </w:tr>
      <w:tr>
        <w:trPr>
          <w:trHeight w:val="392"/>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2"/>
        </w:trPr>
        <w:tc>
          <w:tcPr>
            <w:tcW w:w="21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60" w:type="dxa"/>
            <w:vAlign w:val="bottom"/>
          </w:tcPr>
          <w:p>
            <w:pPr>
              <w:ind w:left="266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20"/>
              <w:spacing w:after="0"/>
              <w:rPr>
                <w:sz w:val="20"/>
                <w:szCs w:val="20"/>
                <w:color w:val="auto"/>
              </w:rPr>
            </w:pPr>
            <w:r>
              <w:rPr>
                <w:rFonts w:ascii="Arial" w:cs="Arial" w:eastAsia="Arial" w:hAnsi="Arial"/>
                <w:sz w:val="18"/>
                <w:szCs w:val="18"/>
                <w:color w:val="auto"/>
              </w:rPr>
              <w:t>x</w:t>
            </w:r>
          </w:p>
        </w:tc>
      </w:tr>
    </w:tbl>
    <w:p>
      <w:pPr>
        <w:spacing w:after="0" w:line="67" w:lineRule="exact"/>
        <w:rPr>
          <w:sz w:val="24"/>
          <w:szCs w:val="24"/>
          <w:color w:val="auto"/>
        </w:rPr>
      </w:pPr>
    </w:p>
    <w:p>
      <w:pPr>
        <w:jc w:val="both"/>
        <w:ind w:right="20"/>
        <w:spacing w:after="0" w:line="26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 w:lineRule="exact"/>
        <w:rPr>
          <w:sz w:val="24"/>
          <w:szCs w:val="24"/>
          <w:color w:val="auto"/>
        </w:rPr>
      </w:pPr>
    </w:p>
    <w:p>
      <w:pPr>
        <w:spacing w:after="0" w:line="207" w:lineRule="exact"/>
        <w:tabs>
          <w:tab w:leader="none" w:pos="7640" w:val="left"/>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6, 2018, there were 26,751,578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177800</wp:posOffset>
            </wp:positionV>
            <wp:extent cx="2624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1300"/>
          </w:cols>
          <w:pgMar w:left="240" w:top="486" w:right="359" w:bottom="1440" w:gutter="0" w:footer="0" w:header="0"/>
          <w:type w:val="continuous"/>
        </w:sectPr>
      </w:pPr>
    </w:p>
    <w:bookmarkStart w:id="1" w:name="page2"/>
    <w:bookmarkEnd w:id="1"/>
    <w:p>
      <w:pPr>
        <w:jc w:val="center"/>
        <w:ind w:left="1500"/>
        <w:spacing w:after="0"/>
        <w:rPr>
          <w:sz w:val="20"/>
          <w:szCs w:val="20"/>
          <w:color w:val="auto"/>
        </w:rPr>
      </w:pPr>
      <w:r>
        <w:rPr>
          <w:rFonts w:ascii="Arial" w:cs="Arial" w:eastAsia="Arial" w:hAnsi="Arial"/>
          <w:sz w:val="22"/>
          <w:szCs w:val="22"/>
          <w:b w:val="1"/>
          <w:bCs w:val="1"/>
          <w:color w:val="auto"/>
        </w:rPr>
        <w:t>ANAPTYSBIO, INC.</w:t>
      </w:r>
    </w:p>
    <w:p>
      <w:pPr>
        <w:spacing w:after="0" w:line="28" w:lineRule="exact"/>
        <w:rPr>
          <w:sz w:val="20"/>
          <w:szCs w:val="20"/>
          <w:color w:val="auto"/>
        </w:rPr>
      </w:pPr>
    </w:p>
    <w:p>
      <w:pPr>
        <w:jc w:val="center"/>
        <w:ind w:left="150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23" w:lineRule="exact"/>
        <w:rPr>
          <w:sz w:val="20"/>
          <w:szCs w:val="20"/>
          <w:color w:val="auto"/>
        </w:rPr>
      </w:pPr>
    </w:p>
    <w:p>
      <w:pPr>
        <w:ind w:left="40"/>
        <w:spacing w:after="0"/>
        <w:tabs>
          <w:tab w:leader="none" w:pos="1620" w:val="left"/>
        </w:tabs>
        <w:rPr>
          <w:rFonts w:ascii="Arial" w:cs="Arial" w:eastAsia="Arial" w:hAnsi="Arial"/>
          <w:sz w:val="16"/>
          <w:szCs w:val="16"/>
          <w:u w:val="single" w:color="auto"/>
          <w:color w:val="0000EE"/>
        </w:rPr>
      </w:pPr>
      <w:hyperlink w:anchor="page3">
        <w:r>
          <w:rPr>
            <w:rFonts w:ascii="Arial" w:cs="Arial" w:eastAsia="Arial" w:hAnsi="Arial"/>
            <w:sz w:val="18"/>
            <w:szCs w:val="18"/>
            <w:color w:val="auto"/>
          </w:rPr>
          <w:t>Item 1.</w:t>
        </w:r>
      </w:hyperlink>
      <w:r>
        <w:rPr>
          <w:rFonts w:ascii="Arial" w:cs="Arial" w:eastAsia="Arial" w:hAnsi="Arial"/>
          <w:sz w:val="18"/>
          <w:szCs w:val="18"/>
          <w:color w:val="auto"/>
        </w:rPr>
        <w:tab/>
      </w:r>
      <w:hyperlink w:anchor="page3">
        <w:r>
          <w:rPr>
            <w:rFonts w:ascii="Arial" w:cs="Arial" w:eastAsia="Arial" w:hAnsi="Arial"/>
            <w:sz w:val="16"/>
            <w:szCs w:val="16"/>
            <w:u w:val="single" w:color="auto"/>
            <w:color w:val="0000EE"/>
          </w:rPr>
          <w:t>Consolidated Financial Statements (unaudited)</w:t>
        </w:r>
      </w:hyperlink>
    </w:p>
    <w:p>
      <w:pPr>
        <w:spacing w:after="0" w:line="144" w:lineRule="exact"/>
        <w:rPr>
          <w:sz w:val="20"/>
          <w:szCs w:val="20"/>
          <w:color w:val="auto"/>
        </w:rPr>
      </w:pPr>
    </w:p>
    <w:p>
      <w:pPr>
        <w:ind w:left="16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 as of September 30, 2018 and December 31,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spacing w:after="0" w:line="124" w:lineRule="exact"/>
        <w:rPr>
          <w:sz w:val="20"/>
          <w:szCs w:val="20"/>
          <w:color w:val="auto"/>
        </w:rPr>
      </w:pPr>
    </w:p>
    <w:p>
      <w:pPr>
        <w:ind w:left="1640"/>
        <w:spacing w:after="0" w:line="277"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Operations and Comprehensive Loss for the Three and Nine Months Ended September</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30, 2018 and 2017</w:t>
        </w:r>
      </w:hyperlink>
    </w:p>
    <w:p>
      <w:pPr>
        <w:spacing w:after="0" w:line="89" w:lineRule="exact"/>
        <w:rPr>
          <w:sz w:val="20"/>
          <w:szCs w:val="20"/>
          <w:color w:val="auto"/>
        </w:rPr>
      </w:pPr>
    </w:p>
    <w:p>
      <w:pPr>
        <w:ind w:left="1640" w:right="1200"/>
        <w:spacing w:after="0" w:line="407"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Cash Flows for the Nine Months Ended September 30, 2018 and 2017</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Notes to the Unaudited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40"/>
        <w:spacing w:after="0"/>
        <w:tabs>
          <w:tab w:leader="none" w:pos="1620" w:val="left"/>
        </w:tabs>
        <w:rPr>
          <w:rFonts w:ascii="Arial" w:cs="Arial" w:eastAsia="Arial" w:hAnsi="Arial"/>
          <w:sz w:val="16"/>
          <w:szCs w:val="16"/>
          <w:u w:val="single" w:color="auto"/>
          <w:color w:val="0000EE"/>
        </w:rPr>
      </w:pPr>
      <w:hyperlink w:anchor="page22">
        <w:r>
          <w:rPr>
            <w:rFonts w:ascii="Arial" w:cs="Arial" w:eastAsia="Arial" w:hAnsi="Arial"/>
            <w:sz w:val="18"/>
            <w:szCs w:val="18"/>
            <w:color w:val="auto"/>
          </w:rPr>
          <w:t>Item 2.</w:t>
        </w:r>
      </w:hyperlink>
      <w:r>
        <w:rPr>
          <w:rFonts w:ascii="Arial" w:cs="Arial" w:eastAsia="Arial" w:hAnsi="Arial"/>
          <w:sz w:val="18"/>
          <w:szCs w:val="18"/>
          <w:color w:val="auto"/>
        </w:rPr>
        <w:tab/>
      </w:r>
      <w:hyperlink w:anchor="page22">
        <w:r>
          <w:rPr>
            <w:rFonts w:ascii="Arial" w:cs="Arial" w:eastAsia="Arial" w:hAnsi="Arial"/>
            <w:sz w:val="16"/>
            <w:szCs w:val="16"/>
            <w:u w:val="single" w:color="auto"/>
            <w:color w:val="0000EE"/>
          </w:rPr>
          <w:t>Management’s Discussion and Analysis of Financial Condition and Results of Operations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24" w:lineRule="exact"/>
        <w:rPr>
          <w:sz w:val="20"/>
          <w:szCs w:val="20"/>
          <w:color w:val="auto"/>
        </w:rPr>
      </w:pPr>
    </w:p>
    <w:p>
      <w:pPr>
        <w:ind w:left="40"/>
        <w:spacing w:after="0"/>
        <w:tabs>
          <w:tab w:leader="none" w:pos="1620" w:val="left"/>
        </w:tabs>
        <w:rPr>
          <w:rFonts w:ascii="Arial" w:cs="Arial" w:eastAsia="Arial" w:hAnsi="Arial"/>
          <w:sz w:val="16"/>
          <w:szCs w:val="16"/>
          <w:u w:val="single" w:color="auto"/>
          <w:color w:val="0000EE"/>
        </w:rPr>
      </w:pPr>
      <w:hyperlink w:anchor="page32">
        <w:r>
          <w:rPr>
            <w:rFonts w:ascii="Arial" w:cs="Arial" w:eastAsia="Arial" w:hAnsi="Arial"/>
            <w:sz w:val="18"/>
            <w:szCs w:val="18"/>
            <w:color w:val="auto"/>
          </w:rPr>
          <w:t>Item 3.</w:t>
        </w:r>
      </w:hyperlink>
      <w:r>
        <w:rPr>
          <w:rFonts w:ascii="Arial" w:cs="Arial" w:eastAsia="Arial" w:hAnsi="Arial"/>
          <w:sz w:val="18"/>
          <w:szCs w:val="18"/>
          <w:color w:val="auto"/>
        </w:rPr>
        <w:tab/>
      </w:r>
      <w:hyperlink w:anchor="page32">
        <w:r>
          <w:rPr>
            <w:rFonts w:ascii="Arial" w:cs="Arial" w:eastAsia="Arial" w:hAnsi="Arial"/>
            <w:sz w:val="16"/>
            <w:szCs w:val="16"/>
            <w:u w:val="single" w:color="auto"/>
            <w:color w:val="0000EE"/>
          </w:rPr>
          <w:t>Quantitative and Qualitative Disclosures About Market Risk</w:t>
        </w:r>
      </w:hyperlink>
    </w:p>
    <w:p>
      <w:pPr>
        <w:spacing w:after="0" w:line="144" w:lineRule="exact"/>
        <w:rPr>
          <w:sz w:val="20"/>
          <w:szCs w:val="20"/>
          <w:color w:val="auto"/>
        </w:rPr>
      </w:pPr>
    </w:p>
    <w:p>
      <w:pPr>
        <w:ind w:left="40"/>
        <w:spacing w:after="0"/>
        <w:tabs>
          <w:tab w:leader="none" w:pos="1620" w:val="left"/>
        </w:tabs>
        <w:rPr>
          <w:rFonts w:ascii="Arial" w:cs="Arial" w:eastAsia="Arial" w:hAnsi="Arial"/>
          <w:sz w:val="16"/>
          <w:szCs w:val="16"/>
          <w:u w:val="single" w:color="auto"/>
          <w:color w:val="0000EE"/>
        </w:rPr>
      </w:pPr>
      <w:hyperlink w:anchor="page32">
        <w:r>
          <w:rPr>
            <w:rFonts w:ascii="Arial" w:cs="Arial" w:eastAsia="Arial" w:hAnsi="Arial"/>
            <w:sz w:val="18"/>
            <w:szCs w:val="18"/>
            <w:color w:val="auto"/>
          </w:rPr>
          <w:t>Item 4.</w:t>
        </w:r>
      </w:hyperlink>
      <w:r>
        <w:rPr>
          <w:rFonts w:ascii="Arial" w:cs="Arial" w:eastAsia="Arial" w:hAnsi="Arial"/>
          <w:sz w:val="18"/>
          <w:szCs w:val="18"/>
          <w:color w:val="auto"/>
        </w:rPr>
        <w:tab/>
      </w:r>
      <w:hyperlink w:anchor="page32">
        <w:r>
          <w:rPr>
            <w:rFonts w:ascii="Arial" w:cs="Arial" w:eastAsia="Arial" w:hAnsi="Arial"/>
            <w:sz w:val="16"/>
            <w:szCs w:val="16"/>
            <w:u w:val="single" w:color="auto"/>
            <w:color w:val="0000EE"/>
          </w:rPr>
          <w:t>Controls and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53975</wp:posOffset>
            </wp:positionV>
            <wp:extent cx="934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p>
      <w:pPr>
        <w:spacing w:after="0" w:line="144" w:lineRule="exact"/>
        <w:rPr>
          <w:sz w:val="20"/>
          <w:szCs w:val="20"/>
          <w:color w:val="auto"/>
        </w:rPr>
      </w:pPr>
    </w:p>
    <w:p>
      <w:pPr>
        <w:ind w:left="440"/>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p>
      <w:pPr>
        <w:spacing w:after="0" w:line="360" w:lineRule="exact"/>
        <w:rPr>
          <w:sz w:val="20"/>
          <w:szCs w:val="20"/>
          <w:color w:val="auto"/>
        </w:rPr>
      </w:pPr>
    </w:p>
    <w:p>
      <w:pPr>
        <w:ind w:left="440"/>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p>
      <w:pPr>
        <w:spacing w:after="0" w:line="144" w:lineRule="exact"/>
        <w:rPr>
          <w:sz w:val="20"/>
          <w:szCs w:val="20"/>
          <w:color w:val="auto"/>
        </w:rPr>
      </w:pPr>
    </w:p>
    <w:p>
      <w:pPr>
        <w:ind w:left="440"/>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p>
      <w:pPr>
        <w:spacing w:after="0" w:line="144" w:lineRule="exact"/>
        <w:rPr>
          <w:sz w:val="20"/>
          <w:szCs w:val="20"/>
          <w:color w:val="auto"/>
        </w:rPr>
      </w:pPr>
    </w:p>
    <w:p>
      <w:pPr>
        <w:ind w:left="440"/>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22">
        <w:r>
          <w:rPr>
            <w:rFonts w:ascii="Arial" w:cs="Arial" w:eastAsia="Arial" w:hAnsi="Arial"/>
            <w:sz w:val="18"/>
            <w:szCs w:val="18"/>
            <w:color w:val="auto"/>
          </w:rPr>
          <w:t>20</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p>
      <w:pPr>
        <w:spacing w:after="0" w:line="790" w:lineRule="exact"/>
        <w:rPr>
          <w:sz w:val="20"/>
          <w:szCs w:val="20"/>
          <w:color w:val="auto"/>
        </w:rPr>
      </w:pPr>
    </w:p>
    <w:p>
      <w:pPr>
        <w:sectPr>
          <w:pgSz w:w="11900" w:h="16838" w:orient="portrait"/>
          <w:cols w:equalWidth="0" w:num="2">
            <w:col w:w="9920" w:space="280"/>
            <w:col w:w="1220"/>
          </w:cols>
          <w:pgMar w:left="240" w:top="369" w:right="239" w:bottom="1440" w:gutter="0" w:footer="0" w:header="0"/>
        </w:sectPr>
      </w:pP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ind w:left="40"/>
              <w:spacing w:after="0"/>
              <w:rPr>
                <w:rFonts w:ascii="Arial" w:cs="Arial" w:eastAsia="Arial" w:hAnsi="Arial"/>
                <w:sz w:val="18"/>
                <w:szCs w:val="18"/>
                <w:color w:val="auto"/>
              </w:rPr>
            </w:pPr>
            <w:hyperlink w:anchor="page33">
              <w:r>
                <w:rPr>
                  <w:rFonts w:ascii="Arial" w:cs="Arial" w:eastAsia="Arial" w:hAnsi="Arial"/>
                  <w:sz w:val="18"/>
                  <w:szCs w:val="18"/>
                  <w:color w:val="auto"/>
                </w:rPr>
                <w:t>Item 1.</w:t>
              </w:r>
            </w:hyperlink>
          </w:p>
        </w:tc>
        <w:tc>
          <w:tcPr>
            <w:tcW w:w="6660" w:type="dxa"/>
            <w:vAlign w:val="bottom"/>
            <w:gridSpan w:val="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3120" w:type="dxa"/>
            <w:vAlign w:val="bottom"/>
            <w:vMerge w:val="restart"/>
          </w:tcPr>
          <w:p>
            <w:pPr>
              <w:jc w:val="right"/>
              <w:ind w:right="550"/>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102"/>
        </w:trPr>
        <w:tc>
          <w:tcPr>
            <w:tcW w:w="164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40" w:type="dxa"/>
            <w:vAlign w:val="bottom"/>
            <w:shd w:val="clear" w:color="auto" w:fill="CCEEFF"/>
          </w:tcPr>
          <w:p>
            <w:pPr>
              <w:ind w:left="40"/>
              <w:spacing w:after="0" w:line="202" w:lineRule="exact"/>
              <w:rPr>
                <w:rFonts w:ascii="Arial" w:cs="Arial" w:eastAsia="Arial" w:hAnsi="Arial"/>
                <w:sz w:val="18"/>
                <w:szCs w:val="18"/>
                <w:color w:val="auto"/>
              </w:rPr>
            </w:pPr>
            <w:hyperlink w:anchor="page33">
              <w:r>
                <w:rPr>
                  <w:rFonts w:ascii="Arial" w:cs="Arial" w:eastAsia="Arial" w:hAnsi="Arial"/>
                  <w:sz w:val="18"/>
                  <w:szCs w:val="18"/>
                  <w:color w:val="auto"/>
                </w:rPr>
                <w:t>Item 1A.</w:t>
              </w:r>
            </w:hyperlink>
          </w:p>
        </w:tc>
        <w:tc>
          <w:tcPr>
            <w:tcW w:w="6660" w:type="dxa"/>
            <w:vAlign w:val="bottom"/>
            <w:gridSpan w:val="8"/>
            <w:shd w:val="clear" w:color="auto" w:fill="CCEEFF"/>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3120" w:type="dxa"/>
            <w:vAlign w:val="bottom"/>
            <w:vMerge w:val="restart"/>
            <w:shd w:val="clear" w:color="auto" w:fill="CCEEFF"/>
          </w:tcPr>
          <w:p>
            <w:pPr>
              <w:jc w:val="right"/>
              <w:ind w:right="550"/>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109"/>
        </w:trPr>
        <w:tc>
          <w:tcPr>
            <w:tcW w:w="1640" w:type="dxa"/>
            <w:vAlign w:val="bottom"/>
            <w:tcBorders>
              <w:top w:val="single" w:sz="8" w:color="CCEEFF"/>
              <w:bottom w:val="single" w:sz="8" w:color="CCEEFF"/>
            </w:tcBorders>
            <w:shd w:val="clear" w:color="auto" w:fill="CCEEFF"/>
          </w:tcPr>
          <w:p>
            <w:pPr>
              <w:spacing w:after="0"/>
              <w:rPr>
                <w:sz w:val="9"/>
                <w:szCs w:val="9"/>
                <w:color w:val="auto"/>
              </w:rPr>
            </w:pPr>
          </w:p>
        </w:tc>
        <w:tc>
          <w:tcPr>
            <w:tcW w:w="600" w:type="dxa"/>
            <w:vAlign w:val="bottom"/>
            <w:tcBorders>
              <w:top w:val="single" w:sz="8" w:color="0000EE"/>
              <w:bottom w:val="single" w:sz="8" w:color="CCEEFF"/>
            </w:tcBorders>
            <w:shd w:val="clear" w:color="auto" w:fill="CCEEFF"/>
          </w:tcPr>
          <w:p>
            <w:pPr>
              <w:spacing w:after="0"/>
              <w:rPr>
                <w:sz w:val="9"/>
                <w:szCs w:val="9"/>
                <w:color w:val="auto"/>
              </w:rPr>
            </w:pPr>
          </w:p>
        </w:tc>
        <w:tc>
          <w:tcPr>
            <w:tcW w:w="300" w:type="dxa"/>
            <w:vAlign w:val="bottom"/>
            <w:tcBorders>
              <w:top w:val="single" w:sz="8" w:color="0000EE"/>
              <w:bottom w:val="single" w:sz="8" w:color="CCEEFF"/>
            </w:tcBorders>
            <w:shd w:val="clear" w:color="auto" w:fill="CCEEFF"/>
          </w:tcPr>
          <w:p>
            <w:pPr>
              <w:spacing w:after="0"/>
              <w:rPr>
                <w:sz w:val="9"/>
                <w:szCs w:val="9"/>
                <w:color w:val="auto"/>
              </w:rPr>
            </w:pPr>
          </w:p>
        </w:tc>
        <w:tc>
          <w:tcPr>
            <w:tcW w:w="4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440" w:type="dxa"/>
            <w:vAlign w:val="bottom"/>
            <w:tcBorders>
              <w:top w:val="single" w:sz="8" w:color="CCEEFF"/>
              <w:bottom w:val="single" w:sz="8" w:color="CCEEFF"/>
            </w:tcBorders>
            <w:shd w:val="clear" w:color="auto" w:fill="CCEEFF"/>
          </w:tcPr>
          <w:p>
            <w:pPr>
              <w:spacing w:after="0"/>
              <w:rPr>
                <w:sz w:val="9"/>
                <w:szCs w:val="9"/>
                <w:color w:val="auto"/>
              </w:rPr>
            </w:pPr>
          </w:p>
        </w:tc>
        <w:tc>
          <w:tcPr>
            <w:tcW w:w="540" w:type="dxa"/>
            <w:vAlign w:val="bottom"/>
            <w:tcBorders>
              <w:top w:val="single" w:sz="8" w:color="CCEEFF"/>
              <w:bottom w:val="single" w:sz="8" w:color="CCEEFF"/>
            </w:tcBorders>
            <w:shd w:val="clear" w:color="auto" w:fill="CCEEFF"/>
          </w:tcPr>
          <w:p>
            <w:pPr>
              <w:spacing w:after="0"/>
              <w:rPr>
                <w:sz w:val="9"/>
                <w:szCs w:val="9"/>
                <w:color w:val="auto"/>
              </w:rPr>
            </w:pPr>
          </w:p>
        </w:tc>
        <w:tc>
          <w:tcPr>
            <w:tcW w:w="2040" w:type="dxa"/>
            <w:vAlign w:val="bottom"/>
            <w:tcBorders>
              <w:top w:val="single" w:sz="8" w:color="CCEEFF"/>
              <w:bottom w:val="single" w:sz="8" w:color="CCEEFF"/>
            </w:tcBorders>
            <w:shd w:val="clear" w:color="auto" w:fill="CCEEFF"/>
          </w:tcPr>
          <w:p>
            <w:pPr>
              <w:spacing w:after="0"/>
              <w:rPr>
                <w:sz w:val="9"/>
                <w:szCs w:val="9"/>
                <w:color w:val="auto"/>
              </w:rPr>
            </w:pPr>
          </w:p>
        </w:tc>
        <w:tc>
          <w:tcPr>
            <w:tcW w:w="2300" w:type="dxa"/>
            <w:vAlign w:val="bottom"/>
            <w:tcBorders>
              <w:top w:val="single" w:sz="8" w:color="CCEEFF"/>
              <w:bottom w:val="single" w:sz="8" w:color="CCEEFF"/>
            </w:tcBorders>
            <w:shd w:val="clear" w:color="auto" w:fill="CCEEFF"/>
          </w:tcPr>
          <w:p>
            <w:pPr>
              <w:spacing w:after="0"/>
              <w:rPr>
                <w:sz w:val="9"/>
                <w:szCs w:val="9"/>
                <w:color w:val="auto"/>
              </w:rPr>
            </w:pPr>
          </w:p>
        </w:tc>
        <w:tc>
          <w:tcPr>
            <w:tcW w:w="312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40"/>
              <w:spacing w:after="0" w:line="202" w:lineRule="exact"/>
              <w:rPr>
                <w:rFonts w:ascii="Arial" w:cs="Arial" w:eastAsia="Arial" w:hAnsi="Arial"/>
                <w:sz w:val="18"/>
                <w:szCs w:val="18"/>
                <w:color w:val="auto"/>
              </w:rPr>
            </w:pPr>
            <w:hyperlink w:anchor="page65">
              <w:r>
                <w:rPr>
                  <w:rFonts w:ascii="Arial" w:cs="Arial" w:eastAsia="Arial" w:hAnsi="Arial"/>
                  <w:sz w:val="18"/>
                  <w:szCs w:val="18"/>
                  <w:color w:val="auto"/>
                </w:rPr>
                <w:t>Item 2.</w:t>
              </w:r>
            </w:hyperlink>
          </w:p>
        </w:tc>
        <w:tc>
          <w:tcPr>
            <w:tcW w:w="6660" w:type="dxa"/>
            <w:vAlign w:val="bottom"/>
            <w:gridSpan w:val="8"/>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Unregistered Sales of Equity Securities and Use of Proceeds</w:t>
              </w:r>
            </w:hyperlink>
          </w:p>
        </w:tc>
        <w:tc>
          <w:tcPr>
            <w:tcW w:w="3120" w:type="dxa"/>
            <w:vAlign w:val="bottom"/>
            <w:vMerge w:val="restart"/>
          </w:tcPr>
          <w:p>
            <w:pPr>
              <w:jc w:val="right"/>
              <w:ind w:right="550"/>
              <w:spacing w:after="0"/>
              <w:rPr>
                <w:rFonts w:ascii="Arial" w:cs="Arial" w:eastAsia="Arial" w:hAnsi="Arial"/>
                <w:sz w:val="18"/>
                <w:szCs w:val="18"/>
                <w:color w:val="auto"/>
              </w:rPr>
            </w:pPr>
            <w:hyperlink w:anchor="page65">
              <w:r>
                <w:rPr>
                  <w:rFonts w:ascii="Arial" w:cs="Arial" w:eastAsia="Arial" w:hAnsi="Arial"/>
                  <w:sz w:val="18"/>
                  <w:szCs w:val="18"/>
                  <w:color w:val="auto"/>
                </w:rPr>
                <w:t>63</w:t>
              </w:r>
            </w:hyperlink>
          </w:p>
        </w:tc>
        <w:tc>
          <w:tcPr>
            <w:tcW w:w="0" w:type="dxa"/>
            <w:vAlign w:val="bottom"/>
          </w:tcPr>
          <w:p>
            <w:pPr>
              <w:spacing w:after="0"/>
              <w:rPr>
                <w:sz w:val="1"/>
                <w:szCs w:val="1"/>
                <w:color w:val="auto"/>
              </w:rPr>
            </w:pPr>
          </w:p>
        </w:tc>
      </w:tr>
      <w:tr>
        <w:trPr>
          <w:trHeight w:val="102"/>
        </w:trPr>
        <w:tc>
          <w:tcPr>
            <w:tcW w:w="164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40" w:type="dxa"/>
            <w:vAlign w:val="bottom"/>
            <w:tcBorders>
              <w:top w:val="single" w:sz="8" w:color="0000EE"/>
            </w:tcBorders>
          </w:tcPr>
          <w:p>
            <w:pPr>
              <w:spacing w:after="0"/>
              <w:rPr>
                <w:sz w:val="8"/>
                <w:szCs w:val="8"/>
                <w:color w:val="auto"/>
              </w:rPr>
            </w:pPr>
          </w:p>
        </w:tc>
        <w:tc>
          <w:tcPr>
            <w:tcW w:w="230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40" w:type="dxa"/>
            <w:vAlign w:val="bottom"/>
            <w:shd w:val="clear" w:color="auto" w:fill="CCEEFF"/>
          </w:tcPr>
          <w:p>
            <w:pPr>
              <w:ind w:left="40"/>
              <w:spacing w:after="0" w:line="202" w:lineRule="exact"/>
              <w:rPr>
                <w:rFonts w:ascii="Arial" w:cs="Arial" w:eastAsia="Arial" w:hAnsi="Arial"/>
                <w:sz w:val="18"/>
                <w:szCs w:val="18"/>
                <w:color w:val="auto"/>
              </w:rPr>
            </w:pPr>
            <w:hyperlink w:anchor="page65">
              <w:r>
                <w:rPr>
                  <w:rFonts w:ascii="Arial" w:cs="Arial" w:eastAsia="Arial" w:hAnsi="Arial"/>
                  <w:sz w:val="18"/>
                  <w:szCs w:val="18"/>
                  <w:color w:val="auto"/>
                </w:rPr>
                <w:t>Item 3.</w:t>
              </w:r>
            </w:hyperlink>
          </w:p>
        </w:tc>
        <w:tc>
          <w:tcPr>
            <w:tcW w:w="6660" w:type="dxa"/>
            <w:vAlign w:val="bottom"/>
            <w:gridSpan w:val="8"/>
            <w:shd w:val="clear" w:color="auto" w:fill="CCEEFF"/>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Defaults Upon Senior Securities</w:t>
              </w:r>
            </w:hyperlink>
          </w:p>
        </w:tc>
        <w:tc>
          <w:tcPr>
            <w:tcW w:w="3120" w:type="dxa"/>
            <w:vAlign w:val="bottom"/>
            <w:vMerge w:val="restart"/>
            <w:shd w:val="clear" w:color="auto" w:fill="CCEEFF"/>
          </w:tcPr>
          <w:p>
            <w:pPr>
              <w:jc w:val="right"/>
              <w:ind w:right="550"/>
              <w:spacing w:after="0"/>
              <w:rPr>
                <w:rFonts w:ascii="Arial" w:cs="Arial" w:eastAsia="Arial" w:hAnsi="Arial"/>
                <w:sz w:val="18"/>
                <w:szCs w:val="18"/>
                <w:color w:val="auto"/>
              </w:rPr>
            </w:pPr>
            <w:hyperlink w:anchor="page65">
              <w:r>
                <w:rPr>
                  <w:rFonts w:ascii="Arial" w:cs="Arial" w:eastAsia="Arial" w:hAnsi="Arial"/>
                  <w:sz w:val="18"/>
                  <w:szCs w:val="18"/>
                  <w:color w:val="auto"/>
                </w:rPr>
                <w:t>63</w:t>
              </w:r>
            </w:hyperlink>
          </w:p>
        </w:tc>
        <w:tc>
          <w:tcPr>
            <w:tcW w:w="0" w:type="dxa"/>
            <w:vAlign w:val="bottom"/>
          </w:tcPr>
          <w:p>
            <w:pPr>
              <w:spacing w:after="0"/>
              <w:rPr>
                <w:sz w:val="1"/>
                <w:szCs w:val="1"/>
                <w:color w:val="auto"/>
              </w:rPr>
            </w:pPr>
          </w:p>
        </w:tc>
      </w:tr>
      <w:tr>
        <w:trPr>
          <w:trHeight w:val="109"/>
        </w:trPr>
        <w:tc>
          <w:tcPr>
            <w:tcW w:w="1640" w:type="dxa"/>
            <w:vAlign w:val="bottom"/>
            <w:tcBorders>
              <w:top w:val="single" w:sz="8" w:color="CCEEFF"/>
              <w:bottom w:val="single" w:sz="8" w:color="CCEEFF"/>
            </w:tcBorders>
            <w:shd w:val="clear" w:color="auto" w:fill="CCEEFF"/>
          </w:tcPr>
          <w:p>
            <w:pPr>
              <w:spacing w:after="0"/>
              <w:rPr>
                <w:sz w:val="9"/>
                <w:szCs w:val="9"/>
                <w:color w:val="auto"/>
              </w:rPr>
            </w:pPr>
          </w:p>
        </w:tc>
        <w:tc>
          <w:tcPr>
            <w:tcW w:w="600" w:type="dxa"/>
            <w:vAlign w:val="bottom"/>
            <w:tcBorders>
              <w:top w:val="single" w:sz="8" w:color="0000EE"/>
              <w:bottom w:val="single" w:sz="8" w:color="CCEEFF"/>
            </w:tcBorders>
            <w:shd w:val="clear" w:color="auto" w:fill="CCEEFF"/>
          </w:tcPr>
          <w:p>
            <w:pPr>
              <w:spacing w:after="0"/>
              <w:rPr>
                <w:sz w:val="9"/>
                <w:szCs w:val="9"/>
                <w:color w:val="auto"/>
              </w:rPr>
            </w:pPr>
          </w:p>
        </w:tc>
        <w:tc>
          <w:tcPr>
            <w:tcW w:w="300" w:type="dxa"/>
            <w:vAlign w:val="bottom"/>
            <w:tcBorders>
              <w:top w:val="single" w:sz="8" w:color="0000EE"/>
              <w:bottom w:val="single" w:sz="8" w:color="CCEEFF"/>
            </w:tcBorders>
            <w:shd w:val="clear" w:color="auto" w:fill="CCEEFF"/>
          </w:tcPr>
          <w:p>
            <w:pPr>
              <w:spacing w:after="0"/>
              <w:rPr>
                <w:sz w:val="9"/>
                <w:szCs w:val="9"/>
                <w:color w:val="auto"/>
              </w:rPr>
            </w:pPr>
          </w:p>
        </w:tc>
        <w:tc>
          <w:tcPr>
            <w:tcW w:w="420" w:type="dxa"/>
            <w:vAlign w:val="bottom"/>
            <w:tcBorders>
              <w:top w:val="single" w:sz="8" w:color="0000EE"/>
              <w:bottom w:val="single" w:sz="8" w:color="CCEEFF"/>
            </w:tcBorders>
            <w:shd w:val="clear" w:color="auto" w:fill="CCEEFF"/>
          </w:tcPr>
          <w:p>
            <w:pPr>
              <w:spacing w:after="0"/>
              <w:rPr>
                <w:sz w:val="9"/>
                <w:szCs w:val="9"/>
                <w:color w:val="auto"/>
              </w:rPr>
            </w:pPr>
          </w:p>
        </w:tc>
        <w:tc>
          <w:tcPr>
            <w:tcW w:w="20" w:type="dxa"/>
            <w:vAlign w:val="bottom"/>
            <w:tcBorders>
              <w:top w:val="single" w:sz="8" w:color="0000EE"/>
              <w:bottom w:val="single" w:sz="8" w:color="CCEEFF"/>
            </w:tcBorders>
            <w:shd w:val="clear" w:color="auto" w:fill="CCEEFF"/>
          </w:tcPr>
          <w:p>
            <w:pPr>
              <w:spacing w:after="0"/>
              <w:rPr>
                <w:sz w:val="9"/>
                <w:szCs w:val="9"/>
                <w:color w:val="auto"/>
              </w:rPr>
            </w:pPr>
          </w:p>
        </w:tc>
        <w:tc>
          <w:tcPr>
            <w:tcW w:w="440" w:type="dxa"/>
            <w:vAlign w:val="bottom"/>
            <w:tcBorders>
              <w:top w:val="single" w:sz="8" w:color="0000EE"/>
              <w:bottom w:val="single" w:sz="8" w:color="CCEEFF"/>
            </w:tcBorders>
            <w:shd w:val="clear" w:color="auto" w:fill="CCEEFF"/>
          </w:tcPr>
          <w:p>
            <w:pPr>
              <w:spacing w:after="0"/>
              <w:rPr>
                <w:sz w:val="9"/>
                <w:szCs w:val="9"/>
                <w:color w:val="auto"/>
              </w:rPr>
            </w:pPr>
          </w:p>
        </w:tc>
        <w:tc>
          <w:tcPr>
            <w:tcW w:w="540" w:type="dxa"/>
            <w:vAlign w:val="bottom"/>
            <w:tcBorders>
              <w:top w:val="single" w:sz="8" w:color="0000EE"/>
              <w:bottom w:val="single" w:sz="8" w:color="CCEEFF"/>
            </w:tcBorders>
            <w:shd w:val="clear" w:color="auto" w:fill="CCEEFF"/>
          </w:tcPr>
          <w:p>
            <w:pPr>
              <w:spacing w:after="0"/>
              <w:rPr>
                <w:sz w:val="9"/>
                <w:szCs w:val="9"/>
                <w:color w:val="auto"/>
              </w:rPr>
            </w:pPr>
          </w:p>
        </w:tc>
        <w:tc>
          <w:tcPr>
            <w:tcW w:w="2040" w:type="dxa"/>
            <w:vAlign w:val="bottom"/>
            <w:tcBorders>
              <w:top w:val="single" w:sz="8" w:color="CCEEFF"/>
              <w:bottom w:val="single" w:sz="8" w:color="CCEEFF"/>
            </w:tcBorders>
            <w:shd w:val="clear" w:color="auto" w:fill="CCEEFF"/>
          </w:tcPr>
          <w:p>
            <w:pPr>
              <w:spacing w:after="0"/>
              <w:rPr>
                <w:sz w:val="9"/>
                <w:szCs w:val="9"/>
                <w:color w:val="auto"/>
              </w:rPr>
            </w:pPr>
          </w:p>
        </w:tc>
        <w:tc>
          <w:tcPr>
            <w:tcW w:w="2300" w:type="dxa"/>
            <w:vAlign w:val="bottom"/>
            <w:tcBorders>
              <w:top w:val="single" w:sz="8" w:color="CCEEFF"/>
              <w:bottom w:val="single" w:sz="8" w:color="CCEEFF"/>
            </w:tcBorders>
            <w:shd w:val="clear" w:color="auto" w:fill="CCEEFF"/>
          </w:tcPr>
          <w:p>
            <w:pPr>
              <w:spacing w:after="0"/>
              <w:rPr>
                <w:sz w:val="9"/>
                <w:szCs w:val="9"/>
                <w:color w:val="auto"/>
              </w:rPr>
            </w:pPr>
          </w:p>
        </w:tc>
        <w:tc>
          <w:tcPr>
            <w:tcW w:w="312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40"/>
              <w:spacing w:after="0" w:line="202" w:lineRule="exact"/>
              <w:rPr>
                <w:rFonts w:ascii="Arial" w:cs="Arial" w:eastAsia="Arial" w:hAnsi="Arial"/>
                <w:sz w:val="18"/>
                <w:szCs w:val="18"/>
                <w:color w:val="auto"/>
              </w:rPr>
            </w:pPr>
            <w:hyperlink w:anchor="page65">
              <w:r>
                <w:rPr>
                  <w:rFonts w:ascii="Arial" w:cs="Arial" w:eastAsia="Arial" w:hAnsi="Arial"/>
                  <w:sz w:val="18"/>
                  <w:szCs w:val="18"/>
                  <w:color w:val="auto"/>
                </w:rPr>
                <w:t>Item 4.</w:t>
              </w:r>
            </w:hyperlink>
          </w:p>
        </w:tc>
        <w:tc>
          <w:tcPr>
            <w:tcW w:w="6660" w:type="dxa"/>
            <w:vAlign w:val="bottom"/>
            <w:gridSpan w:val="8"/>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Mine Safety Disclosures</w:t>
              </w:r>
            </w:hyperlink>
          </w:p>
        </w:tc>
        <w:tc>
          <w:tcPr>
            <w:tcW w:w="3120" w:type="dxa"/>
            <w:vAlign w:val="bottom"/>
            <w:vMerge w:val="restart"/>
          </w:tcPr>
          <w:p>
            <w:pPr>
              <w:jc w:val="right"/>
              <w:ind w:right="550"/>
              <w:spacing w:after="0"/>
              <w:rPr>
                <w:rFonts w:ascii="Arial" w:cs="Arial" w:eastAsia="Arial" w:hAnsi="Arial"/>
                <w:sz w:val="18"/>
                <w:szCs w:val="18"/>
                <w:color w:val="auto"/>
              </w:rPr>
            </w:pPr>
            <w:hyperlink w:anchor="page65">
              <w:r>
                <w:rPr>
                  <w:rFonts w:ascii="Arial" w:cs="Arial" w:eastAsia="Arial" w:hAnsi="Arial"/>
                  <w:sz w:val="18"/>
                  <w:szCs w:val="18"/>
                  <w:color w:val="auto"/>
                </w:rPr>
                <w:t>63</w:t>
              </w:r>
            </w:hyperlink>
          </w:p>
        </w:tc>
        <w:tc>
          <w:tcPr>
            <w:tcW w:w="0" w:type="dxa"/>
            <w:vAlign w:val="bottom"/>
          </w:tcPr>
          <w:p>
            <w:pPr>
              <w:spacing w:after="0"/>
              <w:rPr>
                <w:sz w:val="1"/>
                <w:szCs w:val="1"/>
                <w:color w:val="auto"/>
              </w:rPr>
            </w:pPr>
          </w:p>
        </w:tc>
      </w:tr>
      <w:tr>
        <w:trPr>
          <w:trHeight w:val="102"/>
        </w:trPr>
        <w:tc>
          <w:tcPr>
            <w:tcW w:w="164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40" w:type="dxa"/>
            <w:vAlign w:val="bottom"/>
            <w:shd w:val="clear" w:color="auto" w:fill="CCEEFF"/>
          </w:tcPr>
          <w:p>
            <w:pPr>
              <w:ind w:left="40"/>
              <w:spacing w:after="0" w:line="202" w:lineRule="exact"/>
              <w:rPr>
                <w:rFonts w:ascii="Arial" w:cs="Arial" w:eastAsia="Arial" w:hAnsi="Arial"/>
                <w:sz w:val="18"/>
                <w:szCs w:val="18"/>
                <w:color w:val="auto"/>
              </w:rPr>
            </w:pPr>
            <w:hyperlink w:anchor="page65">
              <w:r>
                <w:rPr>
                  <w:rFonts w:ascii="Arial" w:cs="Arial" w:eastAsia="Arial" w:hAnsi="Arial"/>
                  <w:sz w:val="18"/>
                  <w:szCs w:val="18"/>
                  <w:color w:val="auto"/>
                </w:rPr>
                <w:t>Item 5.</w:t>
              </w:r>
            </w:hyperlink>
          </w:p>
        </w:tc>
        <w:tc>
          <w:tcPr>
            <w:tcW w:w="6660" w:type="dxa"/>
            <w:vAlign w:val="bottom"/>
            <w:gridSpan w:val="8"/>
            <w:shd w:val="clear" w:color="auto" w:fill="CCEEFF"/>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Other Information</w:t>
              </w:r>
            </w:hyperlink>
          </w:p>
        </w:tc>
        <w:tc>
          <w:tcPr>
            <w:tcW w:w="3120" w:type="dxa"/>
            <w:vAlign w:val="bottom"/>
            <w:vMerge w:val="restart"/>
            <w:shd w:val="clear" w:color="auto" w:fill="CCEEFF"/>
          </w:tcPr>
          <w:p>
            <w:pPr>
              <w:jc w:val="right"/>
              <w:ind w:right="550"/>
              <w:spacing w:after="0"/>
              <w:rPr>
                <w:rFonts w:ascii="Arial" w:cs="Arial" w:eastAsia="Arial" w:hAnsi="Arial"/>
                <w:sz w:val="18"/>
                <w:szCs w:val="18"/>
                <w:color w:val="auto"/>
              </w:rPr>
            </w:pPr>
            <w:hyperlink w:anchor="page65">
              <w:r>
                <w:rPr>
                  <w:rFonts w:ascii="Arial" w:cs="Arial" w:eastAsia="Arial" w:hAnsi="Arial"/>
                  <w:sz w:val="18"/>
                  <w:szCs w:val="18"/>
                  <w:color w:val="auto"/>
                </w:rPr>
                <w:t>63</w:t>
              </w:r>
            </w:hyperlink>
          </w:p>
        </w:tc>
        <w:tc>
          <w:tcPr>
            <w:tcW w:w="0" w:type="dxa"/>
            <w:vAlign w:val="bottom"/>
          </w:tcPr>
          <w:p>
            <w:pPr>
              <w:spacing w:after="0"/>
              <w:rPr>
                <w:sz w:val="1"/>
                <w:szCs w:val="1"/>
                <w:color w:val="auto"/>
              </w:rPr>
            </w:pPr>
          </w:p>
        </w:tc>
      </w:tr>
      <w:tr>
        <w:trPr>
          <w:trHeight w:val="109"/>
        </w:trPr>
        <w:tc>
          <w:tcPr>
            <w:tcW w:w="1640" w:type="dxa"/>
            <w:vAlign w:val="bottom"/>
            <w:tcBorders>
              <w:top w:val="single" w:sz="8" w:color="CCEEFF"/>
              <w:bottom w:val="single" w:sz="8" w:color="CCEEFF"/>
            </w:tcBorders>
            <w:shd w:val="clear" w:color="auto" w:fill="CCEEFF"/>
          </w:tcPr>
          <w:p>
            <w:pPr>
              <w:spacing w:after="0"/>
              <w:rPr>
                <w:sz w:val="9"/>
                <w:szCs w:val="9"/>
                <w:color w:val="auto"/>
              </w:rPr>
            </w:pPr>
          </w:p>
        </w:tc>
        <w:tc>
          <w:tcPr>
            <w:tcW w:w="600" w:type="dxa"/>
            <w:vAlign w:val="bottom"/>
            <w:tcBorders>
              <w:top w:val="single" w:sz="8" w:color="0000EE"/>
              <w:bottom w:val="single" w:sz="8" w:color="CCEEFF"/>
            </w:tcBorders>
            <w:shd w:val="clear" w:color="auto" w:fill="CCEEFF"/>
          </w:tcPr>
          <w:p>
            <w:pPr>
              <w:spacing w:after="0"/>
              <w:rPr>
                <w:sz w:val="9"/>
                <w:szCs w:val="9"/>
                <w:color w:val="auto"/>
              </w:rPr>
            </w:pPr>
          </w:p>
        </w:tc>
        <w:tc>
          <w:tcPr>
            <w:tcW w:w="300" w:type="dxa"/>
            <w:vAlign w:val="bottom"/>
            <w:tcBorders>
              <w:top w:val="single" w:sz="8" w:color="0000EE"/>
              <w:bottom w:val="single" w:sz="8" w:color="CCEEFF"/>
            </w:tcBorders>
            <w:shd w:val="clear" w:color="auto" w:fill="CCEEFF"/>
          </w:tcPr>
          <w:p>
            <w:pPr>
              <w:spacing w:after="0"/>
              <w:rPr>
                <w:sz w:val="9"/>
                <w:szCs w:val="9"/>
                <w:color w:val="auto"/>
              </w:rPr>
            </w:pPr>
          </w:p>
        </w:tc>
        <w:tc>
          <w:tcPr>
            <w:tcW w:w="420" w:type="dxa"/>
            <w:vAlign w:val="bottom"/>
            <w:tcBorders>
              <w:top w:val="single" w:sz="8" w:color="0000EE"/>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440" w:type="dxa"/>
            <w:vAlign w:val="bottom"/>
            <w:tcBorders>
              <w:top w:val="single" w:sz="8" w:color="CCEEFF"/>
              <w:bottom w:val="single" w:sz="8" w:color="CCEEFF"/>
            </w:tcBorders>
            <w:shd w:val="clear" w:color="auto" w:fill="CCEEFF"/>
          </w:tcPr>
          <w:p>
            <w:pPr>
              <w:spacing w:after="0"/>
              <w:rPr>
                <w:sz w:val="9"/>
                <w:szCs w:val="9"/>
                <w:color w:val="auto"/>
              </w:rPr>
            </w:pPr>
          </w:p>
        </w:tc>
        <w:tc>
          <w:tcPr>
            <w:tcW w:w="540" w:type="dxa"/>
            <w:vAlign w:val="bottom"/>
            <w:tcBorders>
              <w:top w:val="single" w:sz="8" w:color="CCEEFF"/>
              <w:bottom w:val="single" w:sz="8" w:color="CCEEFF"/>
            </w:tcBorders>
            <w:shd w:val="clear" w:color="auto" w:fill="CCEEFF"/>
          </w:tcPr>
          <w:p>
            <w:pPr>
              <w:spacing w:after="0"/>
              <w:rPr>
                <w:sz w:val="9"/>
                <w:szCs w:val="9"/>
                <w:color w:val="auto"/>
              </w:rPr>
            </w:pPr>
          </w:p>
        </w:tc>
        <w:tc>
          <w:tcPr>
            <w:tcW w:w="2040" w:type="dxa"/>
            <w:vAlign w:val="bottom"/>
            <w:tcBorders>
              <w:top w:val="single" w:sz="8" w:color="CCEEFF"/>
              <w:bottom w:val="single" w:sz="8" w:color="CCEEFF"/>
            </w:tcBorders>
            <w:shd w:val="clear" w:color="auto" w:fill="CCEEFF"/>
          </w:tcPr>
          <w:p>
            <w:pPr>
              <w:spacing w:after="0"/>
              <w:rPr>
                <w:sz w:val="9"/>
                <w:szCs w:val="9"/>
                <w:color w:val="auto"/>
              </w:rPr>
            </w:pPr>
          </w:p>
        </w:tc>
        <w:tc>
          <w:tcPr>
            <w:tcW w:w="2300" w:type="dxa"/>
            <w:vAlign w:val="bottom"/>
            <w:tcBorders>
              <w:top w:val="single" w:sz="8" w:color="CCEEFF"/>
              <w:bottom w:val="single" w:sz="8" w:color="CCEEFF"/>
            </w:tcBorders>
            <w:shd w:val="clear" w:color="auto" w:fill="CCEEFF"/>
          </w:tcPr>
          <w:p>
            <w:pPr>
              <w:spacing w:after="0"/>
              <w:rPr>
                <w:sz w:val="9"/>
                <w:szCs w:val="9"/>
                <w:color w:val="auto"/>
              </w:rPr>
            </w:pPr>
          </w:p>
        </w:tc>
        <w:tc>
          <w:tcPr>
            <w:tcW w:w="312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40"/>
              <w:spacing w:after="0" w:line="202" w:lineRule="exact"/>
              <w:rPr>
                <w:rFonts w:ascii="Arial" w:cs="Arial" w:eastAsia="Arial" w:hAnsi="Arial"/>
                <w:sz w:val="18"/>
                <w:szCs w:val="18"/>
                <w:color w:val="auto"/>
              </w:rPr>
            </w:pPr>
            <w:hyperlink w:anchor="page66">
              <w:r>
                <w:rPr>
                  <w:rFonts w:ascii="Arial" w:cs="Arial" w:eastAsia="Arial" w:hAnsi="Arial"/>
                  <w:sz w:val="18"/>
                  <w:szCs w:val="18"/>
                  <w:color w:val="auto"/>
                </w:rPr>
                <w:t>Item 6.</w:t>
              </w:r>
            </w:hyperlink>
          </w:p>
        </w:tc>
        <w:tc>
          <w:tcPr>
            <w:tcW w:w="6660" w:type="dxa"/>
            <w:vAlign w:val="bottom"/>
            <w:gridSpan w:val="8"/>
          </w:tcPr>
          <w:p>
            <w:pPr>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Exhibits</w:t>
              </w:r>
            </w:hyperlink>
          </w:p>
        </w:tc>
        <w:tc>
          <w:tcPr>
            <w:tcW w:w="3120" w:type="dxa"/>
            <w:vAlign w:val="bottom"/>
            <w:vMerge w:val="restart"/>
          </w:tcPr>
          <w:p>
            <w:pPr>
              <w:jc w:val="right"/>
              <w:ind w:right="550"/>
              <w:spacing w:after="0"/>
              <w:rPr>
                <w:rFonts w:ascii="Arial" w:cs="Arial" w:eastAsia="Arial" w:hAnsi="Arial"/>
                <w:sz w:val="18"/>
                <w:szCs w:val="18"/>
                <w:color w:val="auto"/>
              </w:rPr>
            </w:pPr>
            <w:hyperlink w:anchor="page66">
              <w:r>
                <w:rPr>
                  <w:rFonts w:ascii="Arial" w:cs="Arial" w:eastAsia="Arial" w:hAnsi="Arial"/>
                  <w:sz w:val="18"/>
                  <w:szCs w:val="18"/>
                  <w:color w:val="auto"/>
                </w:rPr>
                <w:t>64</w:t>
              </w:r>
            </w:hyperlink>
          </w:p>
        </w:tc>
        <w:tc>
          <w:tcPr>
            <w:tcW w:w="0" w:type="dxa"/>
            <w:vAlign w:val="bottom"/>
          </w:tcPr>
          <w:p>
            <w:pPr>
              <w:spacing w:after="0"/>
              <w:rPr>
                <w:sz w:val="1"/>
                <w:szCs w:val="1"/>
                <w:color w:val="auto"/>
              </w:rPr>
            </w:pPr>
          </w:p>
        </w:tc>
      </w:tr>
      <w:tr>
        <w:trPr>
          <w:trHeight w:val="102"/>
        </w:trPr>
        <w:tc>
          <w:tcPr>
            <w:tcW w:w="164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shd w:val="clear" w:color="auto" w:fill="CCEEFF"/>
          </w:tcPr>
          <w:p>
            <w:pPr>
              <w:spacing w:after="0"/>
              <w:rPr>
                <w:sz w:val="18"/>
                <w:szCs w:val="18"/>
                <w:color w:val="auto"/>
              </w:rPr>
            </w:pPr>
          </w:p>
        </w:tc>
        <w:tc>
          <w:tcPr>
            <w:tcW w:w="4980" w:type="dxa"/>
            <w:vAlign w:val="bottom"/>
            <w:gridSpan w:val="3"/>
            <w:shd w:val="clear" w:color="auto" w:fill="CCEEFF"/>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Exhibit Index</w:t>
              </w:r>
            </w:hyperlink>
          </w:p>
        </w:tc>
        <w:tc>
          <w:tcPr>
            <w:tcW w:w="4800" w:type="dxa"/>
            <w:vAlign w:val="bottom"/>
            <w:vMerge w:val="restart"/>
            <w:shd w:val="clear" w:color="auto" w:fill="CCEEFF"/>
          </w:tcPr>
          <w:p>
            <w:pPr>
              <w:jc w:val="right"/>
              <w:ind w:right="550"/>
              <w:spacing w:after="0"/>
              <w:rPr>
                <w:rFonts w:ascii="Arial" w:cs="Arial" w:eastAsia="Arial" w:hAnsi="Arial"/>
                <w:sz w:val="18"/>
                <w:szCs w:val="18"/>
                <w:color w:val="auto"/>
              </w:rPr>
            </w:pPr>
            <w:hyperlink w:anchor="page67">
              <w:r>
                <w:rPr>
                  <w:rFonts w:ascii="Arial" w:cs="Arial" w:eastAsia="Arial" w:hAnsi="Arial"/>
                  <w:sz w:val="18"/>
                  <w:szCs w:val="18"/>
                  <w:color w:val="auto"/>
                </w:rPr>
                <w:t>65</w:t>
              </w:r>
            </w:hyperlink>
          </w:p>
        </w:tc>
        <w:tc>
          <w:tcPr>
            <w:tcW w:w="0" w:type="dxa"/>
            <w:vAlign w:val="bottom"/>
          </w:tcPr>
          <w:p>
            <w:pPr>
              <w:spacing w:after="0"/>
              <w:rPr>
                <w:sz w:val="1"/>
                <w:szCs w:val="1"/>
                <w:color w:val="auto"/>
              </w:rPr>
            </w:pPr>
          </w:p>
        </w:tc>
      </w:tr>
      <w:tr>
        <w:trPr>
          <w:trHeight w:val="109"/>
        </w:trPr>
        <w:tc>
          <w:tcPr>
            <w:tcW w:w="1640" w:type="dxa"/>
            <w:vAlign w:val="bottom"/>
            <w:tcBorders>
              <w:top w:val="single" w:sz="8" w:color="CCEEFF"/>
              <w:bottom w:val="single" w:sz="8" w:color="CCEEFF"/>
            </w:tcBorders>
            <w:shd w:val="clear" w:color="auto" w:fill="CCEEFF"/>
          </w:tcPr>
          <w:p>
            <w:pPr>
              <w:spacing w:after="0"/>
              <w:rPr>
                <w:sz w:val="9"/>
                <w:szCs w:val="9"/>
                <w:color w:val="auto"/>
              </w:rPr>
            </w:pPr>
          </w:p>
        </w:tc>
        <w:tc>
          <w:tcPr>
            <w:tcW w:w="760" w:type="dxa"/>
            <w:vAlign w:val="bottom"/>
            <w:tcBorders>
              <w:top w:val="single" w:sz="8" w:color="0000EE"/>
              <w:bottom w:val="single" w:sz="8" w:color="CCEEFF"/>
            </w:tcBorders>
            <w:shd w:val="clear" w:color="auto" w:fill="CCEEFF"/>
          </w:tcPr>
          <w:p>
            <w:pPr>
              <w:spacing w:after="0"/>
              <w:rPr>
                <w:sz w:val="9"/>
                <w:szCs w:val="9"/>
                <w:color w:val="auto"/>
              </w:rPr>
            </w:pPr>
          </w:p>
        </w:tc>
        <w:tc>
          <w:tcPr>
            <w:tcW w:w="220" w:type="dxa"/>
            <w:vAlign w:val="bottom"/>
            <w:tcBorders>
              <w:top w:val="single" w:sz="8" w:color="0000EE"/>
              <w:bottom w:val="single" w:sz="8" w:color="CCEEFF"/>
            </w:tcBorders>
            <w:shd w:val="clear" w:color="auto" w:fill="CCEEFF"/>
          </w:tcPr>
          <w:p>
            <w:pPr>
              <w:spacing w:after="0"/>
              <w:rPr>
                <w:sz w:val="9"/>
                <w:szCs w:val="9"/>
                <w:color w:val="auto"/>
              </w:rPr>
            </w:pPr>
          </w:p>
        </w:tc>
        <w:tc>
          <w:tcPr>
            <w:tcW w:w="4000" w:type="dxa"/>
            <w:vAlign w:val="bottom"/>
            <w:tcBorders>
              <w:top w:val="single" w:sz="8" w:color="CCEEFF"/>
              <w:bottom w:val="single" w:sz="8" w:color="CCEEFF"/>
            </w:tcBorders>
            <w:shd w:val="clear" w:color="auto" w:fill="CCEEFF"/>
          </w:tcPr>
          <w:p>
            <w:pPr>
              <w:spacing w:after="0"/>
              <w:rPr>
                <w:sz w:val="9"/>
                <w:szCs w:val="9"/>
                <w:color w:val="auto"/>
              </w:rPr>
            </w:pPr>
          </w:p>
        </w:tc>
        <w:tc>
          <w:tcPr>
            <w:tcW w:w="480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4980" w:type="dxa"/>
            <w:vAlign w:val="bottom"/>
            <w:gridSpan w:val="3"/>
          </w:tcPr>
          <w:p>
            <w:pPr>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Signatures</w:t>
              </w:r>
            </w:hyperlink>
          </w:p>
        </w:tc>
        <w:tc>
          <w:tcPr>
            <w:tcW w:w="4800" w:type="dxa"/>
            <w:vAlign w:val="bottom"/>
            <w:vMerge w:val="restart"/>
          </w:tcPr>
          <w:p>
            <w:pPr>
              <w:jc w:val="right"/>
              <w:ind w:right="550"/>
              <w:spacing w:after="0"/>
              <w:rPr>
                <w:rFonts w:ascii="Arial" w:cs="Arial" w:eastAsia="Arial" w:hAnsi="Arial"/>
                <w:sz w:val="18"/>
                <w:szCs w:val="18"/>
                <w:color w:val="auto"/>
              </w:rPr>
            </w:pPr>
            <w:hyperlink w:anchor="page68">
              <w:r>
                <w:rPr>
                  <w:rFonts w:ascii="Arial" w:cs="Arial" w:eastAsia="Arial" w:hAnsi="Arial"/>
                  <w:sz w:val="18"/>
                  <w:szCs w:val="18"/>
                  <w:color w:val="auto"/>
                </w:rPr>
                <w:t>66</w:t>
              </w:r>
            </w:hyperlink>
          </w:p>
        </w:tc>
        <w:tc>
          <w:tcPr>
            <w:tcW w:w="0" w:type="dxa"/>
            <w:vAlign w:val="bottom"/>
          </w:tcPr>
          <w:p>
            <w:pPr>
              <w:spacing w:after="0"/>
              <w:rPr>
                <w:sz w:val="1"/>
                <w:szCs w:val="1"/>
                <w:color w:val="auto"/>
              </w:rPr>
            </w:pPr>
          </w:p>
        </w:tc>
      </w:tr>
      <w:tr>
        <w:trPr>
          <w:trHeight w:val="102"/>
        </w:trPr>
        <w:tc>
          <w:tcPr>
            <w:tcW w:w="1640" w:type="dxa"/>
            <w:vAlign w:val="bottom"/>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9" w:right="239" w:bottom="1440" w:gutter="0" w:footer="0" w:header="0"/>
          <w:type w:val="continuous"/>
        </w:sectPr>
      </w:pPr>
    </w:p>
    <w:bookmarkStart w:id="2" w:name="page3"/>
    <w:bookmarkEnd w:id="2"/>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16" w:lineRule="exact"/>
        <w:rPr>
          <w:sz w:val="20"/>
          <w:szCs w:val="20"/>
          <w:color w:val="auto"/>
        </w:rPr>
      </w:pPr>
    </w:p>
    <w:p>
      <w:pPr>
        <w:jc w:val="right"/>
        <w:ind w:right="260"/>
        <w:spacing w:after="0"/>
        <w:tabs>
          <w:tab w:leader="none" w:pos="114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2"/>
          <w:szCs w:val="12"/>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22383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50"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ASSETS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Receivable from collaborative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Australian tax incentive receivable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Prepaid expenses and other current assets</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and equipment,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long-term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520"/>
        <w:spacing w:after="0"/>
        <w:tabs>
          <w:tab w:leader="none" w:pos="790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jc w:val="center"/>
        <w:ind w:left="3240"/>
        <w:spacing w:after="0"/>
        <w:rPr>
          <w:sz w:val="20"/>
          <w:szCs w:val="20"/>
          <w:color w:val="auto"/>
        </w:rPr>
      </w:pPr>
      <w:r>
        <w:rPr>
          <w:rFonts w:ascii="Arial" w:cs="Arial" w:eastAsia="Arial" w:hAnsi="Arial"/>
          <w:sz w:val="16"/>
          <w:szCs w:val="16"/>
          <w:b w:val="1"/>
          <w:bCs w:val="1"/>
          <w:color w:val="auto"/>
        </w:rPr>
        <w:t>LIABILITIES, PREFERRED STOCK AND</w:t>
      </w:r>
    </w:p>
    <w:p>
      <w:pPr>
        <w:spacing w:after="0" w:line="26" w:lineRule="exact"/>
        <w:rPr>
          <w:sz w:val="20"/>
          <w:szCs w:val="20"/>
          <w:color w:val="auto"/>
        </w:rPr>
      </w:pPr>
    </w:p>
    <w:p>
      <w:pPr>
        <w:jc w:val="center"/>
        <w:ind w:left="3240"/>
        <w:spacing w:after="0"/>
        <w:rPr>
          <w:sz w:val="20"/>
          <w:szCs w:val="20"/>
          <w:color w:val="auto"/>
        </w:rPr>
      </w:pPr>
      <w:r>
        <w:rPr>
          <w:rFonts w:ascii="Arial" w:cs="Arial" w:eastAsia="Arial" w:hAnsi="Arial"/>
          <w:sz w:val="16"/>
          <w:szCs w:val="16"/>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Accrued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 payable,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liabilities</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 payable, net of current portion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100" w:lineRule="exact"/>
        <w:rPr>
          <w:sz w:val="20"/>
          <w:szCs w:val="20"/>
          <w:color w:val="auto"/>
        </w:rPr>
      </w:pPr>
    </w:p>
    <w:p>
      <w:pPr>
        <w:ind w:left="40" w:right="440"/>
        <w:spacing w:after="0" w:line="293" w:lineRule="auto"/>
        <w:rPr>
          <w:sz w:val="20"/>
          <w:szCs w:val="20"/>
          <w:color w:val="auto"/>
        </w:rPr>
      </w:pPr>
      <w:r>
        <w:rPr>
          <w:rFonts w:ascii="Arial" w:cs="Arial" w:eastAsia="Arial" w:hAnsi="Arial"/>
          <w:sz w:val="16"/>
          <w:szCs w:val="16"/>
          <w:color w:val="auto"/>
        </w:rPr>
        <w:t>Preferred stock, $0.001 par value, 10,000 shares authorized and no shares, issued or outstanding at September 30, 2018 and December 31,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0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3" w:lineRule="exact"/>
        <w:rPr>
          <w:sz w:val="20"/>
          <w:szCs w:val="20"/>
          <w:color w:val="auto"/>
        </w:rPr>
      </w:pPr>
    </w:p>
    <w:p>
      <w:pPr>
        <w:ind w:left="40" w:right="380"/>
        <w:spacing w:after="0" w:line="293" w:lineRule="auto"/>
        <w:rPr>
          <w:sz w:val="20"/>
          <w:szCs w:val="20"/>
          <w:color w:val="auto"/>
        </w:rPr>
      </w:pPr>
      <w:r>
        <w:rPr>
          <w:rFonts w:ascii="Arial" w:cs="Arial" w:eastAsia="Arial" w:hAnsi="Arial"/>
          <w:sz w:val="16"/>
          <w:szCs w:val="16"/>
          <w:color w:val="auto"/>
        </w:rPr>
        <w:t>Common stock, $0.001 par value, 500,000 shares authorized, 26,749 shares and 23,791 shares issued and outstanding at September 30, 2018 and December 31, 2017, respectively</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Additional paid 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stockholders’ equity</w:t>
      </w:r>
    </w:p>
    <w:p>
      <w:pPr>
        <w:spacing w:after="0" w:line="86" w:lineRule="exact"/>
        <w:rPr>
          <w:sz w:val="20"/>
          <w:szCs w:val="20"/>
          <w:color w:val="auto"/>
        </w:rPr>
      </w:pPr>
    </w:p>
    <w:p>
      <w:pPr>
        <w:ind w:left="520"/>
        <w:spacing w:after="0"/>
        <w:tabs>
          <w:tab w:leader="none" w:pos="7900" w:val="left"/>
        </w:tabs>
        <w:rPr>
          <w:sz w:val="20"/>
          <w:szCs w:val="20"/>
          <w:color w:val="auto"/>
        </w:rPr>
      </w:pPr>
      <w:r>
        <w:rPr>
          <w:rFonts w:ascii="Arial" w:cs="Arial" w:eastAsia="Arial" w:hAnsi="Arial"/>
          <w:sz w:val="16"/>
          <w:szCs w:val="16"/>
          <w:color w:val="auto"/>
        </w:rPr>
        <w:t>Total liabilities, preferred stock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293,408</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81,189</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5,000</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173</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1,601</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200,406</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167,218</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4,035</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2,688</w:t>
            </w:r>
          </w:p>
        </w:tc>
      </w:tr>
      <w:tr>
        <w:trPr>
          <w:trHeight w:val="33"/>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503,022</w:t>
            </w:r>
          </w:p>
        </w:tc>
        <w:tc>
          <w:tcPr>
            <w:tcW w:w="5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252,696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1,344</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665</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18,616</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75,897</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79</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60</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33"/>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523,121</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329,364</w:t>
            </w:r>
          </w:p>
        </w:tc>
      </w:tr>
      <w:tr>
        <w:trPr>
          <w:trHeight w:val="33"/>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933"/>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6,180</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2,323</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7,145</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4,875</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7,500</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6,875</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48</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20,873</w:t>
            </w:r>
          </w:p>
        </w:tc>
        <w:tc>
          <w:tcPr>
            <w:tcW w:w="5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14,090</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2,409</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7,553</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162</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140</w:t>
            </w:r>
          </w:p>
        </w:tc>
      </w:tr>
      <w:tr>
        <w:trPr>
          <w:trHeight w:val="743"/>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3"/>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27</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629,887</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393,017</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(541)</w:t>
            </w:r>
          </w:p>
        </w:tc>
        <w:tc>
          <w:tcPr>
            <w:tcW w:w="5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w w:val="90"/>
              </w:rPr>
              <w:t>(129,696)</w:t>
            </w:r>
          </w:p>
        </w:tc>
        <w:tc>
          <w:tcPr>
            <w:tcW w:w="5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(85,034)</w:t>
            </w:r>
          </w:p>
        </w:tc>
      </w:tr>
      <w:tr>
        <w:trPr>
          <w:trHeight w:val="33"/>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499,677</w:t>
            </w:r>
          </w:p>
        </w:tc>
        <w:tc>
          <w:tcPr>
            <w:tcW w:w="5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307,581</w:t>
            </w:r>
          </w:p>
        </w:tc>
      </w:tr>
      <w:tr>
        <w:trPr>
          <w:trHeight w:val="33"/>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523,121</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329,364</w:t>
            </w:r>
          </w:p>
        </w:tc>
      </w:tr>
      <w:tr>
        <w:trPr>
          <w:trHeight w:val="33"/>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-25400</wp:posOffset>
            </wp:positionV>
            <wp:extent cx="10979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-8255</wp:posOffset>
            </wp:positionV>
            <wp:extent cx="10979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-196850</wp:posOffset>
            </wp:positionV>
            <wp:extent cx="10979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-2169160</wp:posOffset>
            </wp:positionV>
            <wp:extent cx="10979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-3318510</wp:posOffset>
            </wp:positionV>
            <wp:extent cx="10979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-4364355</wp:posOffset>
            </wp:positionV>
            <wp:extent cx="10979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00" w:space="720"/>
            <w:col w:w="2500"/>
          </w:cols>
          <w:pgMar w:left="240" w:top="364" w:right="239" w:bottom="1440" w:gutter="0" w:footer="0" w:header="0"/>
          <w:type w:val="continuous"/>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r>
      <w:tr>
        <w:trPr>
          <w:trHeight w:val="256"/>
        </w:trPr>
        <w:tc>
          <w:tcPr>
            <w:tcW w:w="56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Collaboration revenue</w:t>
            </w: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7,000</w:t>
            </w:r>
          </w:p>
        </w:tc>
      </w:tr>
      <w:tr>
        <w:trPr>
          <w:trHeight w:val="204"/>
        </w:trPr>
        <w:tc>
          <w:tcPr>
            <w:tcW w:w="56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60"/>
        </w:trPr>
        <w:tc>
          <w:tcPr>
            <w:tcW w:w="5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250"/>
        </w:trPr>
        <w:tc>
          <w:tcPr>
            <w:tcW w:w="5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Research and development</w:t>
            </w: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17,883</w:t>
            </w:r>
          </w:p>
        </w:tc>
        <w:tc>
          <w:tcPr>
            <w:tcW w:w="1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6,697</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40,276</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21,837</w:t>
            </w: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4,004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11,783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6,793</w:t>
            </w:r>
          </w:p>
        </w:tc>
      </w:tr>
      <w:tr>
        <w:trPr>
          <w:trHeight w:val="33"/>
        </w:trPr>
        <w:tc>
          <w:tcPr>
            <w:tcW w:w="56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21,887</w:t>
            </w:r>
          </w:p>
        </w:tc>
        <w:tc>
          <w:tcPr>
            <w:tcW w:w="1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9,087</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52,059</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28,630</w:t>
            </w:r>
          </w:p>
        </w:tc>
      </w:tr>
      <w:tr>
        <w:trPr>
          <w:trHeight w:val="217"/>
        </w:trPr>
        <w:tc>
          <w:tcPr>
            <w:tcW w:w="5620" w:type="dxa"/>
            <w:vAlign w:val="bottom"/>
          </w:tcPr>
          <w:p>
            <w:pPr>
              <w:ind w:left="760"/>
              <w:spacing w:after="0"/>
              <w:rPr>
                <w:sz w:val="20"/>
                <w:szCs w:val="20"/>
                <w:color w:val="auto"/>
              </w:rPr>
            </w:pPr>
            <w:r>
              <w:rPr>
                <w:rFonts w:ascii="Arial" w:cs="Arial" w:eastAsia="Arial" w:hAnsi="Arial"/>
                <w:sz w:val="16"/>
                <w:szCs w:val="16"/>
                <w:color w:val="auto"/>
              </w:rPr>
              <w:t>Loss from operations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(16,887)</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(9,087)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(47,059)</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(21,630)</w:t>
            </w:r>
          </w:p>
        </w:tc>
      </w:tr>
      <w:tr>
        <w:trPr>
          <w:trHeight w:val="33"/>
        </w:trPr>
        <w:tc>
          <w:tcPr>
            <w:tcW w:w="56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4"/>
        </w:trPr>
        <w:tc>
          <w:tcPr>
            <w:tcW w:w="5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Other income (expense), net: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r>
      <w:tr>
        <w:trPr>
          <w:trHeight w:val="60"/>
        </w:trPr>
        <w:tc>
          <w:tcPr>
            <w:tcW w:w="562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48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48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(1,319)</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Change in fair value of liability for preferred stock warrants</w:t>
            </w:r>
          </w:p>
        </w:tc>
        <w:tc>
          <w:tcPr>
            <w:tcW w:w="3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(1,366)</w:t>
            </w: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1,369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3,851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762</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Other income (expense), net</w:t>
            </w:r>
          </w:p>
        </w:tc>
        <w:tc>
          <w:tcPr>
            <w:tcW w:w="3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344</w:t>
            </w:r>
          </w:p>
        </w:tc>
      </w:tr>
      <w:tr>
        <w:trPr>
          <w:trHeight w:val="217"/>
        </w:trPr>
        <w:tc>
          <w:tcPr>
            <w:tcW w:w="5620" w:type="dxa"/>
            <w:vAlign w:val="bottom"/>
          </w:tcPr>
          <w:p>
            <w:pPr>
              <w:ind w:left="520"/>
              <w:spacing w:after="0"/>
              <w:rPr>
                <w:sz w:val="20"/>
                <w:szCs w:val="20"/>
                <w:color w:val="auto"/>
              </w:rPr>
            </w:pPr>
            <w:r>
              <w:rPr>
                <w:rFonts w:ascii="Arial" w:cs="Arial" w:eastAsia="Arial" w:hAnsi="Arial"/>
                <w:sz w:val="16"/>
                <w:szCs w:val="16"/>
                <w:color w:val="auto"/>
              </w:rPr>
              <w:t>Total other income (expense), net</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929</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2,397</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(1,579)</w:t>
            </w:r>
          </w:p>
        </w:tc>
      </w:tr>
      <w:tr>
        <w:trPr>
          <w:trHeight w:val="33"/>
        </w:trPr>
        <w:tc>
          <w:tcPr>
            <w:tcW w:w="56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(15,958)</w:t>
            </w:r>
          </w:p>
        </w:tc>
        <w:tc>
          <w:tcPr>
            <w:tcW w:w="1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(9,090)</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(44,662)</w:t>
            </w:r>
          </w:p>
        </w:tc>
        <w:tc>
          <w:tcPr>
            <w:tcW w:w="1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(23,209)</w:t>
            </w:r>
          </w:p>
        </w:tc>
      </w:tr>
      <w:tr>
        <w:trPr>
          <w:trHeight w:val="237"/>
        </w:trPr>
        <w:tc>
          <w:tcPr>
            <w:tcW w:w="5620" w:type="dxa"/>
            <w:vAlign w:val="bottom"/>
          </w:tcPr>
          <w:p>
            <w:pPr>
              <w:ind w:left="520"/>
              <w:spacing w:after="0"/>
              <w:rPr>
                <w:sz w:val="20"/>
                <w:szCs w:val="20"/>
                <w:color w:val="auto"/>
              </w:rPr>
            </w:pPr>
            <w:r>
              <w:rPr>
                <w:rFonts w:ascii="Arial" w:cs="Arial" w:eastAsia="Arial" w:hAnsi="Arial"/>
                <w:sz w:val="16"/>
                <w:szCs w:val="16"/>
                <w:color w:val="auto"/>
              </w:rPr>
              <w:t>Unrealized income (loss) on available for sale securities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56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Other comprehensive income (loss)</w:t>
            </w: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(43)</w:t>
            </w:r>
          </w:p>
        </w:tc>
      </w:tr>
      <w:tr>
        <w:trPr>
          <w:trHeight w:val="217"/>
        </w:trPr>
        <w:tc>
          <w:tcPr>
            <w:tcW w:w="5620" w:type="dxa"/>
            <w:vAlign w:val="bottom"/>
          </w:tcPr>
          <w:p>
            <w:pPr>
              <w:ind w:left="960"/>
              <w:spacing w:after="0"/>
              <w:rPr>
                <w:sz w:val="20"/>
                <w:szCs w:val="20"/>
                <w:color w:val="auto"/>
              </w:rPr>
            </w:pPr>
            <w:r>
              <w:rPr>
                <w:rFonts w:ascii="Arial" w:cs="Arial" w:eastAsia="Arial" w:hAnsi="Arial"/>
                <w:sz w:val="16"/>
                <w:szCs w:val="16"/>
                <w:color w:val="auto"/>
              </w:rPr>
              <w:t>Comprehensive loss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(15,822)</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(9,074)</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(44,777)</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(23,252)</w:t>
            </w:r>
          </w:p>
        </w:tc>
      </w:tr>
      <w:tr>
        <w:trPr>
          <w:trHeight w:val="73"/>
        </w:trPr>
        <w:tc>
          <w:tcPr>
            <w:tcW w:w="5620" w:type="dxa"/>
            <w:vAlign w:val="bottom"/>
            <w:tcBorders>
              <w:bottom w:val="single" w:sz="8" w:color="CFF0FC"/>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177"/>
        </w:trPr>
        <w:tc>
          <w:tcPr>
            <w:tcW w:w="5620" w:type="dxa"/>
            <w:vAlign w:val="bottom"/>
            <w:shd w:val="clear" w:color="auto" w:fill="CFF0FC"/>
          </w:tcPr>
          <w:p>
            <w:pPr>
              <w:ind w:left="280"/>
              <w:spacing w:after="0" w:line="177" w:lineRule="exact"/>
              <w:rPr>
                <w:sz w:val="20"/>
                <w:szCs w:val="20"/>
                <w:color w:val="auto"/>
              </w:rPr>
            </w:pPr>
            <w:r>
              <w:rPr>
                <w:rFonts w:ascii="Arial" w:cs="Arial" w:eastAsia="Arial" w:hAnsi="Arial"/>
                <w:sz w:val="16"/>
                <w:szCs w:val="16"/>
                <w:color w:val="auto"/>
              </w:rPr>
              <w:t>Net loss per common share:</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74"/>
        </w:trPr>
        <w:tc>
          <w:tcPr>
            <w:tcW w:w="562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10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880" w:type="dxa"/>
            <w:vAlign w:val="bottom"/>
            <w:shd w:val="clear" w:color="auto" w:fill="CFF0FC"/>
          </w:tcPr>
          <w:p>
            <w:pPr>
              <w:spacing w:after="0"/>
              <w:rPr>
                <w:sz w:val="6"/>
                <w:szCs w:val="6"/>
                <w:color w:val="auto"/>
              </w:rPr>
            </w:pPr>
          </w:p>
        </w:tc>
      </w:tr>
      <w:tr>
        <w:trPr>
          <w:trHeight w:val="224"/>
        </w:trPr>
        <w:tc>
          <w:tcPr>
            <w:tcW w:w="5620" w:type="dxa"/>
            <w:vAlign w:val="bottom"/>
          </w:tcPr>
          <w:p>
            <w:pPr>
              <w:ind w:left="760"/>
              <w:spacing w:after="0"/>
              <w:rPr>
                <w:sz w:val="20"/>
                <w:szCs w:val="20"/>
                <w:color w:val="auto"/>
              </w:rPr>
            </w:pPr>
            <w:r>
              <w:rPr>
                <w:rFonts w:ascii="Arial" w:cs="Arial" w:eastAsia="Arial" w:hAnsi="Arial"/>
                <w:sz w:val="16"/>
                <w:szCs w:val="16"/>
                <w:color w:val="auto"/>
              </w:rPr>
              <w:t>Basic and diluted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19"/>
                <w:szCs w:val="19"/>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9"/>
                <w:szCs w:val="19"/>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73"/>
        </w:trPr>
        <w:tc>
          <w:tcPr>
            <w:tcW w:w="5620" w:type="dxa"/>
            <w:vAlign w:val="bottom"/>
            <w:tcBorders>
              <w:bottom w:val="single" w:sz="8" w:color="CFF0FC"/>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177"/>
        </w:trPr>
        <w:tc>
          <w:tcPr>
            <w:tcW w:w="5620" w:type="dxa"/>
            <w:vAlign w:val="bottom"/>
            <w:shd w:val="clear" w:color="auto" w:fill="CFF0FC"/>
          </w:tcPr>
          <w:p>
            <w:pPr>
              <w:ind w:left="280"/>
              <w:spacing w:after="0" w:line="177" w:lineRule="exact"/>
              <w:rPr>
                <w:sz w:val="20"/>
                <w:szCs w:val="20"/>
                <w:color w:val="auto"/>
              </w:rPr>
            </w:pPr>
            <w:r>
              <w:rPr>
                <w:rFonts w:ascii="Arial" w:cs="Arial" w:eastAsia="Arial" w:hAnsi="Arial"/>
                <w:sz w:val="16"/>
                <w:szCs w:val="16"/>
                <w:color w:val="auto"/>
              </w:rPr>
              <w:t>Weighted-average number of shares outstanding:</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74"/>
        </w:trPr>
        <w:tc>
          <w:tcPr>
            <w:tcW w:w="562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10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880" w:type="dxa"/>
            <w:vAlign w:val="bottom"/>
            <w:shd w:val="clear" w:color="auto" w:fill="CFF0FC"/>
          </w:tcPr>
          <w:p>
            <w:pPr>
              <w:spacing w:after="0"/>
              <w:rPr>
                <w:sz w:val="6"/>
                <w:szCs w:val="6"/>
                <w:color w:val="auto"/>
              </w:rPr>
            </w:pPr>
          </w:p>
        </w:tc>
      </w:tr>
      <w:tr>
        <w:trPr>
          <w:trHeight w:val="224"/>
        </w:trPr>
        <w:tc>
          <w:tcPr>
            <w:tcW w:w="5620" w:type="dxa"/>
            <w:vAlign w:val="bottom"/>
          </w:tcPr>
          <w:p>
            <w:pPr>
              <w:ind w:left="760"/>
              <w:spacing w:after="0"/>
              <w:rPr>
                <w:sz w:val="20"/>
                <w:szCs w:val="20"/>
                <w:color w:val="auto"/>
              </w:rPr>
            </w:pPr>
            <w:r>
              <w:rPr>
                <w:rFonts w:ascii="Arial" w:cs="Arial" w:eastAsia="Arial" w:hAnsi="Arial"/>
                <w:sz w:val="16"/>
                <w:szCs w:val="16"/>
                <w:color w:val="auto"/>
              </w:rPr>
              <w:t>Basic and diluted</w:t>
            </w:r>
          </w:p>
        </w:tc>
        <w:tc>
          <w:tcPr>
            <w:tcW w:w="3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24,146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20,382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23,961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18,668</w:t>
            </w: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FF0FC"/>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7900" w:type="dxa"/>
            <w:vAlign w:val="bottom"/>
            <w:shd w:val="clear" w:color="auto" w:fill="CFF0FC"/>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90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400" w:type="dxa"/>
            <w:vAlign w:val="bottom"/>
            <w:shd w:val="clear" w:color="auto" w:fill="CFF0FC"/>
          </w:tcPr>
          <w:p>
            <w:pPr>
              <w:spacing w:after="0"/>
              <w:rPr>
                <w:sz w:val="5"/>
                <w:szCs w:val="5"/>
                <w:color w:val="auto"/>
              </w:rPr>
            </w:pPr>
          </w:p>
        </w:tc>
        <w:tc>
          <w:tcPr>
            <w:tcW w:w="12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ind w:right="8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(44,662)</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(23,209)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Stock-based compensation</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7,340</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3,246</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Change in fair value of liability for preferred stock warrants</w:t>
            </w:r>
          </w:p>
        </w:tc>
        <w:tc>
          <w:tcPr>
            <w:tcW w:w="10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(Income) loss from investments</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Non-cash interest expense</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520"/>
              <w:spacing w:after="0"/>
              <w:rPr>
                <w:sz w:val="20"/>
                <w:szCs w:val="20"/>
                <w:color w:val="auto"/>
              </w:rPr>
            </w:pPr>
            <w:r>
              <w:rPr>
                <w:rFonts w:ascii="Arial" w:cs="Arial" w:eastAsia="Arial" w:hAnsi="Arial"/>
                <w:sz w:val="16"/>
                <w:szCs w:val="16"/>
                <w:color w:val="auto"/>
              </w:rPr>
              <w:t>Receivable from collaborative partners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Australian tax incentive receivable</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1,428</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2,632</w:t>
            </w:r>
          </w:p>
        </w:tc>
        <w:tc>
          <w:tcPr>
            <w:tcW w:w="0" w:type="dxa"/>
            <w:vAlign w:val="bottom"/>
          </w:tcPr>
          <w:p>
            <w:pPr>
              <w:spacing w:after="0"/>
              <w:rPr>
                <w:sz w:val="1"/>
                <w:szCs w:val="1"/>
                <w:color w:val="auto"/>
              </w:rPr>
            </w:pPr>
          </w:p>
        </w:tc>
      </w:tr>
      <w:tr>
        <w:trPr>
          <w:trHeight w:val="237"/>
        </w:trPr>
        <w:tc>
          <w:tcPr>
            <w:tcW w:w="7900" w:type="dxa"/>
            <w:vAlign w:val="bottom"/>
          </w:tcPr>
          <w:p>
            <w:pPr>
              <w:ind w:left="520"/>
              <w:spacing w:after="0"/>
              <w:rPr>
                <w:sz w:val="20"/>
                <w:szCs w:val="20"/>
                <w:color w:val="auto"/>
              </w:rPr>
            </w:pPr>
            <w:r>
              <w:rPr>
                <w:rFonts w:ascii="Arial" w:cs="Arial" w:eastAsia="Arial" w:hAnsi="Arial"/>
                <w:sz w:val="16"/>
                <w:szCs w:val="16"/>
                <w:color w:val="auto"/>
              </w:rPr>
              <w:t>Prepaid expenses and other assets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(1,403)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(1,581)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Accounts payable and other liabilities</w:t>
            </w:r>
          </w:p>
        </w:tc>
        <w:tc>
          <w:tcPr>
            <w:tcW w:w="102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5,946</w:t>
            </w:r>
          </w:p>
        </w:tc>
        <w:tc>
          <w:tcPr>
            <w:tcW w:w="1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217"/>
        </w:trPr>
        <w:tc>
          <w:tcPr>
            <w:tcW w:w="7900" w:type="dxa"/>
            <w:vAlign w:val="bottom"/>
          </w:tcPr>
          <w:p>
            <w:pPr>
              <w:ind w:left="760"/>
              <w:spacing w:after="0"/>
              <w:rPr>
                <w:sz w:val="20"/>
                <w:szCs w:val="20"/>
                <w:color w:val="auto"/>
              </w:rPr>
            </w:pPr>
            <w:r>
              <w:rPr>
                <w:rFonts w:ascii="Arial" w:cs="Arial" w:eastAsia="Arial" w:hAnsi="Arial"/>
                <w:sz w:val="16"/>
                <w:szCs w:val="16"/>
                <w:color w:val="auto"/>
              </w:rPr>
              <w:t>Net cash used in operating activities</w:t>
            </w:r>
          </w:p>
        </w:tc>
        <w:tc>
          <w:tcPr>
            <w:tcW w:w="10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(36,216)</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(14,628)</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900" w:type="dxa"/>
            <w:vAlign w:val="bottom"/>
            <w:shd w:val="clear" w:color="auto" w:fill="CFF0FC"/>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90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400" w:type="dxa"/>
            <w:vAlign w:val="bottom"/>
            <w:shd w:val="clear" w:color="auto" w:fill="CFF0FC"/>
          </w:tcPr>
          <w:p>
            <w:pPr>
              <w:spacing w:after="0"/>
              <w:rPr>
                <w:sz w:val="5"/>
                <w:szCs w:val="5"/>
                <w:color w:val="auto"/>
              </w:rPr>
            </w:pPr>
          </w:p>
        </w:tc>
        <w:tc>
          <w:tcPr>
            <w:tcW w:w="12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Acquisition of investments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0"/>
              </w:rPr>
              <w:t>(123,995)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(110,701)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Sales and maturities of investments</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w w:val="96"/>
              </w:rPr>
              <w:t>148,551</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20,866</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Purchases of property and equipment</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Net cash provided by (used in) investing activities</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23,699</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(90,001)</w:t>
            </w:r>
          </w:p>
        </w:tc>
        <w:tc>
          <w:tcPr>
            <w:tcW w:w="0" w:type="dxa"/>
            <w:vAlign w:val="bottom"/>
          </w:tcPr>
          <w:p>
            <w:pPr>
              <w:spacing w:after="0"/>
              <w:rPr>
                <w:sz w:val="1"/>
                <w:szCs w:val="1"/>
                <w:color w:val="auto"/>
              </w:rPr>
            </w:pPr>
          </w:p>
        </w:tc>
      </w:tr>
      <w:tr>
        <w:trPr>
          <w:trHeight w:val="20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9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Proceeds from public offerings, net of underwriters' fees</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w w:val="96"/>
              </w:rPr>
              <w:t>227,476</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80,213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Proceeds from issuance of common stock, upon the exercise of stock options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2,138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Proceeds from issuance of common stock, upon the exercise of warrants</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Payments on notes payable</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Proceeds (payments) for offering costs, net</w:t>
            </w:r>
          </w:p>
        </w:tc>
        <w:tc>
          <w:tcPr>
            <w:tcW w:w="102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(1,497)</w:t>
            </w:r>
          </w:p>
        </w:tc>
        <w:tc>
          <w:tcPr>
            <w:tcW w:w="0" w:type="dxa"/>
            <w:vAlign w:val="bottom"/>
          </w:tcPr>
          <w:p>
            <w:pPr>
              <w:spacing w:after="0"/>
              <w:rPr>
                <w:sz w:val="1"/>
                <w:szCs w:val="1"/>
                <w:color w:val="auto"/>
              </w:rPr>
            </w:pPr>
          </w:p>
        </w:tc>
      </w:tr>
      <w:tr>
        <w:trPr>
          <w:trHeight w:val="217"/>
        </w:trPr>
        <w:tc>
          <w:tcPr>
            <w:tcW w:w="7900" w:type="dxa"/>
            <w:vAlign w:val="bottom"/>
          </w:tcPr>
          <w:p>
            <w:pPr>
              <w:ind w:left="760"/>
              <w:spacing w:after="0"/>
              <w:rPr>
                <w:sz w:val="20"/>
                <w:szCs w:val="20"/>
                <w:color w:val="auto"/>
              </w:rPr>
            </w:pPr>
            <w:r>
              <w:rPr>
                <w:rFonts w:ascii="Arial" w:cs="Arial" w:eastAsia="Arial" w:hAnsi="Arial"/>
                <w:sz w:val="16"/>
                <w:szCs w:val="16"/>
                <w:color w:val="auto"/>
              </w:rPr>
              <w:t>Net cash provided by financing activities</w:t>
            </w:r>
          </w:p>
        </w:tc>
        <w:tc>
          <w:tcPr>
            <w:tcW w:w="10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6"/>
              </w:rPr>
              <w:t>224,736</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80,066</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0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w w:val="96"/>
              </w:rPr>
              <w:t>212,219</w:t>
            </w:r>
          </w:p>
        </w:tc>
        <w:tc>
          <w:tcPr>
            <w:tcW w:w="1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(24,563)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81,249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51,292</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1020" w:type="dxa"/>
            <w:vAlign w:val="bottom"/>
            <w:tcBorders>
              <w:bottom w:val="single" w:sz="8" w:color="CFF0FC"/>
            </w:tcBorders>
            <w:shd w:val="clear" w:color="auto" w:fill="CFF0FC"/>
          </w:tcPr>
          <w:p>
            <w:pPr>
              <w:jc w:val="right"/>
              <w:ind w:right="84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w w:val="96"/>
              </w:rPr>
              <w:t>293,468</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26,729</w:t>
            </w:r>
          </w:p>
        </w:tc>
        <w:tc>
          <w:tcPr>
            <w:tcW w:w="0" w:type="dxa"/>
            <w:vAlign w:val="bottom"/>
          </w:tcPr>
          <w:p>
            <w:pPr>
              <w:spacing w:after="0"/>
              <w:rPr>
                <w:sz w:val="1"/>
                <w:szCs w:val="1"/>
                <w:color w:val="auto"/>
              </w:rPr>
            </w:pPr>
          </w:p>
        </w:tc>
      </w:tr>
      <w:tr>
        <w:trPr>
          <w:trHeight w:val="20"/>
        </w:trPr>
        <w:tc>
          <w:tcPr>
            <w:tcW w:w="7900" w:type="dxa"/>
            <w:vAlign w:val="bottom"/>
            <w:tcBorders>
              <w:top w:val="single" w:sz="8" w:color="CFF0FC"/>
              <w:bottom w:val="single" w:sz="8" w:color="CFF0FC"/>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9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Interest paid</w:t>
            </w:r>
          </w:p>
        </w:tc>
        <w:tc>
          <w:tcPr>
            <w:tcW w:w="1020" w:type="dxa"/>
            <w:vAlign w:val="bottom"/>
            <w:tcBorders>
              <w:bottom w:val="single" w:sz="8" w:color="CFF0FC"/>
            </w:tcBorders>
            <w:shd w:val="clear" w:color="auto" w:fill="CFF0FC"/>
          </w:tcPr>
          <w:p>
            <w:pPr>
              <w:jc w:val="right"/>
              <w:ind w:right="84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835</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Amounts accrued for property and equipment</w:t>
            </w:r>
          </w:p>
        </w:tc>
        <w:tc>
          <w:tcPr>
            <w:tcW w:w="1020" w:type="dxa"/>
            <w:vAlign w:val="bottom"/>
            <w:tcBorders>
              <w:bottom w:val="single" w:sz="8" w:color="CFF0FC"/>
            </w:tcBorders>
            <w:shd w:val="clear" w:color="auto" w:fill="CFF0FC"/>
          </w:tcPr>
          <w:p>
            <w:pPr>
              <w:jc w:val="right"/>
              <w:ind w:right="84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Amounts accrued for offering costs</w:t>
            </w:r>
          </w:p>
        </w:tc>
        <w:tc>
          <w:tcPr>
            <w:tcW w:w="1020" w:type="dxa"/>
            <w:vAlign w:val="bottom"/>
          </w:tcPr>
          <w:p>
            <w:pPr>
              <w:jc w:val="right"/>
              <w:ind w:right="8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Reclassification of warrants to equity</w:t>
            </w:r>
          </w:p>
        </w:tc>
        <w:tc>
          <w:tcPr>
            <w:tcW w:w="1020" w:type="dxa"/>
            <w:vAlign w:val="bottom"/>
            <w:shd w:val="clear" w:color="auto" w:fill="CFF0FC"/>
          </w:tcPr>
          <w:p>
            <w:pPr>
              <w:jc w:val="right"/>
              <w:ind w:right="840"/>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4,607</w:t>
            </w:r>
          </w:p>
        </w:tc>
        <w:tc>
          <w:tcPr>
            <w:tcW w:w="0" w:type="dxa"/>
            <w:vAlign w:val="bottom"/>
          </w:tcPr>
          <w:p>
            <w:pPr>
              <w:spacing w:after="0"/>
              <w:rPr>
                <w:sz w:val="1"/>
                <w:szCs w:val="1"/>
                <w:color w:val="auto"/>
              </w:rPr>
            </w:pPr>
          </w:p>
        </w:tc>
      </w:tr>
      <w:tr>
        <w:trPr>
          <w:trHeight w:val="33"/>
        </w:trPr>
        <w:tc>
          <w:tcPr>
            <w:tcW w:w="790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color w:val="auto"/>
        </w:rPr>
        <w:t xml:space="preserve">AnaptysBio, Inc. (“we,” “us,” “our,” or the “Company”) was incorporated in the state of Delaware in November 2005. We are a biotechnology company developing first-in-class antibody product candidates focused on unmet medical needs in inflammation. We develop our product candidates using our proprietary, antibody discovery technology platform, which is designed to replicate, </w:t>
      </w:r>
      <w:r>
        <w:rPr>
          <w:rFonts w:ascii="Arial" w:cs="Arial" w:eastAsia="Arial" w:hAnsi="Arial"/>
          <w:sz w:val="17"/>
          <w:szCs w:val="17"/>
          <w:i w:val="1"/>
          <w:iCs w:val="1"/>
          <w:color w:val="auto"/>
        </w:rPr>
        <w:t>in vitro</w:t>
      </w:r>
      <w:r>
        <w:rPr>
          <w:rFonts w:ascii="Arial" w:cs="Arial" w:eastAsia="Arial" w:hAnsi="Arial"/>
          <w:sz w:val="17"/>
          <w:szCs w:val="17"/>
          <w:color w:val="auto"/>
        </w:rPr>
        <w:t>, the natural process of antibody generation. We currently generate revenue from milestones achieved under our collaborative research and development arrangements.</w:t>
      </w:r>
    </w:p>
    <w:p>
      <w:pPr>
        <w:spacing w:after="0" w:line="6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Since our inception, we have devoted our primary effort to raising capital and research and development activities. Our financial support has been provided primarily from the sale of our common and preferred stock, as well as through funds received under our collaborative research and development agreements, proceeds from our Term Loans as discussed in Note 5 below, and the issuance of convertible debt.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Management believes its currently available resources will provide sufficient funds to enable the Company to meet its operating plans for at least the next twelve months. The accompanying consolidated financial statements do not include any adjustments that might be necessary if we are unable to continue as a going concern.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Offerings and Related Transactions</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On January 31, 2017, we completed an initial public offering, or IPO, selling 5,750,000 shares of common stock at $15.00 per share. Proceeds from our initial public offering net of underwriting discounts and commissions were $80.2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each of the following occurred in connection with the completion of the IPO on January 31, 2017:</w:t>
      </w:r>
    </w:p>
    <w:p>
      <w:pPr>
        <w:spacing w:after="0" w:line="117" w:lineRule="exact"/>
        <w:rPr>
          <w:sz w:val="20"/>
          <w:szCs w:val="20"/>
          <w:color w:val="auto"/>
        </w:rPr>
      </w:pPr>
    </w:p>
    <w:p>
      <w:pPr>
        <w:ind w:left="900" w:hanging="48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conversion of all outstanding shares of convertible preferred stock into 11,520,698 shares of common stock; and</w:t>
      </w:r>
    </w:p>
    <w:p>
      <w:pPr>
        <w:spacing w:after="0" w:line="117" w:lineRule="exact"/>
        <w:rPr>
          <w:rFonts w:ascii="Arial" w:cs="Arial" w:eastAsia="Arial" w:hAnsi="Arial"/>
          <w:sz w:val="18"/>
          <w:szCs w:val="18"/>
          <w:color w:val="auto"/>
        </w:rPr>
      </w:pPr>
    </w:p>
    <w:p>
      <w:pPr>
        <w:ind w:left="880" w:right="160" w:hanging="440"/>
        <w:spacing w:after="0" w:line="277"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conversion of warrants to purchase 377,195 shares of convertible preferred stock into warrants to purchase 377,195 shares of common stock and the resultant reclassification of the warrant liability to additional paid-in capital.</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40" w:firstLine="446"/>
        <w:spacing w:after="0" w:line="342" w:lineRule="auto"/>
        <w:rPr>
          <w:sz w:val="20"/>
          <w:szCs w:val="20"/>
          <w:color w:val="auto"/>
        </w:rPr>
      </w:pPr>
      <w:r>
        <w:rPr>
          <w:rFonts w:ascii="Arial" w:cs="Arial" w:eastAsia="Arial" w:hAnsi="Arial"/>
          <w:sz w:val="16"/>
          <w:szCs w:val="16"/>
          <w:color w:val="auto"/>
        </w:rPr>
        <w:t>On January 13, 2017, we amended and restated our certificate of incorporation to effect a one for seven reverse stock split of every outstanding share of our preferred and common stock. The financial statements and accompanying footnotes have been retroactively restated to reflect the reverse stock split.</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Follow-on Public Offerings</w:t>
      </w:r>
    </w:p>
    <w:p>
      <w:pPr>
        <w:spacing w:after="0" w:line="117"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On October 17, 2017, we completed an underwritten public offering selling 3,000,000 shares of common stock. All shares were offered by us at a price to the public of $68.50 per share. The aggregate net proceeds received by us from the offering were $194.7 million, net of underwriting discounts and commissions. As part of the underwritten public offering, on November 14, 2017, the underwriters exercised an additional 271,380 shares of common stock at a discounted price to the public of $68.50 per share for aggregate net proceeds of $17.6 million, net of underwriting discounts and commissions.</w:t>
      </w:r>
    </w:p>
    <w:p>
      <w:pPr>
        <w:spacing w:after="0" w:line="46" w:lineRule="exact"/>
        <w:rPr>
          <w:sz w:val="20"/>
          <w:szCs w:val="20"/>
          <w:color w:val="auto"/>
        </w:rPr>
      </w:pPr>
    </w:p>
    <w:p>
      <w:pPr>
        <w:ind w:right="560" w:firstLine="446"/>
        <w:spacing w:after="0" w:line="277" w:lineRule="auto"/>
        <w:rPr>
          <w:sz w:val="20"/>
          <w:szCs w:val="20"/>
          <w:color w:val="auto"/>
        </w:rPr>
      </w:pPr>
      <w:r>
        <w:rPr>
          <w:rFonts w:ascii="Arial" w:cs="Arial" w:eastAsia="Arial" w:hAnsi="Arial"/>
          <w:sz w:val="18"/>
          <w:szCs w:val="18"/>
          <w:color w:val="auto"/>
        </w:rPr>
        <w:t>On September 28, 2018, we completed an underwritten public offering of 2,530,000 shares of common stock, which included the exercise of the underwriters’ option to purchase an additional 330,000 shares of common stock. All shares were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ind w:right="920"/>
        <w:spacing w:after="0" w:line="277" w:lineRule="auto"/>
        <w:rPr>
          <w:sz w:val="20"/>
          <w:szCs w:val="20"/>
          <w:color w:val="auto"/>
        </w:rPr>
      </w:pPr>
      <w:r>
        <w:rPr>
          <w:rFonts w:ascii="Arial" w:cs="Arial" w:eastAsia="Arial" w:hAnsi="Arial"/>
          <w:sz w:val="18"/>
          <w:szCs w:val="18"/>
          <w:color w:val="auto"/>
        </w:rPr>
        <w:t>offered by us at a price to the public of $94.46 per share. The aggregate net proceeds received by us from the offering were $227.5 million, net of underwriting discounts and commissions.</w:t>
      </w:r>
    </w:p>
    <w:p>
      <w:pPr>
        <w:spacing w:after="0" w:line="275" w:lineRule="exact"/>
        <w:rPr>
          <w:sz w:val="20"/>
          <w:szCs w:val="20"/>
          <w:color w:val="auto"/>
        </w:rPr>
      </w:pPr>
    </w:p>
    <w:p>
      <w:pPr>
        <w:ind w:left="260" w:right="7840" w:hanging="252"/>
        <w:spacing w:after="0" w:line="378" w:lineRule="auto"/>
        <w:tabs>
          <w:tab w:leader="none" w:pos="19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firstLine="446"/>
        <w:spacing w:after="0" w:line="254" w:lineRule="auto"/>
        <w:rPr>
          <w:sz w:val="20"/>
          <w:szCs w:val="20"/>
          <w:color w:val="auto"/>
        </w:rPr>
      </w:pPr>
      <w:r>
        <w:rPr>
          <w:rFonts w:ascii="Arial" w:cs="Arial" w:eastAsia="Arial" w:hAnsi="Arial"/>
          <w:sz w:val="18"/>
          <w:szCs w:val="18"/>
          <w:color w:val="auto"/>
        </w:rPr>
        <w:t>The accompanying unaudited consolidated financial statements have been prepared pursuant to the rules and regulations of the Securities and Exchange Commission, or the SEC. Certain information and note disclosures normally included in annual financial statements prepared in accordance with U.S. generally accepted accounting principles, or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Operating results for the three and nine months ended September 30, 2018 are not necessarily indicative of the results that may be expected for the year ending December 31, 2018. The financial statements should be read in conjunction with our audited financial statements for the year ended December 31, 2017, included in our Annual Form 10-K, as amended on September 14, 2018.</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600" w:firstLine="446"/>
        <w:spacing w:after="0" w:line="342" w:lineRule="auto"/>
        <w:rPr>
          <w:sz w:val="20"/>
          <w:szCs w:val="20"/>
          <w:color w:val="auto"/>
        </w:rPr>
      </w:pPr>
      <w:r>
        <w:rPr>
          <w:rFonts w:ascii="Arial" w:cs="Arial" w:eastAsia="Arial" w:hAnsi="Arial"/>
          <w:sz w:val="16"/>
          <w:szCs w:val="16"/>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60" w:firstLine="446"/>
        <w:spacing w:after="0" w:line="297" w:lineRule="auto"/>
        <w:rPr>
          <w:sz w:val="20"/>
          <w:szCs w:val="20"/>
          <w:color w:val="auto"/>
        </w:rPr>
      </w:pPr>
      <w:r>
        <w:rPr>
          <w:rFonts w:ascii="Arial" w:cs="Arial" w:eastAsia="Arial" w:hAnsi="Arial"/>
          <w:sz w:val="16"/>
          <w:szCs w:val="16"/>
          <w:color w:val="auto"/>
        </w:rPr>
        <w:t>The preparation of the accompanying consolidated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Our actual results could differ from these estimates under different assumptions or conditions.</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7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i w:val="1"/>
          <w:iCs w:val="1"/>
          <w:color w:val="auto"/>
        </w:rPr>
        <w:t xml:space="preserve">Performance Obligations. </w:t>
      </w:r>
      <w:r>
        <w:rPr>
          <w:rFonts w:ascii="Arial" w:cs="Arial" w:eastAsia="Arial" w:hAnsi="Arial"/>
          <w:sz w:val="18"/>
          <w:szCs w:val="18"/>
          <w:color w:val="auto"/>
        </w:rPr>
        <w:t>We evaluate deliverables on a contract by contract basis to determine whether each deliverable represents a good 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transaction price.</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performance obligations may include the following:</w:t>
      </w:r>
    </w:p>
    <w:p>
      <w:pPr>
        <w:spacing w:after="0" w:line="225" w:lineRule="exact"/>
        <w:rPr>
          <w:sz w:val="20"/>
          <w:szCs w:val="20"/>
          <w:color w:val="auto"/>
        </w:rPr>
      </w:pPr>
    </w:p>
    <w:p>
      <w:pPr>
        <w:ind w:left="660" w:right="20" w:hanging="314"/>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76" w:right="259" w:bottom="1440" w:gutter="0" w:footer="0" w:header="0"/>
        </w:sectPr>
      </w:pPr>
    </w:p>
    <w:bookmarkStart w:id="7" w:name="page8"/>
    <w:bookmarkEnd w:id="7"/>
    <w:p>
      <w:pPr>
        <w:ind w:left="660" w:right="260" w:hanging="314"/>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80" w:lineRule="exact"/>
        <w:rPr>
          <w:rFonts w:ascii="Arial" w:cs="Arial" w:eastAsia="Arial" w:hAnsi="Arial"/>
          <w:sz w:val="18"/>
          <w:szCs w:val="18"/>
          <w:color w:val="auto"/>
        </w:rPr>
      </w:pPr>
    </w:p>
    <w:p>
      <w:pPr>
        <w:jc w:val="both"/>
        <w:ind w:left="660" w:right="160" w:hanging="314"/>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Steering Committee Meetings. The performance obligations under our collaboration and license agreements may also include our participation in a steering committees, which allows us to direct the progression of our discovery programs. As these steering committees would not occur or benefit the customer without the use of our licenses, these are not considered distinct.</w:t>
      </w:r>
    </w:p>
    <w:p>
      <w:pPr>
        <w:spacing w:after="0" w:line="73"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w:t>
      </w:r>
    </w:p>
    <w:p>
      <w:pPr>
        <w:spacing w:after="0" w:line="73"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i w:val="1"/>
          <w:iCs w:val="1"/>
          <w:color w:val="auto"/>
        </w:rPr>
        <w:t xml:space="preserve">Transaction Price. </w:t>
      </w:r>
      <w:r>
        <w:rPr>
          <w:rFonts w:ascii="Arial" w:cs="Arial" w:eastAsia="Arial" w:hAnsi="Arial"/>
          <w:sz w:val="16"/>
          <w:szCs w:val="16"/>
          <w:color w:val="auto"/>
        </w:rPr>
        <w:t>Our collaboration and license agreements generally include both fixed and variable consideration. Fixed payments, such as those for</w:t>
      </w:r>
      <w:r>
        <w:rPr>
          <w:rFonts w:ascii="Arial" w:cs="Arial" w:eastAsia="Arial" w:hAnsi="Arial"/>
          <w:sz w:val="16"/>
          <w:szCs w:val="16"/>
          <w:i w:val="1"/>
          <w:iCs w:val="1"/>
          <w:color w:val="auto"/>
        </w:rPr>
        <w:t xml:space="preserve"> </w:t>
      </w:r>
      <w:r>
        <w:rPr>
          <w:rFonts w:ascii="Arial" w:cs="Arial" w:eastAsia="Arial" w:hAnsi="Arial"/>
          <w:sz w:val="16"/>
          <w:szCs w:val="16"/>
          <w:color w:val="auto"/>
        </w:rPr>
        <w:t>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w:t>
      </w:r>
    </w:p>
    <w:p>
      <w:pPr>
        <w:ind w:right="560"/>
        <w:spacing w:after="0" w:line="290" w:lineRule="auto"/>
        <w:rPr>
          <w:sz w:val="20"/>
          <w:szCs w:val="20"/>
          <w:color w:val="auto"/>
        </w:rPr>
      </w:pPr>
      <w:r>
        <w:rPr>
          <w:rFonts w:ascii="Arial" w:cs="Arial" w:eastAsia="Arial" w:hAnsi="Arial"/>
          <w:sz w:val="17"/>
          <w:szCs w:val="17"/>
          <w:color w:val="auto"/>
        </w:rPr>
        <w:t>Research and development services are updated for actual invoices. Given the nature of our agreements, milestones are estimated using the most likely amount and are evaluated on a quarterly basis. Upon commercialization, royalty payments are recognized in the period incurred.</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Diluted net loss per share includes any dilutive effect from outstanding stock options and warrants using the treasury stock method. For each period presented, there is no difference in the number of shares used to calculate basic and diluted net loss per share.</w:t>
      </w:r>
    </w:p>
    <w:p>
      <w:pPr>
        <w:spacing w:after="0" w:line="79" w:lineRule="exact"/>
        <w:rPr>
          <w:sz w:val="20"/>
          <w:szCs w:val="20"/>
          <w:color w:val="auto"/>
        </w:rPr>
      </w:pPr>
    </w:p>
    <w:p>
      <w:pPr>
        <w:ind w:right="460" w:firstLine="446"/>
        <w:spacing w:after="0" w:line="277"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3"/>
          </w:tcPr>
          <w:p>
            <w:pPr>
              <w:jc w:val="center"/>
              <w:ind w:left="839"/>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Borders>
              <w:bottom w:val="single" w:sz="8" w:color="auto"/>
            </w:tcBorders>
            <w:gridSpan w:val="3"/>
          </w:tcPr>
          <w:p>
            <w:pPr>
              <w:jc w:val="center"/>
              <w:ind w:left="819"/>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5"/>
                <w:szCs w:val="15"/>
                <w:color w:val="auto"/>
              </w:rPr>
            </w:pPr>
          </w:p>
        </w:tc>
        <w:tc>
          <w:tcPr>
            <w:tcW w:w="148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87"/>
        </w:trPr>
        <w:tc>
          <w:tcPr>
            <w:tcW w:w="5160" w:type="dxa"/>
            <w:vAlign w:val="bottom"/>
            <w:tcBorders>
              <w:bottom w:val="single" w:sz="8" w:color="CCEEFF"/>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to purchase common stock</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2,402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2,514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Warrants to purchase common stock</w:t>
            </w:r>
          </w:p>
        </w:tc>
        <w:tc>
          <w:tcPr>
            <w:tcW w:w="900" w:type="dxa"/>
            <w:vAlign w:val="bottom"/>
          </w:tcPr>
          <w:p>
            <w:pPr>
              <w:spacing w:after="0"/>
              <w:rPr>
                <w:sz w:val="21"/>
                <w:szCs w:val="21"/>
                <w:color w:val="auto"/>
              </w:rPr>
            </w:pPr>
          </w:p>
        </w:tc>
        <w:tc>
          <w:tcPr>
            <w:tcW w:w="132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2,402</w:t>
            </w:r>
          </w:p>
        </w:tc>
        <w:tc>
          <w:tcPr>
            <w:tcW w:w="12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outlines a single comprehensive model for entities to use in accounting for revenue from contracts with customers and supersedes most current revenue recognition guidance,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became effective for our annual reporting period beginning January 1, 2018, including interim periods within that reporting period. Entities have the option of using either a full retrospective or a modified retrospective approach for the adoption of the new standard. We assessed all potential impacts of the standard, and the most significant impacts relate to our accounting for variable consideration including revenues related to contingent “milestone” based payments and our disclosures required under the new standard as it relates to our two ongoing collaboration agreements, TESARO and Celgene. Application of the new standard requires that variable consideration be recognized to the extent that it is probable that a significant reversal in the amount of revenue will not occur when the uncertainty associated with the variable consideration is subsequently resolved. Accordingly, we may be required to recognize milestone payments earlier in the period in which we determine a significant reversal will not occur, rather than when the milestone is achieved. However, we have reviewed the TESARO and Celgene agreements and have determined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76" w:right="239" w:bottom="1440" w:gutter="0" w:footer="0" w:header="0"/>
        </w:sectPr>
      </w:pPr>
    </w:p>
    <w:bookmarkStart w:id="8" w:name="page9"/>
    <w:bookmarkEnd w:id="8"/>
    <w:p>
      <w:pPr>
        <w:ind w:right="80"/>
        <w:spacing w:after="0" w:line="257" w:lineRule="auto"/>
        <w:rPr>
          <w:sz w:val="20"/>
          <w:szCs w:val="20"/>
          <w:color w:val="auto"/>
        </w:rPr>
      </w:pPr>
      <w:r>
        <w:rPr>
          <w:rFonts w:ascii="Arial" w:cs="Arial" w:eastAsia="Arial" w:hAnsi="Arial"/>
          <w:sz w:val="18"/>
          <w:szCs w:val="18"/>
          <w:color w:val="auto"/>
        </w:rPr>
        <w:t>that given the nature of potential milestones owed to us under these agreements, and the inherent risk involved in developing drugs, and have determined that these potential milestones were not recognizable as of the standard adoption date. Additionally, while we currently disaggregate our revenue disclosures by collaborative agreement, additional discussion surrounding significant estimates made by management was required in our disclosure and included in Note 4 below. We adopted this standard using the modified retrospective approach for our annual reporting period beginning January 1, 2018, and did not record any adjustments upon adoption of this standard.</w:t>
      </w:r>
    </w:p>
    <w:p>
      <w:pPr>
        <w:spacing w:after="0" w:line="80"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which intends to enhance the reporting model for financial instruments by providing users of financial instruments with more</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became effective for our annual reporting period beginning January 1, 2018, including interim periods within that reporting period; early adoption is permitted. We adopted this standard as of January 1, 2018 and there was no material impact on our consolidated financial statements. We did not record any adjustments upon adoption of this standard and have consistently applied our accounting policies to all periods presented in the consolidated financial statements.</w:t>
      </w:r>
    </w:p>
    <w:p>
      <w:pPr>
        <w:spacing w:after="0" w:line="59"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which provides further guidance as to what constitutes a modification to the terms of shared based compensation, in order to create consistency in practice amongst all entities. ASU 2017-09 became effective for annual reporting periods beginning after December 15, 2017, including interim periods thereafter; early adoption is permitted, including adoption in an interim period. We adopted this standard as of January 1, 2018, and the impact was not material on our consolidated financial statements. We did not record any adjustments upon adoption of this standard.</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requires that lessees recognize a right-of-use, or “ROU”, asset and a related lease liability on the balance sheet for all leases with a term longer than 12 months. Topic 842 was subsequently amended by ASU 2018-01, </w:t>
      </w:r>
      <w:r>
        <w:rPr>
          <w:rFonts w:ascii="Arial" w:cs="Arial" w:eastAsia="Arial" w:hAnsi="Arial"/>
          <w:sz w:val="17"/>
          <w:szCs w:val="17"/>
          <w:i w:val="1"/>
          <w:iCs w:val="1"/>
          <w:color w:val="auto"/>
        </w:rPr>
        <w:t>Land</w:t>
      </w:r>
      <w:r>
        <w:rPr>
          <w:rFonts w:ascii="Arial" w:cs="Arial" w:eastAsia="Arial" w:hAnsi="Arial"/>
          <w:sz w:val="17"/>
          <w:szCs w:val="17"/>
          <w:color w:val="auto"/>
        </w:rPr>
        <w:t xml:space="preserve"> </w:t>
      </w:r>
      <w:r>
        <w:rPr>
          <w:rFonts w:ascii="Arial" w:cs="Arial" w:eastAsia="Arial" w:hAnsi="Arial"/>
          <w:sz w:val="17"/>
          <w:szCs w:val="17"/>
          <w:i w:val="1"/>
          <w:iCs w:val="1"/>
          <w:color w:val="auto"/>
        </w:rPr>
        <w:t>Easement Practical Expedient for Transition to Topic 842</w:t>
      </w:r>
      <w:r>
        <w:rPr>
          <w:rFonts w:ascii="Arial" w:cs="Arial" w:eastAsia="Arial" w:hAnsi="Arial"/>
          <w:sz w:val="17"/>
          <w:szCs w:val="17"/>
          <w:color w:val="auto"/>
        </w:rPr>
        <w:t>; ASU 2018-10,</w:t>
      </w:r>
      <w:r>
        <w:rPr>
          <w:rFonts w:ascii="Arial" w:cs="Arial" w:eastAsia="Arial" w:hAnsi="Arial"/>
          <w:sz w:val="17"/>
          <w:szCs w:val="17"/>
          <w:i w:val="1"/>
          <w:iCs w:val="1"/>
          <w:color w:val="auto"/>
        </w:rPr>
        <w:t xml:space="preserve"> Codification Improvements to Topic 842, Leases</w:t>
      </w:r>
      <w:r>
        <w:rPr>
          <w:rFonts w:ascii="Arial" w:cs="Arial" w:eastAsia="Arial" w:hAnsi="Arial"/>
          <w:sz w:val="17"/>
          <w:szCs w:val="17"/>
          <w:color w:val="auto"/>
        </w:rPr>
        <w:t>; and ASU 2018-11,</w:t>
      </w:r>
      <w:r>
        <w:rPr>
          <w:rFonts w:ascii="Arial" w:cs="Arial" w:eastAsia="Arial" w:hAnsi="Arial"/>
          <w:sz w:val="17"/>
          <w:szCs w:val="17"/>
          <w:i w:val="1"/>
          <w:iCs w:val="1"/>
          <w:color w:val="auto"/>
        </w:rPr>
        <w:t xml:space="preserve"> Targeted Improvements</w:t>
      </w:r>
      <w:r>
        <w:rPr>
          <w:rFonts w:ascii="Arial" w:cs="Arial" w:eastAsia="Arial" w:hAnsi="Arial"/>
          <w:sz w:val="17"/>
          <w:szCs w:val="17"/>
          <w:color w:val="auto"/>
        </w:rPr>
        <w:t>. ASU 2016-02 becomes effective for our annual reporting period beginning January 1, 2019, including interim periods thereafter; early</w:t>
      </w:r>
      <w:r>
        <w:rPr>
          <w:rFonts w:ascii="Arial" w:cs="Arial" w:eastAsia="Arial" w:hAnsi="Arial"/>
          <w:sz w:val="17"/>
          <w:szCs w:val="17"/>
          <w:i w:val="1"/>
          <w:iCs w:val="1"/>
          <w:color w:val="auto"/>
        </w:rPr>
        <w:t xml:space="preserve"> </w:t>
      </w:r>
      <w:r>
        <w:rPr>
          <w:rFonts w:ascii="Arial" w:cs="Arial" w:eastAsia="Arial" w:hAnsi="Arial"/>
          <w:sz w:val="17"/>
          <w:szCs w:val="17"/>
          <w:color w:val="auto"/>
        </w:rPr>
        <w:t>adoption is permitted. A modified retrospective transition approach is required, applying the new standard to all leases existing at the date of initial application. An entity may choose to use either (i) its effective date or (ii) the beginning of the earliest comparative period presented in the financial statements as its date of initial application. We expect to adopt the new standard on January 1, 2019 and use the effective date as our date of initial application. The new standard provides a number of optional practical expedients in transition. We expect to elect the ‘package of practical expedients’, which permits us not to reassess under the new standard our prior conclusions about lease identification, lease classification and initial direct costs. While we continue to assess all of the effects of adoption, we expect the recognition of new ROU assets and lease liabilities on our balance sheet for current real estate leases as well as the enhanced disclosure requirements will not have a material effect on our financial statements.</w:t>
      </w:r>
    </w:p>
    <w:p>
      <w:pPr>
        <w:spacing w:after="0" w:line="287" w:lineRule="exact"/>
        <w:rPr>
          <w:sz w:val="20"/>
          <w:szCs w:val="20"/>
          <w:color w:val="auto"/>
        </w:rPr>
      </w:pPr>
    </w:p>
    <w:p>
      <w:pPr>
        <w:ind w:left="260" w:right="7040" w:hanging="252"/>
        <w:spacing w:after="0" w:line="378" w:lineRule="auto"/>
        <w:tabs>
          <w:tab w:leader="none" w:pos="19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Balance Sheet Accounts and Supplemental Disclosures </w:t>
      </w:r>
      <w:r>
        <w:rPr>
          <w:rFonts w:ascii="Arial" w:cs="Arial" w:eastAsia="Arial" w:hAnsi="Arial"/>
          <w:sz w:val="18"/>
          <w:szCs w:val="18"/>
          <w:b w:val="1"/>
          <w:bCs w:val="1"/>
          <w:i w:val="1"/>
          <w:iCs w:val="1"/>
          <w:color w:val="auto"/>
        </w:rPr>
        <w:t>Property and Equipment</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5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September 30, 2018</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Laboratory equipment</w:t>
            </w:r>
          </w:p>
        </w:tc>
        <w:tc>
          <w:tcPr>
            <w:tcW w:w="36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4,138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3,687</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3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Leasehold improvements</w:t>
            </w:r>
          </w:p>
        </w:tc>
        <w:tc>
          <w:tcPr>
            <w:tcW w:w="35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7"/>
        </w:trPr>
        <w:tc>
          <w:tcPr>
            <w:tcW w:w="4620" w:type="dxa"/>
            <w:vAlign w:val="bottom"/>
          </w:tcPr>
          <w:p>
            <w:pPr>
              <w:ind w:left="280"/>
              <w:spacing w:after="0"/>
              <w:rPr>
                <w:sz w:val="20"/>
                <w:szCs w:val="20"/>
                <w:color w:val="auto"/>
              </w:rPr>
            </w:pPr>
            <w:r>
              <w:rPr>
                <w:rFonts w:ascii="Arial" w:cs="Arial" w:eastAsia="Arial" w:hAnsi="Arial"/>
                <w:sz w:val="18"/>
                <w:szCs w:val="18"/>
                <w:color w:val="auto"/>
              </w:rPr>
              <w:t>Property and equipment, gross</w:t>
            </w:r>
          </w:p>
        </w:tc>
        <w:tc>
          <w:tcPr>
            <w:tcW w:w="3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5,436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5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(4,092)</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37"/>
        </w:trPr>
        <w:tc>
          <w:tcPr>
            <w:tcW w:w="4620" w:type="dxa"/>
            <w:vAlign w:val="bottom"/>
          </w:tcPr>
          <w:p>
            <w:pPr>
              <w:ind w:left="280"/>
              <w:spacing w:after="0"/>
              <w:rPr>
                <w:sz w:val="20"/>
                <w:szCs w:val="20"/>
                <w:color w:val="auto"/>
              </w:rPr>
            </w:pPr>
            <w:r>
              <w:rPr>
                <w:rFonts w:ascii="Arial" w:cs="Arial" w:eastAsia="Arial" w:hAnsi="Arial"/>
                <w:sz w:val="18"/>
                <w:szCs w:val="18"/>
                <w:color w:val="auto"/>
              </w:rPr>
              <w:t>Total property and equipment, net</w:t>
            </w:r>
          </w:p>
        </w:tc>
        <w:tc>
          <w:tcPr>
            <w:tcW w:w="3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500" w:type="dxa"/>
            <w:vAlign w:val="bottom"/>
            <w:vMerge w:val="restart"/>
          </w:tcPr>
          <w:p>
            <w:pPr>
              <w:jc w:val="right"/>
              <w:ind w:right="227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5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62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expenses consist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812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Accrued compensation and related expenses</w:t>
            </w: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2,176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1,588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research and contract manufacturing expenses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2,961</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326</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Total accrued expenses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7,145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4,875</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Collaborative Research and Development Agreements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TESARO Collaboration</w:t>
      </w:r>
    </w:p>
    <w:p>
      <w:pPr>
        <w:spacing w:after="0" w:line="117"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In March 2014, we entered into a Collaboration and Exclusive License Agreement, or the TESARO Agreement, with TESARO, Inc. and TESARO Development, Inc., or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 In November 2014, we and TESARO entered into Amendment No. 1 to the Agreement to add an antibody discovery program against an undisclosed fourth target for an upfront license fee of $2.0 million.</w:t>
      </w:r>
    </w:p>
    <w:p>
      <w:pPr>
        <w:spacing w:after="0" w:line="70" w:lineRule="exact"/>
        <w:rPr>
          <w:sz w:val="20"/>
          <w:szCs w:val="20"/>
          <w:color w:val="auto"/>
        </w:rPr>
      </w:pPr>
    </w:p>
    <w:p>
      <w:pPr>
        <w:ind w:right="200" w:firstLine="446"/>
        <w:spacing w:after="0" w:line="288" w:lineRule="auto"/>
        <w:rPr>
          <w:sz w:val="20"/>
          <w:szCs w:val="20"/>
          <w:color w:val="auto"/>
        </w:rPr>
      </w:pPr>
      <w:r>
        <w:rPr>
          <w:rFonts w:ascii="Arial" w:cs="Arial" w:eastAsia="Arial" w:hAnsi="Arial"/>
          <w:sz w:val="16"/>
          <w:szCs w:val="16"/>
          <w:color w:val="auto"/>
        </w:rPr>
        <w:t>For each development program, we are eligible to receive milestone payments of up to $18.0 million if certain preclinical and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Unless earlier terminated by either party upon specified circumstances, the agreement will terminate, with respect to each specific developed product, upon the latter of the 12th anniversary of the first commercial sale of the product or the expiration of the last to expire of any patent. Prior to the adoption of ASC Topic 606,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were recognized was extended through December 31, 2016, and have been recognized in full.</w:t>
      </w:r>
    </w:p>
    <w:p>
      <w:pPr>
        <w:spacing w:after="0" w:line="6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assessed this arrangement in accordance with ASC Topic 606 and concluded that the contract counterparty, TESARO, is a customer. We identified the following material promises under the TESARO Agreement: (1) the licenses under certain patent rights relating to six discovery programs (four targets) and transfer of certain development and regulatory information, (2) R&amp;D services and (3) Joint Steering Committee meetings. We considered the research and discovery capabilities of TESARO for these specific programs, TESARO’s inability to sub-license, and the fact that the discovery and optimization of these antibodies is proprietary and could not, at the time of the contract inception, be provided by other vendors, to conclude that the license does not have stand-alone functionality and is therefore not distinct. Additionally, we determined that the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of the arrangement.</w:t>
      </w:r>
    </w:p>
    <w:p>
      <w:pPr>
        <w:spacing w:after="0" w:line="179"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As of September 30, 2018, the transaction price includes the upfront payment, research reimbursement revenue, and milestones earned to date, which are allocated in their entirety to the single performance obligation. We recognized one future clinical milestone for $5.0 million during the three months ended September 30, 2018 upon determination that a significant reversal of revenue would not be probable.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the licensees’ efforts. Any consideration related to</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03" w:right="239" w:bottom="1440" w:gutter="0" w:footer="0" w:header="0"/>
        </w:sectPr>
      </w:pPr>
    </w:p>
    <w:bookmarkStart w:id="10" w:name="page11"/>
    <w:bookmarkEnd w:id="10"/>
    <w:p>
      <w:pPr>
        <w:ind w:right="120"/>
        <w:spacing w:after="0" w:line="264" w:lineRule="auto"/>
        <w:rPr>
          <w:sz w:val="20"/>
          <w:szCs w:val="20"/>
          <w:color w:val="auto"/>
        </w:rPr>
      </w:pPr>
      <w:r>
        <w:rPr>
          <w:rFonts w:ascii="Arial" w:cs="Arial" w:eastAsia="Arial" w:hAnsi="Arial"/>
          <w:sz w:val="18"/>
          <w:szCs w:val="18"/>
          <w:color w:val="auto"/>
        </w:rPr>
        <w:t>sales-based milestones, including royalties, will be recognized when the related sales occur as they were determined to relate predominantly to the IP license granted to TESARO and therefore have also been excluded from the transaction price. We will re-evaluate the variable transaction price in each reporting period and as uncertain events are resolved or other changes in circumstances occur.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Milestones recognized through September 30, 2018 under the TESARO Agreement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42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Anti-PD-1</w:t>
            </w:r>
          </w:p>
        </w:tc>
        <w:tc>
          <w:tcPr>
            <w:tcW w:w="23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Anti-TIM-3</w:t>
            </w:r>
          </w:p>
        </w:tc>
        <w:tc>
          <w:tcPr>
            <w:tcW w:w="2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Anti-LAG-3</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w w:val="95"/>
              </w:rPr>
              <w:t>(TSR042)</w:t>
            </w: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48"/>
              <w:spacing w:after="0"/>
              <w:rPr>
                <w:sz w:val="20"/>
                <w:szCs w:val="20"/>
                <w:color w:val="auto"/>
              </w:rPr>
            </w:pPr>
            <w:r>
              <w:rPr>
                <w:rFonts w:ascii="Arial" w:cs="Arial" w:eastAsia="Arial" w:hAnsi="Arial"/>
                <w:sz w:val="14"/>
                <w:szCs w:val="14"/>
                <w:b w:val="1"/>
                <w:bCs w:val="1"/>
                <w:color w:val="auto"/>
                <w:w w:val="95"/>
              </w:rPr>
              <w:t>(TSR022)</w:t>
            </w: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68"/>
              <w:spacing w:after="0"/>
              <w:rPr>
                <w:sz w:val="20"/>
                <w:szCs w:val="20"/>
                <w:color w:val="auto"/>
              </w:rPr>
            </w:pPr>
            <w:r>
              <w:rPr>
                <w:rFonts w:ascii="Arial" w:cs="Arial" w:eastAsia="Arial" w:hAnsi="Arial"/>
                <w:sz w:val="14"/>
                <w:szCs w:val="14"/>
                <w:b w:val="1"/>
                <w:bCs w:val="1"/>
                <w:color w:val="auto"/>
                <w:w w:val="98"/>
              </w:rPr>
              <w:t>(TSR033)</w:t>
            </w:r>
          </w:p>
        </w:tc>
        <w:tc>
          <w:tcPr>
            <w:tcW w:w="0" w:type="dxa"/>
            <w:vAlign w:val="bottom"/>
          </w:tcPr>
          <w:p>
            <w:pPr>
              <w:spacing w:after="0"/>
              <w:rPr>
                <w:sz w:val="1"/>
                <w:szCs w:val="1"/>
                <w:color w:val="auto"/>
              </w:rPr>
            </w:pPr>
          </w:p>
        </w:tc>
      </w:tr>
      <w:tr>
        <w:trPr>
          <w:trHeight w:val="152"/>
        </w:trPr>
        <w:tc>
          <w:tcPr>
            <w:tcW w:w="436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Milestone Event</w:t>
            </w:r>
          </w:p>
        </w:tc>
        <w:tc>
          <w:tcPr>
            <w:tcW w:w="84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4"/>
              </w:rPr>
              <w:t>Amount</w:t>
            </w:r>
          </w:p>
        </w:tc>
        <w:tc>
          <w:tcPr>
            <w:tcW w:w="1580" w:type="dxa"/>
            <w:vAlign w:val="bottom"/>
            <w:gridSpan w:val="2"/>
          </w:tcPr>
          <w:p>
            <w:pPr>
              <w:jc w:val="center"/>
              <w:ind w:left="108"/>
              <w:spacing w:after="0" w:line="153" w:lineRule="exact"/>
              <w:rPr>
                <w:sz w:val="20"/>
                <w:szCs w:val="20"/>
                <w:color w:val="auto"/>
              </w:rPr>
            </w:pPr>
            <w:r>
              <w:rPr>
                <w:rFonts w:ascii="Arial" w:cs="Arial" w:eastAsia="Arial" w:hAnsi="Arial"/>
                <w:sz w:val="14"/>
                <w:szCs w:val="14"/>
                <w:b w:val="1"/>
                <w:bCs w:val="1"/>
                <w:color w:val="auto"/>
              </w:rPr>
              <w:t>Quarter</w:t>
            </w: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4"/>
              </w:rPr>
              <w:t>Amount</w:t>
            </w:r>
          </w:p>
        </w:tc>
        <w:tc>
          <w:tcPr>
            <w:tcW w:w="1560" w:type="dxa"/>
            <w:vAlign w:val="bottom"/>
            <w:gridSpan w:val="2"/>
          </w:tcPr>
          <w:p>
            <w:pPr>
              <w:jc w:val="center"/>
              <w:ind w:left="108"/>
              <w:spacing w:after="0" w:line="153" w:lineRule="exact"/>
              <w:rPr>
                <w:sz w:val="20"/>
                <w:szCs w:val="20"/>
                <w:color w:val="auto"/>
              </w:rPr>
            </w:pPr>
            <w:r>
              <w:rPr>
                <w:rFonts w:ascii="Arial" w:cs="Arial" w:eastAsia="Arial" w:hAnsi="Arial"/>
                <w:sz w:val="14"/>
                <w:szCs w:val="14"/>
                <w:b w:val="1"/>
                <w:bCs w:val="1"/>
                <w:color w:val="auto"/>
                <w:w w:val="98"/>
              </w:rPr>
              <w:t>Quarter</w:t>
            </w: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4"/>
              </w:rPr>
              <w:t>Amount</w:t>
            </w:r>
          </w:p>
        </w:tc>
        <w:tc>
          <w:tcPr>
            <w:tcW w:w="1440" w:type="dxa"/>
            <w:vAlign w:val="bottom"/>
          </w:tcPr>
          <w:p>
            <w:pPr>
              <w:jc w:val="center"/>
              <w:ind w:left="228"/>
              <w:spacing w:after="0" w:line="153" w:lineRule="exact"/>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92"/>
        </w:trPr>
        <w:tc>
          <w:tcPr>
            <w:tcW w:w="43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58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1"/>
              </w:rPr>
              <w:t>Recognized</w:t>
            </w:r>
          </w:p>
        </w:tc>
        <w:tc>
          <w:tcPr>
            <w:tcW w:w="820" w:type="dxa"/>
            <w:vAlign w:val="bottom"/>
            <w:vMerge w:val="continue"/>
          </w:tcPr>
          <w:p>
            <w:pPr>
              <w:spacing w:after="0"/>
              <w:rPr>
                <w:sz w:val="16"/>
                <w:szCs w:val="16"/>
                <w:color w:val="auto"/>
              </w:rPr>
            </w:pPr>
          </w:p>
        </w:tc>
        <w:tc>
          <w:tcPr>
            <w:tcW w:w="156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89"/>
              </w:rPr>
              <w:t>Recognized</w:t>
            </w:r>
          </w:p>
        </w:tc>
        <w:tc>
          <w:tcPr>
            <w:tcW w:w="820" w:type="dxa"/>
            <w:vAlign w:val="bottom"/>
            <w:vMerge w:val="continue"/>
          </w:tcPr>
          <w:p>
            <w:pPr>
              <w:spacing w:after="0"/>
              <w:rPr>
                <w:sz w:val="16"/>
                <w:szCs w:val="16"/>
                <w:color w:val="auto"/>
              </w:rPr>
            </w:pPr>
          </w:p>
        </w:tc>
        <w:tc>
          <w:tcPr>
            <w:tcW w:w="1440" w:type="dxa"/>
            <w:vAlign w:val="bottom"/>
          </w:tcPr>
          <w:p>
            <w:pPr>
              <w:jc w:val="center"/>
              <w:ind w:left="228"/>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379"/>
        </w:trPr>
        <w:tc>
          <w:tcPr>
            <w:tcW w:w="4360" w:type="dxa"/>
            <w:vAlign w:val="bottom"/>
            <w:shd w:val="clear" w:color="auto" w:fill="CFF0FC"/>
          </w:tcPr>
          <w:p>
            <w:pPr>
              <w:ind w:left="40"/>
              <w:spacing w:after="0"/>
              <w:rPr>
                <w:sz w:val="20"/>
                <w:szCs w:val="20"/>
                <w:color w:val="auto"/>
              </w:rPr>
            </w:pPr>
            <w:r>
              <w:rPr>
                <w:rFonts w:ascii="Arial" w:cs="Arial" w:eastAsia="Arial" w:hAnsi="Arial"/>
                <w:sz w:val="14"/>
                <w:szCs w:val="14"/>
                <w:color w:val="auto"/>
              </w:rPr>
              <w:t xml:space="preserve">Initiated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toxicology studies using good laboratory practices</w:t>
            </w:r>
          </w:p>
        </w:tc>
        <w:tc>
          <w:tcPr>
            <w:tcW w:w="840" w:type="dxa"/>
            <w:vAlign w:val="bottom"/>
            <w:shd w:val="clear" w:color="auto" w:fill="CFF0FC"/>
          </w:tcPr>
          <w:p>
            <w:pPr>
              <w:spacing w:after="0"/>
              <w:rPr>
                <w:sz w:val="24"/>
                <w:szCs w:val="24"/>
                <w:color w:val="auto"/>
              </w:rPr>
            </w:pPr>
          </w:p>
        </w:tc>
        <w:tc>
          <w:tcPr>
            <w:tcW w:w="14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14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14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360" w:type="dxa"/>
            <w:vAlign w:val="bottom"/>
            <w:shd w:val="clear" w:color="auto" w:fill="CFF0FC"/>
          </w:tcPr>
          <w:p>
            <w:pPr>
              <w:ind w:left="40"/>
              <w:spacing w:after="0"/>
              <w:rPr>
                <w:sz w:val="20"/>
                <w:szCs w:val="20"/>
                <w:color w:val="auto"/>
              </w:rPr>
            </w:pPr>
            <w:r>
              <w:rPr>
                <w:rFonts w:ascii="Arial" w:cs="Arial" w:eastAsia="Arial" w:hAnsi="Arial"/>
                <w:sz w:val="14"/>
                <w:szCs w:val="14"/>
                <w:color w:val="auto"/>
              </w:rPr>
              <w:t>(GLPs)</w:t>
            </w:r>
          </w:p>
        </w:tc>
        <w:tc>
          <w:tcPr>
            <w:tcW w:w="840" w:type="dxa"/>
            <w:vAlign w:val="bottom"/>
            <w:shd w:val="clear" w:color="auto" w:fill="CFF0FC"/>
          </w:tcPr>
          <w:p>
            <w:pPr>
              <w:jc w:val="center"/>
              <w:ind w:left="228"/>
              <w:spacing w:after="0"/>
              <w:rPr>
                <w:sz w:val="20"/>
                <w:szCs w:val="20"/>
                <w:color w:val="auto"/>
              </w:rPr>
            </w:pPr>
            <w:r>
              <w:rPr>
                <w:rFonts w:ascii="Arial" w:cs="Arial" w:eastAsia="Arial" w:hAnsi="Arial"/>
                <w:sz w:val="14"/>
                <w:szCs w:val="14"/>
                <w:color w:val="auto"/>
                <w:w w:val="97"/>
              </w:rPr>
              <w:t>$1.0M</w:t>
            </w:r>
          </w:p>
        </w:tc>
        <w:tc>
          <w:tcPr>
            <w:tcW w:w="1580" w:type="dxa"/>
            <w:vAlign w:val="bottom"/>
            <w:gridSpan w:val="2"/>
            <w:shd w:val="clear" w:color="auto" w:fill="CFF0FC"/>
          </w:tcPr>
          <w:p>
            <w:pPr>
              <w:jc w:val="center"/>
              <w:ind w:left="108"/>
              <w:spacing w:after="0"/>
              <w:rPr>
                <w:sz w:val="20"/>
                <w:szCs w:val="20"/>
                <w:color w:val="auto"/>
              </w:rPr>
            </w:pPr>
            <w:r>
              <w:rPr>
                <w:rFonts w:ascii="Arial" w:cs="Arial" w:eastAsia="Arial" w:hAnsi="Arial"/>
                <w:sz w:val="14"/>
                <w:szCs w:val="14"/>
                <w:color w:val="auto"/>
                <w:w w:val="97"/>
              </w:rPr>
              <w:t>Q2'15</w:t>
            </w:r>
          </w:p>
        </w:tc>
        <w:tc>
          <w:tcPr>
            <w:tcW w:w="820" w:type="dxa"/>
            <w:vAlign w:val="bottom"/>
            <w:shd w:val="clear" w:color="auto" w:fill="CFF0FC"/>
          </w:tcPr>
          <w:p>
            <w:pPr>
              <w:jc w:val="center"/>
              <w:ind w:left="248"/>
              <w:spacing w:after="0"/>
              <w:rPr>
                <w:sz w:val="20"/>
                <w:szCs w:val="20"/>
                <w:color w:val="auto"/>
              </w:rPr>
            </w:pPr>
            <w:r>
              <w:rPr>
                <w:rFonts w:ascii="Arial" w:cs="Arial" w:eastAsia="Arial" w:hAnsi="Arial"/>
                <w:sz w:val="14"/>
                <w:szCs w:val="14"/>
                <w:color w:val="auto"/>
                <w:w w:val="97"/>
              </w:rPr>
              <w:t>$1.0M</w:t>
            </w:r>
          </w:p>
        </w:tc>
        <w:tc>
          <w:tcPr>
            <w:tcW w:w="1560" w:type="dxa"/>
            <w:vAlign w:val="bottom"/>
            <w:gridSpan w:val="2"/>
            <w:shd w:val="clear" w:color="auto" w:fill="CFF0FC"/>
          </w:tcPr>
          <w:p>
            <w:pPr>
              <w:jc w:val="center"/>
              <w:ind w:left="108"/>
              <w:spacing w:after="0"/>
              <w:rPr>
                <w:sz w:val="20"/>
                <w:szCs w:val="20"/>
                <w:color w:val="auto"/>
              </w:rPr>
            </w:pPr>
            <w:r>
              <w:rPr>
                <w:rFonts w:ascii="Arial" w:cs="Arial" w:eastAsia="Arial" w:hAnsi="Arial"/>
                <w:sz w:val="14"/>
                <w:szCs w:val="14"/>
                <w:color w:val="auto"/>
                <w:w w:val="91"/>
              </w:rPr>
              <w:t>Q4'15</w:t>
            </w:r>
          </w:p>
        </w:tc>
        <w:tc>
          <w:tcPr>
            <w:tcW w:w="820" w:type="dxa"/>
            <w:vAlign w:val="bottom"/>
            <w:shd w:val="clear" w:color="auto" w:fill="CFF0FC"/>
          </w:tcPr>
          <w:p>
            <w:pPr>
              <w:jc w:val="center"/>
              <w:ind w:left="208"/>
              <w:spacing w:after="0"/>
              <w:rPr>
                <w:sz w:val="20"/>
                <w:szCs w:val="20"/>
                <w:color w:val="auto"/>
              </w:rPr>
            </w:pPr>
            <w:r>
              <w:rPr>
                <w:rFonts w:ascii="Arial" w:cs="Arial" w:eastAsia="Arial" w:hAnsi="Arial"/>
                <w:sz w:val="14"/>
                <w:szCs w:val="14"/>
                <w:color w:val="auto"/>
                <w:w w:val="97"/>
              </w:rPr>
              <w:t>$1.0M</w:t>
            </w:r>
          </w:p>
        </w:tc>
        <w:tc>
          <w:tcPr>
            <w:tcW w:w="1440" w:type="dxa"/>
            <w:vAlign w:val="bottom"/>
            <w:shd w:val="clear" w:color="auto" w:fill="CFF0FC"/>
          </w:tcPr>
          <w:p>
            <w:pPr>
              <w:jc w:val="center"/>
              <w:ind w:left="228"/>
              <w:spacing w:after="0"/>
              <w:rPr>
                <w:sz w:val="20"/>
                <w:szCs w:val="20"/>
                <w:color w:val="auto"/>
              </w:rPr>
            </w:pPr>
            <w:r>
              <w:rPr>
                <w:rFonts w:ascii="Arial" w:cs="Arial" w:eastAsia="Arial" w:hAnsi="Arial"/>
                <w:sz w:val="14"/>
                <w:szCs w:val="14"/>
                <w:color w:val="auto"/>
                <w:w w:val="91"/>
              </w:rPr>
              <w:t>Q3'16</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IND clearance from the FDA</w:t>
            </w:r>
          </w:p>
        </w:tc>
        <w:tc>
          <w:tcPr>
            <w:tcW w:w="840" w:type="dxa"/>
            <w:vAlign w:val="bottom"/>
          </w:tcPr>
          <w:p>
            <w:pPr>
              <w:jc w:val="center"/>
              <w:ind w:left="228"/>
              <w:spacing w:after="0"/>
              <w:rPr>
                <w:sz w:val="20"/>
                <w:szCs w:val="20"/>
                <w:color w:val="auto"/>
              </w:rPr>
            </w:pPr>
            <w:r>
              <w:rPr>
                <w:rFonts w:ascii="Arial" w:cs="Arial" w:eastAsia="Arial" w:hAnsi="Arial"/>
                <w:sz w:val="14"/>
                <w:szCs w:val="14"/>
                <w:color w:val="auto"/>
                <w:w w:val="97"/>
              </w:rPr>
              <w:t>$4.0M</w:t>
            </w:r>
          </w:p>
        </w:tc>
        <w:tc>
          <w:tcPr>
            <w:tcW w:w="1580" w:type="dxa"/>
            <w:vAlign w:val="bottom"/>
            <w:gridSpan w:val="2"/>
          </w:tcPr>
          <w:p>
            <w:pPr>
              <w:jc w:val="center"/>
              <w:ind w:left="108"/>
              <w:spacing w:after="0"/>
              <w:rPr>
                <w:sz w:val="20"/>
                <w:szCs w:val="20"/>
                <w:color w:val="auto"/>
              </w:rPr>
            </w:pPr>
            <w:r>
              <w:rPr>
                <w:rFonts w:ascii="Arial" w:cs="Arial" w:eastAsia="Arial" w:hAnsi="Arial"/>
                <w:sz w:val="14"/>
                <w:szCs w:val="14"/>
                <w:color w:val="auto"/>
                <w:w w:val="97"/>
              </w:rPr>
              <w:t>Q1'16</w:t>
            </w:r>
          </w:p>
        </w:tc>
        <w:tc>
          <w:tcPr>
            <w:tcW w:w="820" w:type="dxa"/>
            <w:vAlign w:val="bottom"/>
          </w:tcPr>
          <w:p>
            <w:pPr>
              <w:jc w:val="center"/>
              <w:ind w:left="248"/>
              <w:spacing w:after="0"/>
              <w:rPr>
                <w:sz w:val="20"/>
                <w:szCs w:val="20"/>
                <w:color w:val="auto"/>
              </w:rPr>
            </w:pPr>
            <w:r>
              <w:rPr>
                <w:rFonts w:ascii="Arial" w:cs="Arial" w:eastAsia="Arial" w:hAnsi="Arial"/>
                <w:sz w:val="14"/>
                <w:szCs w:val="14"/>
                <w:color w:val="auto"/>
                <w:w w:val="97"/>
              </w:rPr>
              <w:t>$4.0M</w:t>
            </w:r>
          </w:p>
        </w:tc>
        <w:tc>
          <w:tcPr>
            <w:tcW w:w="1560" w:type="dxa"/>
            <w:vAlign w:val="bottom"/>
            <w:gridSpan w:val="2"/>
          </w:tcPr>
          <w:p>
            <w:pPr>
              <w:jc w:val="center"/>
              <w:ind w:left="108"/>
              <w:spacing w:after="0"/>
              <w:rPr>
                <w:sz w:val="20"/>
                <w:szCs w:val="20"/>
                <w:color w:val="auto"/>
              </w:rPr>
            </w:pPr>
            <w:r>
              <w:rPr>
                <w:rFonts w:ascii="Arial" w:cs="Arial" w:eastAsia="Arial" w:hAnsi="Arial"/>
                <w:sz w:val="14"/>
                <w:szCs w:val="14"/>
                <w:color w:val="auto"/>
                <w:w w:val="91"/>
              </w:rPr>
              <w:t>Q2'16</w:t>
            </w:r>
          </w:p>
        </w:tc>
        <w:tc>
          <w:tcPr>
            <w:tcW w:w="820" w:type="dxa"/>
            <w:vAlign w:val="bottom"/>
          </w:tcPr>
          <w:p>
            <w:pPr>
              <w:jc w:val="center"/>
              <w:ind w:left="208"/>
              <w:spacing w:after="0"/>
              <w:rPr>
                <w:sz w:val="20"/>
                <w:szCs w:val="20"/>
                <w:color w:val="auto"/>
              </w:rPr>
            </w:pPr>
            <w:r>
              <w:rPr>
                <w:rFonts w:ascii="Arial" w:cs="Arial" w:eastAsia="Arial" w:hAnsi="Arial"/>
                <w:sz w:val="14"/>
                <w:szCs w:val="14"/>
                <w:color w:val="auto"/>
                <w:w w:val="97"/>
              </w:rPr>
              <w:t>$4.0M</w:t>
            </w:r>
          </w:p>
        </w:tc>
        <w:tc>
          <w:tcPr>
            <w:tcW w:w="1440" w:type="dxa"/>
            <w:vAlign w:val="bottom"/>
          </w:tcPr>
          <w:p>
            <w:pPr>
              <w:jc w:val="center"/>
              <w:ind w:left="228"/>
              <w:spacing w:after="0"/>
              <w:rPr>
                <w:sz w:val="20"/>
                <w:szCs w:val="20"/>
                <w:color w:val="auto"/>
              </w:rPr>
            </w:pPr>
            <w:r>
              <w:rPr>
                <w:rFonts w:ascii="Arial" w:cs="Arial" w:eastAsia="Arial" w:hAnsi="Arial"/>
                <w:sz w:val="14"/>
                <w:szCs w:val="14"/>
                <w:color w:val="auto"/>
                <w:w w:val="91"/>
              </w:rPr>
              <w:t>Q2'17</w:t>
            </w:r>
          </w:p>
        </w:tc>
        <w:tc>
          <w:tcPr>
            <w:tcW w:w="0" w:type="dxa"/>
            <w:vAlign w:val="bottom"/>
          </w:tcPr>
          <w:p>
            <w:pPr>
              <w:spacing w:after="0"/>
              <w:rPr>
                <w:sz w:val="1"/>
                <w:szCs w:val="1"/>
                <w:color w:val="auto"/>
              </w:rPr>
            </w:pPr>
          </w:p>
        </w:tc>
      </w:tr>
      <w:tr>
        <w:trPr>
          <w:trHeight w:val="276"/>
        </w:trPr>
        <w:tc>
          <w:tcPr>
            <w:tcW w:w="4360" w:type="dxa"/>
            <w:vAlign w:val="bottom"/>
            <w:shd w:val="clear" w:color="auto" w:fill="CFF0FC"/>
          </w:tcPr>
          <w:p>
            <w:pPr>
              <w:ind w:left="40"/>
              <w:spacing w:after="0"/>
              <w:rPr>
                <w:sz w:val="20"/>
                <w:szCs w:val="20"/>
                <w:color w:val="auto"/>
              </w:rPr>
            </w:pPr>
            <w:r>
              <w:rPr>
                <w:rFonts w:ascii="Arial" w:cs="Arial" w:eastAsia="Arial" w:hAnsi="Arial"/>
                <w:sz w:val="14"/>
                <w:szCs w:val="14"/>
                <w:color w:val="auto"/>
              </w:rPr>
              <w:t>Phase 2 clinical trial initiation</w:t>
            </w:r>
          </w:p>
        </w:tc>
        <w:tc>
          <w:tcPr>
            <w:tcW w:w="840" w:type="dxa"/>
            <w:vAlign w:val="bottom"/>
            <w:shd w:val="clear" w:color="auto" w:fill="CFF0FC"/>
          </w:tcPr>
          <w:p>
            <w:pPr>
              <w:jc w:val="center"/>
              <w:ind w:left="228"/>
              <w:spacing w:after="0"/>
              <w:rPr>
                <w:sz w:val="20"/>
                <w:szCs w:val="20"/>
                <w:color w:val="auto"/>
              </w:rPr>
            </w:pPr>
            <w:r>
              <w:rPr>
                <w:rFonts w:ascii="Arial" w:cs="Arial" w:eastAsia="Arial" w:hAnsi="Arial"/>
                <w:sz w:val="14"/>
                <w:szCs w:val="14"/>
                <w:color w:val="auto"/>
                <w:w w:val="97"/>
              </w:rPr>
              <w:t>$3.0M</w:t>
            </w:r>
          </w:p>
        </w:tc>
        <w:tc>
          <w:tcPr>
            <w:tcW w:w="1580" w:type="dxa"/>
            <w:vAlign w:val="bottom"/>
            <w:gridSpan w:val="2"/>
            <w:shd w:val="clear" w:color="auto" w:fill="CFF0FC"/>
          </w:tcPr>
          <w:p>
            <w:pPr>
              <w:jc w:val="center"/>
              <w:ind w:left="108"/>
              <w:spacing w:after="0"/>
              <w:rPr>
                <w:sz w:val="20"/>
                <w:szCs w:val="20"/>
                <w:color w:val="auto"/>
              </w:rPr>
            </w:pPr>
            <w:r>
              <w:rPr>
                <w:rFonts w:ascii="Arial" w:cs="Arial" w:eastAsia="Arial" w:hAnsi="Arial"/>
                <w:sz w:val="14"/>
                <w:szCs w:val="14"/>
                <w:color w:val="auto"/>
                <w:w w:val="97"/>
              </w:rPr>
              <w:t>Q2'17</w:t>
            </w:r>
          </w:p>
        </w:tc>
        <w:tc>
          <w:tcPr>
            <w:tcW w:w="820" w:type="dxa"/>
            <w:vAlign w:val="bottom"/>
            <w:shd w:val="clear" w:color="auto" w:fill="CFF0FC"/>
          </w:tcPr>
          <w:p>
            <w:pPr>
              <w:jc w:val="center"/>
              <w:ind w:left="248"/>
              <w:spacing w:after="0"/>
              <w:rPr>
                <w:sz w:val="20"/>
                <w:szCs w:val="20"/>
                <w:color w:val="auto"/>
              </w:rPr>
            </w:pPr>
            <w:r>
              <w:rPr>
                <w:rFonts w:ascii="Arial" w:cs="Arial" w:eastAsia="Arial" w:hAnsi="Arial"/>
                <w:sz w:val="14"/>
                <w:szCs w:val="14"/>
                <w:color w:val="auto"/>
                <w:w w:val="97"/>
              </w:rPr>
              <w:t>$3.0M</w:t>
            </w:r>
          </w:p>
        </w:tc>
        <w:tc>
          <w:tcPr>
            <w:tcW w:w="1560" w:type="dxa"/>
            <w:vAlign w:val="bottom"/>
            <w:gridSpan w:val="2"/>
            <w:shd w:val="clear" w:color="auto" w:fill="CFF0FC"/>
          </w:tcPr>
          <w:p>
            <w:pPr>
              <w:jc w:val="center"/>
              <w:ind w:left="108"/>
              <w:spacing w:after="0"/>
              <w:rPr>
                <w:sz w:val="20"/>
                <w:szCs w:val="20"/>
                <w:color w:val="auto"/>
              </w:rPr>
            </w:pPr>
            <w:r>
              <w:rPr>
                <w:rFonts w:ascii="Arial" w:cs="Arial" w:eastAsia="Arial" w:hAnsi="Arial"/>
                <w:sz w:val="14"/>
                <w:szCs w:val="14"/>
                <w:color w:val="auto"/>
                <w:w w:val="91"/>
              </w:rPr>
              <w:t>Q4'17</w:t>
            </w:r>
          </w:p>
        </w:tc>
        <w:tc>
          <w:tcPr>
            <w:tcW w:w="820" w:type="dxa"/>
            <w:vAlign w:val="bottom"/>
            <w:shd w:val="clear" w:color="auto" w:fill="CFF0FC"/>
          </w:tcPr>
          <w:p>
            <w:pPr>
              <w:jc w:val="center"/>
              <w:ind w:lef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center"/>
              <w:ind w:left="2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color w:val="auto"/>
              </w:rPr>
              <w:t>Phase 3 clinical trial initiation</w:t>
            </w:r>
          </w:p>
        </w:tc>
        <w:tc>
          <w:tcPr>
            <w:tcW w:w="840" w:type="dxa"/>
            <w:vAlign w:val="bottom"/>
          </w:tcPr>
          <w:p>
            <w:pPr>
              <w:jc w:val="center"/>
              <w:ind w:left="228"/>
              <w:spacing w:after="0"/>
              <w:rPr>
                <w:sz w:val="20"/>
                <w:szCs w:val="20"/>
                <w:color w:val="auto"/>
              </w:rPr>
            </w:pPr>
            <w:r>
              <w:rPr>
                <w:rFonts w:ascii="Arial" w:cs="Arial" w:eastAsia="Arial" w:hAnsi="Arial"/>
                <w:sz w:val="14"/>
                <w:szCs w:val="14"/>
                <w:color w:val="auto"/>
                <w:w w:val="97"/>
              </w:rPr>
              <w:t>$5.0M</w:t>
            </w:r>
          </w:p>
        </w:tc>
        <w:tc>
          <w:tcPr>
            <w:tcW w:w="1580" w:type="dxa"/>
            <w:vAlign w:val="bottom"/>
            <w:gridSpan w:val="2"/>
          </w:tcPr>
          <w:p>
            <w:pPr>
              <w:jc w:val="center"/>
              <w:ind w:left="108"/>
              <w:spacing w:after="0"/>
              <w:rPr>
                <w:sz w:val="20"/>
                <w:szCs w:val="20"/>
                <w:color w:val="auto"/>
              </w:rPr>
            </w:pPr>
            <w:r>
              <w:rPr>
                <w:rFonts w:ascii="Arial" w:cs="Arial" w:eastAsia="Arial" w:hAnsi="Arial"/>
                <w:sz w:val="14"/>
                <w:szCs w:val="14"/>
                <w:color w:val="auto"/>
                <w:w w:val="97"/>
              </w:rPr>
              <w:t>Q3'18</w:t>
            </w:r>
          </w:p>
        </w:tc>
        <w:tc>
          <w:tcPr>
            <w:tcW w:w="820" w:type="dxa"/>
            <w:vAlign w:val="bottom"/>
          </w:tcPr>
          <w:p>
            <w:pPr>
              <w:jc w:val="center"/>
              <w:ind w:left="228"/>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left="108"/>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ind w:left="228"/>
              <w:spacing w:after="0"/>
              <w:rPr>
                <w:sz w:val="20"/>
                <w:szCs w:val="20"/>
                <w:color w:val="auto"/>
              </w:rPr>
            </w:pPr>
            <w:r>
              <w:rPr>
                <w:rFonts w:ascii="Arial" w:cs="Arial" w:eastAsia="Arial" w:hAnsi="Arial"/>
                <w:sz w:val="14"/>
                <w:szCs w:val="14"/>
                <w:color w:val="auto"/>
              </w:rPr>
              <w:t>—</w:t>
            </w:r>
          </w:p>
        </w:tc>
        <w:tc>
          <w:tcPr>
            <w:tcW w:w="1440" w:type="dxa"/>
            <w:vAlign w:val="bottom"/>
          </w:tcPr>
          <w:p>
            <w:pPr>
              <w:jc w:val="center"/>
              <w:ind w:left="2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Milestones achieved during the discovery period were recognized as revenue pro-rata through December 31, 2016. Milestones achieved during fiscal</w:t>
      </w:r>
    </w:p>
    <w:p>
      <w:pPr>
        <w:spacing w:after="0" w:line="4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2017 were recognized as revenue in the period earned, while milestones after December 31, 2017 were recognized upon determination that a significant reversal of revenue would not be probable. Cash is generally received within 30 days of milestone achievement.</w:t>
      </w:r>
    </w:p>
    <w:p>
      <w:pPr>
        <w:spacing w:after="0" w:line="76"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Revenue from future contingent milestone payments will be recognized when it is more likely than not that the revenue will not be reversed in future periods.</w:t>
      </w:r>
    </w:p>
    <w:p>
      <w:pPr>
        <w:spacing w:after="0" w:line="62" w:lineRule="exact"/>
        <w:rPr>
          <w:sz w:val="20"/>
          <w:szCs w:val="20"/>
          <w:color w:val="auto"/>
        </w:rPr>
      </w:pPr>
    </w:p>
    <w:p>
      <w:pPr>
        <w:ind w:right="60" w:firstLine="446"/>
        <w:spacing w:after="0" w:line="312" w:lineRule="auto"/>
        <w:rPr>
          <w:sz w:val="20"/>
          <w:szCs w:val="20"/>
          <w:color w:val="auto"/>
        </w:rPr>
      </w:pPr>
      <w:r>
        <w:rPr>
          <w:rFonts w:ascii="Arial" w:cs="Arial" w:eastAsia="Arial" w:hAnsi="Arial"/>
          <w:sz w:val="16"/>
          <w:szCs w:val="16"/>
          <w:color w:val="auto"/>
        </w:rPr>
        <w:t>We recognized $5.0 million in revenue under this agreement during the three and nine months ended September 30, 2018 related to one milestone upon determination that a significant reversal of revenue would not be probable, and $7.0 million in revenue under this agreement during the nine months ended September 30, 2017 related to two milestones. There was no revenue recognized under this agreement during the three months ended September 30, 2017.</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Antibody Generation Agreement with Celgene Corporation</w:t>
      </w:r>
    </w:p>
    <w:p>
      <w:pPr>
        <w:spacing w:after="0" w:line="117" w:lineRule="exact"/>
        <w:rPr>
          <w:sz w:val="20"/>
          <w:szCs w:val="20"/>
          <w:color w:val="auto"/>
        </w:rPr>
      </w:pPr>
    </w:p>
    <w:p>
      <w:pPr>
        <w:jc w:val="both"/>
        <w:ind w:right="220" w:firstLine="446"/>
        <w:spacing w:after="0" w:line="259" w:lineRule="auto"/>
        <w:rPr>
          <w:sz w:val="20"/>
          <w:szCs w:val="20"/>
          <w:color w:val="auto"/>
        </w:rPr>
      </w:pPr>
      <w:r>
        <w:rPr>
          <w:rFonts w:ascii="Arial" w:cs="Arial" w:eastAsia="Arial" w:hAnsi="Arial"/>
          <w:sz w:val="18"/>
          <w:szCs w:val="18"/>
          <w:color w:val="auto"/>
        </w:rPr>
        <w:t>In December 2011, we entered into a license and collaboration agreement with Celgene, or the Celgene Agreement,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79"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The agreement provided for an upfront payment of $6.0 million from Celgene, which we received in 2011 and recognized through 2014, milestone payments of up to $53.0 million per target, low single-digit royalties on net sales of antibodies against each target, and reimbursement of specified research and development costs.</w:t>
      </w:r>
    </w:p>
    <w:p>
      <w:pPr>
        <w:spacing w:after="0" w:line="73" w:lineRule="exact"/>
        <w:rPr>
          <w:sz w:val="20"/>
          <w:szCs w:val="20"/>
          <w:color w:val="auto"/>
        </w:rPr>
      </w:pPr>
    </w:p>
    <w:p>
      <w:pPr>
        <w:ind w:right="60" w:firstLine="446"/>
        <w:spacing w:after="0" w:line="290" w:lineRule="auto"/>
        <w:rPr>
          <w:sz w:val="20"/>
          <w:szCs w:val="20"/>
          <w:color w:val="auto"/>
        </w:rPr>
      </w:pPr>
      <w:r>
        <w:rPr>
          <w:rFonts w:ascii="Arial" w:cs="Arial" w:eastAsia="Arial" w:hAnsi="Arial"/>
          <w:sz w:val="16"/>
          <w:szCs w:val="16"/>
          <w:color w:val="auto"/>
        </w:rPr>
        <w:t>We assessed this arrangement in accordance with ASC Topic 606 and concluded that the contract counterparty, Celgene, is a customer. We identified the following material promises under the Celgene Agreement: (1) the licenses under certain patent rights relating to four targets and transfer of certain development and regulatory information, (2) R&amp;D services, (3) a written report documenting findings and (4) Steering Committee meetings. We considered the research and discovery capabilities of Celgene, Celgene’s inability to sub-license the four targets, and the fact that the discovery and optimization of these antibodies is proprietary and could not, at the time of the contract inception, be provided by other vendors, to conclude that the license does not have stand-alone functionality and is therefore not distinct. Additionally, we determined that the report of findings and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the arrangement.</w:t>
      </w:r>
    </w:p>
    <w:p>
      <w:pPr>
        <w:spacing w:after="0" w:line="58" w:lineRule="exact"/>
        <w:rPr>
          <w:sz w:val="20"/>
          <w:szCs w:val="20"/>
          <w:color w:val="auto"/>
        </w:rPr>
      </w:pPr>
    </w:p>
    <w:p>
      <w:pPr>
        <w:ind w:right="300" w:firstLine="446"/>
        <w:spacing w:after="0" w:line="257" w:lineRule="auto"/>
        <w:rPr>
          <w:sz w:val="20"/>
          <w:szCs w:val="20"/>
          <w:color w:val="auto"/>
        </w:rPr>
      </w:pPr>
      <w:r>
        <w:rPr>
          <w:rFonts w:ascii="Arial" w:cs="Arial" w:eastAsia="Arial" w:hAnsi="Arial"/>
          <w:sz w:val="18"/>
          <w:szCs w:val="18"/>
          <w:color w:val="auto"/>
        </w:rPr>
        <w:t>As of September 30, 2018, the transaction price includes the upfront payment, success fees, expense reimbursement, and milestones earned to date, which are allocated in their entirety to the single performance obligation. None of the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and the licensees’ efforts. Any consideration related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76" w:right="239" w:bottom="1440" w:gutter="0" w:footer="0" w:header="0"/>
        </w:sectPr>
      </w:pPr>
    </w:p>
    <w:bookmarkStart w:id="11" w:name="page12"/>
    <w:bookmarkEnd w:id="11"/>
    <w:p>
      <w:pPr>
        <w:ind w:right="40"/>
        <w:spacing w:after="0" w:line="264" w:lineRule="auto"/>
        <w:rPr>
          <w:sz w:val="20"/>
          <w:szCs w:val="20"/>
          <w:color w:val="auto"/>
        </w:rPr>
      </w:pPr>
      <w:r>
        <w:rPr>
          <w:rFonts w:ascii="Arial" w:cs="Arial" w:eastAsia="Arial" w:hAnsi="Arial"/>
          <w:sz w:val="18"/>
          <w:szCs w:val="18"/>
          <w:color w:val="auto"/>
        </w:rPr>
        <w:t>to sales-based milestones, including royalties, will be recognized when the related sales occur as they were determined to relate predominantly to the IP license granted to Celgene and therefore have also been excluded from the transaction price. We will re-evaluate the transaction price in each reporting period and as uncertain events are resolved or other changes in circumstances occur.</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Milestones achieved through September 30, 2018 under the Celgene Agreement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4980" w:type="dxa"/>
            <w:vAlign w:val="bottom"/>
            <w:gridSpan w:val="2"/>
          </w:tcPr>
          <w:p>
            <w:pPr>
              <w:jc w:val="center"/>
              <w:ind w:left="2608"/>
              <w:spacing w:after="0"/>
              <w:rPr>
                <w:sz w:val="20"/>
                <w:szCs w:val="20"/>
                <w:color w:val="auto"/>
              </w:rPr>
            </w:pPr>
            <w:r>
              <w:rPr>
                <w:rFonts w:ascii="Arial" w:cs="Arial" w:eastAsia="Arial" w:hAnsi="Arial"/>
                <w:sz w:val="14"/>
                <w:szCs w:val="14"/>
                <w:b w:val="1"/>
                <w:bCs w:val="1"/>
                <w:color w:val="auto"/>
                <w:w w:val="97"/>
              </w:rPr>
              <w:t>Anti-PD-1</w:t>
            </w:r>
          </w:p>
        </w:tc>
        <w:tc>
          <w:tcPr>
            <w:tcW w:w="0" w:type="dxa"/>
            <w:vAlign w:val="bottom"/>
          </w:tcPr>
          <w:p>
            <w:pPr>
              <w:spacing w:after="0"/>
              <w:rPr>
                <w:sz w:val="1"/>
                <w:szCs w:val="1"/>
                <w:color w:val="auto"/>
              </w:rPr>
            </w:pPr>
          </w:p>
        </w:tc>
      </w:tr>
      <w:tr>
        <w:trPr>
          <w:trHeight w:val="192"/>
        </w:trPr>
        <w:tc>
          <w:tcPr>
            <w:tcW w:w="644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2"/>
          </w:tcPr>
          <w:p>
            <w:pPr>
              <w:jc w:val="center"/>
              <w:ind w:left="2628"/>
              <w:spacing w:after="0"/>
              <w:rPr>
                <w:sz w:val="20"/>
                <w:szCs w:val="20"/>
                <w:color w:val="auto"/>
              </w:rPr>
            </w:pPr>
            <w:r>
              <w:rPr>
                <w:rFonts w:ascii="Arial" w:cs="Arial" w:eastAsia="Arial" w:hAnsi="Arial"/>
                <w:sz w:val="14"/>
                <w:szCs w:val="14"/>
                <w:b w:val="1"/>
                <w:bCs w:val="1"/>
                <w:color w:val="auto"/>
                <w:w w:val="98"/>
              </w:rPr>
              <w:t>(CC-90006)</w:t>
            </w:r>
          </w:p>
        </w:tc>
        <w:tc>
          <w:tcPr>
            <w:tcW w:w="0" w:type="dxa"/>
            <w:vAlign w:val="bottom"/>
          </w:tcPr>
          <w:p>
            <w:pPr>
              <w:spacing w:after="0"/>
              <w:rPr>
                <w:sz w:val="1"/>
                <w:szCs w:val="1"/>
                <w:color w:val="auto"/>
              </w:rPr>
            </w:pPr>
          </w:p>
        </w:tc>
      </w:tr>
      <w:tr>
        <w:trPr>
          <w:trHeight w:val="152"/>
        </w:trPr>
        <w:tc>
          <w:tcPr>
            <w:tcW w:w="6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Milestone Event</w:t>
            </w:r>
          </w:p>
        </w:tc>
        <w:tc>
          <w:tcPr>
            <w:tcW w:w="3840" w:type="dxa"/>
            <w:vAlign w:val="bottom"/>
            <w:vMerge w:val="restart"/>
          </w:tcPr>
          <w:p>
            <w:pPr>
              <w:jc w:val="center"/>
              <w:ind w:left="2748"/>
              <w:spacing w:after="0"/>
              <w:rPr>
                <w:sz w:val="20"/>
                <w:szCs w:val="20"/>
                <w:color w:val="auto"/>
              </w:rPr>
            </w:pPr>
            <w:r>
              <w:rPr>
                <w:rFonts w:ascii="Arial" w:cs="Arial" w:eastAsia="Arial" w:hAnsi="Arial"/>
                <w:sz w:val="14"/>
                <w:szCs w:val="14"/>
                <w:b w:val="1"/>
                <w:bCs w:val="1"/>
                <w:color w:val="auto"/>
                <w:w w:val="94"/>
              </w:rPr>
              <w:t>Amount</w:t>
            </w:r>
          </w:p>
        </w:tc>
        <w:tc>
          <w:tcPr>
            <w:tcW w:w="1140" w:type="dxa"/>
            <w:vAlign w:val="bottom"/>
          </w:tcPr>
          <w:p>
            <w:pPr>
              <w:jc w:val="center"/>
              <w:ind w:left="48"/>
              <w:spacing w:after="0" w:line="153" w:lineRule="exact"/>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92"/>
        </w:trPr>
        <w:tc>
          <w:tcPr>
            <w:tcW w:w="6440" w:type="dxa"/>
            <w:vAlign w:val="bottom"/>
            <w:vMerge w:val="continue"/>
          </w:tcPr>
          <w:p>
            <w:pPr>
              <w:spacing w:after="0"/>
              <w:rPr>
                <w:sz w:val="16"/>
                <w:szCs w:val="16"/>
                <w:color w:val="auto"/>
              </w:rPr>
            </w:pPr>
          </w:p>
        </w:tc>
        <w:tc>
          <w:tcPr>
            <w:tcW w:w="3840" w:type="dxa"/>
            <w:vAlign w:val="bottom"/>
            <w:vMerge w:val="continue"/>
          </w:tcPr>
          <w:p>
            <w:pPr>
              <w:spacing w:after="0"/>
              <w:rPr>
                <w:sz w:val="16"/>
                <w:szCs w:val="16"/>
                <w:color w:val="auto"/>
              </w:rPr>
            </w:pPr>
          </w:p>
        </w:tc>
        <w:tc>
          <w:tcPr>
            <w:tcW w:w="1140" w:type="dxa"/>
            <w:vAlign w:val="bottom"/>
          </w:tcPr>
          <w:p>
            <w:pPr>
              <w:jc w:val="center"/>
              <w:ind w:left="48"/>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425"/>
        </w:trPr>
        <w:tc>
          <w:tcPr>
            <w:tcW w:w="6440" w:type="dxa"/>
            <w:vAlign w:val="bottom"/>
            <w:shd w:val="clear" w:color="auto" w:fill="CFF0FC"/>
          </w:tcPr>
          <w:p>
            <w:pPr>
              <w:ind w:left="40"/>
              <w:spacing w:after="0"/>
              <w:rPr>
                <w:sz w:val="20"/>
                <w:szCs w:val="20"/>
                <w:color w:val="auto"/>
              </w:rPr>
            </w:pPr>
            <w:r>
              <w:rPr>
                <w:rFonts w:ascii="Arial" w:cs="Arial" w:eastAsia="Arial" w:hAnsi="Arial"/>
                <w:sz w:val="14"/>
                <w:szCs w:val="14"/>
                <w:color w:val="auto"/>
              </w:rPr>
              <w:t xml:space="preserve">Completion of first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toxicology studies using GLPs</w:t>
            </w:r>
          </w:p>
        </w:tc>
        <w:tc>
          <w:tcPr>
            <w:tcW w:w="3840" w:type="dxa"/>
            <w:vAlign w:val="bottom"/>
            <w:shd w:val="clear" w:color="auto" w:fill="CFF0FC"/>
          </w:tcPr>
          <w:p>
            <w:pPr>
              <w:jc w:val="center"/>
              <w:ind w:left="2748"/>
              <w:spacing w:after="0"/>
              <w:rPr>
                <w:sz w:val="20"/>
                <w:szCs w:val="20"/>
                <w:color w:val="auto"/>
              </w:rPr>
            </w:pPr>
            <w:r>
              <w:rPr>
                <w:rFonts w:ascii="Arial" w:cs="Arial" w:eastAsia="Arial" w:hAnsi="Arial"/>
                <w:sz w:val="14"/>
                <w:szCs w:val="14"/>
                <w:color w:val="auto"/>
                <w:w w:val="97"/>
              </w:rPr>
              <w:t>$0.5M</w:t>
            </w:r>
          </w:p>
        </w:tc>
        <w:tc>
          <w:tcPr>
            <w:tcW w:w="1140" w:type="dxa"/>
            <w:vAlign w:val="bottom"/>
            <w:shd w:val="clear" w:color="auto" w:fill="CFF0FC"/>
          </w:tcPr>
          <w:p>
            <w:pPr>
              <w:jc w:val="center"/>
              <w:ind w:left="48"/>
              <w:spacing w:after="0"/>
              <w:rPr>
                <w:sz w:val="20"/>
                <w:szCs w:val="20"/>
                <w:color w:val="auto"/>
              </w:rPr>
            </w:pPr>
            <w:r>
              <w:rPr>
                <w:rFonts w:ascii="Arial" w:cs="Arial" w:eastAsia="Arial" w:hAnsi="Arial"/>
                <w:sz w:val="14"/>
                <w:szCs w:val="14"/>
                <w:color w:val="auto"/>
                <w:w w:val="91"/>
              </w:rPr>
              <w:t>Q2'16</w:t>
            </w:r>
          </w:p>
        </w:tc>
        <w:tc>
          <w:tcPr>
            <w:tcW w:w="0" w:type="dxa"/>
            <w:vAlign w:val="bottom"/>
          </w:tcPr>
          <w:p>
            <w:pPr>
              <w:spacing w:after="0"/>
              <w:rPr>
                <w:sz w:val="1"/>
                <w:szCs w:val="1"/>
                <w:color w:val="auto"/>
              </w:rPr>
            </w:pPr>
          </w:p>
        </w:tc>
      </w:tr>
      <w:tr>
        <w:trPr>
          <w:trHeight w:val="191"/>
        </w:trPr>
        <w:tc>
          <w:tcPr>
            <w:tcW w:w="6440" w:type="dxa"/>
            <w:vAlign w:val="bottom"/>
          </w:tcPr>
          <w:p>
            <w:pPr>
              <w:ind w:left="40"/>
              <w:spacing w:after="0"/>
              <w:rPr>
                <w:sz w:val="20"/>
                <w:szCs w:val="20"/>
                <w:color w:val="auto"/>
              </w:rPr>
            </w:pPr>
            <w:r>
              <w:rPr>
                <w:rFonts w:ascii="Arial" w:cs="Arial" w:eastAsia="Arial" w:hAnsi="Arial"/>
                <w:sz w:val="14"/>
                <w:szCs w:val="14"/>
                <w:color w:val="auto"/>
              </w:rPr>
              <w:t>Phase 1 clinical trial initiation</w:t>
            </w:r>
          </w:p>
        </w:tc>
        <w:tc>
          <w:tcPr>
            <w:tcW w:w="3840" w:type="dxa"/>
            <w:vAlign w:val="bottom"/>
          </w:tcPr>
          <w:p>
            <w:pPr>
              <w:jc w:val="center"/>
              <w:ind w:left="2748"/>
              <w:spacing w:after="0"/>
              <w:rPr>
                <w:sz w:val="20"/>
                <w:szCs w:val="20"/>
                <w:color w:val="auto"/>
              </w:rPr>
            </w:pPr>
            <w:r>
              <w:rPr>
                <w:rFonts w:ascii="Arial" w:cs="Arial" w:eastAsia="Arial" w:hAnsi="Arial"/>
                <w:sz w:val="14"/>
                <w:szCs w:val="14"/>
                <w:color w:val="auto"/>
                <w:w w:val="97"/>
              </w:rPr>
              <w:t>$1.0M</w:t>
            </w:r>
          </w:p>
        </w:tc>
        <w:tc>
          <w:tcPr>
            <w:tcW w:w="1140" w:type="dxa"/>
            <w:vAlign w:val="bottom"/>
          </w:tcPr>
          <w:p>
            <w:pPr>
              <w:jc w:val="center"/>
              <w:ind w:left="48"/>
              <w:spacing w:after="0"/>
              <w:rPr>
                <w:sz w:val="20"/>
                <w:szCs w:val="20"/>
                <w:color w:val="auto"/>
              </w:rPr>
            </w:pPr>
            <w:r>
              <w:rPr>
                <w:rFonts w:ascii="Arial" w:cs="Arial" w:eastAsia="Arial" w:hAnsi="Arial"/>
                <w:sz w:val="14"/>
                <w:szCs w:val="14"/>
                <w:color w:val="auto"/>
                <w:w w:val="91"/>
              </w:rPr>
              <w:t>Q4'16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Revenue from future contingent milestone payments will be recognized when it is more likely than not that the revenue will not be reversed in future periods. Cash is generally received within 30 days of milestone achievement.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was no revenue recognized under this agreement during the three and nine months ended September 30, 2018 and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w:t>
      </w:r>
    </w:p>
    <w:p>
      <w:pPr>
        <w:spacing w:after="0" w:line="121" w:lineRule="exact"/>
        <w:rPr>
          <w:sz w:val="20"/>
          <w:szCs w:val="20"/>
          <w:color w:val="auto"/>
        </w:rPr>
      </w:pPr>
    </w:p>
    <w:p>
      <w:pPr>
        <w:ind w:right="280" w:firstLine="446"/>
        <w:spacing w:after="0" w:line="264" w:lineRule="auto"/>
        <w:rPr>
          <w:sz w:val="20"/>
          <w:szCs w:val="20"/>
          <w:color w:val="auto"/>
        </w:rPr>
      </w:pPr>
      <w:r>
        <w:rPr>
          <w:rFonts w:ascii="Arial" w:cs="Arial" w:eastAsia="Arial" w:hAnsi="Arial"/>
          <w:sz w:val="18"/>
          <w:szCs w:val="18"/>
          <w:color w:val="auto"/>
        </w:rPr>
        <w:t>On December 24, 2014, we entered into a Loan and Security Agreement, as amended from time to time, the Loan Agreement, with a bank and a financial institution whereby we may borrow up to $15.0 million in three separate draws of $5.0 million each. The Term A Loans, for an aggregate of $5.0 million, were drawn on December 24, 2014 with a fixed interest rate of 6.97%.</w:t>
      </w:r>
    </w:p>
    <w:p>
      <w:pPr>
        <w:spacing w:after="0" w:line="73" w:lineRule="exact"/>
        <w:rPr>
          <w:sz w:val="20"/>
          <w:szCs w:val="20"/>
          <w:color w:val="auto"/>
        </w:rPr>
      </w:pPr>
    </w:p>
    <w:p>
      <w:pPr>
        <w:ind w:right="40" w:firstLine="446"/>
        <w:spacing w:after="0" w:line="276"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41,208 shares of Series C Preferred Stock at an exercise price of $4.55 per share to the lenders.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64"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In January 2016, the Loan Agreement was amended to combine Term B Loans and Term C Loans for a total of $10.0 million available for draw through December 31, 2016 and delay the beginning of our Term A Loans’ principal repayments from February 1, 2016 until February 1, 2017. The Term B Loans and Term C Loans became available for draw on July 1, 2016. In December 2016, we further amended the Loan Agreement to (i) allow for the Term B Loans and Term C Loans to be drawn on December 30, 2016, (ii) delay principal repayments of all Term Loans until February 1, 2018 and (iii) amend the interest rate for each Term Loan. The Term B Loans and the Term C Loans were drawn on December 30, 2016, and Term A, B and C Loans are now collectively referred to as the Term Loans. Principal repayments began in February 2018, and as of September 30, 2018, there are 16 monthly principal and interest payments remaining on the Term Loans, with final maturity in January 2020. The Term Loans bear interest equal to the greater of 3-month U.S. LIBOR plus 6.37% or 7.3%. The interest rate was 8.69% as of September 30, 2018.</w:t>
      </w:r>
    </w:p>
    <w:p>
      <w:pPr>
        <w:spacing w:after="0" w:line="71" w:lineRule="exact"/>
        <w:rPr>
          <w:sz w:val="20"/>
          <w:szCs w:val="20"/>
          <w:color w:val="auto"/>
        </w:rPr>
      </w:pPr>
    </w:p>
    <w:p>
      <w:pPr>
        <w:ind w:right="180" w:firstLine="446"/>
        <w:spacing w:after="0" w:line="271" w:lineRule="auto"/>
        <w:rPr>
          <w:sz w:val="20"/>
          <w:szCs w:val="20"/>
          <w:color w:val="auto"/>
        </w:rPr>
      </w:pPr>
      <w:r>
        <w:rPr>
          <w:rFonts w:ascii="Arial" w:cs="Arial" w:eastAsia="Arial" w:hAnsi="Arial"/>
          <w:sz w:val="17"/>
          <w:szCs w:val="17"/>
          <w:color w:val="auto"/>
        </w:rPr>
        <w:t>In connection with the issuance of the Term B &amp; C Loans, we issued detachable, fully vested warrants to purchase an aggregate of 82,416 shares of Series C Preferred Stock at an exercise price of $4.55 per share to the lenders. The grant-date fair value of the warrants of $0.9 million was recorded as a liability, with a reduction to the carrying value of the Term B &amp; C Loans, and which is recognized as additional interest expense over the remaining term of the Loans. The initial fair value of the warrants was determined using the Black-Scholes option pricing model with the following assumptions: a stock price volatility of 79.2%, an expected life equal to the contractual term of the warrants of ten years and a risk-free interest rate of 2.45%. As discussed in Note 1 above, all of the outstanding warrants to purchase shares of preferred stock automatically converted into warrants to purchase shares of common stock in connection with the IPO and were accounted for as equity from the conversion date forward. All warrants related to Term Loans were exercised during the year ended December 31, 2017.</w:t>
      </w:r>
    </w:p>
    <w:p>
      <w:pPr>
        <w:spacing w:after="0" w:line="71"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color w:val="auto"/>
        </w:rPr>
        <w:t>The costs incurred to issue the Term Loans were deferred and are included in the discount to the carrying value of the Term Loans in the accompanying balance sheet. The Term Loans also include a final payment fee of $0.8 million due at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76" w:right="239" w:bottom="1440" w:gutter="0" w:footer="0" w:header="0"/>
        </w:sectPr>
      </w:pPr>
    </w:p>
    <w:bookmarkStart w:id="12" w:name="page13"/>
    <w:bookmarkEnd w:id="12"/>
    <w:p>
      <w:pPr>
        <w:ind w:right="220"/>
        <w:spacing w:after="0" w:line="277" w:lineRule="auto"/>
        <w:rPr>
          <w:sz w:val="20"/>
          <w:szCs w:val="20"/>
          <w:color w:val="auto"/>
        </w:rPr>
      </w:pPr>
      <w:r>
        <w:rPr>
          <w:rFonts w:ascii="Arial" w:cs="Arial" w:eastAsia="Arial" w:hAnsi="Arial"/>
          <w:sz w:val="18"/>
          <w:szCs w:val="18"/>
          <w:color w:val="auto"/>
        </w:rPr>
        <w:t>earlier of prepayment or the maturity date of the Term Loans. The deferred costs and the final payment fee are being amortized to interest expense over the expected term of the Term A Loans using the effective interest method.</w:t>
      </w:r>
    </w:p>
    <w:p>
      <w:pPr>
        <w:spacing w:after="0" w:line="62" w:lineRule="exact"/>
        <w:rPr>
          <w:sz w:val="20"/>
          <w:szCs w:val="20"/>
          <w:color w:val="auto"/>
        </w:rPr>
      </w:pPr>
    </w:p>
    <w:p>
      <w:pPr>
        <w:ind w:right="440" w:firstLine="446"/>
        <w:spacing w:after="0" w:line="291" w:lineRule="auto"/>
        <w:rPr>
          <w:sz w:val="20"/>
          <w:szCs w:val="20"/>
          <w:color w:val="auto"/>
        </w:rPr>
      </w:pPr>
      <w:r>
        <w:rPr>
          <w:rFonts w:ascii="Arial" w:cs="Arial" w:eastAsia="Arial" w:hAnsi="Arial"/>
          <w:sz w:val="16"/>
          <w:szCs w:val="16"/>
          <w:color w:val="auto"/>
        </w:rPr>
        <w:t>As of September 30, 2018, the carrying amount of the Term Loans was $9.9 million, which is net of unamortized discounts of $0.1 million and of which $7.5 million is classified as current liabilities as of September 30, 2018. The effective interest rate on the Term Loans at September 30, 2018 was</w:t>
      </w:r>
    </w:p>
    <w:p>
      <w:pPr>
        <w:ind w:right="200"/>
        <w:spacing w:after="0" w:line="261" w:lineRule="auto"/>
        <w:rPr>
          <w:sz w:val="20"/>
          <w:szCs w:val="20"/>
          <w:color w:val="auto"/>
        </w:rPr>
      </w:pPr>
      <w:r>
        <w:rPr>
          <w:rFonts w:ascii="Arial" w:cs="Arial" w:eastAsia="Arial" w:hAnsi="Arial"/>
          <w:sz w:val="18"/>
          <w:szCs w:val="18"/>
          <w:color w:val="auto"/>
        </w:rPr>
        <w:t>13.08%. As of September 30, 2018, future principal maturities of the Term Loans were $1.9 million, $7.5 million and $0.6 million in 2018, 2019 and 2020, respectively.</w:t>
      </w:r>
    </w:p>
    <w:p>
      <w:pPr>
        <w:spacing w:after="0" w:line="76" w:lineRule="exact"/>
        <w:rPr>
          <w:sz w:val="20"/>
          <w:szCs w:val="20"/>
          <w:color w:val="auto"/>
        </w:rPr>
      </w:pPr>
    </w:p>
    <w:p>
      <w:pPr>
        <w:ind w:right="360" w:firstLine="446"/>
        <w:spacing w:after="0" w:line="277" w:lineRule="auto"/>
        <w:rPr>
          <w:sz w:val="20"/>
          <w:szCs w:val="20"/>
          <w:color w:val="auto"/>
        </w:rPr>
      </w:pPr>
      <w:r>
        <w:rPr>
          <w:rFonts w:ascii="Arial" w:cs="Arial" w:eastAsia="Arial" w:hAnsi="Arial"/>
          <w:sz w:val="18"/>
          <w:szCs w:val="18"/>
          <w:color w:val="auto"/>
        </w:rPr>
        <w:t>The Term Loans are secured by a first priority interest in most of our assets, excluding intellectual property. As of September 30, 2018, we were in compliance with the covenants contained in the Loan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 and Available for Sale Investments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Our financial instruments consist principally of cash, cash equivalents, restricted cash, short-term and long-term investments, receivables, accounts payable, notes payable and, through January 31, 2017, preferred stock warrant liabilities. Certain of our financial assets and liabilities have been recorded at fair value in the consolidated balance sheet in accordance with the accounting standards for fair value measurements.</w:t>
      </w:r>
    </w:p>
    <w:p>
      <w:pPr>
        <w:spacing w:after="0" w:line="5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7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Level 3 - Unobservable inputs that are supported by little or no market activities, therefore requiring an entity to develop its own assumptions.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76" w:right="279" w:bottom="1440" w:gutter="0" w:footer="0" w:header="0"/>
        </w:sectPr>
      </w:pPr>
    </w:p>
    <w:bookmarkStart w:id="13" w:name="page14"/>
    <w:bookmarkEnd w:id="13"/>
    <w:p>
      <w:pPr>
        <w:ind w:left="30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6"/>
              </w:rPr>
              <w:t>Fair Value Measurements at End of Period Using:</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Quoted Market</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126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Prices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Other Observable</w:t>
            </w:r>
          </w:p>
        </w:tc>
        <w:tc>
          <w:tcPr>
            <w:tcW w:w="220" w:type="dxa"/>
            <w:vAlign w:val="bottom"/>
          </w:tcPr>
          <w:p>
            <w:pPr>
              <w:spacing w:after="0"/>
              <w:rPr>
                <w:sz w:val="12"/>
                <w:szCs w:val="12"/>
                <w:color w:val="auto"/>
              </w:rPr>
            </w:pPr>
          </w:p>
        </w:tc>
        <w:tc>
          <w:tcPr>
            <w:tcW w:w="126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2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60" w:type="dxa"/>
            <w:vAlign w:val="bottom"/>
            <w:gridSpan w:val="4"/>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26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9"/>
        </w:trPr>
        <w:tc>
          <w:tcPr>
            <w:tcW w:w="5160" w:type="dxa"/>
            <w:vAlign w:val="bottom"/>
            <w:tcBorders>
              <w:top w:val="single" w:sz="8" w:color="CFF0FC"/>
            </w:tcBorders>
            <w:gridSpan w:val="4"/>
            <w:shd w:val="clear" w:color="auto" w:fill="CFF0FC"/>
          </w:tcPr>
          <w:p>
            <w:pPr>
              <w:ind w:left="40"/>
              <w:spacing w:after="0" w:line="189" w:lineRule="exact"/>
              <w:rPr>
                <w:sz w:val="20"/>
                <w:szCs w:val="20"/>
                <w:color w:val="auto"/>
              </w:rPr>
            </w:pPr>
            <w:r>
              <w:rPr>
                <w:rFonts w:ascii="Arial" w:cs="Arial" w:eastAsia="Arial" w:hAnsi="Arial"/>
                <w:sz w:val="18"/>
                <w:szCs w:val="18"/>
                <w:b w:val="1"/>
                <w:bCs w:val="1"/>
                <w:color w:val="auto"/>
              </w:rPr>
              <w:t>At September 30, 2018</w:t>
            </w:r>
          </w:p>
        </w:tc>
        <w:tc>
          <w:tcPr>
            <w:tcW w:w="34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FF0FC"/>
            </w:tcBorders>
            <w:shd w:val="clear" w:color="auto" w:fill="CFF0FC"/>
          </w:tcPr>
          <w:p>
            <w:pPr>
              <w:spacing w:after="0"/>
              <w:rPr>
                <w:sz w:val="5"/>
                <w:szCs w:val="5"/>
                <w:color w:val="auto"/>
              </w:rPr>
            </w:pPr>
          </w:p>
        </w:tc>
        <w:tc>
          <w:tcPr>
            <w:tcW w:w="1680" w:type="dxa"/>
            <w:vAlign w:val="bottom"/>
            <w:tcBorders>
              <w:top w:val="single" w:sz="8" w:color="auto"/>
            </w:tcBorders>
            <w:shd w:val="clear" w:color="auto" w:fill="CFF0FC"/>
          </w:tcPr>
          <w:p>
            <w:pPr>
              <w:spacing w:after="0"/>
              <w:rPr>
                <w:sz w:val="5"/>
                <w:szCs w:val="5"/>
                <w:color w:val="auto"/>
              </w:rPr>
            </w:pPr>
          </w:p>
        </w:tc>
        <w:tc>
          <w:tcPr>
            <w:tcW w:w="60" w:type="dxa"/>
            <w:vAlign w:val="bottom"/>
            <w:tcBorders>
              <w:top w:val="single" w:sz="8" w:color="auto"/>
            </w:tcBorders>
            <w:shd w:val="clear" w:color="auto" w:fill="CFF0FC"/>
          </w:tcPr>
          <w:p>
            <w:pPr>
              <w:spacing w:after="0"/>
              <w:rPr>
                <w:sz w:val="5"/>
                <w:szCs w:val="5"/>
                <w:color w:val="auto"/>
              </w:rPr>
            </w:pPr>
          </w:p>
        </w:tc>
        <w:tc>
          <w:tcPr>
            <w:tcW w:w="3380" w:type="dxa"/>
            <w:vAlign w:val="bottom"/>
            <w:tcBorders>
              <w:top w:val="single" w:sz="8" w:color="CFF0FC"/>
            </w:tcBorders>
            <w:shd w:val="clear" w:color="auto" w:fill="CFF0FC"/>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116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128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13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126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51,442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51,442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(1)</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236,332</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236,332</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5"/>
                <w:szCs w:val="25"/>
                <w:color w:val="auto"/>
                <w:vertAlign w:val="superscript"/>
              </w:rPr>
              <w:t>(2)</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95,086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95,086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5"/>
                <w:szCs w:val="25"/>
                <w:color w:val="auto"/>
                <w:vertAlign w:val="superscript"/>
              </w:rPr>
              <w:t>(2)</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Arial" w:cs="Arial" w:eastAsia="Arial" w:hAnsi="Arial"/>
                <w:sz w:val="18"/>
                <w:szCs w:val="18"/>
                <w:color w:val="auto"/>
              </w:rPr>
              <w:t>Agency securities</w:t>
            </w:r>
            <w:r>
              <w:rPr>
                <w:rFonts w:ascii="Arial" w:cs="Arial" w:eastAsia="Arial" w:hAnsi="Arial"/>
                <w:sz w:val="25"/>
                <w:szCs w:val="25"/>
                <w:color w:val="auto"/>
                <w:vertAlign w:val="superscript"/>
              </w:rPr>
              <w:t>(2)</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44,647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44,647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5"/>
                <w:szCs w:val="25"/>
                <w:color w:val="auto"/>
                <w:vertAlign w:val="superscript"/>
              </w:rPr>
              <w:t>(1)(2)</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80,646</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80,646</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At December 31, 2017</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41,318</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41,318</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(1)</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28,817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28,817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5"/>
                <w:szCs w:val="25"/>
                <w:color w:val="auto"/>
                <w:vertAlign w:val="superscript"/>
              </w:rPr>
              <w:t>(2)</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79,397</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79,397</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120" w:type="dxa"/>
            <w:vAlign w:val="bottom"/>
            <w:gridSpan w:val="3"/>
          </w:tcPr>
          <w:p>
            <w:pPr>
              <w:ind w:left="20"/>
              <w:spacing w:after="0" w:line="270" w:lineRule="exact"/>
              <w:rPr>
                <w:sz w:val="20"/>
                <w:szCs w:val="20"/>
                <w:color w:val="auto"/>
              </w:rPr>
            </w:pPr>
            <w:r>
              <w:rPr>
                <w:rFonts w:ascii="Arial" w:cs="Arial" w:eastAsia="Arial" w:hAnsi="Arial"/>
                <w:sz w:val="18"/>
                <w:szCs w:val="18"/>
                <w:color w:val="auto"/>
              </w:rPr>
              <w:t>Agency securities</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59,948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59,948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5"/>
                <w:szCs w:val="25"/>
                <w:color w:val="auto"/>
                <w:vertAlign w:val="superscript"/>
              </w:rPr>
              <w:t>(2)</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111,660</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111,660</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Included in cash and cash equivalents, and restricted cash in the accompanying consolidated balance sheets.</w:t>
      </w:r>
    </w:p>
    <w:p>
      <w:pPr>
        <w:spacing w:after="0" w:line="28" w:lineRule="exact"/>
        <w:rPr>
          <w:rFonts w:ascii="Arial" w:cs="Arial" w:eastAsia="Arial" w:hAnsi="Arial"/>
          <w:sz w:val="25"/>
          <w:szCs w:val="25"/>
          <w:color w:val="auto"/>
          <w:vertAlign w:val="superscript"/>
        </w:rPr>
      </w:pPr>
    </w:p>
    <w:p>
      <w:pPr>
        <w:ind w:left="460" w:hanging="452"/>
        <w:spacing w:after="0" w:line="186" w:lineRule="auto"/>
        <w:tabs>
          <w:tab w:leader="none" w:pos="46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Included in short-term or long-term investments in the accompanying consolidated balance sheets depending on the respective maturity date.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methods and assumptions were used to estimate the fair value of our financial instruments for which it is practicable to estimate that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03"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73" w:lineRule="exact"/>
        <w:rPr>
          <w:sz w:val="20"/>
          <w:szCs w:val="20"/>
          <w:color w:val="auto"/>
        </w:rPr>
      </w:pPr>
    </w:p>
    <w:p>
      <w:pPr>
        <w:jc w:val="both"/>
        <w:ind w:right="260" w:firstLine="446"/>
        <w:spacing w:after="0" w:line="312" w:lineRule="auto"/>
        <w:rPr>
          <w:sz w:val="20"/>
          <w:szCs w:val="20"/>
          <w:color w:val="auto"/>
        </w:rPr>
      </w:pPr>
      <w:r>
        <w:rPr>
          <w:rFonts w:ascii="Arial" w:cs="Arial" w:eastAsia="Arial" w:hAnsi="Arial"/>
          <w:sz w:val="16"/>
          <w:szCs w:val="16"/>
          <w:i w:val="1"/>
          <w:iCs w:val="1"/>
          <w:color w:val="auto"/>
        </w:rPr>
        <w:t xml:space="preserve">Warrant Liabilities. </w:t>
      </w:r>
      <w:r>
        <w:rPr>
          <w:rFonts w:ascii="Arial" w:cs="Arial" w:eastAsia="Arial" w:hAnsi="Arial"/>
          <w:sz w:val="16"/>
          <w:szCs w:val="16"/>
          <w:color w:val="auto"/>
        </w:rPr>
        <w:t>Our preferred stock warrants were accounted for as derivative liabilities and measured at fair value on a recurring basis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31, 2017 as they contained features that were either not afforded equity classification or embodied risks that were not clearly and closely related to host contracts. We estimated the fair value of these derivatives utilizing the Black-Scholes option-pricing model, which required Level 3 inputs.</w:t>
      </w:r>
    </w:p>
    <w:p>
      <w:pPr>
        <w:spacing w:after="0" w:line="39"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As discussed in Note 1 above, all of the outstanding warrants to purchase shares of preferred stock automatically converted into warrants to purchase shares of common stock in connection with the IPO and are accounted for as equity from the conversion date forward. Prior to the conversion, we estimated the fair value of convertible preferred stock warrants at the time of issuance and upon subsequent remeasurement using the Black-Scholes option-pricing model at each reporting date.</w:t>
      </w:r>
    </w:p>
    <w:p>
      <w:pPr>
        <w:spacing w:after="0" w:line="79" w:lineRule="exact"/>
        <w:rPr>
          <w:sz w:val="20"/>
          <w:szCs w:val="20"/>
          <w:color w:val="auto"/>
        </w:rPr>
      </w:pPr>
    </w:p>
    <w:p>
      <w:pPr>
        <w:jc w:val="both"/>
        <w:ind w:right="140" w:firstLine="446"/>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requires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weighted-average assumptions were utilized in estimating the value of the liabilities for Series C preferred stock warrants using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as of January 31, 2017, the conversion date: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374"/>
              <w:spacing w:after="0"/>
              <w:rPr>
                <w:sz w:val="20"/>
                <w:szCs w:val="20"/>
                <w:color w:val="auto"/>
              </w:rPr>
            </w:pPr>
            <w:r>
              <w:rPr>
                <w:rFonts w:ascii="Arial" w:cs="Arial" w:eastAsia="Arial" w:hAnsi="Arial"/>
                <w:sz w:val="14"/>
                <w:szCs w:val="14"/>
                <w:b w:val="1"/>
                <w:bCs w:val="1"/>
                <w:color w:val="auto"/>
              </w:rPr>
              <w:t>January 31,</w:t>
            </w:r>
          </w:p>
        </w:tc>
      </w:tr>
      <w:tr>
        <w:trPr>
          <w:trHeight w:val="192"/>
        </w:trPr>
        <w:tc>
          <w:tcPr>
            <w:tcW w:w="97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r>
      <w:tr>
        <w:trPr>
          <w:trHeight w:val="250"/>
        </w:trPr>
        <w:tc>
          <w:tcPr>
            <w:tcW w:w="9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Fair value of preferred stock</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FF0FC"/>
            </w:tcBorders>
            <w:shd w:val="clear" w:color="auto" w:fill="CFF0FC"/>
          </w:tcPr>
          <w:p>
            <w:pPr>
              <w:jc w:val="right"/>
              <w:ind w:right="94"/>
              <w:spacing w:after="0"/>
              <w:rPr>
                <w:sz w:val="20"/>
                <w:szCs w:val="20"/>
                <w:color w:val="auto"/>
              </w:rPr>
            </w:pPr>
            <w:r>
              <w:rPr>
                <w:rFonts w:ascii="Arial" w:cs="Arial" w:eastAsia="Arial" w:hAnsi="Arial"/>
                <w:sz w:val="18"/>
                <w:szCs w:val="18"/>
                <w:color w:val="auto"/>
              </w:rPr>
              <w:t>16.95</w:t>
            </w:r>
          </w:p>
        </w:tc>
      </w:tr>
      <w:tr>
        <w:trPr>
          <w:trHeight w:val="243"/>
        </w:trPr>
        <w:tc>
          <w:tcPr>
            <w:tcW w:w="974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4.55</w:t>
            </w:r>
          </w:p>
        </w:tc>
      </w:tr>
      <w:tr>
        <w:trPr>
          <w:trHeight w:val="27"/>
        </w:trPr>
        <w:tc>
          <w:tcPr>
            <w:tcW w:w="9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Risk-free interest rate</w:t>
            </w:r>
          </w:p>
        </w:tc>
        <w:tc>
          <w:tcPr>
            <w:tcW w:w="3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974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7"/>
        </w:trPr>
        <w:tc>
          <w:tcPr>
            <w:tcW w:w="9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Dividend Yield</w:t>
            </w:r>
          </w:p>
        </w:tc>
        <w:tc>
          <w:tcPr>
            <w:tcW w:w="3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740" w:type="dxa"/>
            <w:vAlign w:val="bottom"/>
          </w:tcPr>
          <w:p>
            <w:pPr>
              <w:ind w:left="40"/>
              <w:spacing w:after="0"/>
              <w:rPr>
                <w:sz w:val="20"/>
                <w:szCs w:val="20"/>
                <w:color w:val="auto"/>
              </w:rPr>
            </w:pPr>
            <w:r>
              <w:rPr>
                <w:rFonts w:ascii="Arial" w:cs="Arial" w:eastAsia="Arial" w:hAnsi="Arial"/>
                <w:sz w:val="18"/>
                <w:szCs w:val="18"/>
                <w:color w:val="auto"/>
              </w:rPr>
              <w:t>Contractual term (in years)</w:t>
            </w:r>
          </w:p>
        </w:tc>
        <w:tc>
          <w:tcPr>
            <w:tcW w:w="30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3.8</w:t>
            </w:r>
          </w:p>
        </w:tc>
      </w:tr>
      <w:tr>
        <w:trPr>
          <w:trHeight w:val="27"/>
        </w:trPr>
        <w:tc>
          <w:tcPr>
            <w:tcW w:w="9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97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Weighted-average measurement date fair value per share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13.71</w:t>
            </w:r>
          </w:p>
        </w:tc>
      </w:tr>
      <w:tr>
        <w:trPr>
          <w:trHeight w:val="27"/>
        </w:trPr>
        <w:tc>
          <w:tcPr>
            <w:tcW w:w="974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38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activity in liabilities measured at fair value on a recurring basis using significant unobservable inputs (Level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9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September 30,</w:t>
            </w:r>
          </w:p>
        </w:tc>
      </w:tr>
      <w:tr>
        <w:trPr>
          <w:trHeight w:val="197"/>
        </w:trPr>
        <w:tc>
          <w:tcPr>
            <w:tcW w:w="982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9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Preferred Stock Warrant Liabilities:</w:t>
            </w:r>
          </w:p>
        </w:tc>
        <w:tc>
          <w:tcPr>
            <w:tcW w:w="1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(3,241)</w:t>
            </w:r>
          </w:p>
        </w:tc>
      </w:tr>
      <w:tr>
        <w:trPr>
          <w:trHeight w:val="27"/>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gains (losses) included in other expense</w:t>
            </w:r>
          </w:p>
        </w:tc>
        <w:tc>
          <w:tcPr>
            <w:tcW w:w="1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(1,366)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Reclassification of warrant liabilities to equity</w:t>
            </w:r>
          </w:p>
        </w:tc>
        <w:tc>
          <w:tcPr>
            <w:tcW w:w="160" w:type="dxa"/>
            <w:vAlign w:val="bottom"/>
          </w:tcPr>
          <w:p>
            <w:pPr>
              <w:spacing w:after="0"/>
              <w:rPr>
                <w:sz w:val="21"/>
                <w:szCs w:val="21"/>
                <w:color w:val="auto"/>
              </w:rPr>
            </w:pP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4,607</w:t>
            </w:r>
          </w:p>
        </w:tc>
      </w:tr>
      <w:tr>
        <w:trPr>
          <w:trHeight w:val="27"/>
        </w:trPr>
        <w:tc>
          <w:tcPr>
            <w:tcW w:w="98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w:t>
            </w:r>
          </w:p>
        </w:tc>
      </w:tr>
      <w:tr>
        <w:trPr>
          <w:trHeight w:val="20"/>
        </w:trPr>
        <w:tc>
          <w:tcPr>
            <w:tcW w:w="98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our other financial instruments estimated as of September 30, 2018 and December 31, 2017 are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1"/>
              </w:rPr>
              <w:t>September 30, 2018</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920" w:type="dxa"/>
            <w:vAlign w:val="bottom"/>
            <w:tcBorders>
              <w:bottom w:val="single" w:sz="8" w:color="auto"/>
            </w:tcBorders>
          </w:tcPr>
          <w:p>
            <w:pPr>
              <w:spacing w:after="0"/>
              <w:rPr>
                <w:sz w:val="16"/>
                <w:szCs w:val="16"/>
                <w:color w:val="auto"/>
              </w:rPr>
            </w:pPr>
          </w:p>
        </w:tc>
      </w:tr>
      <w:tr>
        <w:trPr>
          <w:trHeight w:val="166"/>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4"/>
                <w:szCs w:val="14"/>
                <w:color w:val="auto"/>
              </w:rPr>
            </w:pPr>
          </w:p>
        </w:tc>
        <w:tc>
          <w:tcPr>
            <w:tcW w:w="1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4"/>
                <w:szCs w:val="14"/>
                <w:color w:val="auto"/>
              </w:rPr>
            </w:pPr>
          </w:p>
        </w:tc>
        <w:tc>
          <w:tcPr>
            <w:tcW w:w="920" w:type="dxa"/>
            <w:vAlign w:val="bottom"/>
          </w:tcPr>
          <w:p>
            <w:pPr>
              <w:jc w:val="center"/>
              <w:ind w:right="462"/>
              <w:spacing w:after="0"/>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6"/>
                <w:szCs w:val="16"/>
                <w:color w:val="auto"/>
              </w:rPr>
            </w:pPr>
          </w:p>
        </w:tc>
        <w:tc>
          <w:tcPr>
            <w:tcW w:w="1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6"/>
                <w:szCs w:val="16"/>
                <w:color w:val="auto"/>
              </w:rPr>
            </w:pPr>
          </w:p>
        </w:tc>
        <w:tc>
          <w:tcPr>
            <w:tcW w:w="920" w:type="dxa"/>
            <w:vAlign w:val="bottom"/>
          </w:tcPr>
          <w:p>
            <w:pPr>
              <w:jc w:val="center"/>
              <w:ind w:right="462"/>
              <w:spacing w:after="0"/>
              <w:rPr>
                <w:sz w:val="20"/>
                <w:szCs w:val="20"/>
                <w:color w:val="auto"/>
              </w:rPr>
            </w:pPr>
            <w:r>
              <w:rPr>
                <w:rFonts w:ascii="Arial" w:cs="Arial" w:eastAsia="Arial" w:hAnsi="Arial"/>
                <w:sz w:val="14"/>
                <w:szCs w:val="14"/>
                <w:b w:val="1"/>
                <w:bCs w:val="1"/>
                <w:color w:val="auto"/>
                <w:w w:val="90"/>
              </w:rPr>
              <w:t>Value</w:t>
            </w:r>
          </w:p>
        </w:tc>
      </w:tr>
      <w:tr>
        <w:trPr>
          <w:trHeight w:val="243"/>
        </w:trPr>
        <w:tc>
          <w:tcPr>
            <w:tcW w:w="516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Notes payable</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rPr>
              <w:t>9,909</w:t>
            </w:r>
          </w:p>
        </w:tc>
        <w:tc>
          <w:tcPr>
            <w:tcW w:w="120" w:type="dxa"/>
            <w:vAlign w:val="bottom"/>
            <w:tcBorders>
              <w:top w:val="single" w:sz="8" w:color="CFF0FC"/>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rPr>
              <w:t>10,671</w:t>
            </w:r>
          </w:p>
        </w:tc>
        <w:tc>
          <w:tcPr>
            <w:tcW w:w="100" w:type="dxa"/>
            <w:vAlign w:val="bottom"/>
            <w:tcBorders>
              <w:top w:val="single" w:sz="8" w:color="CFF0FC"/>
            </w:tcBorders>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8"/>
                <w:szCs w:val="18"/>
                <w:color w:val="auto"/>
              </w:rPr>
              <w:t>14,428</w:t>
            </w:r>
          </w:p>
        </w:tc>
        <w:tc>
          <w:tcPr>
            <w:tcW w:w="100" w:type="dxa"/>
            <w:vAlign w:val="bottom"/>
            <w:tcBorders>
              <w:top w:val="single" w:sz="8" w:color="CFF0FC"/>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rPr>
              <w:t>15,650</w:t>
            </w:r>
          </w:p>
        </w:tc>
      </w:tr>
      <w:tr>
        <w:trPr>
          <w:trHeight w:val="27"/>
        </w:trPr>
        <w:tc>
          <w:tcPr>
            <w:tcW w:w="516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methods and assumptions were used to estimate the fair value of our notes payable:</w:t>
      </w:r>
    </w:p>
    <w:p>
      <w:pPr>
        <w:spacing w:after="0" w:line="117"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i w:val="1"/>
          <w:iCs w:val="1"/>
          <w:color w:val="auto"/>
        </w:rPr>
        <w:t>Notes Payable</w:t>
      </w:r>
      <w:r>
        <w:rPr>
          <w:rFonts w:ascii="Arial" w:cs="Arial" w:eastAsia="Arial" w:hAnsi="Arial"/>
          <w:sz w:val="18"/>
          <w:szCs w:val="18"/>
          <w:color w:val="auto"/>
        </w:rPr>
        <w:t>—We use the income approach to value the aforementioned debt instrument. We use a present value calculation to discount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pacing w:after="0" w:line="79" w:lineRule="exact"/>
        <w:rPr>
          <w:sz w:val="20"/>
          <w:szCs w:val="20"/>
          <w:color w:val="auto"/>
        </w:rPr>
      </w:pPr>
    </w:p>
    <w:p>
      <w:pPr>
        <w:ind w:right="560" w:firstLine="528"/>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Australian tax incentive receivable, accounts payable, and accrued expenses approximate fair value due to their short-term nature.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23" w:right="239" w:bottom="1440" w:gutter="0" w:footer="0" w:header="0"/>
        </w:sectPr>
      </w:pPr>
    </w:p>
    <w:bookmarkStart w:id="15" w:name="page16"/>
    <w:bookmarkEnd w:id="15"/>
    <w:p>
      <w:pPr>
        <w:ind w:left="260"/>
        <w:spacing w:after="0"/>
        <w:rPr>
          <w:sz w:val="20"/>
          <w:szCs w:val="20"/>
          <w:color w:val="auto"/>
        </w:rPr>
      </w:pPr>
      <w:r>
        <w:rPr>
          <w:rFonts w:ascii="Arial" w:cs="Arial" w:eastAsia="Arial" w:hAnsi="Arial"/>
          <w:sz w:val="18"/>
          <w:szCs w:val="18"/>
          <w:b w:val="1"/>
          <w:bCs w:val="1"/>
          <w:i w:val="1"/>
          <w:iCs w:val="1"/>
          <w:color w:val="auto"/>
        </w:rPr>
        <w:t>Available for Sale Investments</w:t>
      </w:r>
    </w:p>
    <w:p>
      <w:pPr>
        <w:spacing w:after="0" w:line="117" w:lineRule="exact"/>
        <w:rPr>
          <w:sz w:val="20"/>
          <w:szCs w:val="20"/>
          <w:color w:val="auto"/>
        </w:rPr>
      </w:pPr>
    </w:p>
    <w:p>
      <w:pPr>
        <w:ind w:right="80" w:firstLine="459"/>
        <w:spacing w:after="0" w:line="259" w:lineRule="auto"/>
        <w:rPr>
          <w:sz w:val="20"/>
          <w:szCs w:val="20"/>
          <w:color w:val="auto"/>
        </w:rPr>
      </w:pPr>
      <w:r>
        <w:rPr>
          <w:rFonts w:ascii="Arial" w:cs="Arial" w:eastAsia="Arial" w:hAnsi="Arial"/>
          <w:sz w:val="18"/>
          <w:szCs w:val="18"/>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September 30, 2018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20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Unrealized Gains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1"/>
              </w:rPr>
              <w:t>Unrealized Losses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Agency securities</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44,832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44,647</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80,812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80,646</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5"/>
                <w:szCs w:val="25"/>
                <w:color w:val="auto"/>
                <w:vertAlign w:val="superscript"/>
              </w:rPr>
              <w:t>(4)</w:t>
            </w:r>
          </w:p>
        </w:tc>
        <w:tc>
          <w:tcPr>
            <w:tcW w:w="26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95,276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95,086</w:t>
            </w:r>
          </w:p>
        </w:tc>
        <w:tc>
          <w:tcPr>
            <w:tcW w:w="0" w:type="dxa"/>
            <w:vAlign w:val="bottom"/>
          </w:tcPr>
          <w:p>
            <w:pPr>
              <w:spacing w:after="0"/>
              <w:rPr>
                <w:sz w:val="1"/>
                <w:szCs w:val="1"/>
                <w:color w:val="auto"/>
              </w:rPr>
            </w:pPr>
          </w:p>
        </w:tc>
      </w:tr>
      <w:tr>
        <w:trPr>
          <w:trHeight w:val="269"/>
        </w:trPr>
        <w:tc>
          <w:tcPr>
            <w:tcW w:w="51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221,879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221,338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-25400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-25400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43053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0530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-205105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-205105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43053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0530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-899795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-899795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-899795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 w:lineRule="exact"/>
        <w:rPr>
          <w:sz w:val="20"/>
          <w:szCs w:val="20"/>
          <w:color w:val="auto"/>
        </w:rPr>
      </w:pPr>
    </w:p>
    <w:p>
      <w:pPr>
        <w:ind w:left="460" w:right="220" w:hanging="452"/>
        <w:spacing w:after="0" w:line="216" w:lineRule="auto"/>
        <w:tabs>
          <w:tab w:leader="none" w:pos="4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Of our outstanding agency securities, $42.9 million have maturity dates of less than one year and $1.7 million have a maturity date of between one to two years as of September 30, 2018.</w:t>
      </w:r>
    </w:p>
    <w:p>
      <w:pPr>
        <w:spacing w:after="0" w:line="1" w:lineRule="exact"/>
        <w:rPr>
          <w:rFonts w:ascii="Arial" w:cs="Arial" w:eastAsia="Arial" w:hAnsi="Arial"/>
          <w:sz w:val="25"/>
          <w:szCs w:val="25"/>
          <w:color w:val="auto"/>
          <w:vertAlign w:val="superscript"/>
        </w:rPr>
      </w:pPr>
    </w:p>
    <w:p>
      <w:pPr>
        <w:ind w:left="460" w:hanging="452"/>
        <w:spacing w:after="0" w:line="225" w:lineRule="auto"/>
        <w:tabs>
          <w:tab w:leader="none" w:pos="4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All of our outstanding certificates of deposit have a maturity date of between one to two years as of September 30, 2018.</w:t>
      </w:r>
    </w:p>
    <w:p>
      <w:pPr>
        <w:spacing w:after="0" w:line="56" w:lineRule="exact"/>
        <w:rPr>
          <w:rFonts w:ascii="Arial" w:cs="Arial" w:eastAsia="Arial" w:hAnsi="Arial"/>
          <w:sz w:val="25"/>
          <w:szCs w:val="25"/>
          <w:color w:val="auto"/>
          <w:vertAlign w:val="superscript"/>
        </w:rPr>
      </w:pPr>
    </w:p>
    <w:p>
      <w:pPr>
        <w:ind w:left="460" w:right="60" w:hanging="452"/>
        <w:spacing w:after="0" w:line="208" w:lineRule="auto"/>
        <w:tabs>
          <w:tab w:leader="none" w:pos="4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Of our outstanding commercial and corporate obligations, $74.6 million have maturity dates of less than one year and $6.1 million have a maturity date of between one to two years as of September 30, 2018.</w:t>
      </w:r>
    </w:p>
    <w:p>
      <w:pPr>
        <w:spacing w:after="0" w:line="41" w:lineRule="exact"/>
        <w:rPr>
          <w:rFonts w:ascii="Arial" w:cs="Arial" w:eastAsia="Arial" w:hAnsi="Arial"/>
          <w:sz w:val="25"/>
          <w:szCs w:val="25"/>
          <w:color w:val="auto"/>
          <w:vertAlign w:val="superscript"/>
        </w:rPr>
      </w:pPr>
    </w:p>
    <w:p>
      <w:pPr>
        <w:ind w:left="460" w:right="260" w:hanging="452"/>
        <w:spacing w:after="0" w:line="216" w:lineRule="auto"/>
        <w:tabs>
          <w:tab w:leader="none" w:pos="4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Of our outstanding U.S. Treasury securities $85.2 million have maturity dates of less than one year and $9.9 million have a maturity date of between one to two years as of September 30, 2018.</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and Preferred Stock</w:t>
      </w:r>
    </w:p>
    <w:p>
      <w:pPr>
        <w:spacing w:after="0" w:line="117"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On January 31, 2017, upon completion of our IPO, we amended our Certificate of Incorporation to increase the number of authorized shares of common stock to 500,000,000 with a par value of $0.001 and decrease the number of authorized shares of preferred stock to 10,000,000 with a par value of $0.001 per share.</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440" w:firstLine="446"/>
        <w:spacing w:after="0" w:line="342" w:lineRule="auto"/>
        <w:rPr>
          <w:sz w:val="20"/>
          <w:szCs w:val="20"/>
          <w:color w:val="auto"/>
        </w:rPr>
      </w:pPr>
      <w:r>
        <w:rPr>
          <w:rFonts w:ascii="Arial" w:cs="Arial" w:eastAsia="Arial" w:hAnsi="Arial"/>
          <w:sz w:val="16"/>
          <w:szCs w:val="16"/>
          <w:color w:val="auto"/>
        </w:rPr>
        <w:t>Of the 500,000,000 shares of common stock authorized, 26,748,713 shares were issued and outstanding as of September 30, 2018. Common stock reserved for future issuance upon the exercise, issuance or conversion of the respective equity instruments at September 30, 2018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2947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Issued and Outstanding: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2,308,389</w:t>
            </w:r>
          </w:p>
        </w:tc>
      </w:tr>
      <w:tr>
        <w:trPr>
          <w:trHeight w:val="27"/>
        </w:trPr>
        <w:tc>
          <w:tcPr>
            <w:tcW w:w="98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Reserved For:</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57"/>
        </w:trPr>
        <w:tc>
          <w:tcPr>
            <w:tcW w:w="9800" w:type="dxa"/>
            <w:vAlign w:val="bottom"/>
          </w:tcPr>
          <w:p>
            <w:pPr>
              <w:ind w:left="280"/>
              <w:spacing w:after="0"/>
              <w:rPr>
                <w:sz w:val="20"/>
                <w:szCs w:val="20"/>
                <w:color w:val="auto"/>
              </w:rPr>
            </w:pPr>
            <w:r>
              <w:rPr>
                <w:rFonts w:ascii="Arial" w:cs="Arial" w:eastAsia="Arial" w:hAnsi="Arial"/>
                <w:sz w:val="18"/>
                <w:szCs w:val="18"/>
                <w:color w:val="auto"/>
              </w:rPr>
              <w:t>2017 Equity Incentive Plan</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2,038,194</w:t>
            </w:r>
          </w:p>
        </w:tc>
      </w:tr>
      <w:tr>
        <w:trPr>
          <w:trHeight w:val="27"/>
        </w:trPr>
        <w:tc>
          <w:tcPr>
            <w:tcW w:w="98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Employee Stock Purchase Plan</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455,913</w:t>
            </w:r>
          </w:p>
        </w:tc>
      </w:tr>
      <w:tr>
        <w:trPr>
          <w:trHeight w:val="237"/>
        </w:trPr>
        <w:tc>
          <w:tcPr>
            <w:tcW w:w="9800" w:type="dxa"/>
            <w:vAlign w:val="bottom"/>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4,802,496</w:t>
            </w:r>
          </w:p>
        </w:tc>
      </w:tr>
      <w:tr>
        <w:trPr>
          <w:trHeight w:val="27"/>
        </w:trPr>
        <w:tc>
          <w:tcPr>
            <w:tcW w:w="98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98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117" w:lineRule="exact"/>
        <w:rPr>
          <w:sz w:val="20"/>
          <w:szCs w:val="20"/>
          <w:color w:val="auto"/>
        </w:rPr>
      </w:pPr>
    </w:p>
    <w:p>
      <w:pPr>
        <w:ind w:right="180" w:firstLine="446"/>
        <w:spacing w:after="0" w:line="312" w:lineRule="auto"/>
        <w:rPr>
          <w:sz w:val="20"/>
          <w:szCs w:val="20"/>
          <w:color w:val="auto"/>
        </w:rPr>
      </w:pPr>
      <w:r>
        <w:rPr>
          <w:rFonts w:ascii="Arial" w:cs="Arial" w:eastAsia="Arial" w:hAnsi="Arial"/>
          <w:sz w:val="16"/>
          <w:szCs w:val="16"/>
          <w:color w:val="auto"/>
        </w:rPr>
        <w:t>During the nine months ended September 30, 2018, 16,770 shares of common stock were issued as a result of warrant exercises. During the nine months ended September 30, 2017, warrants for the purchase of 476,251 shares of common stock were exercised, of which 358,342 were exercised by a net exercise method. As a result, we issued 397,445 shares of common stock, net. As of September 30, 2018, all warrants have been exercised.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Equity Incentive Plans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17"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color w:val="auto"/>
        </w:rPr>
        <w:t>On January 12, 2017, our board of directors and stockholders approved and adopted the 2017 Equity Incentive Plan, or the 2017 Plan. The 2017 Plan became effective upon the execution and delivery of the underwriting agreement for our initial public offering on January 26, 2017, and replaced our existing 2006 Equity Incentive Plan, or the 2006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951,656 shares as of January 1, 2018.</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80" w:firstLine="446"/>
        <w:spacing w:after="0" w:line="276" w:lineRule="auto"/>
        <w:rPr>
          <w:sz w:val="20"/>
          <w:szCs w:val="20"/>
          <w:color w:val="auto"/>
        </w:rPr>
      </w:pPr>
      <w:r>
        <w:rPr>
          <w:rFonts w:ascii="Arial" w:cs="Arial" w:eastAsia="Arial" w:hAnsi="Arial"/>
          <w:sz w:val="17"/>
          <w:szCs w:val="17"/>
          <w:color w:val="auto"/>
        </w:rPr>
        <w:t>On January 12, 2017, our board of directors and stockholders approved and adopted the 2017 Employee Stock Purchase Plan or the ESPP. The ESPP became effective upon the execution and delivery of the underwriting agreement for our initial public offering on January 26, 2017.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237,913 shares as of January 1, 2018.</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Stock options granted to employees and non-employees generally vest over a four-year period while stock options granted to directors vest over a one year period. Additionally, new non-employee directors receive stock options that vest over a three-year period. Each have a maximum term of ten years from the date of grant, subject to earlier cancellation prior to vesting upon cessation of service to us. A summary of the activity related to stock option awards during the nine months ended September 30, 2018 is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Weighted-Average</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Weighted-Average</w:t>
            </w:r>
          </w:p>
        </w:tc>
        <w:tc>
          <w:tcPr>
            <w:tcW w:w="300" w:type="dxa"/>
            <w:vAlign w:val="bottom"/>
          </w:tcPr>
          <w:p>
            <w:pPr>
              <w:spacing w:after="0"/>
              <w:rPr>
                <w:sz w:val="14"/>
                <w:szCs w:val="14"/>
                <w:color w:val="auto"/>
              </w:rPr>
            </w:pPr>
          </w:p>
        </w:tc>
        <w:tc>
          <w:tcPr>
            <w:tcW w:w="1300" w:type="dxa"/>
            <w:vAlign w:val="bottom"/>
            <w:vMerge w:val="restart"/>
          </w:tcPr>
          <w:p>
            <w:pPr>
              <w:jc w:val="center"/>
              <w:ind w:right="20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30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Subject to</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Price per</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Term</w:t>
            </w:r>
          </w:p>
        </w:tc>
        <w:tc>
          <w:tcPr>
            <w:tcW w:w="300" w:type="dxa"/>
            <w:vAlign w:val="bottom"/>
          </w:tcPr>
          <w:p>
            <w:pPr>
              <w:spacing w:after="0"/>
              <w:rPr>
                <w:sz w:val="12"/>
                <w:szCs w:val="12"/>
                <w:color w:val="auto"/>
              </w:rPr>
            </w:pPr>
          </w:p>
        </w:tc>
        <w:tc>
          <w:tcPr>
            <w:tcW w:w="130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FF0FC"/>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Borders>
              <w:bottom w:val="single" w:sz="8" w:color="CFF0FC"/>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January 1, 2018</w:t>
            </w:r>
          </w:p>
        </w:tc>
        <w:tc>
          <w:tcPr>
            <w:tcW w:w="160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2,425,903</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339,557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100.98</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Exercises</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(410,551)</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Forfeitures and cancellations</w:t>
            </w:r>
          </w:p>
        </w:tc>
        <w:tc>
          <w:tcPr>
            <w:tcW w:w="1600" w:type="dxa"/>
            <w:vAlign w:val="bottom"/>
          </w:tcPr>
          <w:p>
            <w:pPr>
              <w:jc w:val="right"/>
              <w:spacing w:after="0"/>
              <w:rPr>
                <w:sz w:val="20"/>
                <w:szCs w:val="20"/>
                <w:color w:val="auto"/>
              </w:rPr>
            </w:pPr>
            <w:r>
              <w:rPr>
                <w:rFonts w:ascii="Arial" w:cs="Arial" w:eastAsia="Arial" w:hAnsi="Arial"/>
                <w:sz w:val="18"/>
                <w:szCs w:val="18"/>
                <w:color w:val="auto"/>
              </w:rPr>
              <w:t>(46,520)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49.68</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4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CFF0FC"/>
            </w:tcBorders>
          </w:tcPr>
          <w:p>
            <w:pPr>
              <w:spacing w:after="0"/>
              <w:rPr>
                <w:sz w:val="2"/>
                <w:szCs w:val="2"/>
                <w:color w:val="auto"/>
              </w:rPr>
            </w:pPr>
          </w:p>
        </w:tc>
        <w:tc>
          <w:tcPr>
            <w:tcW w:w="13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September 30, 2018</w:t>
            </w:r>
          </w:p>
        </w:tc>
        <w:tc>
          <w:tcPr>
            <w:tcW w:w="16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2,308,389</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25.57</w:t>
            </w:r>
          </w:p>
        </w:tc>
        <w:tc>
          <w:tcPr>
            <w:tcW w:w="10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18"/>
                <w:szCs w:val="18"/>
                <w:color w:val="auto"/>
              </w:rPr>
              <w:t>173,085</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Exercisable at September 30, 2018</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vMerge w:val="continue"/>
          </w:tcPr>
          <w:p>
            <w:pPr>
              <w:spacing w:after="0"/>
              <w:rPr>
                <w:sz w:val="21"/>
                <w:szCs w:val="21"/>
                <w:color w:val="auto"/>
              </w:rPr>
            </w:pP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1,330,540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2"/>
              <w:spacing w:after="0"/>
              <w:rPr>
                <w:sz w:val="20"/>
                <w:szCs w:val="20"/>
                <w:color w:val="auto"/>
              </w:rPr>
            </w:pPr>
            <w:r>
              <w:rPr>
                <w:rFonts w:ascii="Arial" w:cs="Arial" w:eastAsia="Arial" w:hAnsi="Arial"/>
                <w:sz w:val="18"/>
                <w:szCs w:val="18"/>
                <w:color w:val="auto"/>
              </w:rPr>
              <w:t>118,779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cash received from the exercise of stock options was approximately $2.1 million during the nine months ended September 30, 2018.</w:t>
      </w:r>
    </w:p>
    <w:p>
      <w:pPr>
        <w:spacing w:after="0" w:line="225"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color w:val="auto"/>
        </w:rPr>
        <w:t>Certain stock option grants under the 2006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88" w:right="239" w:bottom="1440" w:gutter="0" w:footer="0" w:header="0"/>
        </w:sectPr>
      </w:pPr>
    </w:p>
    <w:bookmarkStart w:id="17" w:name="page18"/>
    <w:bookmarkEnd w:id="17"/>
    <w:p>
      <w:pPr>
        <w:ind w:left="2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The estimated fair values of stock option awards granted to employees were determined on the date of grant using the Black-Scholes option valuation model with the following weighted average assumptions:</w:t>
      </w:r>
    </w:p>
    <w:p>
      <w:pPr>
        <w:spacing w:after="0" w:line="108"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13335</wp:posOffset>
            </wp:positionV>
            <wp:extent cx="21780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2017</w:t>
            </w: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Risk-free interest rate</w:t>
            </w:r>
          </w:p>
        </w:tc>
        <w:tc>
          <w:tcPr>
            <w:tcW w:w="10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Expected dividend yield</w:t>
            </w:r>
          </w:p>
        </w:tc>
        <w:tc>
          <w:tcPr>
            <w:tcW w:w="10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04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6.25</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104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3"/>
              </w:rPr>
              <w:t>63.49</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22.54</w:t>
            </w:r>
          </w:p>
        </w:tc>
      </w:tr>
      <w:tr>
        <w:trPr>
          <w:trHeight w:val="27"/>
        </w:trPr>
        <w:tc>
          <w:tcPr>
            <w:tcW w:w="798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r>
    </w:tbl>
    <w:p>
      <w:pPr>
        <w:spacing w:after="0" w:line="148"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We determine the appropriate risk free interest rate, expected term for employee stock based awards, contractual term for non-employee stock based awards, and volatility assumptions. The weighted-average expected option term for employee and director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our common stock and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339,557 and 1,061,106 stock options granted during the nine months ended September 30, 2018 and 2017, respectively.</w:t>
      </w:r>
    </w:p>
    <w:p>
      <w:pPr>
        <w:spacing w:after="0" w:line="117" w:lineRule="exact"/>
        <w:rPr>
          <w:sz w:val="20"/>
          <w:szCs w:val="20"/>
          <w:color w:val="auto"/>
        </w:rPr>
      </w:pPr>
    </w:p>
    <w:p>
      <w:pPr>
        <w:ind w:right="900" w:firstLine="446"/>
        <w:spacing w:after="0" w:line="277" w:lineRule="auto"/>
        <w:rPr>
          <w:sz w:val="20"/>
          <w:szCs w:val="20"/>
          <w:color w:val="auto"/>
        </w:rPr>
      </w:pPr>
      <w:r>
        <w:rPr>
          <w:rFonts w:ascii="Arial" w:cs="Arial" w:eastAsia="Arial" w:hAnsi="Arial"/>
          <w:sz w:val="18"/>
          <w:szCs w:val="18"/>
          <w:color w:val="auto"/>
        </w:rPr>
        <w:t>Total non-cash stock-based compensation expense for all stock awards that was recognized in the consolidated statements of operations and comprehensive loss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49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492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49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2,492</w:t>
            </w:r>
          </w:p>
        </w:tc>
        <w:tc>
          <w:tcPr>
            <w:tcW w:w="1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997</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2,249</w:t>
            </w:r>
          </w:p>
        </w:tc>
      </w:tr>
      <w:tr>
        <w:trPr>
          <w:trHeight w:val="27"/>
        </w:trPr>
        <w:tc>
          <w:tcPr>
            <w:tcW w:w="49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7,340</w:t>
            </w:r>
          </w:p>
        </w:tc>
        <w:tc>
          <w:tcPr>
            <w:tcW w:w="10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3,246</w:t>
            </w: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At September 30, 2018, there was $27.8 million of unrecognized compensation cost related to unvested stock option awards, which is expected to be recognized over a remaining weighted average vesting period of 2.46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Australia Research and Development Tax Incentive</w:t>
      </w:r>
    </w:p>
    <w:p>
      <w:pPr>
        <w:spacing w:after="0" w:line="121"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color w:val="auto"/>
        </w:rPr>
        <w:t>Our Australian subsidiary, which conducts core research and development activities on our behalf, is eligible to receive a 43.5% refundable tax incentive for qualified research and development activities during fiscal 2018 and fiscal 2017. For the three months ended September 30, 2018 and 2017, less than $0.1 million and $0.2 million, respectively, were recorded as a reduction to research and development expenses in the consolidated statements of operations and comprehensive loss. For the nine months ended September 30, 2018 and 2017 $0.1 million and $1.4 million, respectively, were recorded as a reduction to research and development expenses in the consolidated statements of operations and comprehensive loss. As of September 30, 2018 our tax incentive receivable from the Australian government was $0.2 million. We received approximately $1.5 million and $4.6 million in cash during the nine months ended September 30, 2018 and 2017, respectively, related to the tax incentive.</w:t>
      </w:r>
    </w:p>
    <w:p>
      <w:pPr>
        <w:spacing w:after="0" w:line="282" w:lineRule="exact"/>
        <w:rPr>
          <w:sz w:val="20"/>
          <w:szCs w:val="20"/>
          <w:color w:val="auto"/>
        </w:rPr>
      </w:pPr>
    </w:p>
    <w:p>
      <w:pPr>
        <w:ind w:left="300" w:right="8600" w:hanging="292"/>
        <w:spacing w:after="0" w:line="488" w:lineRule="auto"/>
        <w:tabs>
          <w:tab w:leader="none" w:pos="286"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8" w:name="page19"/>
    <w:bookmarkEnd w:id="18"/>
    <w:p>
      <w:pPr>
        <w:ind w:right="120" w:firstLine="486"/>
        <w:spacing w:after="0" w:line="264" w:lineRule="auto"/>
        <w:rPr>
          <w:sz w:val="20"/>
          <w:szCs w:val="20"/>
          <w:color w:val="auto"/>
        </w:rPr>
      </w:pPr>
      <w:r>
        <w:rPr>
          <w:rFonts w:ascii="Arial" w:cs="Arial" w:eastAsia="Arial" w:hAnsi="Arial"/>
          <w:sz w:val="18"/>
          <w:szCs w:val="18"/>
          <w:color w:val="auto"/>
        </w:rPr>
        <w:t>In May 2018, we entered into a three year sub-lease agreement for an additional 18,000 square feet of office space. We also continue to lease our headquarters under a non-cancellable operating lease for which we early exercised our option to renew for an additional five-year period in fiscal 2015. Both leases expire in 2021.</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September 30, 2018, the future minimum annual obligations under non-cancellable operating lease commitments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 (in thousands)</w:t>
            </w:r>
          </w:p>
        </w:tc>
        <w:tc>
          <w:tcPr>
            <w:tcW w:w="4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6"/>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2019</w:t>
            </w:r>
          </w:p>
        </w:tc>
        <w:tc>
          <w:tcPr>
            <w:tcW w:w="4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938</w:t>
            </w:r>
          </w:p>
        </w:tc>
      </w:tr>
      <w:tr>
        <w:trPr>
          <w:trHeight w:val="27"/>
        </w:trPr>
        <w:tc>
          <w:tcPr>
            <w:tcW w:w="62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2021</w:t>
            </w:r>
          </w:p>
        </w:tc>
        <w:tc>
          <w:tcPr>
            <w:tcW w:w="4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726</w:t>
            </w:r>
          </w:p>
        </w:tc>
      </w:tr>
      <w:tr>
        <w:trPr>
          <w:trHeight w:val="27"/>
        </w:trPr>
        <w:tc>
          <w:tcPr>
            <w:tcW w:w="62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minimum payments required</w:t>
            </w:r>
          </w:p>
        </w:tc>
        <w:tc>
          <w:tcPr>
            <w:tcW w:w="41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2,833</w:t>
            </w:r>
          </w:p>
        </w:tc>
      </w:tr>
      <w:tr>
        <w:trPr>
          <w:trHeight w:val="27"/>
        </w:trPr>
        <w:tc>
          <w:tcPr>
            <w:tcW w:w="6260" w:type="dxa"/>
            <w:vAlign w:val="bottom"/>
            <w:shd w:val="clear" w:color="auto" w:fill="CCEEFF"/>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pacing w:after="0" w:line="80"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We also have certain obligations under licensing agreements with third parties that are contingent upon achieving various development, regulatory and commercial milestones. Pursuant to these license agreements, we are required to make milestone payments if certain development, regulatory and commercial sales milestones are achieved. Also, pursuant to the terms of each of these license agreements, when and if commercial sales of a product commence, we will pay royalties to our licensors on net sales of the respective products.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76"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This Quarterly Report on Form 10-Q (Quarterly Report) contains forward-looking statements within the meaning of Section 21E of the Securities Exchange Act of 1934, as amended (Exchange Act), and section 27A of the Securities Act of 1933, as amended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forward-looking statements in this report include, among other things, statements about:</w:t>
      </w:r>
    </w:p>
    <w:p>
      <w:pPr>
        <w:spacing w:after="0" w:line="117" w:lineRule="exact"/>
        <w:rPr>
          <w:sz w:val="20"/>
          <w:szCs w:val="20"/>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17" w:lineRule="exact"/>
        <w:rPr>
          <w:rFonts w:ascii="Arial" w:cs="Arial" w:eastAsia="Arial" w:hAnsi="Arial"/>
          <w:sz w:val="18"/>
          <w:szCs w:val="18"/>
          <w:color w:val="auto"/>
        </w:rPr>
      </w:pPr>
    </w:p>
    <w:p>
      <w:pPr>
        <w:ind w:left="660" w:right="460" w:hanging="314"/>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plans to develop and commercialize antibodies, including our lead product candidates etokimab for patients with severe allergic and atopic diseases and ANB019 for patients with generalized pustular psoriasis, or GPP, and palmo-plantar pustular psoriasis, or PPP;</w:t>
      </w:r>
    </w:p>
    <w:p>
      <w:pPr>
        <w:spacing w:after="0" w:line="38" w:lineRule="exact"/>
        <w:rPr>
          <w:rFonts w:ascii="Arial" w:cs="Arial" w:eastAsia="Arial" w:hAnsi="Arial"/>
          <w:sz w:val="17"/>
          <w:szCs w:val="17"/>
          <w:color w:val="auto"/>
        </w:rPr>
      </w:pPr>
    </w:p>
    <w:p>
      <w:pPr>
        <w:ind w:left="660" w:right="40" w:hanging="314"/>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likelihood that the clinical data generated in any study we are performing or plan to perform in a non-US jurisdiction will be subsequently accepted by the </w:t>
      </w:r>
      <w:r>
        <w:rPr>
          <w:rFonts w:ascii="Arial" w:cs="Arial" w:eastAsia="Arial" w:hAnsi="Arial"/>
          <w:sz w:val="18"/>
          <w:szCs w:val="18"/>
          <w:color w:val="231F20"/>
        </w:rPr>
        <w:t>U.S. Food and Drug Administration, or FDA</w:t>
      </w:r>
      <w:r>
        <w:rPr>
          <w:rFonts w:ascii="Arial" w:cs="Arial" w:eastAsia="Arial" w:hAnsi="Arial"/>
          <w:sz w:val="18"/>
          <w:szCs w:val="18"/>
          <w:color w:val="auto"/>
        </w:rPr>
        <w:t xml:space="preserve"> and/or by foreign regulatory authorities outside of the jurisdiction where the study was being performed;</w:t>
      </w:r>
    </w:p>
    <w:p>
      <w:pPr>
        <w:spacing w:after="0" w:line="73"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17" w:lineRule="exact"/>
        <w:rPr>
          <w:rFonts w:ascii="Arial" w:cs="Arial" w:eastAsia="Arial" w:hAnsi="Arial"/>
          <w:sz w:val="18"/>
          <w:szCs w:val="18"/>
          <w:color w:val="auto"/>
        </w:rPr>
      </w:pPr>
    </w:p>
    <w:p>
      <w:pPr>
        <w:ind w:left="660" w:right="120" w:hanging="314"/>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38" w:lineRule="exact"/>
        <w:rPr>
          <w:rFonts w:ascii="Arial" w:cs="Arial" w:eastAsia="Arial" w:hAnsi="Arial"/>
          <w:sz w:val="17"/>
          <w:szCs w:val="17"/>
          <w:color w:val="auto"/>
        </w:rPr>
      </w:pPr>
    </w:p>
    <w:p>
      <w:pPr>
        <w:ind w:left="660" w:right="80" w:hanging="314"/>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etokimab and ANB019 and our other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developments in the United States, the United Kingdom, Australia and other foreign countries;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use of the net proceeds from our public offerings;</w:t>
      </w:r>
    </w:p>
    <w:p>
      <w:pPr>
        <w:spacing w:after="0" w:line="117" w:lineRule="exact"/>
        <w:rPr>
          <w:rFonts w:ascii="Arial" w:cs="Arial" w:eastAsia="Arial" w:hAnsi="Arial"/>
          <w:sz w:val="18"/>
          <w:szCs w:val="18"/>
          <w:color w:val="auto"/>
        </w:rPr>
      </w:pPr>
    </w:p>
    <w:p>
      <w:pPr>
        <w:ind w:left="660" w:right="540" w:hanging="314"/>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688" w:right="259" w:bottom="1440" w:gutter="0" w:footer="0" w:header="0"/>
        </w:sectPr>
      </w:pPr>
    </w:p>
    <w:bookmarkStart w:id="20" w:name="page21"/>
    <w:bookmarkEnd w:id="20"/>
    <w:p>
      <w:pPr>
        <w:jc w:val="both"/>
        <w:ind w:right="220"/>
        <w:spacing w:after="0" w:line="264" w:lineRule="auto"/>
        <w:rPr>
          <w:sz w:val="20"/>
          <w:szCs w:val="20"/>
          <w:color w:val="auto"/>
        </w:rPr>
      </w:pPr>
      <w:r>
        <w:rPr>
          <w:rFonts w:ascii="Arial" w:cs="Arial" w:eastAsia="Arial" w:hAnsi="Arial"/>
          <w:sz w:val="18"/>
          <w:szCs w:val="18"/>
          <w:color w:val="auto"/>
        </w:rPr>
        <w:t>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81"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187" w:lineRule="exact"/>
        <w:rPr>
          <w:sz w:val="20"/>
          <w:szCs w:val="20"/>
          <w:color w:val="auto"/>
        </w:rPr>
      </w:pPr>
    </w:p>
    <w:p>
      <w:pPr>
        <w:ind w:right="900" w:firstLine="567"/>
        <w:spacing w:after="0" w:line="277" w:lineRule="auto"/>
        <w:rPr>
          <w:sz w:val="20"/>
          <w:szCs w:val="20"/>
          <w:color w:val="auto"/>
        </w:rPr>
      </w:pPr>
      <w:r>
        <w:rPr>
          <w:rFonts w:ascii="Arial" w:cs="Arial" w:eastAsia="Arial" w:hAnsi="Arial"/>
          <w:sz w:val="18"/>
          <w:szCs w:val="18"/>
          <w:color w:val="auto"/>
        </w:rPr>
        <w:t>You should read this Quarterly Report with the understanding that our actual future results, levels of activity, performance, and events and circumstances may be materially different from what we expect.</w:t>
      </w:r>
    </w:p>
    <w:p>
      <w:pPr>
        <w:spacing w:after="0" w:line="170"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Unless the context indicates otherwise, as used in this Quarterly Report, the terms “AnaptysBio,”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consolidated financial statements and related notes for the nine months ended September 30, 2018, included in Part I, Item 1 of this report and with our audited consolidated financial statements and related notes thereto for the year ended December 31, 2017, included in the Company’s Form 10-K, as amended. This discussion and other parts of this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report.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8"/>
          <w:szCs w:val="18"/>
          <w:i w:val="1"/>
          <w:iCs w:val="1"/>
          <w:color w:val="auto"/>
        </w:rPr>
        <w:t>in vitro</w:t>
      </w:r>
      <w:r>
        <w:rPr>
          <w:rFonts w:ascii="Arial" w:cs="Arial" w:eastAsia="Arial" w:hAnsi="Arial"/>
          <w:sz w:val="18"/>
          <w:szCs w:val="18"/>
          <w:color w:val="auto"/>
        </w:rPr>
        <w:t>. Our strategy is to advance the development and commercialization of our proprietary product candidates, and for certain programs, establish partnerships with leading biopharmaceutical companies where we retain certain development and commercialization rights in the United States.</w:t>
      </w:r>
    </w:p>
    <w:p>
      <w:pPr>
        <w:spacing w:after="0" w:line="85" w:lineRule="exact"/>
        <w:rPr>
          <w:sz w:val="20"/>
          <w:szCs w:val="20"/>
          <w:color w:val="auto"/>
        </w:rPr>
      </w:pPr>
    </w:p>
    <w:p>
      <w:pPr>
        <w:ind w:right="40" w:firstLine="446"/>
        <w:spacing w:after="0" w:line="270" w:lineRule="auto"/>
        <w:rPr>
          <w:sz w:val="20"/>
          <w:szCs w:val="20"/>
          <w:color w:val="auto"/>
        </w:rPr>
      </w:pPr>
      <w:r>
        <w:rPr>
          <w:rFonts w:ascii="Arial" w:cs="Arial" w:eastAsia="Arial" w:hAnsi="Arial"/>
          <w:sz w:val="17"/>
          <w:szCs w:val="17"/>
          <w:color w:val="auto"/>
        </w:rPr>
        <w:t xml:space="preserve">Our most advanced wholly-owned antibody programs, etokimab and ANB019, neutralize therapeutic targets that are genetically associated with severe inflammatory disorders in humans. Etokimab is the nonproprietary name adopted by the United States Adopted Names Council, in consultation with the World Health Organization International Nonproprietary Names Expert Committee, for our anti-IL-33 antibody drug candidate previously referred to as ANB020. Etokimab inhibits the activity of the interleukin-33 cytokine, or IL-33, which we believe is broadly applicable to the treatment of atopic inflammatory disorders, such as moderate-to-severe atopic dermatitis, eosinophilic asthma, chronic rhinosinusitis with nasal polyps and potentially other allergic conditions. </w:t>
      </w:r>
      <w:r>
        <w:rPr>
          <w:rFonts w:ascii="Arial" w:cs="Arial" w:eastAsia="Arial" w:hAnsi="Arial"/>
          <w:sz w:val="17"/>
          <w:szCs w:val="17"/>
          <w:color w:val="231F20"/>
        </w:rPr>
        <w:t>We have completed a Phase 1 trial of etokimab in healthy volunteers in Australia, the results</w:t>
      </w:r>
      <w:r>
        <w:rPr>
          <w:rFonts w:ascii="Arial" w:cs="Arial" w:eastAsia="Arial" w:hAnsi="Arial"/>
          <w:sz w:val="17"/>
          <w:szCs w:val="17"/>
          <w:color w:val="auto"/>
        </w:rPr>
        <w:t xml:space="preserve"> of which were presented at the 2017 American Academy of Dermatology, or AAD, Annual Meeting and the American Academy of Allergy, Asthma and Immunology, or AAAAI, 2017 Annual Meeting in March 2017. We believe the results of this Phase 1 trial demonstrate a favorable safety profile of etokimab, which was well-tolerated and for which no dose-limiting toxicities were observed, and favorable pharmacodynamic properties of etokimab, where a single dose was sufficient to suppress IL-33 function for approximately three months post-dosing as measured by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pharmacodynamic assay.</w:t>
      </w:r>
    </w:p>
    <w:p>
      <w:pPr>
        <w:spacing w:after="0" w:line="70"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color w:val="auto"/>
        </w:rPr>
        <w:t>We have subsequently completed a Phase 2a proof-of-concept trial of etokimab in 12 moderate-to-severe adult atopic dermatitis patients</w:t>
      </w:r>
      <w:r>
        <w:rPr>
          <w:rFonts w:ascii="Arial" w:cs="Arial" w:eastAsia="Arial" w:hAnsi="Arial"/>
          <w:sz w:val="17"/>
          <w:szCs w:val="17"/>
          <w:color w:val="231F20"/>
        </w:rPr>
        <w:t>, under an</w:t>
      </w:r>
      <w:r>
        <w:rPr>
          <w:rFonts w:ascii="Arial" w:cs="Arial" w:eastAsia="Arial" w:hAnsi="Arial"/>
          <w:sz w:val="17"/>
          <w:szCs w:val="17"/>
          <w:color w:val="auto"/>
        </w:rPr>
        <w:t xml:space="preserve"> </w:t>
      </w:r>
      <w:r>
        <w:rPr>
          <w:rFonts w:ascii="Arial" w:cs="Arial" w:eastAsia="Arial" w:hAnsi="Arial"/>
          <w:sz w:val="17"/>
          <w:szCs w:val="17"/>
          <w:color w:val="231F20"/>
        </w:rPr>
        <w:t xml:space="preserve">approved Clinical Trial Authorisation, or CTA, with the U.K. Medicines and Healthcare Products Regulatory Agency, or MHRA, announced top-line data from an interim analysis of this trial in October 2017 </w:t>
      </w:r>
      <w:r>
        <w:rPr>
          <w:rFonts w:ascii="Arial" w:cs="Arial" w:eastAsia="Arial" w:hAnsi="Arial"/>
          <w:sz w:val="17"/>
          <w:szCs w:val="17"/>
          <w:color w:val="000000"/>
        </w:rPr>
        <w:t>and presented data upon completion of this trial at the 2018 AAD Annual Meeting in February 2018</w:t>
      </w:r>
      <w:r>
        <w:rPr>
          <w:rFonts w:ascii="Arial" w:cs="Arial" w:eastAsia="Arial" w:hAnsi="Arial"/>
          <w:sz w:val="17"/>
          <w:szCs w:val="17"/>
          <w:color w:val="231F20"/>
        </w:rPr>
        <w:t xml:space="preserve"> and the 2018 European Academy of Allergy and Clinical Immunology, or EAACI, Congress in May 2018.</w:t>
      </w:r>
    </w:p>
    <w:p>
      <w:pPr>
        <w:spacing w:after="0" w:line="63"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color w:val="auto"/>
        </w:rPr>
        <w:t xml:space="preserve">This Phase 2a trial enrolled 12 moderate-to-severe adult atopic dermatitis patients, who were initially administered a single intravenous dose of placebo within 14 days of enrollment, followed by a single intravenous 300mg dose of etokimab one week subsequent to placebo. Prior to enrollment in the study, patients were not permitted any systemic or topical medications during a wash-out period. Patients were permitted to take a monitored amount of topical corticosteroids as rescue therapy during the course of the study. Clinical response was assessed by a number of endpoints, including the improvement of each patient’s Eczema Area Severity Index, or EASI, score, a tool used to measure the extent and severity of atopic dermatitis, at key time points following etokimab administration relative to their enrollment baseline. Additional efficacy endpoints measured during the trial included the 5-dimensional pruritus, or 5-D pruritus, scale which measures itchiness, the 5-point Investigator’s Global Assessment, or IGA, scale, Dermatology Life Quality Index, or DLQI, and the SCORing Atopic Dermatitis, or SCORAD, scale. The average baseline EASI score at enrollment amongst all 12 patients was 32. All 12 patients were inadequately controlled by topical corticosteroids and seven of these 12 patients were treated with systemic non-biologic anti-inflammatory therapy prior to the screening washout period of this trial, and exhibited an average EASI baseline score of 36 upon enrollment, while the remaining five of 12 enrolled patients did not require systemic immuno-modulators pre-study and exhibited an average EASI baseline score of 27. Biomarkers included blood eosinophil levels,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measuring IL-33 mediated interferon-gamma release, granulocyte infiltration and cytokine levels in localized skin lesions measured five days after placebo administration and five days after etokimab administration.</w:t>
      </w:r>
    </w:p>
    <w:p>
      <w:pPr>
        <w:spacing w:after="0" w:line="67"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We believe the data from this trial demonstrate proof-of-concept for etokimab in moderate-to-severe adult atopic dermatitis and suggest that etokimab may provide meaningful differentiation in terms of patient convenience. Based on our analysis of publicly available data sources and interviews with physicians and key opinion leaders in the field, atopic dermatitis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688" w:right="27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affects approximately 1.4 million adults in the United States, and we estimate that 280,000 of these patients have moderate-to-severe atopic dermatitis.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further development in atopic dermatitis, we are enrolling a Phase 2b randomized, double-blinded, placebo-controlled, multi-dose study</w:t>
      </w:r>
    </w:p>
    <w:p>
      <w:pPr>
        <w:spacing w:after="0" w:line="35"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in 300 adults patients with moderate-to-severe atopic dermatitis, also referred to as the ATLAS trial, to assess different dose levels and dosing frequencies of subcutaneously-administered etokimab for a 16-week treatment period followed by an eight-week monitoring period, with top-line data expected in the second half of 2019. Sixty patients are being randomized into each of five arms in the ATLAS trial where dosing will occur as follows: (i) initial 600mg loading dose followed by 300mg monthly doses of etokimab, (ii) initial 300mg loading dose followed by 150mg monthly doses of etokimab, (iii) initial 300mg loading dose followed by 150mg doses of etokimab every eight weeks, (iv) monthly 20mg doses of etokimab and (v) monthly doses of placebo.</w:t>
      </w:r>
    </w:p>
    <w:p>
      <w:pPr>
        <w:spacing w:after="0" w:line="5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are conducting, under a CTA with the MHRA in the United Kingdom and under an Investigational New Drug Application, or IND, with the U.S. Food and Drug Administration, or FDA, a randomized, placebo-controlled Phase 2a trial of etokimab in 25 severe adult eosinophilic asthma patients who were randomized between a single 300mg intravenous dose of etokimab or placebo upon enrollment (Day 1) at six sites located in the United States and the United Kingdom. Upon screening, which occurred 7 to 14 days prior to enrollment, patients were required to have a blood eosinophil count of at least 300 per microliter, confirmed clinical diagnosis of severe asthma according to the Global Initiative for Asthma, or GINA, 2016, pre-bronchodilator Forced Expiratory Volume in One Second, or FEV1, of less than 80% of predicted and at least one asthma exacerbation within the past 12 months requiring use of rescue medication. Patients were required to be stably maintained on high-dose inhaled corticosteroids, or ICS, and long-acting beta-2-agonists, or LABA, for at least three months prior to screening and were required to continue ICS/LABA therapy during the course of this trial. Baseline clinical assessments were conducted for each patient on Day 1 prior to etokimab or placebo dose, and patients completed follow-up clinical assessments on Days 2, 8, 22, 36 and 64 as of an interim analysis. The last monitoring visit for each patient will occur on Day 127 post-dose. Baseline parameters of etokimab-dosed patients (n=12) were 545 blood eosinophils per microliter, 2.5 liters FEV1 and 65% predicted FEV1, while placebo-dosed patients (n=13) had 705 blood eosinophils per microliter, 2.5 liters FEV1 and 66% predicted FEV1. Nine of 12 (75%) etokimab-dosed patients were male with an average age of 41, while nine of 13 (69%) placebo-dosed patients were male with an average age of 36.</w:t>
      </w:r>
    </w:p>
    <w:p>
      <w:pPr>
        <w:spacing w:after="0" w:line="80"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We announced top-line data from this Phase 2a trial in September 2018, which we believe demonstrated proof-of-concept for etokimab in severe adult eosinophilic asthma patients with rapid and sustained FEV1 improvement. Etokimab-dosed patients rapidly improved lung function by Day 2, where FEV1 increased by 8% over placebo. FEV1 increase was sustained at Day 64, where etokimab-dosed patients demonstrated 11% increase over placebo. Blood eosinophil reduction, which is a biomarker illustrative of etokimab’s mechanistic breadth, was observed at 31% over placebo at Day 2 and sustained to 46% over placebo at Day 64. This reduction correlated with FEV1 improvement and was consistent with the blood eosinophil effects observed in a prior single dose etokimab trial in moderate-to-severe atopic dermatitis patients. Etokimab was generally well-tolerated by all patients and no serious adverse events have been reported to date. No treatment-emergent adverse events were deemed to be etokimab-related, and the most frequent treatment-emergent adverse events reported were single occurrences of moderate strep throat in two etokimab-dosed patients and single occurrences of mild vomiting in two placebo-dosed patients. No exacerbations or rescue therapy usage has been reported as of the interim analysis. This Phase 2a trial is currently ongoing and the company plans to report full data from this trial at a medical conference in 2019 following trial completion. In addition, we plan to continue development of etokimab in eosinophilic asthma with a multi-dose Phase 2b randomized, double-blinded, placebo-controlled trial, which is expected to be initiated in 2019. We estimate that approximately 1.1 million adults in the United States are diagnosed with severe asthma that is uncontrolled through standard-of-care, and 50% of these patients have eosinophilic asthma.</w:t>
      </w:r>
    </w:p>
    <w:p>
      <w:pPr>
        <w:spacing w:after="0" w:line="188"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We have cleared an IND to the FDA and have initiated a randomized, placebo-controlled Phase 2 trial of etokimab in approximately 100 adult patients with chronic rhinosinusitis with nasal polyps, or CRSwNP, which is a debilitating atopic disorder associated with elevated IL-33 pathway signaling. Patients in this trial, also known as the ECLIPSE trial, will be randomized between three subcutaneous dosing cohorts, each in combination with mometasone furoate nasal spray as background therapy, as follows: (i) initial 300mg loading dose followed by 150mg monthly doses of etokimab, (ii) initial 300mg loading dose followed by 150mg doses of etokimab every eight weeks, and (iii) monthly doses of placebo. Efficacy will be assessed at week 16 post-dosing, with an eight week monitoring period, using the bilateral endoscope Nasal Polyp Score and Sino-Nasal Outcome Test and we anticipate top-line data from this trial to be available in the second half of 2019. Based on publicly available data sources, CRSwNP affects approximately 1.3 million adults in the United States and we estimate that 400,000 of these patients are inadequately controlled with standard-of-care.</w:t>
      </w:r>
    </w:p>
    <w:p>
      <w:pPr>
        <w:spacing w:after="0" w:line="179" w:lineRule="exact"/>
        <w:rPr>
          <w:sz w:val="20"/>
          <w:szCs w:val="20"/>
          <w:color w:val="auto"/>
        </w:rPr>
      </w:pPr>
    </w:p>
    <w:p>
      <w:pPr>
        <w:jc w:val="both"/>
        <w:ind w:right="260" w:firstLine="486"/>
        <w:spacing w:after="0" w:line="264" w:lineRule="auto"/>
        <w:rPr>
          <w:sz w:val="20"/>
          <w:szCs w:val="20"/>
          <w:color w:val="auto"/>
        </w:rPr>
      </w:pPr>
      <w:r>
        <w:rPr>
          <w:rFonts w:ascii="Arial" w:cs="Arial" w:eastAsia="Arial" w:hAnsi="Arial"/>
          <w:sz w:val="18"/>
          <w:szCs w:val="18"/>
          <w:color w:val="auto"/>
        </w:rPr>
        <w:t>As a result of market assessment regarding the adoption of the peanut oral food challenge in future commercial usage of etokimab in peanut allergy patients, we have decided to deprioritize further company-sponsored clinical development of etokimab in moderate-to-severe baseline adult peanut allergy patients. We therefore do not intend to utilize our capital or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76" w:right="259" w:bottom="1440" w:gutter="0" w:footer="0" w:header="0"/>
        </w:sectPr>
      </w:pPr>
    </w:p>
    <w:bookmarkStart w:id="23" w:name="page24"/>
    <w:bookmarkEnd w:id="23"/>
    <w:p>
      <w:pPr>
        <w:ind w:right="360"/>
        <w:spacing w:after="0" w:line="277" w:lineRule="auto"/>
        <w:rPr>
          <w:sz w:val="20"/>
          <w:szCs w:val="20"/>
          <w:color w:val="auto"/>
        </w:rPr>
      </w:pPr>
      <w:r>
        <w:rPr>
          <w:rFonts w:ascii="Arial" w:cs="Arial" w:eastAsia="Arial" w:hAnsi="Arial"/>
          <w:sz w:val="18"/>
          <w:szCs w:val="18"/>
          <w:color w:val="auto"/>
        </w:rPr>
        <w:t>clinical development resources to pursue a Phase 2b clinical trial of etokimab in peanut allergy, however we may pursue potential investigator-sponsored trials related to this indication.</w:t>
      </w:r>
    </w:p>
    <w:p>
      <w:pPr>
        <w:spacing w:after="0" w:line="170"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color w:val="auto"/>
        </w:rPr>
        <w:t xml:space="preserve">ANB019 inhibits the interleukin-36 receptor, or IL-36R, for the treatment of rare inflammatory diseases including generalized pustular psoriasis, or GPP, and palmoplantar pustulosis, or PPP, previously referred to as palmo-plantar pustular psoriasis. We have completed, under an approved Clinical Trial Notification, or CTN, a Phase 1 clinical trial in healthy volunteers for which we announced positive top-line results from an interim analysis of this trial and subsequently presented completed data from this trial at the 2018 EAACI Congress. In the double-blinded, placebo-controlled healthy volunteer Phase 1 trial, 36 subjects were administered a single subcutaneous or intravenous dose of ANB019 ranging between 10 mg and 750 mg, 18 subjects were administered multiple ascending doses of ANB019 intravenously ranging between 40 mg and 300 mg weekly for four consecutive weeks and 18 subjects were dosed with placebo. ANB019 was well-tolerated by all subjects and no dose-limiting toxicities were observed. The most frequent treatment-emergent adverse events observed in the single ascending dose cohorts were upper respiratory tract infections in 10 of 36 (28%) subjects dosed with ANB019 versus six of 12 (50%) subjects dosed with placebo, and headache in 10 of 36 (28%) subjects dosed with ANB019 versus three of 12 (25%) subjects dosed with placebo. In the multiple ascending dose cohorts, the most frequent treatment-emerging adverse events observed were headache in seven of 18 (39%) subjects dosed with ANB019 versus one of six (17%) subjects dosed with placebo. No serious adverse events were reported among any subjects in the trial.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half-life of ANB019 was approximately 28 days for both subcutaneous and intravenous routes of administration, with bioavailability of approximately 90 percent. A single dose of ANB019 at certain dose levels was able to completely suppress IL-36 cytokine function for 85 days, as measured by IL-36 cytokine-mediated release of IL-8 using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The favorable pharmacokinetics and pharmacodynamic properties of ANB019 and other results demonstrated by this Phase 1 trial support advancement of ANB019 into Phase 2 studies for GPP and PPP.</w:t>
      </w:r>
    </w:p>
    <w:p>
      <w:pPr>
        <w:spacing w:after="0" w:line="169" w:lineRule="exact"/>
        <w:rPr>
          <w:sz w:val="20"/>
          <w:szCs w:val="20"/>
          <w:color w:val="auto"/>
        </w:rPr>
      </w:pPr>
    </w:p>
    <w:p>
      <w:pPr>
        <w:ind w:right="20" w:firstLine="446"/>
        <w:spacing w:after="0" w:line="270" w:lineRule="auto"/>
        <w:rPr>
          <w:sz w:val="20"/>
          <w:szCs w:val="20"/>
          <w:color w:val="auto"/>
        </w:rPr>
      </w:pPr>
      <w:r>
        <w:rPr>
          <w:rFonts w:ascii="Arial" w:cs="Arial" w:eastAsia="Arial" w:hAnsi="Arial"/>
          <w:sz w:val="17"/>
          <w:szCs w:val="17"/>
          <w:color w:val="auto"/>
        </w:rPr>
        <w:t>We have received clearance of a CTA filing to the MHRA and an IND filing with the FDA, and have initiated a 10-patient open-label, multi-dose, single-arm Phase 2 trial of ANB019 in GPP patients, also referred to as the GALLOP trial, where top-line data are anticipated in mid 2019. All patients in the GALLOP study are dosed with a 750mg intravenous loading dose of ANB019 upon enrollment, followed by 100mg subcutaneously-administered monthly doses of ANB019 for a treatment period of up to 16 weeks post enrollment and then monitored for a total of 8 weeks. We have cleared an IND with the FDA and have initiated, in the United States, a randomized, double-blind, placebo-controlled approximately 50-patient multi-dose trial of ANB019 in PPP, also referred to as the POPLAR trial, where patients are randomized between two subcutaneous dosing cohorts, as follows: (i) an initial loading dose of 200mg followed by 100mg monthly doses of ANB019 and (ii) monthly doses of placebo, for a treatment period of 16 weeks post enrollment, with a subsequent monitoring period of 8 weeks. We intend to submit a CTA filing to the MHRA to permit expansion of the POPLAR trial in the United Kingdom. We anticipate top-line data from the POPLAR trial in the second half of 2019.</w:t>
      </w:r>
    </w:p>
    <w:p>
      <w:pPr>
        <w:spacing w:after="0" w:line="182" w:lineRule="exact"/>
        <w:rPr>
          <w:sz w:val="20"/>
          <w:szCs w:val="20"/>
          <w:color w:val="auto"/>
        </w:rPr>
      </w:pPr>
    </w:p>
    <w:p>
      <w:pPr>
        <w:ind w:right="100" w:firstLine="486"/>
        <w:spacing w:after="0" w:line="312" w:lineRule="auto"/>
        <w:rPr>
          <w:sz w:val="20"/>
          <w:szCs w:val="20"/>
          <w:color w:val="auto"/>
        </w:rPr>
      </w:pPr>
      <w:r>
        <w:rPr>
          <w:rFonts w:ascii="Arial" w:cs="Arial" w:eastAsia="Arial" w:hAnsi="Arial"/>
          <w:sz w:val="16"/>
          <w:szCs w:val="16"/>
          <w:color w:val="auto"/>
        </w:rPr>
        <w:t>In addition to etokimab and ANB019, our wholly-owned pipeline includes novel anti-inflammatory checkpoint receptor modulator antibodies that we believe is applicable for treatment of certain autoimmune diseases where immune checkpoint receptors are insufficiently activated, and have demonstrated efficacy in an animal model of graft-versus-host disease, where we anticipate an IND for the first such antibody in the second half of 2019.</w:t>
      </w:r>
    </w:p>
    <w:p>
      <w:pPr>
        <w:spacing w:after="0" w:line="147"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 xml:space="preserve">In addition to our wholly-owned antibody programs, multiple AnaptysBio-developed antibody programs have been advanced to preclinical and clinical milestones under our collaborations. Our collaborations include an immuno-oncology-focused collaboration with </w:t>
      </w:r>
      <w:r>
        <w:rPr>
          <w:rFonts w:ascii="Arial" w:cs="Arial" w:eastAsia="Arial" w:hAnsi="Arial"/>
          <w:sz w:val="16"/>
          <w:szCs w:val="16"/>
          <w:color w:val="231F20"/>
        </w:rPr>
        <w:t>TESARO, Inc. and TESARO Development,</w:t>
      </w:r>
      <w:r>
        <w:rPr>
          <w:rFonts w:ascii="Arial" w:cs="Arial" w:eastAsia="Arial" w:hAnsi="Arial"/>
          <w:sz w:val="16"/>
          <w:szCs w:val="16"/>
          <w:color w:val="auto"/>
        </w:rPr>
        <w:t xml:space="preserve"> </w:t>
      </w:r>
      <w:r>
        <w:rPr>
          <w:rFonts w:ascii="Arial" w:cs="Arial" w:eastAsia="Arial" w:hAnsi="Arial"/>
          <w:sz w:val="16"/>
          <w:szCs w:val="16"/>
          <w:color w:val="231F20"/>
        </w:rPr>
        <w:t xml:space="preserve">Ltd., or collectively, TESARO </w:t>
      </w:r>
      <w:r>
        <w:rPr>
          <w:rFonts w:ascii="Arial" w:cs="Arial" w:eastAsia="Arial" w:hAnsi="Arial"/>
          <w:sz w:val="16"/>
          <w:szCs w:val="16"/>
          <w:color w:val="000000"/>
        </w:rPr>
        <w:t>and an inflammation-focused collaboration with Celgene Corporation, or Celgene, as discussed in Part I—Note 4 above.</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584" w:right="279" w:bottom="1440" w:gutter="0" w:footer="0" w:header="0"/>
        </w:sectPr>
      </w:pPr>
    </w:p>
    <w:bookmarkStart w:id="24" w:name="page25"/>
    <w:bookmarkEnd w:id="24"/>
    <w:p>
      <w:pPr>
        <w:ind w:left="500"/>
        <w:spacing w:after="0"/>
        <w:rPr>
          <w:sz w:val="20"/>
          <w:szCs w:val="20"/>
          <w:color w:val="auto"/>
        </w:rPr>
      </w:pPr>
      <w:r>
        <w:rPr>
          <w:rFonts w:ascii="Arial" w:cs="Arial" w:eastAsia="Arial" w:hAnsi="Arial"/>
          <w:sz w:val="18"/>
          <w:szCs w:val="18"/>
          <w:color w:val="auto"/>
        </w:rPr>
        <w:t>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866130" cy="3490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66130" cy="349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320" w:firstLine="446"/>
        <w:spacing w:after="0" w:line="264" w:lineRule="auto"/>
        <w:rPr>
          <w:sz w:val="20"/>
          <w:szCs w:val="20"/>
          <w:color w:val="auto"/>
        </w:rPr>
      </w:pPr>
      <w:r>
        <w:rPr>
          <w:rFonts w:ascii="Arial" w:cs="Arial" w:eastAsia="Arial" w:hAnsi="Arial"/>
          <w:sz w:val="18"/>
          <w:szCs w:val="18"/>
          <w:color w:val="auto"/>
        </w:rPr>
        <w:t>We have not generated any revenue from product sales. Our revenue has been derived from amortization of upfront payments, research and development funding and milestone payments under collaboration and license agreements with our collaborators. From inception through September 30, 2018, we have received $76.6 million in cash in non-dilutive funding from our collaborators.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600" w:firstLine="446"/>
        <w:spacing w:after="0" w:line="308" w:lineRule="auto"/>
        <w:rPr>
          <w:sz w:val="20"/>
          <w:szCs w:val="20"/>
          <w:color w:val="auto"/>
        </w:rPr>
      </w:pPr>
      <w:r>
        <w:rPr>
          <w:rFonts w:ascii="Arial" w:cs="Arial" w:eastAsia="Arial" w:hAnsi="Arial"/>
          <w:sz w:val="17"/>
          <w:szCs w:val="17"/>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38" w:lineRule="exact"/>
        <w:rPr>
          <w:sz w:val="20"/>
          <w:szCs w:val="20"/>
          <w:color w:val="auto"/>
        </w:rPr>
      </w:pPr>
    </w:p>
    <w:p>
      <w:pPr>
        <w:ind w:left="880" w:right="20" w:hanging="440"/>
        <w:spacing w:after="0" w:line="308"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arrangements with third-parties, such as Contract Research Organizations, or CROs, consultants, members of our scientific and therapeutic advisory boards, and Contract Manufacturing Organizations, or CMOs;</w:t>
      </w:r>
    </w:p>
    <w:p>
      <w:pPr>
        <w:spacing w:after="0" w:line="38" w:lineRule="exact"/>
        <w:rPr>
          <w:rFonts w:ascii="Arial" w:cs="Arial" w:eastAsia="Arial" w:hAnsi="Arial"/>
          <w:sz w:val="17"/>
          <w:szCs w:val="17"/>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17" w:lineRule="exact"/>
        <w:rPr>
          <w:rFonts w:ascii="Arial" w:cs="Arial" w:eastAsia="Arial" w:hAnsi="Arial"/>
          <w:sz w:val="18"/>
          <w:szCs w:val="18"/>
          <w:color w:val="auto"/>
        </w:rPr>
      </w:pPr>
    </w:p>
    <w:p>
      <w:pPr>
        <w:ind w:left="880" w:right="70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right="140" w:firstLine="446"/>
        <w:spacing w:after="0" w:line="308" w:lineRule="auto"/>
        <w:rPr>
          <w:sz w:val="20"/>
          <w:szCs w:val="20"/>
          <w:color w:val="auto"/>
        </w:rPr>
      </w:pPr>
      <w:r>
        <w:rPr>
          <w:rFonts w:ascii="Arial" w:cs="Arial" w:eastAsia="Arial" w:hAnsi="Arial"/>
          <w:sz w:val="17"/>
          <w:szCs w:val="17"/>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38"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We recognize the Australian Research and Development Tax Incentive, or the Tax Incentive, as a reduction of research and development expense. The amounts are determined on a cost reimbursement basis based on our eligible research and development expenditures and are non-refundable, provided that in order to qualify for the Australian benefits we must have</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584" w:right="319" w:bottom="1440" w:gutter="0" w:footer="0" w:header="0"/>
        </w:sectPr>
      </w:pPr>
    </w:p>
    <w:bookmarkStart w:id="25" w:name="page26"/>
    <w:bookmarkEnd w:id="25"/>
    <w:p>
      <w:pPr>
        <w:ind w:right="360"/>
        <w:spacing w:after="0" w:line="264" w:lineRule="auto"/>
        <w:rPr>
          <w:sz w:val="20"/>
          <w:szCs w:val="20"/>
          <w:color w:val="auto"/>
        </w:rPr>
      </w:pPr>
      <w:r>
        <w:rPr>
          <w:rFonts w:ascii="Arial" w:cs="Arial" w:eastAsia="Arial" w:hAnsi="Arial"/>
          <w:sz w:val="18"/>
          <w:szCs w:val="18"/>
          <w:color w:val="auto"/>
        </w:rPr>
        <w:t>revenue of less than AUD $20.0 million during the reimbursable period and cannot be controlled by income tax exempt entities. The Tax Incentive is recognized when there is reasonable assurance that the Tax Incentive will be received, the relevant expenditure has been incurred, and the amount can be reliably measured.</w:t>
      </w:r>
    </w:p>
    <w:p>
      <w:pPr>
        <w:spacing w:after="0" w:line="73" w:lineRule="exact"/>
        <w:rPr>
          <w:sz w:val="20"/>
          <w:szCs w:val="20"/>
          <w:color w:val="auto"/>
        </w:rPr>
      </w:pPr>
    </w:p>
    <w:p>
      <w:pPr>
        <w:ind w:right="60" w:firstLine="446"/>
        <w:spacing w:after="0" w:line="279" w:lineRule="auto"/>
        <w:rPr>
          <w:sz w:val="20"/>
          <w:szCs w:val="20"/>
          <w:color w:val="auto"/>
        </w:rPr>
      </w:pPr>
      <w:r>
        <w:rPr>
          <w:rFonts w:ascii="Arial" w:cs="Arial" w:eastAsia="Arial" w:hAnsi="Arial"/>
          <w:sz w:val="17"/>
          <w:szCs w:val="17"/>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and pharmacology studies, drug product manufacturing and clinical trials.</w:t>
      </w:r>
    </w:p>
    <w:p>
      <w:pPr>
        <w:spacing w:after="0" w:line="63"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We have completed Phase 1 trials for etokimab and ANB019 and have ongoing Phase 2a and 2b clinical trials as well</w:t>
      </w:r>
      <w:r>
        <w:rPr>
          <w:rFonts w:ascii="Arial" w:cs="Arial" w:eastAsia="Arial" w:hAnsi="Arial"/>
          <w:sz w:val="18"/>
          <w:szCs w:val="18"/>
          <w:color w:val="231F20"/>
        </w:rPr>
        <w:t>. W</w:t>
      </w:r>
      <w:r>
        <w:rPr>
          <w:rFonts w:ascii="Arial" w:cs="Arial" w:eastAsia="Arial" w:hAnsi="Arial"/>
          <w:sz w:val="18"/>
          <w:szCs w:val="18"/>
          <w:color w:val="auto"/>
        </w:rPr>
        <w:t>e expect our research and development expenses to be higher for the foreseeable future as we continue to advance our product candidates.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100" w:firstLine="446"/>
        <w:spacing w:after="0" w:line="312" w:lineRule="auto"/>
        <w:rPr>
          <w:sz w:val="20"/>
          <w:szCs w:val="20"/>
          <w:color w:val="auto"/>
        </w:rPr>
      </w:pPr>
      <w:r>
        <w:rPr>
          <w:rFonts w:ascii="Arial" w:cs="Arial" w:eastAsia="Arial" w:hAnsi="Arial"/>
          <w:sz w:val="16"/>
          <w:szCs w:val="16"/>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Interest expense consists of floating interest payments and amortization of discounts on our outstanding notes payable relating to our Loan and Security Agreement with Oxford Finance LLC and Silicon Valley Bank, as amended, which we refer to as the Loan Agreement.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in Fair Value of Liability for Preferred Stock Warrants</w:t>
      </w:r>
    </w:p>
    <w:p>
      <w:pPr>
        <w:spacing w:after="0" w:line="117" w:lineRule="exact"/>
        <w:rPr>
          <w:sz w:val="20"/>
          <w:szCs w:val="20"/>
          <w:color w:val="auto"/>
        </w:rPr>
      </w:pPr>
    </w:p>
    <w:p>
      <w:pPr>
        <w:ind w:right="80" w:firstLine="446"/>
        <w:spacing w:after="0" w:line="279" w:lineRule="auto"/>
        <w:rPr>
          <w:sz w:val="20"/>
          <w:szCs w:val="20"/>
          <w:color w:val="auto"/>
        </w:rPr>
      </w:pPr>
      <w:r>
        <w:rPr>
          <w:rFonts w:ascii="Arial" w:cs="Arial" w:eastAsia="Arial" w:hAnsi="Arial"/>
          <w:sz w:val="17"/>
          <w:szCs w:val="17"/>
          <w:color w:val="auto"/>
        </w:rPr>
        <w:t>Income and expense from the change in fair value of our liability for preferred stock warrants results from the valuation of our outstanding warrants to purchase shares of our preferred stock, which are valued at each period end. Upon the closing of our initial public offering on January 31, 2017, the warrants to purchase shares of preferred stock converted into warrants to purchase shares of common stock, the preferred stock warrant liabilities have been reclassified to additional paid-in capital and periodic fair value adjustments are no longer required.</w:t>
      </w: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consists primarily of interest earned on our short-term and long-term investments, and is recognized when earned.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or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 on March 5, 2018, as amended on September 14, 2018</w:t>
      </w:r>
      <w:r>
        <w:rPr>
          <w:rFonts w:ascii="Arial" w:cs="Arial" w:eastAsia="Arial" w:hAnsi="Arial"/>
          <w:sz w:val="17"/>
          <w:szCs w:val="17"/>
          <w:i w:val="1"/>
          <w:iCs w:val="1"/>
          <w:color w:val="auto"/>
        </w:rPr>
        <w:t>,</w:t>
      </w:r>
      <w:r>
        <w:rPr>
          <w:rFonts w:ascii="Arial" w:cs="Arial" w:eastAsia="Arial" w:hAnsi="Arial"/>
          <w:sz w:val="17"/>
          <w:szCs w:val="17"/>
          <w:color w:val="auto"/>
        </w:rPr>
        <w:t xml:space="preserve"> other than to revenue recognition upon adoption of ASC Topic 606, as discussed below.</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Revenue is recognized in accordance with revenue recognition accounting guidance, which utilizes five basic steps to determine whether revenue can be recognized and to what extent: (i) identify contract with customer; (ii) identify the performance obligation; (iii) determine the transaction price; (iv) allocate the transaction price; and (v) determine the recognition period.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76" w:right="279" w:bottom="1440" w:gutter="0" w:footer="0" w:header="0"/>
        </w:sectPr>
      </w:pPr>
    </w:p>
    <w:bookmarkStart w:id="26" w:name="page27"/>
    <w:bookmarkEnd w:id="26"/>
    <w:p>
      <w:pPr>
        <w:ind w:right="120" w:firstLine="486"/>
        <w:spacing w:after="0" w:line="255" w:lineRule="auto"/>
        <w:rPr>
          <w:sz w:val="20"/>
          <w:szCs w:val="20"/>
          <w:color w:val="auto"/>
        </w:rPr>
      </w:pPr>
      <w:r>
        <w:rPr>
          <w:rFonts w:ascii="Arial" w:cs="Arial" w:eastAsia="Arial" w:hAnsi="Arial"/>
          <w:sz w:val="18"/>
          <w:szCs w:val="18"/>
          <w:i w:val="1"/>
          <w:iCs w:val="1"/>
          <w:color w:val="auto"/>
        </w:rPr>
        <w:t xml:space="preserve">Performance Obligations. </w:t>
      </w:r>
      <w:r>
        <w:rPr>
          <w:rFonts w:ascii="Arial" w:cs="Arial" w:eastAsia="Arial" w:hAnsi="Arial"/>
          <w:sz w:val="18"/>
          <w:szCs w:val="18"/>
          <w:color w:val="auto"/>
        </w:rPr>
        <w:t>We evaluate deliverables on a contract by contract basis to determine whether each deliverable represents a good 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transaction price.</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performance obligations may include the following:</w:t>
      </w:r>
    </w:p>
    <w:p>
      <w:pPr>
        <w:spacing w:after="0" w:line="117" w:lineRule="exact"/>
        <w:rPr>
          <w:sz w:val="20"/>
          <w:szCs w:val="20"/>
          <w:color w:val="auto"/>
        </w:rPr>
      </w:pPr>
    </w:p>
    <w:p>
      <w:pPr>
        <w:ind w:left="660" w:right="40" w:hanging="314"/>
        <w:spacing w:after="0" w:line="30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46" w:lineRule="exact"/>
        <w:rPr>
          <w:rFonts w:ascii="Arial" w:cs="Arial" w:eastAsia="Arial" w:hAnsi="Arial"/>
          <w:sz w:val="16"/>
          <w:szCs w:val="16"/>
          <w:color w:val="auto"/>
        </w:rPr>
      </w:pPr>
    </w:p>
    <w:p>
      <w:pPr>
        <w:ind w:left="660" w:right="260" w:hanging="314"/>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80" w:lineRule="exact"/>
        <w:rPr>
          <w:rFonts w:ascii="Arial" w:cs="Arial" w:eastAsia="Arial" w:hAnsi="Arial"/>
          <w:sz w:val="18"/>
          <w:szCs w:val="18"/>
          <w:color w:val="auto"/>
        </w:rPr>
      </w:pPr>
    </w:p>
    <w:p>
      <w:pPr>
        <w:jc w:val="both"/>
        <w:ind w:left="660" w:right="160" w:hanging="314"/>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Steering Committee Meetings. The performance obligations under our collaboration and license agreements may also include our participation in a steering committees, which allows us to direct the progression of our discovery programs. As these steering committees would not occur or benefit the customer without the use of our licenses, these are not considered distinct.</w:t>
      </w:r>
    </w:p>
    <w:p>
      <w:pPr>
        <w:spacing w:after="0" w:line="73"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w:t>
      </w:r>
    </w:p>
    <w:p>
      <w:pPr>
        <w:spacing w:after="0" w:line="73"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i w:val="1"/>
          <w:iCs w:val="1"/>
          <w:color w:val="auto"/>
        </w:rPr>
        <w:t xml:space="preserve">Transaction Price. </w:t>
      </w:r>
      <w:r>
        <w:rPr>
          <w:rFonts w:ascii="Arial" w:cs="Arial" w:eastAsia="Arial" w:hAnsi="Arial"/>
          <w:sz w:val="16"/>
          <w:szCs w:val="16"/>
          <w:color w:val="auto"/>
        </w:rPr>
        <w:t>Our collaboration and license agreements generally include both fixed and variable consideration. Fixed payments, such as those for</w:t>
      </w:r>
      <w:r>
        <w:rPr>
          <w:rFonts w:ascii="Arial" w:cs="Arial" w:eastAsia="Arial" w:hAnsi="Arial"/>
          <w:sz w:val="16"/>
          <w:szCs w:val="16"/>
          <w:i w:val="1"/>
          <w:iCs w:val="1"/>
          <w:color w:val="auto"/>
        </w:rPr>
        <w:t xml:space="preserve"> </w:t>
      </w:r>
      <w:r>
        <w:rPr>
          <w:rFonts w:ascii="Arial" w:cs="Arial" w:eastAsia="Arial" w:hAnsi="Arial"/>
          <w:sz w:val="16"/>
          <w:szCs w:val="16"/>
          <w:color w:val="auto"/>
        </w:rPr>
        <w:t>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w:t>
      </w:r>
    </w:p>
    <w:p>
      <w:pPr>
        <w:ind w:right="560"/>
        <w:spacing w:after="0" w:line="290" w:lineRule="auto"/>
        <w:rPr>
          <w:sz w:val="20"/>
          <w:szCs w:val="20"/>
          <w:color w:val="auto"/>
        </w:rPr>
      </w:pPr>
      <w:r>
        <w:rPr>
          <w:rFonts w:ascii="Arial" w:cs="Arial" w:eastAsia="Arial" w:hAnsi="Arial"/>
          <w:sz w:val="17"/>
          <w:szCs w:val="17"/>
          <w:color w:val="auto"/>
        </w:rPr>
        <w:t>Research and development services are updated for actual invoices. Given the nature of our agreements, milestones are estimated using the most likely amount and are evaluated on a quarterly basis. Upon commercialization, royalty payments are recognized in the period incurred.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the Three and Nine Months Ended September 30, 2018 and 2017</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recognized $5.0 million of collaboration revenue for the three and nine months ended September 30, 2018 related to one TESARO milestone compared to no revenue and $7.0 million for two TESARO milestones recognized for the three and nine months ended September 30, 2017, respectively. We expect that any collaboration revenue we generate will continue to fluctuate from period to period as a result of the timing and amount of milestones from our existing collaborations.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We do not track fully burdened research and development costs separately for each of our drug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 (in thousands):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76"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2"/>
        </w:trPr>
        <w:tc>
          <w:tcPr>
            <w:tcW w:w="4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27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Increase</w:t>
            </w:r>
          </w:p>
        </w:tc>
        <w:tc>
          <w:tcPr>
            <w:tcW w:w="280" w:type="dxa"/>
            <w:vAlign w:val="bottom"/>
          </w:tcPr>
          <w:p>
            <w:pPr>
              <w:spacing w:after="0"/>
              <w:rPr>
                <w:sz w:val="22"/>
                <w:szCs w:val="22"/>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27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213"/>
              <w:spacing w:after="0"/>
              <w:rPr>
                <w:sz w:val="20"/>
                <w:szCs w:val="20"/>
                <w:color w:val="auto"/>
              </w:rPr>
            </w:pPr>
            <w:r>
              <w:rPr>
                <w:rFonts w:ascii="Arial" w:cs="Arial" w:eastAsia="Arial" w:hAnsi="Arial"/>
                <w:sz w:val="14"/>
                <w:szCs w:val="14"/>
                <w:b w:val="1"/>
                <w:bCs w:val="1"/>
                <w:color w:val="auto"/>
              </w:rPr>
              <w:t>Increase</w:t>
            </w: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External Costs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Etokimab</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7,038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4,491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13,857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8,459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5,398</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ANB019</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4,295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7,596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Preclinical and other unallocated costs</w:t>
            </w:r>
          </w:p>
        </w:tc>
        <w:tc>
          <w:tcPr>
            <w:tcW w:w="280" w:type="dxa"/>
            <w:vAlign w:val="bottom"/>
          </w:tcPr>
          <w:p>
            <w:pPr>
              <w:spacing w:after="0"/>
              <w:rPr>
                <w:sz w:val="21"/>
                <w:szCs w:val="21"/>
                <w:color w:val="auto"/>
              </w:rPr>
            </w:pP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2,904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6,123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4,175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1,948</w:t>
            </w: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External Costs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14,237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4"/>
              </w:rPr>
              <w:t>15,115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14,942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Internal Costs</w:t>
            </w:r>
          </w:p>
        </w:tc>
        <w:tc>
          <w:tcPr>
            <w:tcW w:w="280" w:type="dxa"/>
            <w:vAlign w:val="bottom"/>
          </w:tcPr>
          <w:p>
            <w:pPr>
              <w:spacing w:after="0"/>
              <w:rPr>
                <w:sz w:val="21"/>
                <w:szCs w:val="21"/>
                <w:color w:val="auto"/>
              </w:rPr>
            </w:pP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3,646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10,219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6,722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3,497</w:t>
            </w: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17,883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40,276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4"/>
              </w:rPr>
              <w:t>21,837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18,439</w:t>
            </w: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Research and development expenses were $17.9 million during the three months ended September 30, 2018 compared to $6.7 million during the three months ended September 30, 2017 for an increase of $11.2 million, primarily due to a $6.2 million increase in manufacturing expenses, a $1.5 million increase in clinical expenses primarily related to the initiation of our ATLAS trial, a $1.5 million increase in personnel costs including stock compensation expense and a $1.2 million increase in pre-clinical expenses.</w:t>
      </w:r>
    </w:p>
    <w:p>
      <w:pPr>
        <w:spacing w:after="0" w:line="79" w:lineRule="exact"/>
        <w:rPr>
          <w:sz w:val="20"/>
          <w:szCs w:val="20"/>
          <w:color w:val="auto"/>
        </w:rPr>
      </w:pPr>
    </w:p>
    <w:p>
      <w:pPr>
        <w:ind w:right="80" w:firstLine="446"/>
        <w:spacing w:after="0" w:line="257" w:lineRule="auto"/>
        <w:rPr>
          <w:sz w:val="20"/>
          <w:szCs w:val="20"/>
          <w:color w:val="auto"/>
        </w:rPr>
      </w:pPr>
      <w:r>
        <w:rPr>
          <w:rFonts w:ascii="Arial" w:cs="Arial" w:eastAsia="Arial" w:hAnsi="Arial"/>
          <w:sz w:val="18"/>
          <w:szCs w:val="18"/>
          <w:color w:val="auto"/>
        </w:rPr>
        <w:t>Research and development expenses were $40.3 million during the nine months ended September 30, 2018 compared to $21.8 million during the nine months ended September 30, 2017 for an increase of approximately $18.5 million, primarily due to a $5.9 million increase in manufacturing expenses, a $4.3 million increase in clinical expenses related to the initiation of our ATLAS trial and our Phase 2a for moderate-to-severe adult atopic dermatitis, a $3.5 million increase in personnel costs including stock compensation expense, a $2.9 million increase in outside services for preclinical expenses, and a $1.3 million decrease in Australian tax incentives recognized.</w:t>
      </w:r>
    </w:p>
    <w:p>
      <w:pPr>
        <w:spacing w:after="0" w:line="80" w:lineRule="exact"/>
        <w:rPr>
          <w:sz w:val="20"/>
          <w:szCs w:val="20"/>
          <w:color w:val="auto"/>
        </w:rPr>
      </w:pPr>
    </w:p>
    <w:p>
      <w:pPr>
        <w:ind w:right="340" w:firstLine="486"/>
        <w:spacing w:after="0" w:line="264"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invest in research and development activities related to developing our product candidates, including investments in manufacturing, as our programs advance into later stages of development and as we conduct additional clinical trials.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00" w:firstLine="567"/>
        <w:spacing w:after="0" w:line="264" w:lineRule="auto"/>
        <w:rPr>
          <w:sz w:val="20"/>
          <w:szCs w:val="20"/>
          <w:color w:val="auto"/>
        </w:rPr>
      </w:pPr>
      <w:r>
        <w:rPr>
          <w:rFonts w:ascii="Arial" w:cs="Arial" w:eastAsia="Arial" w:hAnsi="Arial"/>
          <w:sz w:val="18"/>
          <w:szCs w:val="18"/>
          <w:color w:val="auto"/>
        </w:rPr>
        <w:t>General and administrative expenses were $4.0 million during the three months ended September 30, 2018 compared to $2.4 million during the three months ended September 30, 2017 for an increase of $1.6 million, primarily due to a $1.4 million increase in personnel costs including stock compensation expense.</w:t>
      </w:r>
    </w:p>
    <w:p>
      <w:pPr>
        <w:spacing w:after="0" w:line="73" w:lineRule="exact"/>
        <w:rPr>
          <w:sz w:val="20"/>
          <w:szCs w:val="20"/>
          <w:color w:val="auto"/>
        </w:rPr>
      </w:pPr>
    </w:p>
    <w:p>
      <w:pPr>
        <w:ind w:right="120" w:firstLine="567"/>
        <w:spacing w:after="0" w:line="264" w:lineRule="auto"/>
        <w:rPr>
          <w:sz w:val="20"/>
          <w:szCs w:val="20"/>
          <w:color w:val="auto"/>
        </w:rPr>
      </w:pPr>
      <w:r>
        <w:rPr>
          <w:rFonts w:ascii="Arial" w:cs="Arial" w:eastAsia="Arial" w:hAnsi="Arial"/>
          <w:sz w:val="18"/>
          <w:szCs w:val="18"/>
          <w:color w:val="auto"/>
        </w:rPr>
        <w:t>General and administrative expenses were $11.8 million during the nine months ended September 30, 2018 compared to $6.8 million during the nine months ended September 30, 2017 for an increase of $5.0 million, primarily due to a $3.3 million increase in personnel costs including stock compensation expense and a $0.6 million increase in consulting expenses.</w:t>
      </w:r>
    </w:p>
    <w:p>
      <w:pPr>
        <w:spacing w:after="0" w:line="73"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00" w:firstLine="446"/>
        <w:spacing w:after="0" w:line="259" w:lineRule="auto"/>
        <w:rPr>
          <w:sz w:val="20"/>
          <w:szCs w:val="20"/>
          <w:color w:val="auto"/>
        </w:rPr>
      </w:pPr>
      <w:r>
        <w:rPr>
          <w:rFonts w:ascii="Arial" w:cs="Arial" w:eastAsia="Arial" w:hAnsi="Arial"/>
          <w:sz w:val="18"/>
          <w:szCs w:val="18"/>
          <w:color w:val="auto"/>
        </w:rPr>
        <w:t>Interest expense was $0.4 million and $1.3 million during the three and nine months ended September 30, 2018, respectively, and represents effective interest of approximately 13.08% on an outstanding principal balance of $10.0 million. Interest expense was $0.5 million and $1.3 million during the three and nine months ended September 30, 2017, respectively, and represented effective interest of 12.08% through September 30, 2017 on an outstanding principal balance of $15.0 million.</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in Fair Value of Liabilities for Preferred Stock Warrants</w:t>
      </w:r>
    </w:p>
    <w:p>
      <w:pPr>
        <w:spacing w:after="0" w:line="117"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As discussed in Item 1 — Note 1 above, all of the outstanding warrants to purchase shares of preferred stock automatically converted into warrants to purchase shares of common stock upon our IPO and were accounted for as equity from the conversion date forward.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31" w:right="239" w:bottom="1440" w:gutter="0" w:footer="0" w:header="0"/>
        </w:sectPr>
      </w:pPr>
    </w:p>
    <w:bookmarkStart w:id="28" w:name="page29"/>
    <w:bookmarkEnd w:id="28"/>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Interest income was $1.4 million and $0.4 million during the three months ended September 30, 2018 and 2017, and $3.9 million and $0.8 million during the nine months ended September 30, 2018 and 2017, respectively, which primarily related to our short-term and long-term investments, the balance of which increased as a result of the investment of proceeds from our follow-on offering in October 2017.</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Other income (expense), net was less than $0.1 million during the three months ended September 30, 2018 and 2017, respectively and primarily related to foreign exchange transactions through our Australian subsidiary.</w:t>
      </w:r>
    </w:p>
    <w:p>
      <w:pPr>
        <w:spacing w:after="0" w:line="62"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Other income (expense), net was a loss of $0.2 million and a gain of $0.3 million during the nine months ended September 30, 2018 and 2017, respectively and primarily related to foreign exchange transactions through our Australian subsidiary.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color w:val="auto"/>
        </w:rPr>
        <w:t>From our inception through September 30, 2018, we have received an aggregate of $712.1 million to fund our operations which included $616.4 million from the sale of equity securities, $76.6 million from our collaboration agreements and $19.1 million from venture debt. As of September 30, 2018, we had $512.4 million in cash, cash equivalents and investments.</w:t>
      </w:r>
    </w:p>
    <w:p>
      <w:pPr>
        <w:spacing w:after="0" w:line="73"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rights to payments under our collaboration agreements are our only committed external source of funds.</w:t>
      </w:r>
    </w:p>
    <w:p>
      <w:pPr>
        <w:spacing w:after="0" w:line="80" w:lineRule="exact"/>
        <w:rPr>
          <w:sz w:val="20"/>
          <w:szCs w:val="20"/>
          <w:color w:val="auto"/>
        </w:rPr>
      </w:pPr>
    </w:p>
    <w:p>
      <w:pPr>
        <w:ind w:firstLine="446"/>
        <w:spacing w:after="0" w:line="286" w:lineRule="auto"/>
        <w:rPr>
          <w:sz w:val="20"/>
          <w:szCs w:val="20"/>
          <w:color w:val="auto"/>
        </w:rPr>
      </w:pPr>
      <w:r>
        <w:rPr>
          <w:rFonts w:ascii="Arial" w:cs="Arial" w:eastAsia="Arial" w:hAnsi="Arial"/>
          <w:sz w:val="17"/>
          <w:szCs w:val="17"/>
          <w:color w:val="auto"/>
        </w:rPr>
        <w:t>On September 28, 2018, we completed an underwritten public offering of 2,530,000 shares of common stock, which included the exercise of the underwriters’ option to purchase an additional 330,000 shares of common stock. All shares were offered by us at a price to the public of $94.46 per share. The aggregate net proceeds received by us from the offering were $227.5 million, net of underwriting discounts and commissions.</w:t>
      </w:r>
    </w:p>
    <w:p>
      <w:pPr>
        <w:spacing w:after="0" w:line="57"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73" w:lineRule="exact"/>
        <w:rPr>
          <w:sz w:val="20"/>
          <w:szCs w:val="20"/>
          <w:color w:val="auto"/>
        </w:rPr>
      </w:pPr>
    </w:p>
    <w:p>
      <w:pPr>
        <w:jc w:val="both"/>
        <w:ind w:right="180" w:firstLine="446"/>
        <w:spacing w:after="0" w:line="264" w:lineRule="auto"/>
        <w:rPr>
          <w:sz w:val="20"/>
          <w:szCs w:val="20"/>
          <w:color w:val="auto"/>
        </w:rPr>
      </w:pPr>
      <w:r>
        <w:rPr>
          <w:rFonts w:ascii="Arial" w:cs="Arial" w:eastAsia="Arial" w:hAnsi="Arial"/>
          <w:sz w:val="18"/>
          <w:szCs w:val="18"/>
          <w:color w:val="auto"/>
        </w:rPr>
        <w:t>Under our original Loan Agreement, we could borrow up to $15.0 million in three separate draws of $5.0 million each. In January 2016, we amended the Loan Agreement to combine Term B Loans and Term C Loans for a total of $10.0 million available for draw and delay the principal repayments for our Term A Loans from February 1, 2016 until February 1, 2017.</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2016, we further amended the Loan Agreement to (i) allow for the Term B Loans and Term C Loans to be drawn on December 30, 2016,</w:t>
      </w:r>
    </w:p>
    <w:p>
      <w:pPr>
        <w:spacing w:after="0" w:line="46" w:lineRule="exact"/>
        <w:rPr>
          <w:sz w:val="20"/>
          <w:szCs w:val="20"/>
          <w:color w:val="auto"/>
        </w:rPr>
      </w:pPr>
    </w:p>
    <w:p>
      <w:pPr>
        <w:ind w:firstLine="8"/>
        <w:spacing w:after="0" w:line="254"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principal repayments of all Term Loans until February 1, 2018 and (iii) amend the interest rate for each Term Loan. The Term B Loans and the Term C Loans were drawn on December 30, 2016; principal repayments began in February 2018. As of September 30, 2018, there are 16 equal monthly principal and interest payments remaining on the Term Loans, with final maturity in January 2020. The Term Loans bear interest equal to the greater of 3-month U.S. LIBOR plus 6.37% or 7.3%. The interest rate was 8.69% as of September 30, 2018.</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20" w:firstLine="446"/>
        <w:spacing w:after="0" w:line="276" w:lineRule="auto"/>
        <w:rPr>
          <w:sz w:val="20"/>
          <w:szCs w:val="20"/>
          <w:color w:val="auto"/>
        </w:rPr>
      </w:pPr>
      <w:r>
        <w:rPr>
          <w:rFonts w:ascii="Arial" w:cs="Arial" w:eastAsia="Arial" w:hAnsi="Arial"/>
          <w:sz w:val="17"/>
          <w:szCs w:val="17"/>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64"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As a publicly traded company, we incur significant legal, accounting and other expenses that were not required as a private company. In addition, the Sarbanes-Oxley Act of 2002, as well as rules adopted by the SEC and The Nasdaq Global Stock Market, requires public companies to implement specified corporate governance practices that were inapplicable to us as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92" w:right="259" w:bottom="1440" w:gutter="0" w:footer="0" w:header="0"/>
        </w:sectPr>
      </w:pPr>
    </w:p>
    <w:bookmarkStart w:id="29" w:name="page30"/>
    <w:bookmarkEnd w:id="29"/>
    <w:p>
      <w:pPr>
        <w:ind w:right="660"/>
        <w:spacing w:after="0" w:line="277" w:lineRule="auto"/>
        <w:rPr>
          <w:sz w:val="20"/>
          <w:szCs w:val="20"/>
          <w:color w:val="auto"/>
        </w:rPr>
      </w:pPr>
      <w:r>
        <w:rPr>
          <w:rFonts w:ascii="Arial" w:cs="Arial" w:eastAsia="Arial" w:hAnsi="Arial"/>
          <w:sz w:val="18"/>
          <w:szCs w:val="18"/>
          <w:color w:val="auto"/>
        </w:rPr>
        <w:t>a private company. These rules and regulations have increased our legal and financial compliance costs, have made and will continue to make certain activities more time-consuming and costly.</w:t>
      </w:r>
    </w:p>
    <w:p>
      <w:pPr>
        <w:spacing w:after="0" w:line="62" w:lineRule="exact"/>
        <w:rPr>
          <w:sz w:val="20"/>
          <w:szCs w:val="20"/>
          <w:color w:val="auto"/>
        </w:rPr>
      </w:pPr>
    </w:p>
    <w:p>
      <w:pPr>
        <w:ind w:right="120" w:firstLine="446"/>
        <w:spacing w:after="0" w:line="279" w:lineRule="auto"/>
        <w:rPr>
          <w:sz w:val="20"/>
          <w:szCs w:val="20"/>
          <w:color w:val="auto"/>
        </w:rPr>
      </w:pPr>
      <w:r>
        <w:rPr>
          <w:rFonts w:ascii="Arial" w:cs="Arial" w:eastAsia="Arial" w:hAnsi="Arial"/>
          <w:sz w:val="17"/>
          <w:szCs w:val="17"/>
          <w:color w:val="auto"/>
        </w:rPr>
        <w:t>Cash, cash equivalents and investments totaled $512.4 million as of September 30, 2018, compared to $324.3 million as of December 31, 2017. We believe that our existing cash, cash equivalents and investments will fund our current operating plan at least through the end of 2020.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nine months ended September 30, 2018 and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1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020" w:type="dxa"/>
            <w:vAlign w:val="bottom"/>
            <w:vMerge w:val="restart"/>
          </w:tcPr>
          <w:p>
            <w:pPr>
              <w:jc w:val="right"/>
              <w:ind w:right="43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87"/>
        </w:trPr>
        <w:tc>
          <w:tcPr>
            <w:tcW w:w="7160" w:type="dxa"/>
            <w:vAlign w:val="bottom"/>
            <w:tcBorders>
              <w:bottom w:val="single" w:sz="8" w:color="CFF0FC"/>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FF0FC"/>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FF0FC"/>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cash (used in) provided by:</w:t>
            </w:r>
          </w:p>
        </w:tc>
        <w:tc>
          <w:tcPr>
            <w:tcW w:w="3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(36,216)</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21,588</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23,699</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(90,001)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(113,700)</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224,736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80,066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(144,670)</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212,219</w:t>
            </w:r>
          </w:p>
        </w:tc>
        <w:tc>
          <w:tcPr>
            <w:tcW w:w="1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(24,563)</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(236,782)</w:t>
            </w:r>
          </w:p>
        </w:tc>
        <w:tc>
          <w:tcPr>
            <w:tcW w:w="0" w:type="dxa"/>
            <w:vAlign w:val="bottom"/>
          </w:tcPr>
          <w:p>
            <w:pPr>
              <w:spacing w:after="0"/>
              <w:rPr>
                <w:sz w:val="1"/>
                <w:szCs w:val="1"/>
                <w:color w:val="auto"/>
              </w:rPr>
            </w:pPr>
          </w:p>
        </w:tc>
      </w:tr>
      <w:tr>
        <w:trPr>
          <w:trHeight w:val="20"/>
        </w:trPr>
        <w:tc>
          <w:tcPr>
            <w:tcW w:w="7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Net cash used in operating activities during the nine months ended September 30, 2018 of $36.2 million was primarily due to our net loss of $44.7 million, adjusted for addbacks for non-cash expenses of $7.5 million which includes stock-based compensation and net increases in working capital of $1.0 million. Net cash used in operating activities during the nine months ended September 30, 2017 of $14.6 million was primarily due to our net loss of $23.2 million, adjusted for non-cash expenses of $5.2 million which includes stock-based compensation and warrant liability fair value adjustments and decreases in working capital of $3.4 million.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400" w:firstLine="446"/>
        <w:spacing w:after="0" w:line="286" w:lineRule="auto"/>
        <w:rPr>
          <w:sz w:val="20"/>
          <w:szCs w:val="20"/>
          <w:color w:val="auto"/>
        </w:rPr>
      </w:pPr>
      <w:r>
        <w:rPr>
          <w:rFonts w:ascii="Arial" w:cs="Arial" w:eastAsia="Arial" w:hAnsi="Arial"/>
          <w:sz w:val="17"/>
          <w:szCs w:val="17"/>
          <w:color w:val="auto"/>
        </w:rPr>
        <w:t>Net cash provided by investing activities during the nine months ended September 30, 2018 primarily relates to the maturities of our investments, which was used to acquired additional debt securities and fund our operating expenses, while the cash used in investing activities during the nine months ended September 30, 2017 was primarily due to the acquisition of investments with the proceeds from our IPO.</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firstLine="446"/>
        <w:spacing w:after="0" w:line="276" w:lineRule="auto"/>
        <w:rPr>
          <w:sz w:val="20"/>
          <w:szCs w:val="20"/>
          <w:color w:val="auto"/>
        </w:rPr>
      </w:pPr>
      <w:r>
        <w:rPr>
          <w:rFonts w:ascii="Arial" w:cs="Arial" w:eastAsia="Arial" w:hAnsi="Arial"/>
          <w:sz w:val="17"/>
          <w:szCs w:val="17"/>
          <w:color w:val="auto"/>
        </w:rPr>
        <w:t>The net cash provided by financing activities during the nine months ended September 30, 2018 of $224.7 million was primarily related to net proceeds of $227.5 million from our follow-on offering in September 2018 and proceeds of $2.1 million from the issuance of common stock upon the exercise of stock options, offset by principal payments of $5.0 million made on our Term Loans. Net cash provided by financing activities during the nine months ended September 30, 2017 of $80.1 million was primarily related to net proceeds of $80.2 million from our IPO as well as proceeds of $1.4 million from the issuance of common stock as a result of option and warrant exercises, offset by $1.5 million in payments for offering costs.</w:t>
      </w:r>
    </w:p>
    <w:p>
      <w:pPr>
        <w:spacing w:after="0" w:line="277" w:lineRule="exact"/>
        <w:rPr>
          <w:sz w:val="20"/>
          <w:szCs w:val="20"/>
          <w:color w:val="auto"/>
        </w:rPr>
      </w:pPr>
    </w:p>
    <w:p>
      <w:pPr>
        <w:jc w:val="center"/>
        <w:ind w:right="9540"/>
        <w:spacing w:after="0"/>
        <w:rPr>
          <w:sz w:val="20"/>
          <w:szCs w:val="20"/>
          <w:color w:val="auto"/>
        </w:rPr>
      </w:pPr>
      <w:r>
        <w:rPr>
          <w:rFonts w:ascii="Arial" w:cs="Arial" w:eastAsia="Arial" w:hAnsi="Arial"/>
          <w:sz w:val="16"/>
          <w:szCs w:val="16"/>
          <w:b w:val="1"/>
          <w:bCs w:val="1"/>
          <w:color w:val="auto"/>
        </w:rPr>
        <w:t>Contractual Obligations</w:t>
      </w:r>
    </w:p>
    <w:p>
      <w:pPr>
        <w:spacing w:after="0" w:line="144" w:lineRule="exact"/>
        <w:rPr>
          <w:sz w:val="20"/>
          <w:szCs w:val="20"/>
          <w:color w:val="auto"/>
        </w:rPr>
      </w:pPr>
    </w:p>
    <w:p>
      <w:pPr>
        <w:jc w:val="center"/>
        <w:ind w:right="95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ind w:right="340" w:firstLine="486"/>
        <w:spacing w:after="0" w:line="264" w:lineRule="auto"/>
        <w:rPr>
          <w:sz w:val="20"/>
          <w:szCs w:val="20"/>
          <w:color w:val="auto"/>
        </w:rPr>
      </w:pPr>
      <w:r>
        <w:rPr>
          <w:rFonts w:ascii="Arial" w:cs="Arial" w:eastAsia="Arial" w:hAnsi="Arial"/>
          <w:sz w:val="18"/>
          <w:szCs w:val="18"/>
          <w:color w:val="auto"/>
        </w:rPr>
        <w:t>In May 2018, we entered into a three year sub-lease agreement for an additional 18,000 square feet of office space. We also lease our headquarters under a non-cancellable operating lease for which we exercised our option to renew for an additional five-year period in fiscal 2015. Both leases expire in 2021.</w:t>
      </w:r>
    </w:p>
    <w:p>
      <w:pPr>
        <w:spacing w:after="0" w:line="18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At September 30, 2018, the future minimum annual obligations under non-cancellable operating lease commitments are $0.2 million, $0.9 million, $1.0 million, and $0.7 million for the remainder of fiscal years ending 2018, 2019, 2020, and 2021,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76" w:right="239" w:bottom="1440" w:gutter="0" w:footer="0" w:header="0"/>
        </w:sectPr>
      </w:pPr>
    </w:p>
    <w:bookmarkStart w:id="30" w:name="page31"/>
    <w:bookmarkEnd w:id="30"/>
    <w:p>
      <w:pPr>
        <w:ind w:left="340"/>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pacing w:after="0" w:line="80"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We also have certain obligations under licensing agreements with third parties that are contingent upon achieving various development, regulatory and commercial milestones. Pursuant to these license agreements, we are required to make milestone payments if certain development, regulatory and commercial sales milestones are achieved. Also, pursuant to the terms of each of these license agreements, when and if commercial sales of a product commence, we will pay royalties to our licensors on net sales of the respective products.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As of September 30, 2018, there have been no material changes surrounding our market risk, including interest rate risk or inflation risk, from the discussion provided in Item 7A. Quantitative and Qualitative Disclosures About Market Risk of our Fiscal 2017 Form 10-K, as amended on September 14, 2018, other than those discussed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We conduct a portion of our business with CROs in currencies other than our U.S. dollar functional currency. These transactions give rise to monetary assets and liabilities that are denominated in currencies other than the U.S. dollar. The value of these monetary assets and liabilities are subject to changes in currency exchange rates from the time the transactions are originated until settlement in cash. Our foreign currency exposures are primarily concentrated in the euro, British pound, Australian dollar, and Canadian dollar. Both realized and unrealized gains or losses on the value of these monetary assets and liabilities are included in the determination of net income. We do not hedge our foreign currency exchange rate risk, however, we may do so in the future. As of September 30, 2018, we had less than $0.3 million of accounts payable and receivables denominated in foreign currencies, and a hypothetical 10% change in foreign currency exchange rates applicable to our business would not have had a material impact on our unaudited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in the reports we file or submit under the Securities Exchange Act of 1934, as amended, or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September 30, 2018,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spacing w:after="0" w:line="192" w:lineRule="exact"/>
        <w:rPr>
          <w:sz w:val="20"/>
          <w:szCs w:val="20"/>
          <w:color w:val="auto"/>
        </w:rPr>
      </w:pPr>
    </w:p>
    <w:p>
      <w:pPr>
        <w:ind w:right="540" w:firstLine="446"/>
        <w:spacing w:after="0" w:line="342" w:lineRule="auto"/>
        <w:rPr>
          <w:sz w:val="20"/>
          <w:szCs w:val="20"/>
          <w:color w:val="auto"/>
        </w:rPr>
      </w:pPr>
      <w:r>
        <w:rPr>
          <w:rFonts w:ascii="Arial" w:cs="Arial" w:eastAsia="Arial" w:hAnsi="Arial"/>
          <w:sz w:val="16"/>
          <w:szCs w:val="16"/>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13a-15(f) and 15d-15(f) of the Exchange Act that occurred during the quarter ended September 30, 2018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364" w:right="25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firstLine="486"/>
        <w:spacing w:after="0" w:line="312"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report,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72" w:lineRule="exact"/>
        <w:rPr>
          <w:sz w:val="20"/>
          <w:szCs w:val="20"/>
          <w:color w:val="auto"/>
        </w:rPr>
      </w:pPr>
    </w:p>
    <w:p>
      <w:pPr>
        <w:ind w:right="200" w:firstLine="446"/>
        <w:spacing w:after="0" w:line="312" w:lineRule="auto"/>
        <w:rPr>
          <w:sz w:val="20"/>
          <w:szCs w:val="20"/>
          <w:color w:val="auto"/>
        </w:rPr>
      </w:pPr>
      <w:r>
        <w:rPr>
          <w:rFonts w:ascii="Arial" w:cs="Arial" w:eastAsia="Arial" w:hAnsi="Arial"/>
          <w:sz w:val="16"/>
          <w:szCs w:val="16"/>
          <w:color w:val="auto"/>
        </w:rPr>
        <w:t>We are using our proprietary technology platform to develop therapeutic antibodies, including our wholly-owned product candidates,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47" w:lineRule="exact"/>
        <w:rPr>
          <w:sz w:val="20"/>
          <w:szCs w:val="20"/>
          <w:color w:val="auto"/>
        </w:rPr>
      </w:pPr>
    </w:p>
    <w:p>
      <w:pPr>
        <w:ind w:right="60" w:firstLine="446"/>
        <w:spacing w:after="0" w:line="297" w:lineRule="auto"/>
        <w:rPr>
          <w:sz w:val="20"/>
          <w:szCs w:val="20"/>
          <w:color w:val="auto"/>
        </w:rPr>
      </w:pPr>
      <w:r>
        <w:rPr>
          <w:rFonts w:ascii="Arial" w:cs="Arial" w:eastAsia="Arial" w:hAnsi="Arial"/>
          <w:sz w:val="16"/>
          <w:szCs w:val="16"/>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results from our initial Phase 2a clinical trials of etokimab may not be representative of the results we will experience in later Phase 2b and registration trials. If our later clinical trials are unsuccessful, etokimab may be delayed in development or fail entirely, which would have a material adverse impact on our business.</w:t>
      </w:r>
    </w:p>
    <w:p>
      <w:pPr>
        <w:spacing w:after="0" w:line="158" w:lineRule="exact"/>
        <w:rPr>
          <w:sz w:val="20"/>
          <w:szCs w:val="20"/>
          <w:color w:val="auto"/>
        </w:rPr>
      </w:pPr>
    </w:p>
    <w:p>
      <w:pPr>
        <w:ind w:right="100" w:firstLine="446"/>
        <w:spacing w:after="0" w:line="272" w:lineRule="auto"/>
        <w:rPr>
          <w:sz w:val="20"/>
          <w:szCs w:val="20"/>
          <w:color w:val="auto"/>
        </w:rPr>
      </w:pPr>
      <w:r>
        <w:rPr>
          <w:rFonts w:ascii="Arial" w:cs="Arial" w:eastAsia="Arial" w:hAnsi="Arial"/>
          <w:sz w:val="17"/>
          <w:szCs w:val="17"/>
          <w:color w:val="auto"/>
        </w:rPr>
        <w:t>We have elected to structure our initial Phase 2a clinical trials in etokimab as investigational studies that enroll a relatively limited number of patients and are intended to allow us to better assess patient responses and potential efficacy results before designing and commencing Phase 2b clinical trials. We believe the results we have observed in the initial Phase 2a clinical trials of etokimab in atopic dermatitis and severe adult eosinophilic asthma suggest a reasonable basis for continuing development of etokimab in these indications through larger Phase 2b clinical trials. However, our Phase 2a trials involve relatively small patient populations, for example 12 patients in our Phase 2a trial in atopic dermatitis and 25 patients in our Phase 2a trial in severe adult eosinophilic asthma. These small numbers may result in variability in our data. The results we have observed in these smaller patient populations may not be predictive of results we will experience in later studies.</w:t>
      </w:r>
    </w:p>
    <w:p>
      <w:pPr>
        <w:spacing w:after="0" w:line="178"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 addition, later studies may also include different design elements that could contribute to us experiencing different results than we have observed in our Phase 2a trials. In addition, the initial results we have reported from our completed Phase 2a clinical trials have included interim analyses and top-line results, which may not accurately predict the final results of the clinical trial or the results of future clinical trials. For instance, while we expect FEV1 to be an important endpoint in our later studies, our data from our Phase 2a study of severe adult eosinophilic asthma are from a single dose of drug evaluated only at timepoints through Day 64 and not at the planned Day 127 timepoint.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364" w:right="259" w:bottom="1440" w:gutter="0" w:footer="0" w:header="0"/>
        </w:sectPr>
      </w:pPr>
    </w:p>
    <w:bookmarkStart w:id="33" w:name="page34"/>
    <w:bookmarkEnd w:id="33"/>
    <w:p>
      <w:pPr>
        <w:ind w:right="440" w:firstLine="446"/>
        <w:spacing w:after="0" w:line="277" w:lineRule="auto"/>
        <w:rPr>
          <w:sz w:val="20"/>
          <w:szCs w:val="20"/>
          <w:color w:val="auto"/>
        </w:rPr>
      </w:pPr>
      <w:r>
        <w:rPr>
          <w:rFonts w:ascii="Arial" w:cs="Arial" w:eastAsia="Arial" w:hAnsi="Arial"/>
          <w:sz w:val="18"/>
          <w:szCs w:val="18"/>
          <w:color w:val="auto"/>
        </w:rPr>
        <w:t>If our later clinical trials of etokimab are unsuccessful, whether for one of the reasons mentioned above or otherwise, etokimab may be delayed in development or fail entirely, which would have a material adverse impact on our business.</w:t>
      </w:r>
    </w:p>
    <w:p>
      <w:pPr>
        <w:spacing w:after="0" w:line="170"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62" w:lineRule="exact"/>
        <w:rPr>
          <w:sz w:val="20"/>
          <w:szCs w:val="20"/>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225"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firstLine="446"/>
        <w:spacing w:after="0" w:line="238" w:lineRule="auto"/>
        <w:rPr>
          <w:sz w:val="20"/>
          <w:szCs w:val="20"/>
          <w:color w:val="auto"/>
        </w:rPr>
      </w:pPr>
      <w:r>
        <w:rPr>
          <w:rFonts w:ascii="Arial" w:cs="Arial" w:eastAsia="Arial" w:hAnsi="Arial"/>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29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73" w:lineRule="exact"/>
        <w:rPr>
          <w:sz w:val="20"/>
          <w:szCs w:val="20"/>
          <w:color w:val="auto"/>
        </w:rPr>
      </w:pPr>
    </w:p>
    <w:p>
      <w:pPr>
        <w:ind w:right="100" w:firstLine="446"/>
        <w:spacing w:after="0" w:line="241" w:lineRule="auto"/>
        <w:rPr>
          <w:sz w:val="20"/>
          <w:szCs w:val="20"/>
          <w:color w:val="auto"/>
        </w:rPr>
      </w:pPr>
      <w:r>
        <w:rPr>
          <w:rFonts w:ascii="Arial" w:cs="Arial" w:eastAsia="Arial" w:hAnsi="Arial"/>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90" w:lineRule="exact"/>
        <w:rPr>
          <w:sz w:val="20"/>
          <w:szCs w:val="20"/>
          <w:color w:val="auto"/>
        </w:rPr>
      </w:pPr>
    </w:p>
    <w:p>
      <w:pPr>
        <w:ind w:firstLine="486"/>
        <w:spacing w:after="0" w:line="279" w:lineRule="auto"/>
        <w:rPr>
          <w:sz w:val="20"/>
          <w:szCs w:val="20"/>
          <w:color w:val="auto"/>
        </w:rPr>
      </w:pPr>
      <w:r>
        <w:rPr>
          <w:rFonts w:ascii="Arial" w:cs="Arial" w:eastAsia="Arial" w:hAnsi="Arial"/>
          <w:sz w:val="16"/>
          <w:szCs w:val="16"/>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completed early Phase 1 and Phase 2a clinical trials for etokimab and subsequent patient trials with etokimab are currently ongoing. We also have only recently completed a Phase 1 clinical trial with ANB019. It is not uncommon to observe results in human clinical trials that are unexpected based on preclinical testing, or to observe results in later stage clinical trials that are unexpected based on early clinical trials. Many product candidates fail in clinical trials despite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34" w:name="page35"/>
    <w:bookmarkEnd w:id="34"/>
    <w:p>
      <w:pPr>
        <w:ind w:right="80"/>
        <w:spacing w:after="0" w:line="241" w:lineRule="auto"/>
        <w:rPr>
          <w:sz w:val="20"/>
          <w:szCs w:val="20"/>
          <w:color w:val="auto"/>
        </w:rPr>
      </w:pPr>
      <w:r>
        <w:rPr>
          <w:rFonts w:ascii="Arial" w:cs="Arial" w:eastAsia="Arial" w:hAnsi="Arial"/>
          <w:sz w:val="18"/>
          <w:szCs w:val="18"/>
          <w:color w:val="auto"/>
        </w:rPr>
        <w:t>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190"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In the single-ascending dose segment of our Phase 1 clinical trial of etokimab, the most common adverse events were upper respiratory tract infection and headache, and we observed one case of severe neutropenia in one individual, which was acute and not persistent, and was not determined to be drug-related. No adverse events were determined to be drug related. All safety information generated under the single-ascending dose segment of our Phase 1 clinical trial was included in the US IND and UK CTA submissions which were subsequently cleared by the FDA and MHRA, respectively. In our Phase 2a proof-of-concept trial for moderate-to-severe adult atopic dermatitis patients, one serious adverse event of severe depression was reported by a single patient on Day 140 post-etokimab, in a subject who had preexisting depression; this adverse event was not determined to be drug related. The most frequent treatment-emergent adverse events reported were mild dizziness in patients subsequent to placebo dosing, and mild headache in patients post-etokimab administration. In our Phase 2a proof-of-concept trial for severe adult eosinophilic asthma patients, no treatment-emergent adverse events were deemed to be etokimab-related, and the most frequent treatment-emergent adverse events reported were single occurrences of moderate strep throat in two etokimab-dosed patients and single occurrences of mild vomiting in two placebo-dosed patients. Subjects in our ongoing and planned clinical trials may in the future suffer significant adverse events or other side effects not observed in our preclinical studies or in our Phase 1 or Phase 2a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71" w:lineRule="exact"/>
        <w:rPr>
          <w:sz w:val="20"/>
          <w:szCs w:val="20"/>
          <w:color w:val="auto"/>
        </w:rPr>
      </w:pPr>
    </w:p>
    <w:p>
      <w:pPr>
        <w:ind w:firstLine="446"/>
        <w:spacing w:after="0" w:line="254" w:lineRule="auto"/>
        <w:rPr>
          <w:sz w:val="20"/>
          <w:szCs w:val="20"/>
          <w:color w:val="auto"/>
        </w:rPr>
      </w:pPr>
      <w:r>
        <w:rPr>
          <w:rFonts w:ascii="Arial" w:cs="Arial" w:eastAsia="Arial" w:hAnsi="Arial"/>
          <w:sz w:val="17"/>
          <w:szCs w:val="17"/>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82" w:lineRule="exact"/>
        <w:rPr>
          <w:sz w:val="20"/>
          <w:szCs w:val="20"/>
          <w:color w:val="auto"/>
        </w:rPr>
      </w:pPr>
    </w:p>
    <w:p>
      <w:pPr>
        <w:ind w:right="140" w:firstLine="446"/>
        <w:spacing w:after="0" w:line="279" w:lineRule="auto"/>
        <w:rPr>
          <w:sz w:val="20"/>
          <w:szCs w:val="20"/>
          <w:color w:val="auto"/>
        </w:rPr>
      </w:pPr>
      <w:r>
        <w:rPr>
          <w:rFonts w:ascii="Arial" w:cs="Arial" w:eastAsia="Arial" w:hAnsi="Arial"/>
          <w:sz w:val="17"/>
          <w:szCs w:val="17"/>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7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Results from our initial Phase 2a clinical trials of etokimab may not be representative of the results we will experience in later Phase 2b and registration trials. If our later clinical trials are unsuccessful, etokimab may be delayed in development or fail entirely, which would have a material adverse impact on our business.</w:t>
      </w:r>
    </w:p>
    <w:p>
      <w:pPr>
        <w:spacing w:after="0" w:line="72"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We have elected to structure our initial Phase 2a clinical trials in etokimab as investigational studies that enroll a relatively limited number of patients and are intended to allow us to better assess patient responses and potential efficacy results before designing and commencing Phase 2b clinical trials. We believe the results we have observed in the initial Phase 2a clinical trials of etokimab in atopic dermatitis and severe adult eosinophilic asthma suggest a reasonable basis for continuing development of etokimab in these indications through larger Phase 2b clinical trials. However, our Phase 2a trials involve relatively small patient populations, for example 12 patients in our Phase 2a trial in atopic dermatitis and 25 patients in our Phase 2a trial in severe adult eosinophilic asthma. The results we have observed in these smaller patient populations may not be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584" w:right="299" w:bottom="1440" w:gutter="0" w:footer="0" w:header="0"/>
        </w:sectPr>
      </w:pPr>
    </w:p>
    <w:bookmarkStart w:id="35" w:name="page36"/>
    <w:bookmarkEnd w:id="35"/>
    <w:p>
      <w:pPr>
        <w:ind w:right="20"/>
        <w:spacing w:after="0" w:line="264" w:lineRule="auto"/>
        <w:rPr>
          <w:sz w:val="20"/>
          <w:szCs w:val="20"/>
          <w:color w:val="auto"/>
        </w:rPr>
      </w:pPr>
      <w:r>
        <w:rPr>
          <w:rFonts w:ascii="Arial" w:cs="Arial" w:eastAsia="Arial" w:hAnsi="Arial"/>
          <w:sz w:val="18"/>
          <w:szCs w:val="18"/>
          <w:color w:val="auto"/>
        </w:rPr>
        <w:t>predictive of results we will experience in later studies. Furthermore, the average results reported from our Phase 2a trials (for example, the average change in FEV1 reported in connection with our Phase 2a trial in severe adult eosinophilic asthma) are subject to significant variability due to the small number of patients enrolled, and are not expected to be, and are unlikely to be, statistically significant.</w:t>
      </w:r>
    </w:p>
    <w:p>
      <w:pPr>
        <w:spacing w:after="0" w:line="73"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In addition, later studies may also include different design elements that could contribute to us experiencing different results than we have observed in our Phase 2a trials. In addition, the initial results we have reported from our completed Phase 2a clinical trials have included interim analyses and top-</w:t>
      </w:r>
    </w:p>
    <w:p>
      <w:pPr>
        <w:ind w:right="80"/>
        <w:spacing w:after="0" w:line="255" w:lineRule="auto"/>
        <w:rPr>
          <w:sz w:val="20"/>
          <w:szCs w:val="20"/>
          <w:color w:val="auto"/>
        </w:rPr>
      </w:pPr>
      <w:r>
        <w:rPr>
          <w:rFonts w:ascii="Arial" w:cs="Arial" w:eastAsia="Arial" w:hAnsi="Arial"/>
          <w:sz w:val="18"/>
          <w:szCs w:val="18"/>
          <w:color w:val="auto"/>
        </w:rPr>
        <w:t>line results, which may not accurately predict the final results of the clinical trial or the results of future clinical trials. For instance, while we expect FEV1 to be an important endpoint in our later studies, our data from our Phase 2a study of severe adult eosinophilic asthma are from a single dose of drug evaluated only at timepoints through Day 64 and not at the planned Day 127 timepoint.</w:t>
      </w:r>
    </w:p>
    <w:p>
      <w:pPr>
        <w:spacing w:after="0" w:line="8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If our later clinical trials of etokimab are unsuccessful, whether for one of the reasons mentioned above or otherwise, etokimab may be delayed in development or fail entirely, which would have a material adverse impact on our business.</w:t>
      </w:r>
    </w:p>
    <w:p>
      <w:pPr>
        <w:spacing w:after="0" w:line="275"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2"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CTA to conduct clinical trials for both etokimab and ANB019 in the United States and United Kingdom, respectively,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the Therapeutic Goods Administration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80" w:lineRule="exact"/>
        <w:rPr>
          <w:sz w:val="20"/>
          <w:szCs w:val="20"/>
          <w:color w:val="auto"/>
        </w:rPr>
      </w:pPr>
    </w:p>
    <w:p>
      <w:pPr>
        <w:ind w:right="40" w:firstLine="446"/>
        <w:spacing w:after="0" w:line="268" w:lineRule="auto"/>
        <w:rPr>
          <w:sz w:val="20"/>
          <w:szCs w:val="20"/>
          <w:color w:val="auto"/>
        </w:rPr>
      </w:pPr>
      <w:r>
        <w:rPr>
          <w:rFonts w:ascii="Arial" w:cs="Arial" w:eastAsia="Arial" w:hAnsi="Arial"/>
          <w:sz w:val="17"/>
          <w:szCs w:val="17"/>
          <w:color w:val="auto"/>
        </w:rPr>
        <w:t>Even if we or our collaborators initiate and complete clinical trials for our product candidates, we will not be permitted to market our product candidates in the United States until we receive approval of a Biologics License Application, or BLA, from the FDA, and will not be permitted to market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our CTN for etokimab in Australia, obtaining clearance for our IND for a Phase 2a clinical trial of etokimab in severe adult peanut allergy in the United States, obtaining written responses from the FDA regarding a pre-IND submission for a study of etokimab in moderate to severe atopic dermatitis, obtaining clearance for our CTA for our Phase 2a clinical trial of etokimab in moderate-to-severe adult atopic dermatitis, obtaining clearances for our IND and CTA for a Phase 2a clinical trial of severe eosinophilic asthma patients in the United States and United Kingdom, and obtaining clearance for our CTN for ANB019 in Australia, obtaining clearance for our IND and CTA for a Phase 2 trial of ANB019 in generalized pustular psoriasis patients and obtaining clearance of our IND for a Phase 2 trial of ANB019 in palmo-plantar pustulosis patients, we have not yet discussed with the FDA or foreign regulatory authorities the development plans for any of our product candidates or the designs of any of our later-stage clinical studies. We thus may not have the full benefit of the FDA’s or foreign regulatory authorities’ current thinking on trial designs or product development for our target indications. For example, we believe a small pivotal trial, potentially with approximately 100 patients, may be sufficient to demonstrate substantial evidence of efficacy of ANB019 in generalized pustular psoriasis, or GPP, patients. However,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Preclinical studies and clinical trials are expensive, difficult to design and implement, can take many years to complete and are uncertain as to outcome.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Products, on average, take 10 to 15 years to be developed from the time they are discovered to the time they are approved and available for treating patients.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start or end of a clinical trial is often delayed or halted for many reasons, including:</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76" w:right="259" w:bottom="1440" w:gutter="0" w:footer="0" w:header="0"/>
        </w:sectPr>
      </w:pPr>
    </w:p>
    <w:bookmarkStart w:id="36" w:name="page37"/>
    <w:bookmarkEnd w:id="36"/>
    <w:p>
      <w:pPr>
        <w:ind w:left="880" w:right="50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clinical trial operations or site by the FDA or other regulatory authorities;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17" w:lineRule="exact"/>
        <w:rPr>
          <w:rFonts w:ascii="Arial" w:cs="Arial" w:eastAsia="Arial" w:hAnsi="Arial"/>
          <w:sz w:val="18"/>
          <w:szCs w:val="18"/>
          <w:color w:val="auto"/>
        </w:rPr>
      </w:pPr>
    </w:p>
    <w:p>
      <w:pPr>
        <w:ind w:left="880" w:hanging="440"/>
        <w:spacing w:after="0" w:line="264"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73"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clinical trial protocols;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25" w:lineRule="exact"/>
        <w:rPr>
          <w:sz w:val="20"/>
          <w:szCs w:val="20"/>
          <w:color w:val="auto"/>
        </w:rPr>
      </w:pPr>
    </w:p>
    <w:p>
      <w:pPr>
        <w:ind w:right="80" w:firstLine="446"/>
        <w:spacing w:after="0" w:line="29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17" w:lineRule="exact"/>
        <w:rPr>
          <w:sz w:val="20"/>
          <w:szCs w:val="20"/>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880" w:right="360" w:hanging="440"/>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 obtain approval for indications or patient populations that are not as broad as intended or desired;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1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We may not be successful in our efforts to use our technology platform to expand our pipeline of product candidates and develop marketable products.</w:t>
      </w:r>
    </w:p>
    <w:p>
      <w:pPr>
        <w:spacing w:after="0" w:line="58"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76" w:right="319" w:bottom="1440" w:gutter="0" w:footer="0" w:header="0"/>
        </w:sectPr>
      </w:pPr>
    </w:p>
    <w:bookmarkStart w:id="37" w:name="page38"/>
    <w:bookmarkEnd w:id="37"/>
    <w:p>
      <w:pPr>
        <w:ind w:right="40" w:firstLine="446"/>
        <w:spacing w:after="0" w:line="238"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9" w:lineRule="exact"/>
        <w:rPr>
          <w:sz w:val="20"/>
          <w:szCs w:val="20"/>
          <w:color w:val="auto"/>
        </w:rPr>
      </w:pPr>
    </w:p>
    <w:p>
      <w:pPr>
        <w:ind w:right="1060"/>
        <w:spacing w:after="0" w:line="296" w:lineRule="auto"/>
        <w:rPr>
          <w:sz w:val="20"/>
          <w:szCs w:val="20"/>
          <w:color w:val="auto"/>
        </w:rPr>
      </w:pPr>
      <w:r>
        <w:rPr>
          <w:rFonts w:ascii="Arial" w:cs="Arial" w:eastAsia="Arial" w:hAnsi="Arial"/>
          <w:sz w:val="17"/>
          <w:szCs w:val="17"/>
          <w:b w:val="1"/>
          <w:bCs w:val="1"/>
          <w:color w:val="auto"/>
        </w:rPr>
        <w:t>We have recently commenced clinical development of etokimab and ANB019, and have no other history of conducting clinical trials or commercializing biotechnology products, which may make it difficult to evaluate the prospects for our future viability.</w:t>
      </w:r>
    </w:p>
    <w:p>
      <w:pPr>
        <w:spacing w:after="0" w:line="35" w:lineRule="exact"/>
        <w:rPr>
          <w:sz w:val="20"/>
          <w:szCs w:val="20"/>
          <w:color w:val="auto"/>
        </w:rPr>
      </w:pPr>
    </w:p>
    <w:p>
      <w:pPr>
        <w:ind w:firstLine="446"/>
        <w:spacing w:after="0" w:line="238" w:lineRule="auto"/>
        <w:rPr>
          <w:sz w:val="20"/>
          <w:szCs w:val="20"/>
          <w:color w:val="auto"/>
        </w:rPr>
      </w:pPr>
      <w:r>
        <w:rPr>
          <w:rFonts w:ascii="Arial" w:cs="Arial" w:eastAsia="Arial" w:hAnsi="Arial"/>
          <w:sz w:val="18"/>
          <w:szCs w:val="18"/>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95" w:lineRule="exact"/>
        <w:rPr>
          <w:sz w:val="20"/>
          <w:szCs w:val="20"/>
          <w:color w:val="auto"/>
        </w:rPr>
      </w:pPr>
    </w:p>
    <w:p>
      <w:pPr>
        <w:jc w:val="both"/>
        <w:ind w:right="620" w:firstLine="446"/>
        <w:spacing w:after="0" w:line="248"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74" w:lineRule="exact"/>
        <w:rPr>
          <w:sz w:val="20"/>
          <w:szCs w:val="20"/>
          <w:color w:val="auto"/>
        </w:rPr>
      </w:pPr>
    </w:p>
    <w:p>
      <w:pPr>
        <w:ind w:left="880" w:right="100" w:hanging="440"/>
        <w:spacing w:after="0" w:line="262"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61" w:lineRule="exact"/>
        <w:rPr>
          <w:rFonts w:ascii="Arial" w:cs="Arial" w:eastAsia="Arial" w:hAnsi="Arial"/>
          <w:sz w:val="18"/>
          <w:szCs w:val="18"/>
          <w:color w:val="auto"/>
        </w:rPr>
      </w:pPr>
    </w:p>
    <w:p>
      <w:pPr>
        <w:ind w:left="880" w:right="600" w:hanging="440"/>
        <w:spacing w:after="0" w:line="262"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1"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880" w:right="100" w:hanging="440"/>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880" w:right="60" w:hanging="440"/>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62"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584" w:right="299" w:bottom="1440" w:gutter="0" w:footer="0" w:header="0"/>
        </w:sectPr>
      </w:pPr>
    </w:p>
    <w:bookmarkStart w:id="38" w:name="page39"/>
    <w:bookmarkEnd w:id="38"/>
    <w:p>
      <w:pPr>
        <w:ind w:right="100" w:firstLine="446"/>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47"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5"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8"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72" w:lineRule="exact"/>
        <w:rPr>
          <w:sz w:val="20"/>
          <w:szCs w:val="20"/>
          <w:color w:val="auto"/>
        </w:rPr>
      </w:pPr>
    </w:p>
    <w:p>
      <w:pPr>
        <w:ind w:right="20" w:firstLine="446"/>
        <w:spacing w:after="0" w:line="285"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and reslizumab (Cinqair; Teva), both of which the FDA has approved for the add-on maintenance treatment in patients with severe eosinophilic asthma; antibodies such as benralizumab (FASENRA, AstraZeneca) that bind the IL-5 receptor; antibodies that bind to IL-13 such as lebrikizumab (Dermira), tralokinumab (AstraZeneca, LEO Pharma) and anrukinzumab (Pfizer), which are in clinical testing; antibodies that bind the IL-4 receptor alpha chain, such as dupilumab (Regeneron, Sanofi) and AMG 317 (Amgen) each in clinical testing, ST2-binding antibodies including Roche’s RG6149, GSK’s GSK3772847 and Regeneron’s REGN3500 each in clinical development for asthma and related conditions, a recently announced IL-33 related program by AstraZeneca (MEDI3506) in a Phase 1 clinical trial indicated for chronic obstructive pulmonary disease and an anti-TSLP antibody called tezepelumab (AMG 157, MEDI9929) being developed by Amgen and AstraZeneca for asthma and atopic dermatitis. For atopic dermatitis, our competitors include dupilumab (Dupixent, Regeneron, Sanofi), which has been approved by the FDA, crisaborole (EUCRISA, Pfizer), which has recently been approved by the FDA, VTP-38543 (Vitae, acquired by Allergan), JAK inhibitors such as baricitinib, PF-04965842 and upadacitinib under development by Lilly/Incyte, Pfizer and Abbvie, respectively, a recently announced IL-33 related program by Pfizer (PF-06817024) in a Phase 1 clinical trial indicated for various indications and a recently announced IL-33 related program by Lilly in a Phase 1 clinical trial indicated for autoimmune disorders and an IL-1 alpha antibody, bermekimab (XBiotech).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and canakinumab (Ilaris, Novartis) which binds IL-1 beta, anakinra (Kineret; Swedish Orphan Biovitrum AB), a recombinant form the IL-1 receptor antagonist and BI-655130 (Boehringer Ingelheim).</w:t>
      </w:r>
    </w:p>
    <w:p>
      <w:pPr>
        <w:spacing w:after="0" w:line="175"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BLA. To date, several biosimilar products have been approved under the BPCIA, but no interchangeable biological products have been approved.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9" w:name="page40"/>
    <w:bookmarkEnd w:id="39"/>
    <w:p>
      <w:pPr>
        <w:ind w:right="40" w:firstLine="446"/>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78"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97"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Our product candidates may not achieve adequate market acceptance among physicians, patients, healthcare payors and others in the medical community necessary for commercial success.</w:t>
      </w:r>
    </w:p>
    <w:p>
      <w:pPr>
        <w:spacing w:after="0" w:line="58"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73" w:lineRule="exact"/>
        <w:rPr>
          <w:sz w:val="20"/>
          <w:szCs w:val="20"/>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880" w:right="24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 including any similar generic treatments;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00" w:lineRule="exact"/>
        <w:rPr>
          <w:sz w:val="20"/>
          <w:szCs w:val="20"/>
          <w:color w:val="auto"/>
        </w:rPr>
      </w:pPr>
    </w:p>
    <w:p>
      <w:pPr>
        <w:spacing w:after="0" w:line="201"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or derive sufficient revenue from that product candidate and may not become or remain profitable.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0" w:name="page41"/>
    <w:bookmarkEnd w:id="40"/>
    <w:p>
      <w:pPr>
        <w:ind w:right="20"/>
        <w:spacing w:after="0" w:line="313" w:lineRule="auto"/>
        <w:rPr>
          <w:sz w:val="20"/>
          <w:szCs w:val="20"/>
          <w:color w:val="auto"/>
        </w:rPr>
      </w:pPr>
      <w:r>
        <w:rPr>
          <w:rFonts w:ascii="Arial" w:cs="Arial" w:eastAsia="Arial" w:hAnsi="Arial"/>
          <w:sz w:val="17"/>
          <w:szCs w:val="17"/>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34"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ANB019 for the treatment of GPP or PPP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178"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62" w:lineRule="exact"/>
        <w:rPr>
          <w:sz w:val="20"/>
          <w:szCs w:val="20"/>
          <w:color w:val="auto"/>
        </w:rPr>
      </w:pPr>
    </w:p>
    <w:p>
      <w:pPr>
        <w:ind w:left="880" w:right="520" w:hanging="440"/>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not receive marketing approval if their safe and effective use depends on a companion diagnostic; and</w:t>
      </w:r>
    </w:p>
    <w:p>
      <w:pPr>
        <w:spacing w:after="0" w:line="117" w:lineRule="exact"/>
        <w:rPr>
          <w:rFonts w:ascii="Arial" w:cs="Arial" w:eastAsia="Arial" w:hAnsi="Arial"/>
          <w:sz w:val="18"/>
          <w:szCs w:val="18"/>
          <w:color w:val="auto"/>
        </w:rPr>
      </w:pPr>
    </w:p>
    <w:p>
      <w:pPr>
        <w:ind w:left="880" w:right="500" w:hanging="440"/>
        <w:spacing w:after="0" w:line="308"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47" w:lineRule="exact"/>
        <w:rPr>
          <w:sz w:val="20"/>
          <w:szCs w:val="20"/>
          <w:color w:val="auto"/>
        </w:rPr>
      </w:pPr>
    </w:p>
    <w:p>
      <w:pPr>
        <w:ind w:right="320" w:firstLine="446"/>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2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4" w:lineRule="exact"/>
        <w:rPr>
          <w:sz w:val="20"/>
          <w:szCs w:val="20"/>
          <w:color w:val="auto"/>
        </w:rPr>
      </w:pPr>
    </w:p>
    <w:p>
      <w:pPr>
        <w:ind w:right="100" w:firstLine="446"/>
        <w:spacing w:after="0" w:line="271" w:lineRule="auto"/>
        <w:rPr>
          <w:sz w:val="20"/>
          <w:szCs w:val="20"/>
          <w:color w:val="auto"/>
        </w:rPr>
      </w:pPr>
      <w:r>
        <w:rPr>
          <w:rFonts w:ascii="Arial" w:cs="Arial" w:eastAsia="Arial" w:hAnsi="Arial"/>
          <w:sz w:val="17"/>
          <w:szCs w:val="17"/>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current good manufacturing practices, or cGMPs, the FDA may deny BLA approval until the deficiencies are corrected or we replace the manufacturer in our BLA with a manufacturer that is in compliance.</w:t>
      </w:r>
    </w:p>
    <w:p>
      <w:pPr>
        <w:spacing w:after="0" w:line="179" w:lineRule="exact"/>
        <w:rPr>
          <w:sz w:val="20"/>
          <w:szCs w:val="20"/>
          <w:color w:val="auto"/>
        </w:rPr>
      </w:pPr>
    </w:p>
    <w:p>
      <w:pPr>
        <w:ind w:right="40" w:firstLine="446"/>
        <w:spacing w:after="0" w:line="272"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688" w:right="259" w:bottom="1440" w:gutter="0" w:footer="0" w:header="0"/>
        </w:sectPr>
      </w:pPr>
    </w:p>
    <w:bookmarkStart w:id="41" w:name="page42"/>
    <w:bookmarkEnd w:id="41"/>
    <w:p>
      <w:pPr>
        <w:ind w:right="60" w:firstLine="446"/>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1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8"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To date, our revenue has been primarily derived from our research collaboration and license agreements with third parties, including TESARO and Celgene,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88" w:lineRule="exact"/>
        <w:rPr>
          <w:sz w:val="20"/>
          <w:szCs w:val="20"/>
          <w:color w:val="auto"/>
        </w:rPr>
      </w:pPr>
    </w:p>
    <w:p>
      <w:pPr>
        <w:jc w:val="both"/>
        <w:ind w:right="160" w:firstLine="446"/>
        <w:spacing w:after="0" w:line="286" w:lineRule="auto"/>
        <w:rPr>
          <w:sz w:val="20"/>
          <w:szCs w:val="20"/>
          <w:color w:val="auto"/>
        </w:rPr>
      </w:pPr>
      <w:r>
        <w:rPr>
          <w:rFonts w:ascii="Arial" w:cs="Arial" w:eastAsia="Arial" w:hAnsi="Arial"/>
          <w:sz w:val="17"/>
          <w:szCs w:val="17"/>
          <w:color w:val="auto"/>
        </w:rPr>
        <w:t>Since our inception, we have incurred significant operating losses in every year except fiscal year 2014. We had $5.0 million in collaboration revenue and our net loss was $44.7 million for the nine months ended September 30, 2018 and our net loss was $23.2 million for the nine months ended September 30, 2017, with $7.0 million in collaboration revenue. As of September 30, 2018, we had an accumulated deficit of $129.7 million.</w:t>
      </w:r>
    </w:p>
    <w:p>
      <w:pPr>
        <w:spacing w:after="0" w:line="16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have financed our operations primarily through our initial public offering of common stock in January 2017, our follow-on public offering of common stock in October 2017, our follow-on public offering of common stock in September 2018, private placements of our preferred stock and the issuance of debt. We have devoted substantially all of our efforts to research and development. We have only recently initiated clinical development for two of our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or our collaborators’ ability to:</w:t>
      </w:r>
    </w:p>
    <w:p>
      <w:pPr>
        <w:spacing w:after="0" w:line="71" w:lineRule="exact"/>
        <w:rPr>
          <w:sz w:val="20"/>
          <w:szCs w:val="20"/>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our research and preclinical development of our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40"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17" w:lineRule="exact"/>
        <w:rPr>
          <w:rFonts w:ascii="Arial" w:cs="Arial" w:eastAsia="Arial" w:hAnsi="Arial"/>
          <w:sz w:val="18"/>
          <w:szCs w:val="18"/>
          <w:color w:val="auto"/>
        </w:rPr>
      </w:pPr>
    </w:p>
    <w:p>
      <w:pPr>
        <w:ind w:left="880" w:right="40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w:t>
      </w:r>
    </w:p>
    <w:p>
      <w:pPr>
        <w:spacing w:after="0" w:line="62"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84" w:right="259" w:bottom="1440" w:gutter="0" w:footer="0" w:header="0"/>
        </w:sectPr>
      </w:pPr>
    </w:p>
    <w:bookmarkStart w:id="42" w:name="page43"/>
    <w:bookmarkEnd w:id="42"/>
    <w:p>
      <w:pPr>
        <w:ind w:right="100" w:firstLine="446"/>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etokimab, or any of our other product candidates, are approved for commercial sale, we anticipate incurring significant costs associated with the commercial launch of any product candidate.</w:t>
      </w:r>
    </w:p>
    <w:p>
      <w:pPr>
        <w:spacing w:after="0" w:line="188" w:lineRule="exact"/>
        <w:rPr>
          <w:sz w:val="20"/>
          <w:szCs w:val="20"/>
          <w:color w:val="auto"/>
        </w:rPr>
      </w:pPr>
    </w:p>
    <w:p>
      <w:pPr>
        <w:ind w:right="60" w:firstLine="446"/>
        <w:spacing w:after="0" w:line="253" w:lineRule="auto"/>
        <w:rPr>
          <w:sz w:val="20"/>
          <w:szCs w:val="20"/>
          <w:color w:val="auto"/>
        </w:rPr>
      </w:pPr>
      <w:r>
        <w:rPr>
          <w:rFonts w:ascii="Arial" w:cs="Arial" w:eastAsia="Arial" w:hAnsi="Arial"/>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30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8"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at least through the end of 2020. However, circumstances may cause us to consume capital more rapidly than we currently anticipate. For example, as we continue to move our product candidates through preclinical studies, submit INDs or foreign equivalents and conduct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83" w:lineRule="exact"/>
        <w:rPr>
          <w:sz w:val="20"/>
          <w:szCs w:val="20"/>
          <w:color w:val="auto"/>
        </w:rPr>
      </w:pPr>
    </w:p>
    <w:p>
      <w:pPr>
        <w:ind w:right="160" w:firstLine="446"/>
        <w:spacing w:after="0" w:line="312"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39" w:lineRule="exact"/>
        <w:rPr>
          <w:sz w:val="20"/>
          <w:szCs w:val="20"/>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our product candidates or cease operations altogether;</w:t>
      </w:r>
    </w:p>
    <w:p>
      <w:pPr>
        <w:spacing w:after="0" w:line="140" w:lineRule="exact"/>
        <w:rPr>
          <w:rFonts w:ascii="Arial" w:cs="Arial" w:eastAsia="Arial" w:hAnsi="Arial"/>
          <w:sz w:val="16"/>
          <w:szCs w:val="16"/>
          <w:color w:val="auto"/>
        </w:rPr>
      </w:pPr>
    </w:p>
    <w:p>
      <w:pPr>
        <w:ind w:left="880" w:right="40" w:hanging="440"/>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62" w:lineRule="exact"/>
        <w:rPr>
          <w:rFonts w:ascii="Arial" w:cs="Arial" w:eastAsia="Arial" w:hAnsi="Arial"/>
          <w:sz w:val="18"/>
          <w:szCs w:val="18"/>
          <w:color w:val="auto"/>
        </w:rPr>
      </w:pPr>
    </w:p>
    <w:p>
      <w:pPr>
        <w:ind w:left="880" w:right="260" w:hanging="440"/>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future product candidates that we otherwise would seek to develop or commercialize ourselves; or</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584" w:right="279" w:bottom="1440" w:gutter="0" w:footer="0" w:header="0"/>
        </w:sectPr>
      </w:pPr>
    </w:p>
    <w:bookmarkStart w:id="43" w:name="page44"/>
    <w:bookmarkEnd w:id="43"/>
    <w:p>
      <w:pPr>
        <w:ind w:right="80" w:firstLine="446"/>
        <w:spacing w:after="0" w:line="273"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70" w:lineRule="exact"/>
        <w:rPr>
          <w:sz w:val="20"/>
          <w:szCs w:val="20"/>
          <w:color w:val="auto"/>
        </w:rPr>
      </w:pPr>
    </w:p>
    <w:p>
      <w:pPr>
        <w:ind w:left="880" w:right="14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number and size of clinical trials needed to show safety, efficacy and an acceptable risk/benefit profile for any of our product candidates;</w:t>
      </w:r>
    </w:p>
    <w:p>
      <w:pPr>
        <w:spacing w:after="0" w:line="128" w:lineRule="exact"/>
        <w:rPr>
          <w:rFonts w:ascii="Arial" w:cs="Arial" w:eastAsia="Arial" w:hAnsi="Arial"/>
          <w:sz w:val="17"/>
          <w:szCs w:val="17"/>
          <w:color w:val="auto"/>
        </w:rPr>
      </w:pPr>
    </w:p>
    <w:p>
      <w:pPr>
        <w:ind w:left="880" w:right="540" w:hanging="440"/>
        <w:spacing w:after="0" w:line="308"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38" w:lineRule="exact"/>
        <w:rPr>
          <w:rFonts w:ascii="Arial" w:cs="Arial" w:eastAsia="Arial" w:hAnsi="Arial"/>
          <w:sz w:val="17"/>
          <w:szCs w:val="17"/>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17" w:lineRule="exact"/>
        <w:rPr>
          <w:rFonts w:ascii="Arial" w:cs="Arial" w:eastAsia="Arial" w:hAnsi="Arial"/>
          <w:sz w:val="18"/>
          <w:szCs w:val="18"/>
          <w:color w:val="auto"/>
        </w:rPr>
      </w:pPr>
    </w:p>
    <w:p>
      <w:pPr>
        <w:jc w:val="both"/>
        <w:ind w:left="880" w:right="600" w:hanging="440"/>
        <w:spacing w:after="0" w:line="264"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73"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 and</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346" w:lineRule="exact"/>
        <w:rPr>
          <w:sz w:val="20"/>
          <w:szCs w:val="20"/>
          <w:color w:val="auto"/>
        </w:rPr>
      </w:pPr>
    </w:p>
    <w:p>
      <w:pPr>
        <w:ind w:right="300" w:firstLine="446"/>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due to lack of capital, our business, financial condition and results of operations could be adversely affected.</w:t>
      </w:r>
    </w:p>
    <w:p>
      <w:pPr>
        <w:spacing w:after="0" w:line="27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8" w:lineRule="exact"/>
        <w:rPr>
          <w:sz w:val="20"/>
          <w:szCs w:val="20"/>
          <w:color w:val="auto"/>
        </w:rPr>
      </w:pPr>
    </w:p>
    <w:p>
      <w:pPr>
        <w:ind w:right="20" w:firstLine="446"/>
        <w:spacing w:after="0" w:line="254"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4" w:name="page45"/>
    <w:bookmarkEnd w:id="44"/>
    <w:p>
      <w:pPr>
        <w:ind w:right="5260"/>
        <w:spacing w:after="0" w:line="425" w:lineRule="auto"/>
        <w:rPr>
          <w:sz w:val="20"/>
          <w:szCs w:val="20"/>
          <w:color w:val="auto"/>
        </w:rPr>
      </w:pPr>
      <w:r>
        <w:rPr>
          <w:rFonts w:ascii="Arial" w:cs="Arial" w:eastAsia="Arial" w:hAnsi="Arial"/>
          <w:sz w:val="16"/>
          <w:szCs w:val="16"/>
          <w:b w:val="1"/>
          <w:bCs w:val="1"/>
          <w:color w:val="auto"/>
        </w:rPr>
        <w:t>Risks Related to Managing Growth, Operations and Macroeconomic Conditions We must attract and retain highly skilled employees in order to succeed.</w:t>
      </w:r>
    </w:p>
    <w:p>
      <w:pPr>
        <w:spacing w:after="0" w:line="1" w:lineRule="exact"/>
        <w:rPr>
          <w:sz w:val="20"/>
          <w:szCs w:val="20"/>
          <w:color w:val="auto"/>
        </w:rPr>
      </w:pPr>
    </w:p>
    <w:p>
      <w:pPr>
        <w:ind w:right="40" w:firstLine="446"/>
        <w:spacing w:after="0" w:line="287"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operating results and increase our capabilities to successfully commercialize our product candidates. In particular, we believe that our future success is highly dependent upon the contributions of our senior management, particularly our President and Chief Executive Officer, as well as our senior scientists and other members of our senior management team.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including our Chief Financial Officer, who joined us in January 2017, and our General Counsel, who joined us in August 2018, have worked together for only a relatively short period of time and it may be difficult to evaluate their effectiveness, on an individual or collective basis, and ability to address future challenges to our business.</w:t>
      </w:r>
    </w:p>
    <w:p>
      <w:pPr>
        <w:spacing w:after="0" w:line="173" w:lineRule="exact"/>
        <w:rPr>
          <w:sz w:val="20"/>
          <w:szCs w:val="20"/>
          <w:color w:val="auto"/>
        </w:rPr>
      </w:pPr>
    </w:p>
    <w:p>
      <w:pPr>
        <w:ind w:right="140" w:firstLine="446"/>
        <w:spacing w:after="0" w:line="302"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5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2"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We expect to expand our development and regulatory capabilities, and as a result, we may encounter difficulties in managing our growth, which could disrupt our operations.</w:t>
      </w:r>
    </w:p>
    <w:p>
      <w:pPr>
        <w:spacing w:after="0" w:line="58"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88" w:right="239" w:bottom="1440" w:gutter="0" w:footer="0" w:header="0"/>
        </w:sectPr>
      </w:pPr>
    </w:p>
    <w:bookmarkStart w:id="45" w:name="page46"/>
    <w:bookmarkEnd w:id="45"/>
    <w:p>
      <w:pPr>
        <w:ind w:right="40"/>
        <w:spacing w:after="0" w:line="250" w:lineRule="auto"/>
        <w:rPr>
          <w:sz w:val="20"/>
          <w:szCs w:val="20"/>
          <w:color w:val="auto"/>
        </w:rPr>
      </w:pPr>
      <w:r>
        <w:rPr>
          <w:rFonts w:ascii="Arial" w:cs="Arial" w:eastAsia="Arial" w:hAnsi="Arial"/>
          <w:sz w:val="18"/>
          <w:szCs w:val="18"/>
          <w:b w:val="1"/>
          <w:bCs w:val="1"/>
          <w:color w:val="auto"/>
        </w:rPr>
        <w:t>We conduct significant operations through our Australian wholly-owned subsidiary. If we lose our ability to operate in Australia, or if our subsidiary is unable to receive the research and development tax credit allowed by Australian regulations, our business and results of operations will suffer.</w:t>
      </w:r>
    </w:p>
    <w:p>
      <w:pPr>
        <w:spacing w:after="0" w:line="73" w:lineRule="exact"/>
        <w:rPr>
          <w:sz w:val="20"/>
          <w:szCs w:val="20"/>
          <w:color w:val="auto"/>
        </w:rPr>
      </w:pPr>
    </w:p>
    <w:p>
      <w:pPr>
        <w:ind w:right="80" w:firstLine="446"/>
        <w:spacing w:after="0" w:line="279" w:lineRule="auto"/>
        <w:rPr>
          <w:sz w:val="20"/>
          <w:szCs w:val="20"/>
          <w:color w:val="auto"/>
        </w:rPr>
      </w:pPr>
      <w:r>
        <w:rPr>
          <w:rFonts w:ascii="Arial" w:cs="Arial" w:eastAsia="Arial" w:hAnsi="Arial"/>
          <w:sz w:val="16"/>
          <w:szCs w:val="16"/>
          <w:color w:val="auto"/>
        </w:rPr>
        <w:t>In March 2015, we formed a wholly-owned Australian subsidiary, AnaptysBio Pty Ltd, or AnaptysBio Pty, to develop and commercialize our ANB019 and etokimab antibody program in Australia. Due to the geographical distance and lack of employees currently in Australia, as well as our lack of experience operating in Australia, we may not be able to efficiently or successfully monitor, develop and commercialize our lead products or antibody program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60" w:lineRule="exact"/>
        <w:rPr>
          <w:sz w:val="20"/>
          <w:szCs w:val="20"/>
          <w:color w:val="auto"/>
        </w:rPr>
      </w:pPr>
    </w:p>
    <w:p>
      <w:pPr>
        <w:ind w:right="60" w:firstLine="446"/>
        <w:spacing w:after="0" w:line="243"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If we are ineligible or unable to receive the research and development tax credit, required to repay all or a portion of the credit, lose our ability to operate AnaptysBio Pty in Australia, or if the Australian government significantly reduces or eliminates the tax credit, our business and results of operation would be adversely affected.</w:t>
      </w:r>
    </w:p>
    <w:p>
      <w:pPr>
        <w:spacing w:after="0" w:line="292"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could be delayed or stopped.</w:t>
      </w:r>
    </w:p>
    <w:p>
      <w:pPr>
        <w:spacing w:after="0" w:line="77" w:lineRule="exact"/>
        <w:rPr>
          <w:sz w:val="20"/>
          <w:szCs w:val="20"/>
          <w:color w:val="auto"/>
        </w:rPr>
      </w:pPr>
    </w:p>
    <w:p>
      <w:pPr>
        <w:ind w:right="20" w:firstLine="446"/>
        <w:spacing w:after="0" w:line="239"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cGMP regulations and guidelines for the manufacturing of biologics used in clinical trials and, if approved, marketed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91" w:lineRule="exact"/>
        <w:rPr>
          <w:sz w:val="20"/>
          <w:szCs w:val="20"/>
          <w:color w:val="auto"/>
        </w:rPr>
      </w:pPr>
    </w:p>
    <w:p>
      <w:pPr>
        <w:ind w:right="160" w:firstLine="446"/>
        <w:spacing w:after="0" w:line="243"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8" w:lineRule="exact"/>
        <w:rPr>
          <w:sz w:val="20"/>
          <w:szCs w:val="20"/>
          <w:color w:val="auto"/>
        </w:rPr>
      </w:pPr>
    </w:p>
    <w:p>
      <w:pPr>
        <w:ind w:right="60" w:firstLine="446"/>
        <w:spacing w:after="0" w:line="252" w:lineRule="auto"/>
        <w:rPr>
          <w:sz w:val="20"/>
          <w:szCs w:val="20"/>
          <w:color w:val="auto"/>
        </w:rPr>
      </w:pPr>
      <w:r>
        <w:rPr>
          <w:rFonts w:ascii="Arial" w:cs="Arial" w:eastAsia="Arial" w:hAnsi="Arial"/>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our product candidates or products and could have an adverse effect on our business, prospects, financial condition and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disruption, damage and financial obligation as a result of system failures.</w:t>
      </w:r>
    </w:p>
    <w:p>
      <w:pPr>
        <w:spacing w:after="0" w:line="108" w:lineRule="exact"/>
        <w:rPr>
          <w:sz w:val="20"/>
          <w:szCs w:val="20"/>
          <w:color w:val="auto"/>
        </w:rPr>
      </w:pPr>
    </w:p>
    <w:p>
      <w:pPr>
        <w:ind w:firstLine="446"/>
        <w:spacing w:after="0" w:line="259" w:lineRule="auto"/>
        <w:rPr>
          <w:sz w:val="20"/>
          <w:szCs w:val="20"/>
          <w:color w:val="auto"/>
        </w:rPr>
      </w:pPr>
      <w:r>
        <w:rPr>
          <w:rFonts w:ascii="Arial" w:cs="Arial" w:eastAsia="Arial" w:hAnsi="Arial"/>
          <w:sz w:val="17"/>
          <w:szCs w:val="17"/>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88" w:right="239" w:bottom="1440" w:gutter="0" w:footer="0" w:header="0"/>
        </w:sectPr>
      </w:pPr>
    </w:p>
    <w:bookmarkStart w:id="46" w:name="page47"/>
    <w:bookmarkEnd w:id="46"/>
    <w:p>
      <w:pPr>
        <w:ind w:right="120"/>
        <w:spacing w:after="0" w:line="243" w:lineRule="auto"/>
        <w:rPr>
          <w:sz w:val="20"/>
          <w:szCs w:val="20"/>
          <w:color w:val="auto"/>
        </w:rPr>
      </w:pPr>
      <w:r>
        <w:rPr>
          <w:rFonts w:ascii="Arial" w:cs="Arial" w:eastAsia="Arial" w:hAnsi="Arial"/>
          <w:sz w:val="18"/>
          <w:szCs w:val="18"/>
          <w:color w:val="auto"/>
        </w:rPr>
        <w:t>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292"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Our operations, or the third parties upon whom we depend, are vulnerable to interruption by fire, earthquake, power loss, telecommunications failure, terrorist activity and other events beyond our control, which could harm our business.</w:t>
      </w:r>
    </w:p>
    <w:p>
      <w:pPr>
        <w:spacing w:after="0" w:line="58" w:lineRule="exact"/>
        <w:rPr>
          <w:sz w:val="20"/>
          <w:szCs w:val="20"/>
          <w:color w:val="auto"/>
        </w:rPr>
      </w:pPr>
    </w:p>
    <w:p>
      <w:pPr>
        <w:ind w:right="60" w:firstLine="446"/>
        <w:spacing w:after="0" w:line="274" w:lineRule="auto"/>
        <w:rPr>
          <w:sz w:val="20"/>
          <w:szCs w:val="20"/>
          <w:color w:val="auto"/>
        </w:rPr>
      </w:pPr>
      <w:r>
        <w:rPr>
          <w:rFonts w:ascii="Arial" w:cs="Arial" w:eastAsia="Arial" w:hAnsi="Arial"/>
          <w:sz w:val="16"/>
          <w:szCs w:val="16"/>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all our antibody sequences, which would have an adverse effect on our ability to perform our obligations under our collaborations and discover new targets.</w:t>
      </w:r>
    </w:p>
    <w:p>
      <w:pPr>
        <w:spacing w:after="0" w:line="164" w:lineRule="exact"/>
        <w:rPr>
          <w:sz w:val="20"/>
          <w:szCs w:val="20"/>
          <w:color w:val="auto"/>
        </w:rPr>
      </w:pPr>
    </w:p>
    <w:p>
      <w:pPr>
        <w:jc w:val="both"/>
        <w:ind w:right="380" w:firstLine="486"/>
        <w:spacing w:after="0" w:line="264" w:lineRule="auto"/>
        <w:rPr>
          <w:sz w:val="20"/>
          <w:szCs w:val="20"/>
          <w:color w:val="auto"/>
        </w:rPr>
      </w:pPr>
      <w:r>
        <w:rPr>
          <w:rFonts w:ascii="Arial" w:cs="Arial" w:eastAsia="Arial" w:hAnsi="Arial"/>
          <w:sz w:val="18"/>
          <w:szCs w:val="18"/>
          <w:color w:val="auto"/>
        </w:rPr>
        <w:t>Furthermore, integral parties in our supply chain are geographically concentrated and operating from single sites, increasing their vulnerability to natural disasters or other sudden, unforeseen and severe adverse events. If such an event were to affect our supply chain, it could have a material adverse effect on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04"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b w:val="1"/>
          <w:b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73" w:lineRule="exact"/>
        <w:rPr>
          <w:sz w:val="20"/>
          <w:szCs w:val="20"/>
          <w:color w:val="auto"/>
        </w:rPr>
      </w:pPr>
    </w:p>
    <w:p>
      <w:pPr>
        <w:ind w:right="120" w:firstLine="446"/>
        <w:spacing w:after="0" w:line="238" w:lineRule="auto"/>
        <w:rPr>
          <w:sz w:val="20"/>
          <w:szCs w:val="20"/>
          <w:color w:val="auto"/>
        </w:rPr>
      </w:pPr>
      <w:r>
        <w:rPr>
          <w:rFonts w:ascii="Arial" w:cs="Arial" w:eastAsia="Arial" w:hAnsi="Arial"/>
          <w:sz w:val="18"/>
          <w:szCs w:val="18"/>
          <w:color w:val="auto"/>
        </w:rPr>
        <w:t>We have entered into collaborations with other biotechnology companies to develop several of our product candidates, and such collaborations currently represent a significant portion of our product pipeline. In addition, we have entered into other collaborations pursuant to which we have provided access to our technology platform to our collaborators to enable the optimization of their own product candidates. We have entered into antibody generation and/or development collaborations with various collaborators, including TESARO and Celgene, under which we have generated therapeutic quality antibodies using our technology platform and conducted certain preclinical studies in collaboration. We are currently aware that TESARO and Celgene have advanced multiple antibodies generated through our collaboration into clinical trials. If our collaborators terminate any of our collaborations, we may not receive all or any of this funding, which would adversely affect our business or financial condition. Our operational obligations under each of our collaborations has ended.</w:t>
      </w:r>
    </w:p>
    <w:p>
      <w:pPr>
        <w:spacing w:after="0" w:line="195" w:lineRule="exact"/>
        <w:rPr>
          <w:sz w:val="20"/>
          <w:szCs w:val="20"/>
          <w:color w:val="auto"/>
        </w:rPr>
      </w:pPr>
    </w:p>
    <w:p>
      <w:pPr>
        <w:ind w:right="20" w:firstLine="446"/>
        <w:spacing w:after="0" w:line="254" w:lineRule="auto"/>
        <w:rPr>
          <w:sz w:val="20"/>
          <w:szCs w:val="20"/>
          <w:color w:val="auto"/>
        </w:rPr>
      </w:pPr>
      <w:r>
        <w:rPr>
          <w:rFonts w:ascii="Arial" w:cs="Arial" w:eastAsia="Arial" w:hAnsi="Arial"/>
          <w:sz w:val="17"/>
          <w:szCs w:val="17"/>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8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may not succeed in establishing and maintaining additional development collaborations, which could adversely affect our ability to develop and commercialize product candidates.</w:t>
      </w:r>
    </w:p>
    <w:p>
      <w:pPr>
        <w:spacing w:after="0" w:line="58"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a development collaboration or other alternative arrangements for any of our other existing or future product candidates and programs because our research and development pipeline may be insufficient, our product candidates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76" w:right="259" w:bottom="1440" w:gutter="0" w:footer="0" w:header="0"/>
        </w:sectPr>
      </w:pPr>
    </w:p>
    <w:bookmarkStart w:id="47" w:name="page48"/>
    <w:bookmarkEnd w:id="47"/>
    <w:p>
      <w:pPr>
        <w:spacing w:after="0" w:line="273" w:lineRule="auto"/>
        <w:rPr>
          <w:sz w:val="20"/>
          <w:szCs w:val="20"/>
          <w:color w:val="auto"/>
        </w:rPr>
      </w:pPr>
      <w:r>
        <w:rPr>
          <w:rFonts w:ascii="Arial" w:cs="Arial" w:eastAsia="Arial" w:hAnsi="Arial"/>
          <w:sz w:val="17"/>
          <w:szCs w:val="17"/>
          <w:color w:val="auto"/>
        </w:rPr>
        <w:t>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if we fail to establish and maintain additional development collaborations related to our product candidates:</w:t>
      </w:r>
    </w:p>
    <w:p>
      <w:pPr>
        <w:spacing w:after="0" w:line="117"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880" w:right="60" w:hanging="440"/>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880" w:right="280" w:hanging="440"/>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w:t>
      </w:r>
    </w:p>
    <w:p>
      <w:pPr>
        <w:spacing w:after="0" w:line="329"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If third parties on which we depend to conduct our planned preclinical studies, or any future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2"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We rely on third party clinical investigators, contract research organizations (for non-clinical and clinical activities) or CROs, contract manufacturing organizations, or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178"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completely on third parties to manufacture our nonclinical, clinical drug supplies and future commercial supplies of any approved products.</w:t>
      </w:r>
    </w:p>
    <w:p>
      <w:pPr>
        <w:spacing w:after="0" w:line="140" w:lineRule="exact"/>
        <w:rPr>
          <w:sz w:val="20"/>
          <w:szCs w:val="20"/>
          <w:color w:val="auto"/>
        </w:rPr>
      </w:pPr>
    </w:p>
    <w:p>
      <w:pPr>
        <w:ind w:right="100" w:firstLine="500"/>
        <w:spacing w:after="0" w:line="288" w:lineRule="auto"/>
        <w:rPr>
          <w:sz w:val="20"/>
          <w:szCs w:val="20"/>
          <w:color w:val="auto"/>
        </w:rPr>
      </w:pPr>
      <w:r>
        <w:rPr>
          <w:rFonts w:ascii="Arial" w:cs="Arial" w:eastAsia="Arial" w:hAnsi="Arial"/>
          <w:sz w:val="16"/>
          <w:szCs w:val="16"/>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to the extent that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76" w:right="239" w:bottom="1440" w:gutter="0" w:footer="0" w:header="0"/>
        </w:sectPr>
      </w:pPr>
    </w:p>
    <w:bookmarkStart w:id="48" w:name="page49"/>
    <w:bookmarkEnd w:id="48"/>
    <w:p>
      <w:pPr>
        <w:ind w:right="80" w:firstLine="486"/>
        <w:spacing w:after="0" w:line="312" w:lineRule="auto"/>
        <w:rPr>
          <w:sz w:val="20"/>
          <w:szCs w:val="20"/>
          <w:color w:val="auto"/>
        </w:rPr>
      </w:pPr>
      <w:r>
        <w:rPr>
          <w:rFonts w:ascii="Arial" w:cs="Arial" w:eastAsia="Arial" w:hAnsi="Arial"/>
          <w:sz w:val="16"/>
          <w:szCs w:val="16"/>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39"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2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62"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 if our product candidates receive regulatory approval, they will be subject to significant post-marketing regulatory requirements.</w:t>
      </w:r>
    </w:p>
    <w:p>
      <w:pPr>
        <w:spacing w:after="0" w:line="133"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64"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76" w:right="239" w:bottom="1440" w:gutter="0" w:footer="0" w:header="0"/>
        </w:sectPr>
      </w:pPr>
    </w:p>
    <w:bookmarkStart w:id="49" w:name="page50"/>
    <w:bookmarkEnd w:id="49"/>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237" w:lineRule="exact"/>
        <w:rPr>
          <w:sz w:val="20"/>
          <w:szCs w:val="20"/>
          <w:color w:val="auto"/>
        </w:rPr>
      </w:pPr>
    </w:p>
    <w:p>
      <w:pPr>
        <w:ind w:right="120" w:firstLine="446"/>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88" w:lineRule="exact"/>
        <w:rPr>
          <w:sz w:val="20"/>
          <w:szCs w:val="20"/>
          <w:color w:val="auto"/>
        </w:rPr>
      </w:pPr>
    </w:p>
    <w:p>
      <w:pPr>
        <w:ind w:firstLine="446"/>
        <w:spacing w:after="0" w:line="287"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7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failure to obtain regulatory approval in international jurisdictions would prevent us from marketing our product candidates outside the United States.</w:t>
      </w:r>
    </w:p>
    <w:p>
      <w:pPr>
        <w:spacing w:after="0" w:line="58" w:lineRule="exact"/>
        <w:rPr>
          <w:sz w:val="20"/>
          <w:szCs w:val="20"/>
          <w:color w:val="auto"/>
        </w:rPr>
      </w:pPr>
    </w:p>
    <w:p>
      <w:pPr>
        <w:ind w:right="160" w:firstLine="446"/>
        <w:spacing w:after="0" w:line="293" w:lineRule="auto"/>
        <w:rPr>
          <w:sz w:val="20"/>
          <w:szCs w:val="20"/>
          <w:color w:val="auto"/>
        </w:rPr>
      </w:pPr>
      <w:r>
        <w:rPr>
          <w:rFonts w:ascii="Arial" w:cs="Arial" w:eastAsia="Arial" w:hAnsi="Arial"/>
          <w:sz w:val="16"/>
          <w:szCs w:val="16"/>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65" w:lineRule="exact"/>
        <w:rPr>
          <w:sz w:val="20"/>
          <w:szCs w:val="20"/>
          <w:color w:val="auto"/>
        </w:rPr>
      </w:pPr>
    </w:p>
    <w:p>
      <w:pPr>
        <w:ind w:right="160" w:firstLine="446"/>
        <w:spacing w:after="0" w:line="302"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58" w:lineRule="exact"/>
        <w:rPr>
          <w:sz w:val="20"/>
          <w:szCs w:val="20"/>
          <w:color w:val="auto"/>
        </w:rPr>
      </w:pPr>
    </w:p>
    <w:p>
      <w:pPr>
        <w:ind w:right="380"/>
        <w:spacing w:after="0" w:line="313" w:lineRule="auto"/>
        <w:rPr>
          <w:sz w:val="20"/>
          <w:szCs w:val="20"/>
          <w:color w:val="auto"/>
        </w:rPr>
      </w:pPr>
      <w:r>
        <w:rPr>
          <w:rFonts w:ascii="Arial" w:cs="Arial" w:eastAsia="Arial" w:hAnsi="Arial"/>
          <w:sz w:val="17"/>
          <w:szCs w:val="17"/>
          <w:b w:val="1"/>
          <w:bCs w:val="1"/>
          <w:color w:val="auto"/>
        </w:rPr>
        <w:t>We plan to seek Orphan Drug Designation for ANB019 or certain of our other product candidates and we may not be able to obtain or maintain Orphan Drug Designation or obtain the benefits associated with Orphan Drug status, including market exclusivity.</w:t>
      </w:r>
    </w:p>
    <w:p>
      <w:pPr>
        <w:spacing w:after="0" w:line="34"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Generally, if a biologic with an Orphan Drug Designation subsequently receives the first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76" w:right="239" w:bottom="1440" w:gutter="0" w:footer="0" w:header="0"/>
        </w:sectPr>
      </w:pPr>
    </w:p>
    <w:bookmarkStart w:id="50" w:name="page51"/>
    <w:bookmarkEnd w:id="50"/>
    <w:p>
      <w:pPr>
        <w:spacing w:after="0" w:line="290" w:lineRule="auto"/>
        <w:rPr>
          <w:sz w:val="20"/>
          <w:szCs w:val="20"/>
          <w:color w:val="auto"/>
        </w:rPr>
      </w:pPr>
      <w:r>
        <w:rPr>
          <w:rFonts w:ascii="Arial" w:cs="Arial" w:eastAsia="Arial" w:hAnsi="Arial"/>
          <w:sz w:val="16"/>
          <w:szCs w:val="16"/>
          <w:color w:val="auto"/>
        </w:rPr>
        <w:t>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European Union.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66" w:lineRule="exact"/>
        <w:rPr>
          <w:sz w:val="20"/>
          <w:szCs w:val="20"/>
          <w:color w:val="auto"/>
        </w:rPr>
      </w:pPr>
    </w:p>
    <w:p>
      <w:pPr>
        <w:ind w:right="300" w:firstLine="446"/>
        <w:spacing w:after="0" w:line="279" w:lineRule="auto"/>
        <w:rPr>
          <w:sz w:val="20"/>
          <w:szCs w:val="20"/>
          <w:color w:val="auto"/>
        </w:rPr>
      </w:pPr>
      <w:r>
        <w:rPr>
          <w:rFonts w:ascii="Arial" w:cs="Arial" w:eastAsia="Arial" w:hAnsi="Arial"/>
          <w:sz w:val="17"/>
          <w:szCs w:val="17"/>
          <w:color w:val="auto"/>
        </w:rPr>
        <w:t>We have not applied for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71"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right="120" w:firstLine="446"/>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67"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67" w:lineRule="exact"/>
        <w:rPr>
          <w:sz w:val="20"/>
          <w:szCs w:val="20"/>
          <w:color w:val="auto"/>
        </w:rPr>
      </w:pPr>
    </w:p>
    <w:p>
      <w:pPr>
        <w:ind w:right="40" w:firstLine="446"/>
        <w:spacing w:after="0" w:line="271"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and the timing of achieving a reimbursement determination will be.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76" w:right="259" w:bottom="1440" w:gutter="0" w:footer="0" w:header="0"/>
        </w:sectPr>
      </w:pPr>
    </w:p>
    <w:bookmarkStart w:id="51" w:name="page52"/>
    <w:bookmarkEnd w:id="51"/>
    <w:p>
      <w:pPr>
        <w:ind w:firstLine="446"/>
        <w:spacing w:after="0" w:line="270"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78" w:lineRule="exact"/>
        <w:rPr>
          <w:sz w:val="20"/>
          <w:szCs w:val="20"/>
          <w:color w:val="auto"/>
        </w:rPr>
      </w:pPr>
    </w:p>
    <w:p>
      <w:pPr>
        <w:ind w:firstLine="446"/>
        <w:spacing w:after="0" w:line="257" w:lineRule="auto"/>
        <w:rPr>
          <w:sz w:val="20"/>
          <w:szCs w:val="20"/>
          <w:color w:val="auto"/>
        </w:rPr>
      </w:pPr>
      <w:r>
        <w:rPr>
          <w:rFonts w:ascii="Arial" w:cs="Arial" w:eastAsia="Arial" w:hAnsi="Arial"/>
          <w:sz w:val="17"/>
          <w:szCs w:val="17"/>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76" w:lineRule="exact"/>
        <w:rPr>
          <w:sz w:val="20"/>
          <w:szCs w:val="20"/>
          <w:color w:val="auto"/>
        </w:rPr>
      </w:pPr>
    </w:p>
    <w:p>
      <w:pPr>
        <w:ind w:right="40" w:firstLine="446"/>
        <w:spacing w:after="0" w:line="263"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or AMA,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0" w:lineRule="exact"/>
        <w:rPr>
          <w:sz w:val="20"/>
          <w:szCs w:val="20"/>
          <w:color w:val="auto"/>
        </w:rPr>
      </w:pPr>
    </w:p>
    <w:p>
      <w:pPr>
        <w:ind w:firstLine="446"/>
        <w:spacing w:after="0" w:line="243" w:lineRule="auto"/>
        <w:rPr>
          <w:sz w:val="20"/>
          <w:szCs w:val="20"/>
          <w:color w:val="auto"/>
        </w:rPr>
      </w:pPr>
      <w:r>
        <w:rPr>
          <w:rFonts w:ascii="Arial" w:cs="Arial" w:eastAsia="Arial" w:hAnsi="Arial"/>
          <w:sz w:val="18"/>
          <w:szCs w:val="18"/>
          <w:color w:val="auto"/>
        </w:rPr>
        <w:t>Furthermore, some of our target indications, including for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88" w:lineRule="exact"/>
        <w:rPr>
          <w:sz w:val="20"/>
          <w:szCs w:val="20"/>
          <w:color w:val="auto"/>
        </w:rPr>
      </w:pPr>
    </w:p>
    <w:p>
      <w:pPr>
        <w:ind w:right="20" w:firstLine="446"/>
        <w:spacing w:after="0" w:line="241"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94"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Recently enacted legislation may increase the difficulty and cost for us to obtain marketing approval of and commercialize our product candidates and affect the prices we may obtain.</w:t>
      </w:r>
    </w:p>
    <w:p>
      <w:pPr>
        <w:spacing w:after="0" w:line="166" w:lineRule="exact"/>
        <w:rPr>
          <w:sz w:val="20"/>
          <w:szCs w:val="20"/>
          <w:color w:val="auto"/>
        </w:rPr>
      </w:pPr>
    </w:p>
    <w:p>
      <w:pPr>
        <w:ind w:firstLine="554"/>
        <w:spacing w:after="0" w:line="255" w:lineRule="auto"/>
        <w:rPr>
          <w:sz w:val="20"/>
          <w:szCs w:val="20"/>
          <w:color w:val="auto"/>
        </w:rPr>
      </w:pPr>
      <w:r>
        <w:rPr>
          <w:rFonts w:ascii="Arial" w:cs="Arial" w:eastAsia="Arial" w:hAnsi="Arial"/>
          <w:sz w:val="18"/>
          <w:szCs w:val="18"/>
          <w:color w:val="auto"/>
        </w:rPr>
        <w:t>Some of the provisions of the ACA have yet to be implemented and there have been judicial and Congressional challenges to certain aspects of the ACA. In addition, the current administration and Congress have previously sought, and will likely continue to seek, legislative and regulatory changes, including repeal and replacement of all or certain provisions of the ACA. While Congress has not passed repeal legislation,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Congress may consider other legislation to repeal or replace elements of the ACA.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difficulties from changes to current regulations and future legislation.</w:t>
      </w:r>
    </w:p>
    <w:p>
      <w:pPr>
        <w:spacing w:after="0" w:line="121"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2" w:name="page53"/>
    <w:bookmarkEnd w:id="52"/>
    <w:p>
      <w:pPr>
        <w:ind w:right="80" w:firstLine="446"/>
        <w:spacing w:after="0" w:line="288" w:lineRule="auto"/>
        <w:rPr>
          <w:sz w:val="20"/>
          <w:szCs w:val="20"/>
          <w:color w:val="auto"/>
        </w:rPr>
      </w:pPr>
      <w:r>
        <w:rPr>
          <w:rFonts w:ascii="Arial" w:cs="Arial" w:eastAsia="Arial" w:hAnsi="Arial"/>
          <w:sz w:val="16"/>
          <w:szCs w:val="16"/>
          <w:color w:val="auto"/>
        </w:rPr>
        <w:t>More recently, President Trump has signed an executive order and made statements that suggest he plans to seek repeal of all or portions of the ACA. There is uncertainty with respect to which legislation, if any, will be enacted and the impact President Trump’s Administration may have, if any, and any changes likely will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 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2027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69"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Likewise, the annual Medicare Physician Fee Schedule update, which, until recently, was based on a target-setting formula system called the Sustainable Growth Rate, or SGR, was adjusted to reflect the comparison of actual expenditures to target expenditures. Because one of the factors for calculating the SGR was linked to the growth in the U.S. gross domestic product, or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80" w:lineRule="exact"/>
        <w:rPr>
          <w:sz w:val="20"/>
          <w:szCs w:val="20"/>
          <w:color w:val="auto"/>
        </w:rPr>
      </w:pPr>
    </w:p>
    <w:p>
      <w:pPr>
        <w:ind w:right="200" w:firstLine="446"/>
        <w:spacing w:after="0" w:line="279"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71" w:lineRule="exact"/>
        <w:rPr>
          <w:sz w:val="20"/>
          <w:szCs w:val="20"/>
          <w:color w:val="auto"/>
        </w:rPr>
      </w:pPr>
    </w:p>
    <w:p>
      <w:pPr>
        <w:ind w:right="160" w:firstLine="44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9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8" w:lineRule="exact"/>
        <w:rPr>
          <w:sz w:val="20"/>
          <w:szCs w:val="20"/>
          <w:color w:val="auto"/>
        </w:rPr>
      </w:pPr>
    </w:p>
    <w:p>
      <w:pPr>
        <w:ind w:firstLine="446"/>
        <w:spacing w:after="0" w:line="288"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3" w:name="page54"/>
    <w:bookmarkEnd w:id="53"/>
    <w:p>
      <w:pPr>
        <w:ind w:right="80"/>
        <w:spacing w:after="0" w:line="266" w:lineRule="auto"/>
        <w:rPr>
          <w:sz w:val="20"/>
          <w:szCs w:val="20"/>
          <w:color w:val="auto"/>
        </w:rPr>
      </w:pPr>
      <w:r>
        <w:rPr>
          <w:rFonts w:ascii="Arial" w:cs="Arial" w:eastAsia="Arial" w:hAnsi="Arial"/>
          <w:sz w:val="18"/>
          <w:szCs w:val="18"/>
          <w:b w:val="1"/>
          <w:bCs w:val="1"/>
          <w:color w:val="auto"/>
        </w:rPr>
        <w:t>Our relationships with customers and third-party payors will be subject to applicable anti-kickback, fraud and abuse, transparency and other healthcare laws and regulations, which could expose us to, among other things, criminal sanctions, civil penalties, contractual damages, reputational harm, administrative burdens and diminished profits and future earnings.</w:t>
      </w:r>
    </w:p>
    <w:p>
      <w:pPr>
        <w:spacing w:after="0" w:line="72"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46" w:lineRule="exact"/>
        <w:rPr>
          <w:sz w:val="20"/>
          <w:szCs w:val="20"/>
          <w:color w:val="auto"/>
        </w:rPr>
      </w:pPr>
    </w:p>
    <w:p>
      <w:pPr>
        <w:ind w:left="900" w:right="80" w:hanging="487"/>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880" w:right="20" w:hanging="440"/>
        <w:spacing w:after="0" w:line="259"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880" w:right="100" w:hanging="440"/>
        <w:spacing w:after="0" w:line="342" w:lineRule="auto"/>
        <w:tabs>
          <w:tab w:leader="none" w:pos="8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among other things, executing or attempting to execute a scheme to defraud any healthcare benefit program or making false statements relating to healthcare matters;</w:t>
      </w:r>
    </w:p>
    <w:p>
      <w:pPr>
        <w:spacing w:after="0" w:line="15" w:lineRule="exact"/>
        <w:rPr>
          <w:rFonts w:ascii="Arial" w:cs="Arial" w:eastAsia="Arial" w:hAnsi="Arial"/>
          <w:sz w:val="16"/>
          <w:szCs w:val="16"/>
          <w:color w:val="auto"/>
        </w:rPr>
      </w:pPr>
    </w:p>
    <w:p>
      <w:pPr>
        <w:jc w:val="both"/>
        <w:ind w:left="880" w:hanging="440"/>
        <w:spacing w:after="0" w:line="264"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ind w:left="880" w:right="200" w:hanging="440"/>
        <w:spacing w:after="0" w:line="276" w:lineRule="auto"/>
        <w:tabs>
          <w:tab w:leader="none" w:pos="8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help by physicians and their immediate family members. The information was made publicly available on a searchable website in September 2014 and will be disclosed on an annual basis; and</w:t>
      </w:r>
    </w:p>
    <w:p>
      <w:pPr>
        <w:spacing w:after="0" w:line="64" w:lineRule="exact"/>
        <w:rPr>
          <w:rFonts w:ascii="Arial" w:cs="Arial" w:eastAsia="Arial" w:hAnsi="Arial"/>
          <w:sz w:val="17"/>
          <w:szCs w:val="17"/>
          <w:color w:val="auto"/>
        </w:rPr>
      </w:pPr>
    </w:p>
    <w:p>
      <w:pPr>
        <w:ind w:left="880" w:right="40" w:hanging="440"/>
        <w:spacing w:after="0" w:line="342" w:lineRule="auto"/>
        <w:tabs>
          <w:tab w:leader="none" w:pos="8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24" w:lineRule="exact"/>
        <w:rPr>
          <w:sz w:val="20"/>
          <w:szCs w:val="20"/>
          <w:color w:val="auto"/>
        </w:rPr>
      </w:pPr>
    </w:p>
    <w:p>
      <w:pPr>
        <w:ind w:right="80" w:firstLine="446"/>
        <w:spacing w:after="0" w:line="289" w:lineRule="auto"/>
        <w:rPr>
          <w:sz w:val="20"/>
          <w:szCs w:val="20"/>
          <w:color w:val="auto"/>
        </w:rPr>
      </w:pPr>
      <w:r>
        <w:rPr>
          <w:rFonts w:ascii="Arial" w:cs="Arial" w:eastAsia="Arial" w:hAnsi="Arial"/>
          <w:sz w:val="16"/>
          <w:szCs w:val="16"/>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For example, several states now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or prohibit prescription drug price gouging. And states such as California, Connecticut, Nevada, and Massachusetts require pharmaceutical companies to implement compliance programs and/or marketing codes. Other states are considering similar proposals. Compliance with these laws is difficult and time consuming, and companies that do not comply with these state laws face civil penalties.</w:t>
      </w:r>
    </w:p>
    <w:p>
      <w:pPr>
        <w:spacing w:after="0" w:line="167" w:lineRule="exact"/>
        <w:rPr>
          <w:sz w:val="20"/>
          <w:szCs w:val="20"/>
          <w:color w:val="auto"/>
        </w:rPr>
      </w:pPr>
    </w:p>
    <w:p>
      <w:pPr>
        <w:ind w:right="40" w:firstLine="446"/>
        <w:spacing w:after="0" w:line="272" w:lineRule="auto"/>
        <w:rPr>
          <w:sz w:val="20"/>
          <w:szCs w:val="20"/>
          <w:color w:val="auto"/>
        </w:rPr>
      </w:pPr>
      <w:r>
        <w:rPr>
          <w:rFonts w:ascii="Arial" w:cs="Arial" w:eastAsia="Arial" w:hAnsi="Arial"/>
          <w:sz w:val="17"/>
          <w:szCs w:val="17"/>
          <w:color w:val="auto"/>
        </w:rPr>
        <w:t>State and foreign laws also govern the privacy and security of health information in some circumstances, many of which differ from each other in significant ways and often are not preempted by HIPAA, thus complicating compliance efforts. For example, the collection and use of health data in the EU is governed by the General Data Protection Regulation (GDPR), which became fully applicable in May 2018. The GDPR extends the geographical scope of EU Data protection law to non-EU entities under certain conditions, tightens existing EU data protection principles and creates new obligations for companies and new rights for individuals. The GDPR is new and guidance, interpretation and application under the GDPR are still developing. Failure to comply with the GDPR may result in substantial fines and other administrative penalties. The GDPR may increase our responsibility and liability in relation to personal data that we process and we may be required to put in place additional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72" w:right="239" w:bottom="1440" w:gutter="0" w:footer="0" w:header="0"/>
        </w:sectPr>
      </w:pPr>
    </w:p>
    <w:bookmarkStart w:id="54" w:name="page55"/>
    <w:bookmarkEnd w:id="54"/>
    <w:p>
      <w:pPr>
        <w:ind w:right="20"/>
        <w:spacing w:after="0" w:line="255" w:lineRule="auto"/>
        <w:rPr>
          <w:sz w:val="20"/>
          <w:szCs w:val="20"/>
          <w:color w:val="auto"/>
        </w:rPr>
      </w:pPr>
      <w:r>
        <w:rPr>
          <w:rFonts w:ascii="Arial" w:cs="Arial" w:eastAsia="Arial" w:hAnsi="Arial"/>
          <w:sz w:val="18"/>
          <w:szCs w:val="18"/>
          <w:color w:val="auto"/>
        </w:rPr>
        <w:t>mechanisms ensuring compliance with the GDPR. The GDPR is new and the pending European Union ePrivacy Regulation is expected to establish, new requirements applicable to the handling of personal data and imposes penalties for non-compliance of up to the greater of €20 million or 4% of worldwide revenue. Additionally, in June 2018, California passed the California Consumer Privacy Act, or CCPA, which provides new data privacy rights for consumers and new operational requirements for companies effective in 2020. The costs of compliance with, and other burdens imposed by, the GDPR, CCPA and other U.S., European Union and worldwide laws may impose onerous requirements on our business and, if our efforts to comply with such laws are not successful, our business could be adversely affected.</w:t>
      </w:r>
    </w:p>
    <w:p>
      <w:pPr>
        <w:spacing w:after="0" w:line="193" w:lineRule="exact"/>
        <w:rPr>
          <w:sz w:val="20"/>
          <w:szCs w:val="20"/>
          <w:color w:val="auto"/>
        </w:rPr>
      </w:pPr>
    </w:p>
    <w:p>
      <w:pPr>
        <w:ind w:right="40" w:firstLine="446"/>
        <w:spacing w:after="0" w:line="270"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8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employees may engage in misconduct or other improper activities, including noncompliance with regulatory standards and requirements and insider trading.</w:t>
      </w:r>
    </w:p>
    <w:p>
      <w:pPr>
        <w:spacing w:after="0" w:line="58"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584" w:right="259" w:bottom="1440" w:gutter="0" w:footer="0" w:header="0"/>
        </w:sectPr>
      </w:pPr>
    </w:p>
    <w:bookmarkStart w:id="55" w:name="page56"/>
    <w:bookmarkEnd w:id="55"/>
    <w:p>
      <w:pPr>
        <w:ind w:right="920"/>
        <w:spacing w:after="0" w:line="277" w:lineRule="auto"/>
        <w:rPr>
          <w:sz w:val="20"/>
          <w:szCs w:val="20"/>
          <w:color w:val="auto"/>
        </w:rPr>
      </w:pPr>
      <w:r>
        <w:rPr>
          <w:rFonts w:ascii="Arial" w:cs="Arial" w:eastAsia="Arial" w:hAnsi="Arial"/>
          <w:sz w:val="18"/>
          <w:szCs w:val="18"/>
          <w:color w:val="auto"/>
        </w:rPr>
        <w:t>rights may be reduced or eliminated. If our licensors, licensees or collaborators are not fully cooperative or disagree with us as to the prosecution, maintenance or enforcement of any patent rights, such patent rights could be compromised.</w:t>
      </w:r>
    </w:p>
    <w:p>
      <w:pPr>
        <w:spacing w:after="0" w:line="170" w:lineRule="exact"/>
        <w:rPr>
          <w:sz w:val="20"/>
          <w:szCs w:val="20"/>
          <w:color w:val="auto"/>
        </w:rPr>
      </w:pPr>
    </w:p>
    <w:p>
      <w:pPr>
        <w:ind w:right="60" w:firstLine="446"/>
        <w:spacing w:after="0" w:line="28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69"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9" w:lineRule="exact"/>
        <w:rPr>
          <w:sz w:val="20"/>
          <w:szCs w:val="20"/>
          <w:color w:val="auto"/>
        </w:rPr>
      </w:pPr>
    </w:p>
    <w:p>
      <w:pPr>
        <w:ind w:right="40" w:firstLine="446"/>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83" w:lineRule="exact"/>
        <w:rPr>
          <w:sz w:val="20"/>
          <w:szCs w:val="20"/>
          <w:color w:val="auto"/>
        </w:rPr>
      </w:pPr>
    </w:p>
    <w:p>
      <w:pPr>
        <w:ind w:right="40" w:firstLine="446"/>
        <w:spacing w:after="0" w:line="270"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protect our intellectual property rights throughout the world.</w:t>
      </w:r>
    </w:p>
    <w:p>
      <w:pPr>
        <w:spacing w:after="0" w:line="121" w:lineRule="exact"/>
        <w:rPr>
          <w:sz w:val="20"/>
          <w:szCs w:val="20"/>
          <w:color w:val="auto"/>
        </w:rPr>
      </w:pPr>
    </w:p>
    <w:p>
      <w:pPr>
        <w:jc w:val="both"/>
        <w:ind w:right="100" w:firstLine="446"/>
        <w:spacing w:after="0" w:line="302" w:lineRule="auto"/>
        <w:rPr>
          <w:sz w:val="20"/>
          <w:szCs w:val="20"/>
          <w:color w:val="auto"/>
        </w:rPr>
      </w:pPr>
      <w:r>
        <w:rPr>
          <w:rFonts w:ascii="Arial" w:cs="Arial" w:eastAsia="Arial" w:hAnsi="Arial"/>
          <w:sz w:val="16"/>
          <w:szCs w:val="16"/>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76" w:right="239" w:bottom="1440" w:gutter="0" w:footer="0" w:header="0"/>
        </w:sectPr>
      </w:pPr>
    </w:p>
    <w:bookmarkStart w:id="56" w:name="page57"/>
    <w:bookmarkEnd w:id="56"/>
    <w:p>
      <w:pPr>
        <w:spacing w:after="0" w:line="255" w:lineRule="auto"/>
        <w:rPr>
          <w:sz w:val="20"/>
          <w:szCs w:val="20"/>
          <w:color w:val="auto"/>
        </w:rPr>
      </w:pPr>
      <w:r>
        <w:rPr>
          <w:rFonts w:ascii="Arial" w:cs="Arial" w:eastAsia="Arial" w:hAnsi="Arial"/>
          <w:sz w:val="18"/>
          <w:szCs w:val="18"/>
          <w:color w:val="auto"/>
        </w:rPr>
        <w:t>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93" w:lineRule="exact"/>
        <w:rPr>
          <w:sz w:val="20"/>
          <w:szCs w:val="20"/>
          <w:color w:val="auto"/>
        </w:rPr>
      </w:pPr>
    </w:p>
    <w:p>
      <w:pPr>
        <w:ind w:right="100" w:firstLine="446"/>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 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patent law could diminish the value of patents in general, thereby impairing our ability to protect our product candidates.</w:t>
      </w:r>
    </w:p>
    <w:p>
      <w:pPr>
        <w:spacing w:after="0" w:line="133" w:lineRule="exact"/>
        <w:rPr>
          <w:sz w:val="20"/>
          <w:szCs w:val="20"/>
          <w:color w:val="auto"/>
        </w:rPr>
      </w:pPr>
    </w:p>
    <w:p>
      <w:pPr>
        <w:jc w:val="both"/>
        <w:ind w:right="220" w:firstLine="446"/>
        <w:spacing w:after="0" w:line="26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1" w:lineRule="exact"/>
        <w:rPr>
          <w:sz w:val="20"/>
          <w:szCs w:val="20"/>
          <w:color w:val="auto"/>
        </w:rPr>
      </w:pPr>
    </w:p>
    <w:p>
      <w:pPr>
        <w:ind w:right="140" w:firstLine="446"/>
        <w:spacing w:after="0" w:line="279"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71" w:lineRule="exact"/>
        <w:rPr>
          <w:sz w:val="20"/>
          <w:szCs w:val="20"/>
          <w:color w:val="auto"/>
        </w:rPr>
      </w:pPr>
    </w:p>
    <w:p>
      <w:pPr>
        <w:ind w:right="20" w:firstLine="446"/>
        <w:spacing w:after="0" w:line="276"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3"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79"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The USPTO has developed new regulations and procedures to govern administration of the Leahy-Smith Act, and many of the substantive changes to patent law associated with the Leahy-Smith Act, and, in particular, the first to file provisions, only became effective in 2013.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 Moreover, in recent years, the Supreme Court and the U.S. Court of Appeals for the Federal Circuit have rendered decisions in several patent cases such as Association for Molecular Pathology v. Myriad Genetics, Inc. (Myriad I), BRCA1- &amp; BRCA2-Based Hereditary</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476" w:right="299" w:bottom="1440" w:gutter="0" w:footer="0" w:header="0"/>
        </w:sectPr>
      </w:pPr>
    </w:p>
    <w:bookmarkStart w:id="57" w:name="page58"/>
    <w:bookmarkEnd w:id="57"/>
    <w:p>
      <w:pPr>
        <w:spacing w:after="0" w:line="273" w:lineRule="auto"/>
        <w:rPr>
          <w:sz w:val="20"/>
          <w:szCs w:val="20"/>
          <w:color w:val="auto"/>
        </w:rPr>
      </w:pPr>
      <w:r>
        <w:rPr>
          <w:rFonts w:ascii="Arial" w:cs="Arial" w:eastAsia="Arial" w:hAnsi="Arial"/>
          <w:sz w:val="17"/>
          <w:szCs w:val="17"/>
          <w:color w:val="auto"/>
        </w:rPr>
        <w:t>Cancer Test Patent Litig., (Myriad II),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174"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ind w:right="20" w:firstLine="446"/>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7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8"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2" w:lineRule="exact"/>
        <w:rPr>
          <w:sz w:val="20"/>
          <w:szCs w:val="20"/>
          <w:color w:val="auto"/>
        </w:rPr>
      </w:pPr>
    </w:p>
    <w:p>
      <w:pPr>
        <w:ind w:right="80" w:firstLine="446"/>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8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8" w:lineRule="exact"/>
        <w:rPr>
          <w:sz w:val="20"/>
          <w:szCs w:val="20"/>
          <w:color w:val="auto"/>
        </w:rPr>
      </w:pPr>
    </w:p>
    <w:p>
      <w:pPr>
        <w:ind w:right="220" w:firstLine="446"/>
        <w:spacing w:after="0" w:line="257" w:lineRule="auto"/>
        <w:rPr>
          <w:sz w:val="20"/>
          <w:szCs w:val="20"/>
          <w:color w:val="auto"/>
        </w:rPr>
      </w:pPr>
      <w:r>
        <w:rPr>
          <w:rFonts w:ascii="Arial" w:cs="Arial" w:eastAsia="Arial" w:hAnsi="Arial"/>
          <w:sz w:val="18"/>
          <w:szCs w:val="18"/>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58" w:name="page59"/>
    <w:bookmarkEnd w:id="58"/>
    <w:p>
      <w:pPr>
        <w:ind w:right="160"/>
        <w:spacing w:after="0" w:line="273" w:lineRule="auto"/>
        <w:rPr>
          <w:sz w:val="20"/>
          <w:szCs w:val="20"/>
          <w:color w:val="auto"/>
        </w:rPr>
      </w:pPr>
      <w:r>
        <w:rPr>
          <w:rFonts w:ascii="Arial" w:cs="Arial" w:eastAsia="Arial" w:hAnsi="Arial"/>
          <w:sz w:val="17"/>
          <w:szCs w:val="17"/>
          <w:color w:val="auto"/>
        </w:rPr>
        <w:t>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78"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in the United States or other jurisdictions.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195" w:lineRule="exact"/>
        <w:rPr>
          <w:sz w:val="20"/>
          <w:szCs w:val="20"/>
          <w:color w:val="auto"/>
        </w:rPr>
      </w:pPr>
    </w:p>
    <w:p>
      <w:pPr>
        <w:ind w:right="120" w:firstLine="446"/>
        <w:spacing w:after="0" w:line="279" w:lineRule="auto"/>
        <w:rPr>
          <w:sz w:val="20"/>
          <w:szCs w:val="20"/>
          <w:color w:val="auto"/>
        </w:rPr>
      </w:pPr>
      <w:r>
        <w:rPr>
          <w:rFonts w:ascii="Arial" w:cs="Arial" w:eastAsia="Arial" w:hAnsi="Arial"/>
          <w:sz w:val="17"/>
          <w:szCs w:val="17"/>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71" w:lineRule="exact"/>
        <w:rPr>
          <w:sz w:val="20"/>
          <w:szCs w:val="20"/>
          <w:color w:val="auto"/>
        </w:rPr>
      </w:pPr>
    </w:p>
    <w:p>
      <w:pPr>
        <w:ind w:right="60" w:firstLine="446"/>
        <w:spacing w:after="0" w:line="24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292"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If we breach the license agreements related to our product candidates, we could lose the ability to continue the development and commercialization of our product candidates.</w:t>
      </w:r>
    </w:p>
    <w:p>
      <w:pPr>
        <w:spacing w:after="0" w:line="58" w:lineRule="exact"/>
        <w:rPr>
          <w:sz w:val="20"/>
          <w:szCs w:val="20"/>
          <w:color w:val="auto"/>
        </w:rPr>
      </w:pPr>
    </w:p>
    <w:p>
      <w:pPr>
        <w:ind w:right="40" w:firstLine="446"/>
        <w:spacing w:after="0" w:line="270" w:lineRule="auto"/>
        <w:rPr>
          <w:sz w:val="20"/>
          <w:szCs w:val="20"/>
          <w:color w:val="auto"/>
        </w:rPr>
      </w:pPr>
      <w:r>
        <w:rPr>
          <w:rFonts w:ascii="Arial" w:cs="Arial" w:eastAsia="Arial" w:hAnsi="Arial"/>
          <w:sz w:val="16"/>
          <w:szCs w:val="16"/>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04" w:lineRule="exact"/>
        <w:rPr>
          <w:sz w:val="20"/>
          <w:szCs w:val="20"/>
          <w:color w:val="auto"/>
        </w:rPr>
      </w:pPr>
    </w:p>
    <w:p>
      <w:pPr>
        <w:ind w:left="5620" w:right="3720" w:hanging="5180"/>
        <w:spacing w:after="0" w:line="543" w:lineRule="auto"/>
        <w:tabs>
          <w:tab w:leader="none" w:pos="8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 57</w:t>
      </w:r>
    </w:p>
    <w:p>
      <w:pPr>
        <w:sectPr>
          <w:pgSz w:w="11900" w:h="16838" w:orient="portrait"/>
          <w:cols w:equalWidth="0" w:num="1">
            <w:col w:w="11380"/>
          </w:cols>
          <w:pgMar w:left="240" w:top="476" w:right="279" w:bottom="1440" w:gutter="0" w:footer="0" w:header="0"/>
        </w:sectPr>
      </w:pPr>
    </w:p>
    <w:bookmarkStart w:id="59" w:name="page60"/>
    <w:bookmarkEnd w:id="59"/>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26" w:lineRule="exact"/>
        <w:rPr>
          <w:rFonts w:ascii="Arial" w:cs="Arial" w:eastAsia="Arial" w:hAnsi="Arial"/>
          <w:sz w:val="16"/>
          <w:szCs w:val="16"/>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03" w:lineRule="exact"/>
        <w:rPr>
          <w:rFonts w:ascii="Arial" w:cs="Arial" w:eastAsia="Arial" w:hAnsi="Arial"/>
          <w:sz w:val="18"/>
          <w:szCs w:val="18"/>
          <w:color w:val="auto"/>
        </w:rPr>
      </w:pPr>
    </w:p>
    <w:p>
      <w:pPr>
        <w:ind w:left="880" w:right="580" w:hanging="440"/>
        <w:spacing w:after="0" w:line="262"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61"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12" w:lineRule="exact"/>
        <w:rPr>
          <w:sz w:val="20"/>
          <w:szCs w:val="20"/>
          <w:color w:val="auto"/>
        </w:rPr>
      </w:pPr>
    </w:p>
    <w:p>
      <w:pPr>
        <w:ind w:right="220" w:firstLine="446"/>
        <w:spacing w:after="0" w:line="262"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73"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3" w:lineRule="exact"/>
        <w:rPr>
          <w:sz w:val="20"/>
          <w:szCs w:val="20"/>
          <w:color w:val="auto"/>
        </w:rPr>
      </w:pPr>
    </w:p>
    <w:p>
      <w:pPr>
        <w:ind w:right="100" w:firstLine="446"/>
        <w:spacing w:after="0"/>
        <w:rPr>
          <w:sz w:val="20"/>
          <w:szCs w:val="20"/>
          <w:color w:val="auto"/>
        </w:rPr>
      </w:pPr>
      <w:r>
        <w:rPr>
          <w:rFonts w:ascii="Arial" w:cs="Arial" w:eastAsia="Arial" w:hAnsi="Arial"/>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90" w:lineRule="exact"/>
        <w:rPr>
          <w:sz w:val="20"/>
          <w:szCs w:val="20"/>
          <w:color w:val="auto"/>
        </w:rPr>
      </w:pPr>
    </w:p>
    <w:p>
      <w:pPr>
        <w:ind w:right="40" w:firstLine="446"/>
        <w:spacing w:after="0" w:line="270"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8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8" w:lineRule="exact"/>
        <w:rPr>
          <w:sz w:val="20"/>
          <w:szCs w:val="20"/>
          <w:color w:val="auto"/>
        </w:rPr>
      </w:pPr>
    </w:p>
    <w:p>
      <w:pPr>
        <w:ind w:right="120" w:firstLine="446"/>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and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76"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8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8" w:lineRule="exact"/>
        <w:rPr>
          <w:sz w:val="20"/>
          <w:szCs w:val="20"/>
          <w:color w:val="auto"/>
        </w:rPr>
      </w:pPr>
    </w:p>
    <w:p>
      <w:pPr>
        <w:ind w:right="20" w:firstLine="446"/>
        <w:spacing w:after="0" w:line="271"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62" w:lineRule="exact"/>
        <w:rPr>
          <w:sz w:val="20"/>
          <w:szCs w:val="20"/>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880" w:right="1040" w:hanging="440"/>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88" w:right="239" w:bottom="1440" w:gutter="0" w:footer="0" w:header="0"/>
        </w:sectPr>
      </w:pPr>
    </w:p>
    <w:bookmarkStart w:id="61" w:name="page62"/>
    <w:bookmarkEnd w:id="61"/>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our public offerings and may not use them effectively.</w:t>
      </w:r>
    </w:p>
    <w:p>
      <w:pPr>
        <w:spacing w:after="0" w:line="121"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right="300" w:firstLine="446"/>
        <w:spacing w:after="0" w:line="286" w:lineRule="auto"/>
        <w:rPr>
          <w:sz w:val="20"/>
          <w:szCs w:val="20"/>
          <w:color w:val="auto"/>
        </w:rPr>
      </w:pPr>
      <w:r>
        <w:rPr>
          <w:rFonts w:ascii="Arial" w:cs="Arial" w:eastAsia="Arial" w:hAnsi="Arial"/>
          <w:sz w:val="17"/>
          <w:szCs w:val="17"/>
          <w:color w:val="auto"/>
        </w:rPr>
        <w:t>The market price of our common stock is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are an emerging growth company, and we cannot be certain if the reduced reporting requirements applicable to emerging growth companies will make our common stock less attractive to investors.</w:t>
      </w:r>
    </w:p>
    <w:p>
      <w:pPr>
        <w:spacing w:after="0" w:line="58" w:lineRule="exact"/>
        <w:rPr>
          <w:sz w:val="20"/>
          <w:szCs w:val="20"/>
          <w:color w:val="auto"/>
        </w:rPr>
      </w:pPr>
    </w:p>
    <w:p>
      <w:pPr>
        <w:ind w:right="40" w:firstLine="446"/>
        <w:spacing w:after="0" w:line="271"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the Sarbanes-Oxley Act, reduced disclosure obligations regarding executive compensation in our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9" w:lineRule="exact"/>
        <w:rPr>
          <w:sz w:val="20"/>
          <w:szCs w:val="20"/>
          <w:color w:val="auto"/>
        </w:rPr>
      </w:pPr>
    </w:p>
    <w:p>
      <w:pPr>
        <w:ind w:right="20" w:firstLine="446"/>
        <w:spacing w:after="0" w:line="27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are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73"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initial public offering, (b) in which we have total annual gross revenue of at least $1 billion or (c) in which we are deemed to be a large accelerated filer, which requires the market value of our common stock that is held by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76" w:right="259" w:bottom="1440" w:gutter="0" w:footer="0" w:header="0"/>
        </w:sectPr>
      </w:pPr>
    </w:p>
    <w:bookmarkStart w:id="62" w:name="page63"/>
    <w:bookmarkEnd w:id="62"/>
    <w:p>
      <w:pPr>
        <w:ind w:right="140"/>
        <w:spacing w:after="0" w:line="277" w:lineRule="auto"/>
        <w:rPr>
          <w:sz w:val="20"/>
          <w:szCs w:val="20"/>
          <w:color w:val="auto"/>
        </w:rPr>
      </w:pPr>
      <w:r>
        <w:rPr>
          <w:rFonts w:ascii="Arial" w:cs="Arial" w:eastAsia="Arial" w:hAnsi="Arial"/>
          <w:sz w:val="18"/>
          <w:szCs w:val="18"/>
          <w:color w:val="auto"/>
        </w:rPr>
        <w:t>non-affiliates to exceed $700 million as of the prior June 30th, and (ii) the date on which we have issued more than $1 billion in non-convertible debt during the prior three-year period.</w:t>
      </w:r>
    </w:p>
    <w:p>
      <w:pPr>
        <w:spacing w:after="0" w:line="170"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We will not be an emerging growth company in fiscal year 2018, and will need to comply with the auditor attestation requirements of Section 404 of the Sarbanes-Oxley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increased costs and devote substantial management time as a result of operating as a public company.</w:t>
      </w:r>
    </w:p>
    <w:p>
      <w:pPr>
        <w:spacing w:after="0" w:line="229" w:lineRule="exact"/>
        <w:rPr>
          <w:sz w:val="20"/>
          <w:szCs w:val="20"/>
          <w:color w:val="auto"/>
        </w:rPr>
      </w:pPr>
    </w:p>
    <w:p>
      <w:pPr>
        <w:ind w:right="40" w:firstLine="446"/>
        <w:spacing w:after="0" w:line="289"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and these expenses have increased and will continue to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Moreover, these rules and regulations substantially increase our legal and financial compliance costs and make some activities more time-consuming and costly. The increased costs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167" w:lineRule="exact"/>
        <w:rPr>
          <w:sz w:val="20"/>
          <w:szCs w:val="20"/>
          <w:color w:val="auto"/>
        </w:rPr>
      </w:pPr>
    </w:p>
    <w:p>
      <w:pPr>
        <w:ind w:right="100" w:firstLine="446"/>
        <w:spacing w:after="0" w:line="270" w:lineRule="auto"/>
        <w:rPr>
          <w:sz w:val="20"/>
          <w:szCs w:val="20"/>
          <w:color w:val="auto"/>
        </w:rPr>
      </w:pPr>
      <w:r>
        <w:rPr>
          <w:rFonts w:ascii="Arial" w:cs="Arial" w:eastAsia="Arial" w:hAnsi="Arial"/>
          <w:sz w:val="17"/>
          <w:szCs w:val="17"/>
          <w:color w:val="auto"/>
        </w:rPr>
        <w:t>In addition, as a public company we incur additional costs and obligations in order to comply with SEC rules that implement Section 404 of the Sarbanes-Oxley Act. Under these rules, beginning with our annual report for the year ending December 31, 2017, we were required to make a formal assessment of the effectiveness of our internal control over financial reporting, and as we have ceased to be an emerging growth company for fiscal 2018, we will be required to include an attestation report on internal control over financial reporting issued by our independent registered public accounting firm. To achieve compliance with Section 404 within the prescribed period, we engaged in a process to document and evaluate our internal control over financial reporting, which is both costly and challenging. In this regard, we have dedicated and will need to continue to dedicate internal resources,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28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58" w:lineRule="exact"/>
        <w:rPr>
          <w:sz w:val="20"/>
          <w:szCs w:val="20"/>
          <w:color w:val="auto"/>
        </w:rPr>
      </w:pPr>
    </w:p>
    <w:p>
      <w:pPr>
        <w:ind w:right="40" w:firstLine="446"/>
        <w:spacing w:after="0" w:line="290" w:lineRule="auto"/>
        <w:rPr>
          <w:sz w:val="20"/>
          <w:szCs w:val="20"/>
          <w:color w:val="auto"/>
        </w:rPr>
      </w:pPr>
      <w:r>
        <w:rPr>
          <w:rFonts w:ascii="Arial" w:cs="Arial" w:eastAsia="Arial" w:hAnsi="Arial"/>
          <w:sz w:val="16"/>
          <w:szCs w:val="16"/>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280" w:firstLine="446"/>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63" w:name="page64"/>
    <w:bookmarkEnd w:id="63"/>
    <w:p>
      <w:pPr>
        <w:ind w:right="580"/>
        <w:spacing w:after="0" w:line="277" w:lineRule="auto"/>
        <w:rPr>
          <w:sz w:val="20"/>
          <w:szCs w:val="20"/>
          <w:color w:val="auto"/>
        </w:rPr>
      </w:pPr>
      <w:r>
        <w:rPr>
          <w:rFonts w:ascii="Arial" w:cs="Arial" w:eastAsia="Arial" w:hAnsi="Arial"/>
          <w:sz w:val="18"/>
          <w:szCs w:val="18"/>
          <w:color w:val="auto"/>
        </w:rPr>
        <w:t>collusion of two or more people or by an unauthorized override of the controls. Accordingly, because of the inherent limitations in our control system, misstatements due to error or fraud may occur and not be detected.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58"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3" w:lineRule="exact"/>
        <w:rPr>
          <w:sz w:val="20"/>
          <w:szCs w:val="20"/>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17"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right="160" w:firstLine="446"/>
        <w:spacing w:after="0" w:line="34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2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8"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76"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additional issuances of equity securities.</w:t>
      </w:r>
    </w:p>
    <w:p>
      <w:pPr>
        <w:spacing w:after="0" w:line="72" w:lineRule="exact"/>
        <w:rPr>
          <w:sz w:val="20"/>
          <w:szCs w:val="20"/>
          <w:color w:val="auto"/>
        </w:rPr>
      </w:pPr>
    </w:p>
    <w:p>
      <w:pPr>
        <w:ind w:right="60" w:firstLine="446"/>
        <w:spacing w:after="0" w:line="297" w:lineRule="auto"/>
        <w:rPr>
          <w:sz w:val="20"/>
          <w:szCs w:val="20"/>
          <w:color w:val="auto"/>
        </w:rPr>
      </w:pPr>
      <w:r>
        <w:rPr>
          <w:rFonts w:ascii="Arial" w:cs="Arial" w:eastAsia="Arial" w:hAnsi="Arial"/>
          <w:sz w:val="16"/>
          <w:szCs w:val="16"/>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or the Code, if we incur a cumulative ownership change of more than 50%, as interpreted by the U.S. Internal Revenue Service, over a three-year period. In September 2015, we completed a Section 382 and 383 ownership change analysis through December 31, 2014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584" w:right="259" w:bottom="1440" w:gutter="0" w:footer="0" w:header="0"/>
        </w:sectPr>
      </w:pPr>
    </w:p>
    <w:bookmarkStart w:id="64" w:name="page65"/>
    <w:bookmarkEnd w:id="64"/>
    <w:p>
      <w:pPr>
        <w:ind w:right="100"/>
        <w:spacing w:after="0" w:line="273" w:lineRule="auto"/>
        <w:rPr>
          <w:sz w:val="20"/>
          <w:szCs w:val="20"/>
          <w:color w:val="auto"/>
        </w:rPr>
      </w:pPr>
      <w:r>
        <w:rPr>
          <w:rFonts w:ascii="Arial" w:cs="Arial" w:eastAsia="Arial" w:hAnsi="Arial"/>
          <w:sz w:val="17"/>
          <w:szCs w:val="17"/>
          <w:color w:val="auto"/>
        </w:rPr>
        <w:t>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2016, noting no ownership changes during fiscal 2015 or fiscal 2016.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70"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On December 22, 2017, the President of the United States, signed into law the Tax Reform Act. The legislation significantly changes U.S. tax law by, among other things, lowering the corporate income tax rates. The Tax Reform Act permanently reduces the U.S. corporate income tax rate from a maximum of 35% to a flat 21% rate, effective January 1, 2018. Additionally, the Tax Reform Act will no longer allow deductions for compensation in excess of $1 million for certain employees, even if paid as commissions or performance based compensation. We may be subject to these limitations as provided for under Section 162(m) of the Internal Revenue Code in the future. The Tax Reform Act also limits the amount taxpayers are able to deduct for federal net operating loss (NOL) carryforwards generated in taxable years beginning after December 31, 2017 to 80% of the taxpayer’s taxable income. The law also generally repeals all carrybacks. However, any NOLs generated in taxable years after December 31, 2017 can be carried forward indefinitely. Losses arising in taxable years beginning before December 31, 2017 may still be carried back two years and are subject to their current expiration period. As of December 31, 2017, we have approximately $60.1 million of federal NOLs that were generated prior to 2018 which expire beginning December 31, 2028 through December 31, 2037, if not used to reduce income taxes payable in the future. Federal NOLs generated by us subsequent to 2017 may only offset 80% of taxable income.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On January 25, 2017, our Registration Statement on Form S-1 (File No. 333-206849) relating to the IPO of our common stock was declared effective by the SEC. Pursuant to such Registration Statement, we sold an aggregate of 5,750,000 shares of our common stock at a price of $15.00 per share. Credit Suisse Securities (USA) LLC, Stifel, Nicolaus &amp; Company, Incorporated, JMP Securities LLC and Wedbush Securities Inc. acted as underwriters. On January 31, 2017, we closed the sale of such shares, resulting in aggregate cash proceeds to us of approximately $80.2 million, net of underwriting discounts and commissions.</w:t>
      </w:r>
    </w:p>
    <w:p>
      <w:pPr>
        <w:spacing w:after="0" w:line="188" w:lineRule="exact"/>
        <w:rPr>
          <w:sz w:val="20"/>
          <w:szCs w:val="20"/>
          <w:color w:val="auto"/>
        </w:rPr>
      </w:pPr>
    </w:p>
    <w:p>
      <w:pPr>
        <w:ind w:right="360" w:firstLine="446"/>
        <w:spacing w:after="0" w:line="277" w:lineRule="auto"/>
        <w:rPr>
          <w:sz w:val="20"/>
          <w:szCs w:val="20"/>
          <w:color w:val="auto"/>
        </w:rPr>
      </w:pPr>
      <w:r>
        <w:rPr>
          <w:rFonts w:ascii="Arial" w:cs="Arial" w:eastAsia="Arial" w:hAnsi="Arial"/>
          <w:sz w:val="18"/>
          <w:szCs w:val="18"/>
          <w:color w:val="auto"/>
        </w:rPr>
        <w:t>There has been no material change in the expected use of the net proceeds from our IPO, as described in our final prospectus filed with the SEC on January 26, 2017 pursuant to Rule 424(b) under the Securities Act of 1933, as amended.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76"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exhibits filed or furnished as part of this Quarterly Report on Form 10-Q are set forth on the Exhibit Index, below.</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219"/>
          </w:cols>
          <w:pgMar w:left="240" w:top="688" w:right="1440" w:bottom="1440" w:gutter="0" w:footer="0" w:header="0"/>
        </w:sectPr>
      </w:pPr>
    </w:p>
    <w:bookmarkStart w:id="66" w:name="page67"/>
    <w:bookmarkEnd w:id="66"/>
    <w:tbl>
      <w:tblPr>
        <w:tblLayout w:type="fixed"/>
        <w:tblInd w:w="22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0000" w:type="dxa"/>
            <w:vAlign w:val="bottom"/>
            <w:gridSpan w:val="5"/>
          </w:tcPr>
          <w:p>
            <w:pPr>
              <w:ind w:left="3840"/>
              <w:spacing w:after="0"/>
              <w:rPr>
                <w:sz w:val="20"/>
                <w:szCs w:val="20"/>
                <w:color w:val="auto"/>
              </w:rPr>
            </w:pPr>
            <w:r>
              <w:rPr>
                <w:rFonts w:ascii="Arial" w:cs="Arial" w:eastAsia="Arial" w:hAnsi="Arial"/>
                <w:sz w:val="18"/>
                <w:szCs w:val="18"/>
                <w:b w:val="1"/>
                <w:bCs w:val="1"/>
                <w:color w:val="auto"/>
              </w:rPr>
              <w:t>EXHIBIT INDEX</w:t>
            </w:r>
          </w:p>
        </w:tc>
      </w:tr>
      <w:tr>
        <w:trPr>
          <w:trHeight w:val="351"/>
        </w:trPr>
        <w:tc>
          <w:tcPr>
            <w:tcW w:w="96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63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6"/>
                <w:szCs w:val="16"/>
                <w:b w:val="1"/>
                <w:bCs w:val="1"/>
                <w:color w:val="auto"/>
              </w:rPr>
              <w:t>Number</w:t>
            </w:r>
          </w:p>
        </w:tc>
        <w:tc>
          <w:tcPr>
            <w:tcW w:w="10000" w:type="dxa"/>
            <w:vAlign w:val="bottom"/>
            <w:gridSpan w:val="5"/>
          </w:tcPr>
          <w:p>
            <w:pPr>
              <w:ind w:left="4360"/>
              <w:spacing w:after="0"/>
              <w:rPr>
                <w:sz w:val="20"/>
                <w:szCs w:val="20"/>
                <w:color w:val="auto"/>
              </w:rPr>
            </w:pPr>
            <w:r>
              <w:rPr>
                <w:rFonts w:ascii="Arial" w:cs="Arial" w:eastAsia="Arial" w:hAnsi="Arial"/>
                <w:sz w:val="16"/>
                <w:szCs w:val="16"/>
                <w:b w:val="1"/>
                <w:bCs w:val="1"/>
                <w:color w:val="auto"/>
              </w:rPr>
              <w:t>Exhibit Description</w:t>
            </w:r>
          </w:p>
        </w:tc>
      </w:tr>
      <w:tr>
        <w:trPr>
          <w:trHeight w:val="303"/>
        </w:trPr>
        <w:tc>
          <w:tcPr>
            <w:tcW w:w="960" w:type="dxa"/>
            <w:vAlign w:val="bottom"/>
          </w:tcPr>
          <w:p>
            <w:pPr>
              <w:jc w:val="center"/>
              <w:ind w:right="279"/>
              <w:spacing w:after="0"/>
              <w:rPr>
                <w:sz w:val="20"/>
                <w:szCs w:val="20"/>
                <w:color w:val="auto"/>
              </w:rPr>
            </w:pPr>
            <w:r>
              <w:rPr>
                <w:rFonts w:ascii="Arial" w:cs="Arial" w:eastAsia="Arial" w:hAnsi="Arial"/>
                <w:sz w:val="16"/>
                <w:szCs w:val="16"/>
                <w:color w:val="auto"/>
                <w:w w:val="89"/>
              </w:rPr>
              <w:t>10.15</w:t>
            </w:r>
          </w:p>
        </w:tc>
        <w:tc>
          <w:tcPr>
            <w:tcW w:w="10000" w:type="dxa"/>
            <w:vAlign w:val="bottom"/>
            <w:gridSpan w:val="5"/>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Employment Agreement, effective August 6, 2018, by and between Registrant and Eric Loumeau</w:t>
              </w:r>
            </w:hyperlink>
          </w:p>
        </w:tc>
      </w:tr>
      <w:tr>
        <w:trPr>
          <w:trHeight w:val="20"/>
        </w:trPr>
        <w:tc>
          <w:tcPr>
            <w:tcW w:w="960" w:type="dxa"/>
            <w:vAlign w:val="bottom"/>
          </w:tcPr>
          <w:p>
            <w:pPr>
              <w:spacing w:after="0" w:line="20" w:lineRule="exact"/>
              <w:rPr>
                <w:sz w:val="1"/>
                <w:szCs w:val="1"/>
                <w:color w:val="auto"/>
              </w:rPr>
            </w:pPr>
          </w:p>
        </w:tc>
        <w:tc>
          <w:tcPr>
            <w:tcW w:w="6320" w:type="dxa"/>
            <w:vAlign w:val="bottom"/>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960" w:type="dxa"/>
            <w:vAlign w:val="bottom"/>
          </w:tcPr>
          <w:p>
            <w:pPr>
              <w:jc w:val="center"/>
              <w:ind w:right="279"/>
              <w:spacing w:after="0"/>
              <w:rPr>
                <w:sz w:val="20"/>
                <w:szCs w:val="20"/>
                <w:color w:val="auto"/>
              </w:rPr>
            </w:pPr>
            <w:r>
              <w:rPr>
                <w:rFonts w:ascii="Arial" w:cs="Arial" w:eastAsia="Arial" w:hAnsi="Arial"/>
                <w:sz w:val="16"/>
                <w:szCs w:val="16"/>
                <w:color w:val="auto"/>
                <w:w w:val="89"/>
              </w:rPr>
              <w:t>31.1</w:t>
            </w:r>
          </w:p>
        </w:tc>
        <w:tc>
          <w:tcPr>
            <w:tcW w:w="10000" w:type="dxa"/>
            <w:vAlign w:val="bottom"/>
            <w:tcBorders>
              <w:bottom w:val="single" w:sz="8" w:color="0000FF"/>
            </w:tcBorders>
            <w:gridSpan w:val="5"/>
          </w:tcPr>
          <w:p>
            <w:pPr>
              <w:spacing w:after="0"/>
              <w:rPr>
                <w:rFonts w:ascii="Arial" w:cs="Arial" w:eastAsia="Arial" w:hAnsi="Arial"/>
                <w:sz w:val="16"/>
                <w:szCs w:val="16"/>
                <w:color w:val="0000FF"/>
                <w:w w:val="92"/>
              </w:rPr>
            </w:pPr>
            <w:hyperlink w:anchor="page80">
              <w:r>
                <w:rPr>
                  <w:rFonts w:ascii="Arial" w:cs="Arial" w:eastAsia="Arial" w:hAnsi="Arial"/>
                  <w:sz w:val="16"/>
                  <w:szCs w:val="16"/>
                  <w:color w:val="0000FF"/>
                  <w:w w:val="92"/>
                </w:rPr>
                <w:t>Certification of Principal Executive Officer, pursuant to Rule 13a-14(a)/15d-14(a), as adopted pursuant to Section 302 of the Sarbanes-Oxley Act of 2002.</w:t>
              </w:r>
            </w:hyperlink>
          </w:p>
        </w:tc>
      </w:tr>
      <w:tr>
        <w:trPr>
          <w:trHeight w:val="318"/>
        </w:trPr>
        <w:tc>
          <w:tcPr>
            <w:tcW w:w="960" w:type="dxa"/>
            <w:vAlign w:val="bottom"/>
          </w:tcPr>
          <w:p>
            <w:pPr>
              <w:jc w:val="center"/>
              <w:ind w:right="279"/>
              <w:spacing w:after="0"/>
              <w:rPr>
                <w:sz w:val="20"/>
                <w:szCs w:val="20"/>
                <w:color w:val="auto"/>
              </w:rPr>
            </w:pPr>
            <w:r>
              <w:rPr>
                <w:rFonts w:ascii="Arial" w:cs="Arial" w:eastAsia="Arial" w:hAnsi="Arial"/>
                <w:sz w:val="16"/>
                <w:szCs w:val="16"/>
                <w:color w:val="auto"/>
                <w:w w:val="89"/>
              </w:rPr>
              <w:t>31.2</w:t>
            </w:r>
          </w:p>
        </w:tc>
        <w:tc>
          <w:tcPr>
            <w:tcW w:w="10000" w:type="dxa"/>
            <w:vAlign w:val="bottom"/>
            <w:gridSpan w:val="5"/>
          </w:tcPr>
          <w:p>
            <w:pPr>
              <w:spacing w:after="0"/>
              <w:rPr>
                <w:rFonts w:ascii="Arial" w:cs="Arial" w:eastAsia="Arial" w:hAnsi="Arial"/>
                <w:sz w:val="16"/>
                <w:szCs w:val="16"/>
                <w:color w:val="0000FF"/>
                <w:w w:val="93"/>
              </w:rPr>
            </w:pPr>
            <w:hyperlink w:anchor="page81">
              <w:r>
                <w:rPr>
                  <w:rFonts w:ascii="Arial" w:cs="Arial" w:eastAsia="Arial" w:hAnsi="Arial"/>
                  <w:sz w:val="16"/>
                  <w:szCs w:val="16"/>
                  <w:color w:val="0000FF"/>
                  <w:w w:val="93"/>
                </w:rPr>
                <w:t>Certification of Principal Financial Officer, pursuant to Rule 13a-14(a)/15d-14(a), as adopted pursuant to Section 302 of the Sarbanes-Oxley Act of 2002</w:t>
              </w:r>
            </w:hyperlink>
          </w:p>
        </w:tc>
      </w:tr>
      <w:tr>
        <w:trPr>
          <w:trHeight w:val="318"/>
        </w:trPr>
        <w:tc>
          <w:tcPr>
            <w:tcW w:w="960" w:type="dxa"/>
            <w:vAlign w:val="bottom"/>
          </w:tcPr>
          <w:p>
            <w:pPr>
              <w:jc w:val="center"/>
              <w:ind w:right="279"/>
              <w:spacing w:after="0"/>
              <w:rPr>
                <w:sz w:val="20"/>
                <w:szCs w:val="20"/>
                <w:color w:val="auto"/>
              </w:rPr>
            </w:pPr>
            <w:r>
              <w:rPr>
                <w:rFonts w:ascii="Arial" w:cs="Arial" w:eastAsia="Arial" w:hAnsi="Arial"/>
                <w:sz w:val="16"/>
                <w:szCs w:val="16"/>
                <w:color w:val="auto"/>
                <w:w w:val="96"/>
              </w:rPr>
              <w:t>32.1*</w:t>
            </w:r>
          </w:p>
        </w:tc>
        <w:tc>
          <w:tcPr>
            <w:tcW w:w="9660" w:type="dxa"/>
            <w:vAlign w:val="bottom"/>
            <w:tcBorders>
              <w:top w:val="single" w:sz="8" w:color="0000FF"/>
              <w:bottom w:val="single" w:sz="8" w:color="0000FF"/>
            </w:tcBorders>
            <w:gridSpan w:val="3"/>
          </w:tcPr>
          <w:p>
            <w:pPr>
              <w:spacing w:after="0"/>
              <w:rPr>
                <w:rFonts w:ascii="Arial" w:cs="Arial" w:eastAsia="Arial" w:hAnsi="Arial"/>
                <w:sz w:val="16"/>
                <w:szCs w:val="16"/>
                <w:color w:val="0000FF"/>
                <w:w w:val="92"/>
              </w:rPr>
            </w:pPr>
            <w:hyperlink w:anchor="page82">
              <w:r>
                <w:rPr>
                  <w:rFonts w:ascii="Arial" w:cs="Arial" w:eastAsia="Arial" w:hAnsi="Arial"/>
                  <w:sz w:val="16"/>
                  <w:szCs w:val="16"/>
                  <w:color w:val="0000FF"/>
                  <w:w w:val="92"/>
                </w:rPr>
                <w:t>Certification of Chief Executive Officer, pursuant to 18 U.S.C. Section 1350, as adopted pursuant to Section 906 of the Sarbanes-Oxley Act of 2002.</w:t>
              </w:r>
            </w:hyperlink>
          </w:p>
        </w:tc>
        <w:tc>
          <w:tcPr>
            <w:tcW w:w="2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r>
      <w:tr>
        <w:trPr>
          <w:trHeight w:val="318"/>
        </w:trPr>
        <w:tc>
          <w:tcPr>
            <w:tcW w:w="960" w:type="dxa"/>
            <w:vAlign w:val="bottom"/>
          </w:tcPr>
          <w:p>
            <w:pPr>
              <w:jc w:val="center"/>
              <w:ind w:right="279"/>
              <w:spacing w:after="0"/>
              <w:rPr>
                <w:sz w:val="20"/>
                <w:szCs w:val="20"/>
                <w:color w:val="auto"/>
              </w:rPr>
            </w:pPr>
            <w:r>
              <w:rPr>
                <w:rFonts w:ascii="Arial" w:cs="Arial" w:eastAsia="Arial" w:hAnsi="Arial"/>
                <w:sz w:val="16"/>
                <w:szCs w:val="16"/>
                <w:color w:val="auto"/>
                <w:w w:val="96"/>
              </w:rPr>
              <w:t>32.2*</w:t>
            </w:r>
          </w:p>
        </w:tc>
        <w:tc>
          <w:tcPr>
            <w:tcW w:w="10000" w:type="dxa"/>
            <w:vAlign w:val="bottom"/>
            <w:gridSpan w:val="5"/>
          </w:tcPr>
          <w:p>
            <w:pPr>
              <w:spacing w:after="0"/>
              <w:rPr>
                <w:rFonts w:ascii="Arial" w:cs="Arial" w:eastAsia="Arial" w:hAnsi="Arial"/>
                <w:sz w:val="16"/>
                <w:szCs w:val="16"/>
                <w:color w:val="0000FF"/>
                <w:w w:val="95"/>
              </w:rPr>
            </w:pPr>
            <w:hyperlink w:anchor="page83">
              <w:r>
                <w:rPr>
                  <w:rFonts w:ascii="Arial" w:cs="Arial" w:eastAsia="Arial" w:hAnsi="Arial"/>
                  <w:sz w:val="16"/>
                  <w:szCs w:val="16"/>
                  <w:color w:val="0000FF"/>
                  <w:w w:val="95"/>
                </w:rPr>
                <w:t>Certification of Chief Financial Officer, pursuant to 18 U.S.C. Section 1350, as adopted pursuant to Section 906 of the Sarbanes-Oxley Act of 2002.</w:t>
              </w:r>
            </w:hyperlink>
          </w:p>
        </w:tc>
      </w:tr>
      <w:tr>
        <w:trPr>
          <w:trHeight w:val="352"/>
        </w:trPr>
        <w:tc>
          <w:tcPr>
            <w:tcW w:w="960" w:type="dxa"/>
            <w:vAlign w:val="bottom"/>
          </w:tcPr>
          <w:p>
            <w:pPr>
              <w:ind w:left="20"/>
              <w:spacing w:after="0"/>
              <w:rPr>
                <w:sz w:val="20"/>
                <w:szCs w:val="20"/>
                <w:color w:val="auto"/>
              </w:rPr>
            </w:pPr>
            <w:r>
              <w:rPr>
                <w:rFonts w:ascii="Arial" w:cs="Arial" w:eastAsia="Arial" w:hAnsi="Arial"/>
                <w:sz w:val="16"/>
                <w:szCs w:val="16"/>
                <w:color w:val="auto"/>
              </w:rPr>
              <w:t>101.INS</w:t>
            </w:r>
          </w:p>
        </w:tc>
        <w:tc>
          <w:tcPr>
            <w:tcW w:w="960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auto"/>
              </w:rPr>
              <w:t>XBRL Report Instance Document</w:t>
            </w:r>
          </w:p>
        </w:tc>
        <w:tc>
          <w:tcPr>
            <w:tcW w:w="400" w:type="dxa"/>
            <w:vAlign w:val="bottom"/>
            <w:gridSpan w:val="3"/>
          </w:tcPr>
          <w:p>
            <w:pPr>
              <w:spacing w:after="0"/>
              <w:rPr>
                <w:sz w:val="24"/>
                <w:szCs w:val="24"/>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6"/>
                <w:szCs w:val="16"/>
                <w:color w:val="auto"/>
              </w:rPr>
              <w:t>101.SCH</w:t>
            </w:r>
          </w:p>
        </w:tc>
        <w:tc>
          <w:tcPr>
            <w:tcW w:w="10000" w:type="dxa"/>
            <w:vAlign w:val="bottom"/>
            <w:gridSpan w:val="5"/>
          </w:tcPr>
          <w:p>
            <w:pPr>
              <w:spacing w:after="0"/>
              <w:rPr>
                <w:sz w:val="20"/>
                <w:szCs w:val="20"/>
                <w:color w:val="auto"/>
              </w:rPr>
            </w:pPr>
            <w:r>
              <w:rPr>
                <w:rFonts w:ascii="Arial" w:cs="Arial" w:eastAsia="Arial" w:hAnsi="Arial"/>
                <w:sz w:val="16"/>
                <w:szCs w:val="16"/>
                <w:color w:val="auto"/>
              </w:rPr>
              <w:t>XBRL Taxonomy Extension Schema Document</w:t>
            </w:r>
          </w:p>
        </w:tc>
      </w:tr>
      <w:tr>
        <w:trPr>
          <w:trHeight w:val="338"/>
        </w:trPr>
        <w:tc>
          <w:tcPr>
            <w:tcW w:w="960" w:type="dxa"/>
            <w:vAlign w:val="bottom"/>
          </w:tcPr>
          <w:p>
            <w:pPr>
              <w:spacing w:after="0"/>
              <w:rPr>
                <w:sz w:val="20"/>
                <w:szCs w:val="20"/>
                <w:color w:val="auto"/>
              </w:rPr>
            </w:pPr>
            <w:r>
              <w:rPr>
                <w:rFonts w:ascii="Arial" w:cs="Arial" w:eastAsia="Arial" w:hAnsi="Arial"/>
                <w:sz w:val="16"/>
                <w:szCs w:val="16"/>
                <w:color w:val="auto"/>
              </w:rPr>
              <w:t>101.CAL</w:t>
            </w:r>
          </w:p>
        </w:tc>
        <w:tc>
          <w:tcPr>
            <w:tcW w:w="10000" w:type="dxa"/>
            <w:vAlign w:val="bottom"/>
            <w:gridSpan w:val="5"/>
          </w:tcPr>
          <w:p>
            <w:pPr>
              <w:spacing w:after="0"/>
              <w:rPr>
                <w:sz w:val="20"/>
                <w:szCs w:val="20"/>
                <w:color w:val="auto"/>
              </w:rPr>
            </w:pPr>
            <w:r>
              <w:rPr>
                <w:rFonts w:ascii="Arial" w:cs="Arial" w:eastAsia="Arial" w:hAnsi="Arial"/>
                <w:sz w:val="16"/>
                <w:szCs w:val="16"/>
                <w:color w:val="auto"/>
              </w:rPr>
              <w:t>XBRL Taxonomy Calculation Linkbase Document</w:t>
            </w:r>
          </w:p>
        </w:tc>
      </w:tr>
      <w:tr>
        <w:trPr>
          <w:trHeight w:val="338"/>
        </w:trPr>
        <w:tc>
          <w:tcPr>
            <w:tcW w:w="960" w:type="dxa"/>
            <w:vAlign w:val="bottom"/>
          </w:tcPr>
          <w:p>
            <w:pPr>
              <w:spacing w:after="0"/>
              <w:rPr>
                <w:sz w:val="20"/>
                <w:szCs w:val="20"/>
                <w:color w:val="auto"/>
              </w:rPr>
            </w:pPr>
            <w:r>
              <w:rPr>
                <w:rFonts w:ascii="Arial" w:cs="Arial" w:eastAsia="Arial" w:hAnsi="Arial"/>
                <w:sz w:val="16"/>
                <w:szCs w:val="16"/>
                <w:color w:val="auto"/>
              </w:rPr>
              <w:t>101.LAB</w:t>
            </w:r>
          </w:p>
        </w:tc>
        <w:tc>
          <w:tcPr>
            <w:tcW w:w="10000" w:type="dxa"/>
            <w:vAlign w:val="bottom"/>
            <w:gridSpan w:val="5"/>
          </w:tcPr>
          <w:p>
            <w:pPr>
              <w:spacing w:after="0"/>
              <w:rPr>
                <w:sz w:val="20"/>
                <w:szCs w:val="20"/>
                <w:color w:val="auto"/>
              </w:rPr>
            </w:pPr>
            <w:r>
              <w:rPr>
                <w:rFonts w:ascii="Arial" w:cs="Arial" w:eastAsia="Arial" w:hAnsi="Arial"/>
                <w:sz w:val="16"/>
                <w:szCs w:val="16"/>
                <w:color w:val="auto"/>
              </w:rPr>
              <w:t>XBRL Taxonomy Label Linkbase Document</w:t>
            </w:r>
          </w:p>
        </w:tc>
      </w:tr>
      <w:tr>
        <w:trPr>
          <w:trHeight w:val="338"/>
        </w:trPr>
        <w:tc>
          <w:tcPr>
            <w:tcW w:w="960" w:type="dxa"/>
            <w:vAlign w:val="bottom"/>
          </w:tcPr>
          <w:p>
            <w:pPr>
              <w:ind w:left="20"/>
              <w:spacing w:after="0"/>
              <w:rPr>
                <w:sz w:val="20"/>
                <w:szCs w:val="20"/>
                <w:color w:val="auto"/>
              </w:rPr>
            </w:pPr>
            <w:r>
              <w:rPr>
                <w:rFonts w:ascii="Arial" w:cs="Arial" w:eastAsia="Arial" w:hAnsi="Arial"/>
                <w:sz w:val="16"/>
                <w:szCs w:val="16"/>
                <w:color w:val="auto"/>
              </w:rPr>
              <w:t>101.PRE</w:t>
            </w:r>
          </w:p>
        </w:tc>
        <w:tc>
          <w:tcPr>
            <w:tcW w:w="10000" w:type="dxa"/>
            <w:vAlign w:val="bottom"/>
            <w:gridSpan w:val="5"/>
          </w:tcPr>
          <w:p>
            <w:pPr>
              <w:spacing w:after="0"/>
              <w:rPr>
                <w:sz w:val="20"/>
                <w:szCs w:val="20"/>
                <w:color w:val="auto"/>
              </w:rPr>
            </w:pPr>
            <w:r>
              <w:rPr>
                <w:rFonts w:ascii="Arial" w:cs="Arial" w:eastAsia="Arial" w:hAnsi="Arial"/>
                <w:sz w:val="16"/>
                <w:szCs w:val="16"/>
                <w:color w:val="auto"/>
              </w:rPr>
              <w:t>XBRL Presentation Linkbase Document</w:t>
            </w:r>
          </w:p>
        </w:tc>
      </w:tr>
      <w:tr>
        <w:trPr>
          <w:trHeight w:val="338"/>
        </w:trPr>
        <w:tc>
          <w:tcPr>
            <w:tcW w:w="960" w:type="dxa"/>
            <w:vAlign w:val="bottom"/>
          </w:tcPr>
          <w:p>
            <w:pPr>
              <w:spacing w:after="0"/>
              <w:rPr>
                <w:sz w:val="20"/>
                <w:szCs w:val="20"/>
                <w:color w:val="auto"/>
              </w:rPr>
            </w:pPr>
            <w:r>
              <w:rPr>
                <w:rFonts w:ascii="Arial" w:cs="Arial" w:eastAsia="Arial" w:hAnsi="Arial"/>
                <w:sz w:val="16"/>
                <w:szCs w:val="16"/>
                <w:color w:val="auto"/>
              </w:rPr>
              <w:t>101.DEF</w:t>
            </w:r>
          </w:p>
        </w:tc>
        <w:tc>
          <w:tcPr>
            <w:tcW w:w="10000" w:type="dxa"/>
            <w:vAlign w:val="bottom"/>
            <w:gridSpan w:val="5"/>
          </w:tcPr>
          <w:p>
            <w:pPr>
              <w:spacing w:after="0"/>
              <w:rPr>
                <w:sz w:val="20"/>
                <w:szCs w:val="20"/>
                <w:color w:val="auto"/>
              </w:rPr>
            </w:pPr>
            <w:r>
              <w:rPr>
                <w:rFonts w:ascii="Arial" w:cs="Arial" w:eastAsia="Arial" w:hAnsi="Arial"/>
                <w:sz w:val="16"/>
                <w:szCs w:val="16"/>
                <w:color w:val="auto"/>
              </w:rPr>
              <w:t>XBRL Taxonomy Extension Definition Linkbase Document</w:t>
            </w:r>
          </w:p>
        </w:tc>
      </w:tr>
    </w:tbl>
    <w:p>
      <w:pPr>
        <w:spacing w:after="0" w:line="32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364" w:right="319" w:bottom="1440" w:gutter="0" w:footer="0" w:header="0"/>
        </w:sectPr>
      </w:pPr>
    </w:p>
    <w:bookmarkStart w:id="67" w:name="page68"/>
    <w:bookmarkEnd w:id="67"/>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7060" w:type="dxa"/>
            <w:vAlign w:val="bottom"/>
            <w:gridSpan w:val="2"/>
          </w:tcPr>
          <w:p>
            <w:pPr>
              <w:ind w:left="2060"/>
              <w:spacing w:after="0"/>
              <w:rPr>
                <w:sz w:val="20"/>
                <w:szCs w:val="20"/>
                <w:color w:val="auto"/>
              </w:rPr>
            </w:pPr>
            <w:r>
              <w:rPr>
                <w:rFonts w:ascii="Arial" w:cs="Arial" w:eastAsia="Arial" w:hAnsi="Arial"/>
                <w:sz w:val="18"/>
                <w:szCs w:val="18"/>
                <w:color w:val="auto"/>
              </w:rPr>
              <w:t>ANAPTYSBIO, INC.</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560" w:type="dxa"/>
            <w:vAlign w:val="bottom"/>
          </w:tcPr>
          <w:p>
            <w:pPr>
              <w:ind w:left="160"/>
              <w:spacing w:after="0"/>
              <w:rPr>
                <w:sz w:val="20"/>
                <w:szCs w:val="20"/>
                <w:color w:val="auto"/>
              </w:rPr>
            </w:pPr>
            <w:r>
              <w:rPr>
                <w:rFonts w:ascii="Arial" w:cs="Arial" w:eastAsia="Arial" w:hAnsi="Arial"/>
                <w:sz w:val="18"/>
                <w:szCs w:val="18"/>
                <w:color w:val="auto"/>
              </w:rPr>
              <w:t>November 8, 2018</w:t>
            </w:r>
          </w:p>
        </w:tc>
        <w:tc>
          <w:tcPr>
            <w:tcW w:w="2480" w:type="dxa"/>
            <w:vAlign w:val="bottom"/>
          </w:tcPr>
          <w:p>
            <w:pPr>
              <w:ind w:left="2060"/>
              <w:spacing w:after="0"/>
              <w:rPr>
                <w:sz w:val="20"/>
                <w:szCs w:val="20"/>
                <w:color w:val="auto"/>
              </w:rPr>
            </w:pPr>
            <w:r>
              <w:rPr>
                <w:rFonts w:ascii="Arial" w:cs="Arial" w:eastAsia="Arial" w:hAnsi="Arial"/>
                <w:sz w:val="18"/>
                <w:szCs w:val="18"/>
                <w:color w:val="auto"/>
              </w:rPr>
              <w:t>By:</w:t>
            </w:r>
          </w:p>
        </w:tc>
        <w:tc>
          <w:tcPr>
            <w:tcW w:w="4580" w:type="dxa"/>
            <w:vAlign w:val="bottom"/>
          </w:tcPr>
          <w:p>
            <w:pPr>
              <w:ind w:left="20"/>
              <w:spacing w:after="0"/>
              <w:rPr>
                <w:sz w:val="20"/>
                <w:szCs w:val="20"/>
                <w:color w:val="auto"/>
              </w:rPr>
            </w:pPr>
            <w:r>
              <w:rPr>
                <w:rFonts w:ascii="Arial" w:cs="Arial" w:eastAsia="Arial" w:hAnsi="Arial"/>
                <w:sz w:val="18"/>
                <w:szCs w:val="18"/>
                <w:color w:val="auto"/>
              </w:rPr>
              <w:t>/s/ Hamza Suria</w:t>
            </w:r>
          </w:p>
        </w:tc>
      </w:tr>
      <w:tr>
        <w:trPr>
          <w:trHeight w:val="41"/>
        </w:trPr>
        <w:tc>
          <w:tcPr>
            <w:tcW w:w="5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r>
      <w:tr>
        <w:trPr>
          <w:trHeight w:val="237"/>
        </w:trPr>
        <w:tc>
          <w:tcPr>
            <w:tcW w:w="5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Hamza Suria</w:t>
            </w:r>
          </w:p>
        </w:tc>
      </w:tr>
      <w:tr>
        <w:trPr>
          <w:trHeight w:val="270"/>
        </w:trPr>
        <w:tc>
          <w:tcPr>
            <w:tcW w:w="52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52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560" w:type="dxa"/>
            <w:vAlign w:val="bottom"/>
          </w:tcPr>
          <w:p>
            <w:pPr>
              <w:ind w:left="160"/>
              <w:spacing w:after="0"/>
              <w:rPr>
                <w:sz w:val="20"/>
                <w:szCs w:val="20"/>
                <w:color w:val="auto"/>
              </w:rPr>
            </w:pPr>
            <w:r>
              <w:rPr>
                <w:rFonts w:ascii="Arial" w:cs="Arial" w:eastAsia="Arial" w:hAnsi="Arial"/>
                <w:sz w:val="18"/>
                <w:szCs w:val="18"/>
                <w:color w:val="auto"/>
              </w:rPr>
              <w:t>November 8, 2018</w:t>
            </w:r>
          </w:p>
        </w:tc>
        <w:tc>
          <w:tcPr>
            <w:tcW w:w="2480" w:type="dxa"/>
            <w:vAlign w:val="bottom"/>
          </w:tcPr>
          <w:p>
            <w:pPr>
              <w:ind w:left="2060"/>
              <w:spacing w:after="0"/>
              <w:rPr>
                <w:sz w:val="20"/>
                <w:szCs w:val="20"/>
                <w:color w:val="auto"/>
              </w:rPr>
            </w:pPr>
            <w:r>
              <w:rPr>
                <w:rFonts w:ascii="Arial" w:cs="Arial" w:eastAsia="Arial" w:hAnsi="Arial"/>
                <w:sz w:val="18"/>
                <w:szCs w:val="18"/>
                <w:color w:val="auto"/>
              </w:rPr>
              <w:t>By:</w:t>
            </w:r>
          </w:p>
        </w:tc>
        <w:tc>
          <w:tcPr>
            <w:tcW w:w="4580" w:type="dxa"/>
            <w:vAlign w:val="bottom"/>
          </w:tcPr>
          <w:p>
            <w:pPr>
              <w:ind w:left="20"/>
              <w:spacing w:after="0"/>
              <w:rPr>
                <w:sz w:val="20"/>
                <w:szCs w:val="20"/>
                <w:color w:val="auto"/>
              </w:rPr>
            </w:pPr>
            <w:r>
              <w:rPr>
                <w:rFonts w:ascii="Arial" w:cs="Arial" w:eastAsia="Arial" w:hAnsi="Arial"/>
                <w:sz w:val="18"/>
                <w:szCs w:val="18"/>
                <w:color w:val="auto"/>
              </w:rPr>
              <w:t>/s/ Dominic G. Piscitelli</w:t>
            </w:r>
          </w:p>
        </w:tc>
      </w:tr>
      <w:tr>
        <w:trPr>
          <w:trHeight w:val="41"/>
        </w:trPr>
        <w:tc>
          <w:tcPr>
            <w:tcW w:w="5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r>
      <w:tr>
        <w:trPr>
          <w:trHeight w:val="237"/>
        </w:trPr>
        <w:tc>
          <w:tcPr>
            <w:tcW w:w="5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Dominic G. Piscitelli</w:t>
            </w:r>
          </w:p>
        </w:tc>
      </w:tr>
    </w:tbl>
    <w:p>
      <w:pPr>
        <w:spacing w:after="0" w:line="4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and Accounting Officer)</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20"/>
          </w:cols>
          <w:pgMar w:left="240" w:top="364"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194"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E</w:t>
      </w:r>
      <w:r>
        <w:rPr>
          <w:rFonts w:ascii="Arial" w:cs="Arial" w:eastAsia="Arial" w:hAnsi="Arial"/>
          <w:sz w:val="16"/>
          <w:szCs w:val="16"/>
          <w:b w:val="1"/>
          <w:bCs w:val="1"/>
          <w:color w:val="auto"/>
        </w:rPr>
        <w:t>MPLOYMENT</w:t>
      </w:r>
      <w:r>
        <w:rPr>
          <w:rFonts w:ascii="Arial" w:cs="Arial" w:eastAsia="Arial" w:hAnsi="Arial"/>
          <w:sz w:val="20"/>
          <w:szCs w:val="20"/>
          <w:color w:val="auto"/>
        </w:rPr>
        <w:t xml:space="preserve"> </w:t>
      </w:r>
      <w:r>
        <w:rPr>
          <w:rFonts w:ascii="Arial" w:cs="Arial" w:eastAsia="Arial" w:hAnsi="Arial"/>
          <w:sz w:val="20"/>
          <w:szCs w:val="20"/>
          <w:b w:val="1"/>
          <w:bCs w:val="1"/>
          <w:color w:val="auto"/>
        </w:rPr>
        <w:t>A</w:t>
      </w:r>
      <w:r>
        <w:rPr>
          <w:rFonts w:ascii="Arial" w:cs="Arial" w:eastAsia="Arial" w:hAnsi="Arial"/>
          <w:sz w:val="16"/>
          <w:szCs w:val="16"/>
          <w:b w:val="1"/>
          <w:bCs w:val="1"/>
          <w:color w:val="auto"/>
        </w:rPr>
        <w:t>GREEMENT</w:t>
      </w:r>
      <w:r>
        <w:rPr>
          <w:rFonts w:ascii="Arial" w:cs="Arial" w:eastAsia="Arial" w:hAnsi="Arial"/>
          <w:sz w:val="20"/>
          <w:szCs w:val="20"/>
          <w:color w:val="auto"/>
        </w:rPr>
        <w:t xml:space="preserve">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xml:space="preserve">) is made effective from August 6, 2018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xml:space="preserve">) by and among </w:t>
      </w:r>
      <w:r>
        <w:rPr>
          <w:rFonts w:ascii="Arial" w:cs="Arial" w:eastAsia="Arial" w:hAnsi="Arial"/>
          <w:sz w:val="20"/>
          <w:szCs w:val="20"/>
          <w:b w:val="1"/>
          <w:bCs w:val="1"/>
          <w:color w:val="auto"/>
        </w:rPr>
        <w:t>A</w:t>
      </w:r>
      <w:r>
        <w:rPr>
          <w:rFonts w:ascii="Arial" w:cs="Arial" w:eastAsia="Arial" w:hAnsi="Arial"/>
          <w:sz w:val="16"/>
          <w:szCs w:val="16"/>
          <w:b w:val="1"/>
          <w:bCs w:val="1"/>
          <w:color w:val="auto"/>
        </w:rPr>
        <w:t>NAPTYSBIO</w:t>
      </w:r>
      <w:r>
        <w:rPr>
          <w:rFonts w:ascii="Arial" w:cs="Arial" w:eastAsia="Arial" w:hAnsi="Arial"/>
          <w:sz w:val="20"/>
          <w:szCs w:val="20"/>
          <w:b w:val="1"/>
          <w:bCs w:val="1"/>
          <w:color w:val="auto"/>
        </w:rPr>
        <w:t>, I</w:t>
      </w:r>
      <w:r>
        <w:rPr>
          <w:rFonts w:ascii="Arial" w:cs="Arial" w:eastAsia="Arial" w:hAnsi="Arial"/>
          <w:sz w:val="16"/>
          <w:szCs w:val="16"/>
          <w:b w:val="1"/>
          <w:bCs w:val="1"/>
          <w:color w:val="auto"/>
        </w:rPr>
        <w:t>NC</w:t>
      </w:r>
      <w:r>
        <w:rPr>
          <w:rFonts w:ascii="Arial" w:cs="Arial" w:eastAsia="Arial" w:hAnsi="Arial"/>
          <w:sz w:val="20"/>
          <w:szCs w:val="20"/>
          <w:color w:val="auto"/>
        </w:rPr>
        <w:t>.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Eric Loumeau (“</w:t>
      </w:r>
      <w:r>
        <w:rPr>
          <w:rFonts w:ascii="Arial" w:cs="Arial" w:eastAsia="Arial" w:hAnsi="Arial"/>
          <w:sz w:val="20"/>
          <w:szCs w:val="20"/>
          <w:b w:val="1"/>
          <w:bCs w:val="1"/>
          <w:i w:val="1"/>
          <w:iCs w:val="1"/>
          <w:color w:val="auto"/>
        </w:rPr>
        <w:t>GC”</w:t>
      </w:r>
      <w:r>
        <w:rPr>
          <w:rFonts w:ascii="Arial" w:cs="Arial" w:eastAsia="Arial" w:hAnsi="Arial"/>
          <w:sz w:val="20"/>
          <w:szCs w:val="20"/>
          <w:color w:val="auto"/>
        </w:rPr>
        <w:t>). The Company and GC are hereinafter collectively referred to as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i w:val="1"/>
          <w:iCs w:val="1"/>
          <w:color w:val="auto"/>
        </w:rPr>
        <w:t>Parties</w:t>
      </w:r>
      <w:r>
        <w:rPr>
          <w:rFonts w:ascii="Arial" w:cs="Arial" w:eastAsia="Arial" w:hAnsi="Arial"/>
          <w:sz w:val="20"/>
          <w:szCs w:val="20"/>
          <w:color w:val="auto"/>
        </w:rPr>
        <w:t xml:space="preserve">,” and individually referred to as a </w:t>
      </w:r>
      <w:r>
        <w:rPr>
          <w:rFonts w:ascii="Arial" w:cs="Arial" w:eastAsia="Arial" w:hAnsi="Arial"/>
          <w:sz w:val="20"/>
          <w:szCs w:val="20"/>
          <w:b w:val="1"/>
          <w:bCs w:val="1"/>
          <w:i w:val="1"/>
          <w:iCs w:val="1"/>
          <w:color w:val="auto"/>
        </w:rPr>
        <w:t>“Party</w:t>
      </w:r>
      <w:r>
        <w:rPr>
          <w:rFonts w:ascii="Arial" w:cs="Arial" w:eastAsia="Arial" w:hAnsi="Arial"/>
          <w:sz w:val="20"/>
          <w:szCs w:val="20"/>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6"/>
          <w:szCs w:val="16"/>
          <w:b w:val="1"/>
          <w:bCs w:val="1"/>
          <w:color w:val="auto"/>
        </w:rPr>
        <w:t>ECITAL</w:t>
      </w:r>
    </w:p>
    <w:p>
      <w:pPr>
        <w:spacing w:after="0" w:line="12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20"/>
          <w:szCs w:val="20"/>
          <w:color w:val="auto"/>
        </w:rPr>
        <w:t>The Company desires to employ GC, and GC is willing to accept such employment by Company, on the terms and subject to the conditions set forth in this Agreement.</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w:t>
      </w:r>
    </w:p>
    <w:p>
      <w:pPr>
        <w:spacing w:after="0" w:line="13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20"/>
          <w:szCs w:val="20"/>
          <w:color w:val="auto"/>
        </w:rPr>
        <w:t>In consideration of the foregoing Recitals and the mutual promises and covenants herein contained, and for other good and valuable consideration, the Parties, intending to be legally bound, agree as follows:</w:t>
      </w:r>
    </w:p>
    <w:p>
      <w:pPr>
        <w:spacing w:after="0" w:line="63" w:lineRule="exact"/>
        <w:rPr>
          <w:sz w:val="20"/>
          <w:szCs w:val="20"/>
          <w:color w:val="auto"/>
        </w:rPr>
      </w:pPr>
    </w:p>
    <w:p>
      <w:pPr>
        <w:ind w:left="920" w:hanging="426"/>
        <w:spacing w:after="0"/>
        <w:tabs>
          <w:tab w:leader="none" w:pos="920" w:val="left"/>
        </w:tabs>
        <w:numPr>
          <w:ilvl w:val="0"/>
          <w:numId w:val="33"/>
        </w:numPr>
        <w:rPr>
          <w:rFonts w:ascii="Arial" w:cs="Arial" w:eastAsia="Arial" w:hAnsi="Arial"/>
          <w:sz w:val="20"/>
          <w:szCs w:val="20"/>
          <w:b w:val="1"/>
          <w:bCs w:val="1"/>
          <w:color w:val="010000"/>
        </w:rPr>
      </w:pPr>
      <w:r>
        <w:rPr>
          <w:rFonts w:ascii="Arial" w:cs="Arial" w:eastAsia="Arial" w:hAnsi="Arial"/>
          <w:sz w:val="20"/>
          <w:szCs w:val="20"/>
          <w:b w:val="1"/>
          <w:bCs w:val="1"/>
          <w:color w:val="auto"/>
        </w:rPr>
        <w:t>E</w:t>
      </w:r>
      <w:r>
        <w:rPr>
          <w:rFonts w:ascii="Arial" w:cs="Arial" w:eastAsia="Arial" w:hAnsi="Arial"/>
          <w:sz w:val="16"/>
          <w:szCs w:val="16"/>
          <w:b w:val="1"/>
          <w:bCs w:val="1"/>
          <w:color w:val="auto"/>
        </w:rPr>
        <w:t>MPLOYMENT</w:t>
      </w:r>
      <w:r>
        <w:rPr>
          <w:rFonts w:ascii="Arial" w:cs="Arial" w:eastAsia="Arial" w:hAnsi="Arial"/>
          <w:sz w:val="20"/>
          <w:szCs w:val="20"/>
          <w:b w:val="1"/>
          <w:bCs w:val="1"/>
          <w:color w:val="auto"/>
        </w:rPr>
        <w:t>.</w:t>
      </w:r>
    </w:p>
    <w:p>
      <w:pPr>
        <w:spacing w:after="0" w:line="229" w:lineRule="exact"/>
        <w:rPr>
          <w:sz w:val="20"/>
          <w:szCs w:val="20"/>
          <w:color w:val="auto"/>
        </w:rPr>
      </w:pPr>
    </w:p>
    <w:p>
      <w:pPr>
        <w:jc w:val="both"/>
        <w:ind w:firstLine="1134"/>
        <w:spacing w:after="0" w:line="267" w:lineRule="auto"/>
        <w:rPr>
          <w:sz w:val="20"/>
          <w:szCs w:val="20"/>
          <w:color w:val="auto"/>
        </w:rPr>
      </w:pPr>
      <w:r>
        <w:rPr>
          <w:rFonts w:ascii="Arial" w:cs="Arial" w:eastAsia="Arial" w:hAnsi="Arial"/>
          <w:sz w:val="20"/>
          <w:szCs w:val="20"/>
          <w:b w:val="1"/>
          <w:bCs w:val="1"/>
          <w:color w:val="010000"/>
        </w:rPr>
        <w:t xml:space="preserve">1.1 </w:t>
      </w:r>
      <w:r>
        <w:rPr>
          <w:rFonts w:ascii="Arial" w:cs="Arial" w:eastAsia="Arial" w:hAnsi="Arial"/>
          <w:sz w:val="20"/>
          <w:szCs w:val="20"/>
          <w:b w:val="1"/>
          <w:bCs w:val="1"/>
          <w:color w:val="000000"/>
        </w:rPr>
        <w:t>Title</w:t>
      </w:r>
      <w:r>
        <w:rPr>
          <w:rFonts w:ascii="Arial" w:cs="Arial" w:eastAsia="Arial" w:hAnsi="Arial"/>
          <w:sz w:val="20"/>
          <w:szCs w:val="20"/>
          <w:color w:val="000000"/>
        </w:rPr>
        <w:t>. Effective as of the Effective Date, GC’s position shall be General Counsel of the Company, subject to the terms and</w:t>
      </w:r>
      <w:r>
        <w:rPr>
          <w:rFonts w:ascii="Arial" w:cs="Arial" w:eastAsia="Arial" w:hAnsi="Arial"/>
          <w:sz w:val="20"/>
          <w:szCs w:val="20"/>
          <w:b w:val="1"/>
          <w:bCs w:val="1"/>
          <w:color w:val="010000"/>
        </w:rPr>
        <w:t xml:space="preserve"> </w:t>
      </w:r>
      <w:r>
        <w:rPr>
          <w:rFonts w:ascii="Arial" w:cs="Arial" w:eastAsia="Arial" w:hAnsi="Arial"/>
          <w:sz w:val="20"/>
          <w:szCs w:val="20"/>
          <w:color w:val="000000"/>
        </w:rPr>
        <w:t>conditions set forth in this Agreement.</w:t>
      </w:r>
    </w:p>
    <w:p>
      <w:pPr>
        <w:spacing w:after="0" w:line="164" w:lineRule="exact"/>
        <w:rPr>
          <w:sz w:val="20"/>
          <w:szCs w:val="20"/>
          <w:color w:val="auto"/>
        </w:rPr>
      </w:pPr>
    </w:p>
    <w:p>
      <w:pPr>
        <w:jc w:val="both"/>
        <w:ind w:firstLine="1134"/>
        <w:spacing w:after="0" w:line="267" w:lineRule="auto"/>
        <w:rPr>
          <w:sz w:val="20"/>
          <w:szCs w:val="20"/>
          <w:color w:val="auto"/>
        </w:rPr>
      </w:pPr>
      <w:r>
        <w:rPr>
          <w:rFonts w:ascii="Arial" w:cs="Arial" w:eastAsia="Arial" w:hAnsi="Arial"/>
          <w:sz w:val="20"/>
          <w:szCs w:val="20"/>
          <w:b w:val="1"/>
          <w:bCs w:val="1"/>
          <w:color w:val="010000"/>
        </w:rPr>
        <w:t xml:space="preserve">1.2 </w:t>
      </w:r>
      <w:r>
        <w:rPr>
          <w:rFonts w:ascii="Arial" w:cs="Arial" w:eastAsia="Arial" w:hAnsi="Arial"/>
          <w:sz w:val="20"/>
          <w:szCs w:val="20"/>
          <w:b w:val="1"/>
          <w:bCs w:val="1"/>
          <w:color w:val="000000"/>
        </w:rPr>
        <w:t>Term</w:t>
      </w:r>
      <w:r>
        <w:rPr>
          <w:rFonts w:ascii="Arial" w:cs="Arial" w:eastAsia="Arial" w:hAnsi="Arial"/>
          <w:sz w:val="20"/>
          <w:szCs w:val="20"/>
          <w:color w:val="000000"/>
        </w:rPr>
        <w:t>. The term of this Agreement shall begin on the Effective Date and shall continue until it is terminated pursuant to</w:t>
      </w:r>
      <w:r>
        <w:rPr>
          <w:rFonts w:ascii="Arial" w:cs="Arial" w:eastAsia="Arial" w:hAnsi="Arial"/>
          <w:sz w:val="20"/>
          <w:szCs w:val="20"/>
          <w:b w:val="1"/>
          <w:bCs w:val="1"/>
          <w:color w:val="010000"/>
        </w:rPr>
        <w:t xml:space="preserve"> </w:t>
      </w:r>
      <w:r>
        <w:rPr>
          <w:rFonts w:ascii="Arial" w:cs="Arial" w:eastAsia="Arial" w:hAnsi="Arial"/>
          <w:sz w:val="20"/>
          <w:szCs w:val="20"/>
          <w:color w:val="000000"/>
        </w:rPr>
        <w:t>Section 4 herein (the “</w:t>
      </w:r>
      <w:r>
        <w:rPr>
          <w:rFonts w:ascii="Arial" w:cs="Arial" w:eastAsia="Arial" w:hAnsi="Arial"/>
          <w:sz w:val="20"/>
          <w:szCs w:val="20"/>
          <w:b w:val="1"/>
          <w:bCs w:val="1"/>
          <w:i w:val="1"/>
          <w:iCs w:val="1"/>
          <w:color w:val="000000"/>
        </w:rPr>
        <w:t>Term”</w:t>
      </w:r>
      <w:r>
        <w:rPr>
          <w:rFonts w:ascii="Arial" w:cs="Arial" w:eastAsia="Arial" w:hAnsi="Arial"/>
          <w:sz w:val="20"/>
          <w:szCs w:val="20"/>
          <w:color w:val="000000"/>
        </w:rPr>
        <w:t>).</w:t>
      </w:r>
    </w:p>
    <w:p>
      <w:pPr>
        <w:spacing w:after="0" w:line="164" w:lineRule="exact"/>
        <w:rPr>
          <w:sz w:val="20"/>
          <w:szCs w:val="20"/>
          <w:color w:val="auto"/>
        </w:rPr>
      </w:pPr>
    </w:p>
    <w:p>
      <w:pPr>
        <w:jc w:val="both"/>
        <w:ind w:firstLine="1134"/>
        <w:spacing w:after="0" w:line="266" w:lineRule="auto"/>
        <w:rPr>
          <w:sz w:val="20"/>
          <w:szCs w:val="20"/>
          <w:color w:val="auto"/>
        </w:rPr>
      </w:pPr>
      <w:r>
        <w:rPr>
          <w:rFonts w:ascii="Arial" w:cs="Arial" w:eastAsia="Arial" w:hAnsi="Arial"/>
          <w:sz w:val="19"/>
          <w:szCs w:val="19"/>
          <w:b w:val="1"/>
          <w:bCs w:val="1"/>
          <w:color w:val="010000"/>
        </w:rPr>
        <w:t xml:space="preserve">1.3 </w:t>
      </w:r>
      <w:r>
        <w:rPr>
          <w:rFonts w:ascii="Arial" w:cs="Arial" w:eastAsia="Arial" w:hAnsi="Arial"/>
          <w:sz w:val="19"/>
          <w:szCs w:val="19"/>
          <w:b w:val="1"/>
          <w:bCs w:val="1"/>
          <w:color w:val="000000"/>
        </w:rPr>
        <w:t>Duties</w:t>
      </w:r>
      <w:r>
        <w:rPr>
          <w:rFonts w:ascii="Arial" w:cs="Arial" w:eastAsia="Arial" w:hAnsi="Arial"/>
          <w:sz w:val="19"/>
          <w:szCs w:val="19"/>
          <w:color w:val="000000"/>
        </w:rPr>
        <w:t>. GC shall do and perform all services, acts or things necessary or advisable to manage and conduct the business of</w:t>
      </w:r>
      <w:r>
        <w:rPr>
          <w:rFonts w:ascii="Arial" w:cs="Arial" w:eastAsia="Arial" w:hAnsi="Arial"/>
          <w:sz w:val="19"/>
          <w:szCs w:val="19"/>
          <w:b w:val="1"/>
          <w:bCs w:val="1"/>
          <w:color w:val="010000"/>
        </w:rPr>
        <w:t xml:space="preserve"> </w:t>
      </w:r>
      <w:r>
        <w:rPr>
          <w:rFonts w:ascii="Arial" w:cs="Arial" w:eastAsia="Arial" w:hAnsi="Arial"/>
          <w:sz w:val="19"/>
          <w:szCs w:val="19"/>
          <w:color w:val="000000"/>
        </w:rPr>
        <w:t>the Company and that are normally associated with the position of General Counsel. GC shall also do and perform all services, acts or things necessary or advisable to manage and conduct the business of the Company and that are normally associated with the positions of Secretary and Chief Compliance Officer of the Company. [GC shall report to the Chief Executive Officer].</w:t>
      </w:r>
    </w:p>
    <w:p>
      <w:pPr>
        <w:spacing w:after="0" w:line="166" w:lineRule="exact"/>
        <w:rPr>
          <w:sz w:val="20"/>
          <w:szCs w:val="20"/>
          <w:color w:val="auto"/>
        </w:rPr>
      </w:pPr>
    </w:p>
    <w:p>
      <w:pPr>
        <w:jc w:val="both"/>
        <w:ind w:firstLine="1134"/>
        <w:spacing w:after="0" w:line="248" w:lineRule="auto"/>
        <w:rPr>
          <w:sz w:val="20"/>
          <w:szCs w:val="20"/>
          <w:color w:val="auto"/>
        </w:rPr>
      </w:pPr>
      <w:r>
        <w:rPr>
          <w:rFonts w:ascii="Arial" w:cs="Arial" w:eastAsia="Arial" w:hAnsi="Arial"/>
          <w:sz w:val="20"/>
          <w:szCs w:val="20"/>
          <w:b w:val="1"/>
          <w:bCs w:val="1"/>
          <w:color w:val="010000"/>
        </w:rPr>
        <w:t xml:space="preserve">1.4 </w:t>
      </w:r>
      <w:r>
        <w:rPr>
          <w:rFonts w:ascii="Arial" w:cs="Arial" w:eastAsia="Arial" w:hAnsi="Arial"/>
          <w:sz w:val="20"/>
          <w:szCs w:val="20"/>
          <w:b w:val="1"/>
          <w:bCs w:val="1"/>
          <w:color w:val="000000"/>
        </w:rPr>
        <w:t>Policies and Practices</w:t>
      </w:r>
      <w:r>
        <w:rPr>
          <w:rFonts w:ascii="Arial" w:cs="Arial" w:eastAsia="Arial" w:hAnsi="Arial"/>
          <w:sz w:val="20"/>
          <w:szCs w:val="20"/>
          <w:color w:val="000000"/>
        </w:rPr>
        <w:t>. The employment relationship between the Parties shall be governed by this Agreement and by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policies and practices established by the Company and/or the Board, or any designated committee thereof. In the event that the terms of this Agreement differ from or are in conflict with the Company’s policies or practices or the Company’s Employee Handbook, this Agreement shall control.</w:t>
      </w:r>
    </w:p>
    <w:p>
      <w:pPr>
        <w:spacing w:after="0" w:line="184" w:lineRule="exact"/>
        <w:rPr>
          <w:sz w:val="20"/>
          <w:szCs w:val="20"/>
          <w:color w:val="auto"/>
        </w:rPr>
      </w:pPr>
    </w:p>
    <w:p>
      <w:pPr>
        <w:jc w:val="both"/>
        <w:ind w:firstLine="1134"/>
        <w:spacing w:after="0" w:line="253" w:lineRule="auto"/>
        <w:rPr>
          <w:sz w:val="20"/>
          <w:szCs w:val="20"/>
          <w:color w:val="auto"/>
        </w:rPr>
      </w:pPr>
      <w:r>
        <w:rPr>
          <w:rFonts w:ascii="Arial" w:cs="Arial" w:eastAsia="Arial" w:hAnsi="Arial"/>
          <w:sz w:val="20"/>
          <w:szCs w:val="20"/>
          <w:b w:val="1"/>
          <w:bCs w:val="1"/>
          <w:color w:val="010000"/>
        </w:rPr>
        <w:t xml:space="preserve">1.5 </w:t>
      </w:r>
      <w:r>
        <w:rPr>
          <w:rFonts w:ascii="Arial" w:cs="Arial" w:eastAsia="Arial" w:hAnsi="Arial"/>
          <w:sz w:val="20"/>
          <w:szCs w:val="20"/>
          <w:b w:val="1"/>
          <w:bCs w:val="1"/>
          <w:color w:val="000000"/>
        </w:rPr>
        <w:t>Location</w:t>
      </w:r>
      <w:r>
        <w:rPr>
          <w:rFonts w:ascii="Arial" w:cs="Arial" w:eastAsia="Arial" w:hAnsi="Arial"/>
          <w:sz w:val="20"/>
          <w:szCs w:val="20"/>
          <w:color w:val="000000"/>
        </w:rPr>
        <w:t>. Unless the Parties otherwise agree in writing, during the Term GC shall perform the services GC is required to</w:t>
      </w:r>
      <w:r>
        <w:rPr>
          <w:rFonts w:ascii="Arial" w:cs="Arial" w:eastAsia="Arial" w:hAnsi="Arial"/>
          <w:sz w:val="20"/>
          <w:szCs w:val="20"/>
          <w:b w:val="1"/>
          <w:bCs w:val="1"/>
          <w:color w:val="010000"/>
        </w:rPr>
        <w:t xml:space="preserve"> </w:t>
      </w:r>
      <w:r>
        <w:rPr>
          <w:rFonts w:ascii="Arial" w:cs="Arial" w:eastAsia="Arial" w:hAnsi="Arial"/>
          <w:sz w:val="20"/>
          <w:szCs w:val="20"/>
          <w:color w:val="000000"/>
        </w:rPr>
        <w:t>perform pursuant to this Agreement at the Company’s offices in San Diego, California, provided, however, that the Company may from time to time require GC to travel temporarily to other locations in connection with the Company’s business.</w:t>
      </w:r>
    </w:p>
    <w:p>
      <w:pPr>
        <w:spacing w:after="0" w:line="178" w:lineRule="exact"/>
        <w:rPr>
          <w:sz w:val="20"/>
          <w:szCs w:val="20"/>
          <w:color w:val="auto"/>
        </w:rPr>
      </w:pPr>
    </w:p>
    <w:p>
      <w:pPr>
        <w:ind w:left="920" w:hanging="426"/>
        <w:spacing w:after="0"/>
        <w:tabs>
          <w:tab w:leader="none" w:pos="920" w:val="left"/>
        </w:tabs>
        <w:numPr>
          <w:ilvl w:val="0"/>
          <w:numId w:val="34"/>
        </w:numPr>
        <w:rPr>
          <w:rFonts w:ascii="Arial" w:cs="Arial" w:eastAsia="Arial" w:hAnsi="Arial"/>
          <w:sz w:val="20"/>
          <w:szCs w:val="20"/>
          <w:b w:val="1"/>
          <w:bCs w:val="1"/>
          <w:color w:val="010000"/>
        </w:rPr>
      </w:pPr>
      <w:r>
        <w:rPr>
          <w:rFonts w:ascii="Arial" w:cs="Arial" w:eastAsia="Arial" w:hAnsi="Arial"/>
          <w:sz w:val="20"/>
          <w:szCs w:val="20"/>
          <w:b w:val="1"/>
          <w:bCs w:val="1"/>
          <w:color w:val="auto"/>
        </w:rPr>
        <w:t>L</w:t>
      </w:r>
      <w:r>
        <w:rPr>
          <w:rFonts w:ascii="Arial" w:cs="Arial" w:eastAsia="Arial" w:hAnsi="Arial"/>
          <w:sz w:val="16"/>
          <w:szCs w:val="16"/>
          <w:b w:val="1"/>
          <w:bCs w:val="1"/>
          <w:color w:val="auto"/>
        </w:rPr>
        <w:t>OYALTY</w:t>
      </w:r>
      <w:r>
        <w:rPr>
          <w:rFonts w:ascii="Arial" w:cs="Arial" w:eastAsia="Arial" w:hAnsi="Arial"/>
          <w:sz w:val="20"/>
          <w:szCs w:val="20"/>
          <w:b w:val="1"/>
          <w:bCs w:val="1"/>
          <w:color w:val="auto"/>
        </w:rPr>
        <w:t>; N</w:t>
      </w:r>
      <w:r>
        <w:rPr>
          <w:rFonts w:ascii="Arial" w:cs="Arial" w:eastAsia="Arial" w:hAnsi="Arial"/>
          <w:sz w:val="16"/>
          <w:szCs w:val="16"/>
          <w:b w:val="1"/>
          <w:bCs w:val="1"/>
          <w:color w:val="auto"/>
        </w:rPr>
        <w:t>ONCOMPETITION</w:t>
      </w:r>
      <w:r>
        <w:rPr>
          <w:rFonts w:ascii="Arial" w:cs="Arial" w:eastAsia="Arial" w:hAnsi="Arial"/>
          <w:sz w:val="20"/>
          <w:szCs w:val="20"/>
          <w:b w:val="1"/>
          <w:bCs w:val="1"/>
          <w:color w:val="auto"/>
        </w:rPr>
        <w:t>; N</w:t>
      </w:r>
      <w:r>
        <w:rPr>
          <w:rFonts w:ascii="Arial" w:cs="Arial" w:eastAsia="Arial" w:hAnsi="Arial"/>
          <w:sz w:val="16"/>
          <w:szCs w:val="16"/>
          <w:b w:val="1"/>
          <w:bCs w:val="1"/>
          <w:color w:val="auto"/>
        </w:rPr>
        <w:t>ONSOLICITATION</w:t>
      </w:r>
      <w:r>
        <w:rPr>
          <w:rFonts w:ascii="Arial" w:cs="Arial" w:eastAsia="Arial" w:hAnsi="Arial"/>
          <w:sz w:val="20"/>
          <w:szCs w:val="20"/>
          <w:b w:val="1"/>
          <w:bCs w:val="1"/>
          <w:color w:val="auto"/>
        </w:rPr>
        <w:t>.</w:t>
      </w:r>
    </w:p>
    <w:p>
      <w:pPr>
        <w:spacing w:after="0" w:line="229" w:lineRule="exact"/>
        <w:rPr>
          <w:sz w:val="20"/>
          <w:szCs w:val="20"/>
          <w:color w:val="auto"/>
        </w:rPr>
      </w:pPr>
    </w:p>
    <w:p>
      <w:pPr>
        <w:jc w:val="both"/>
        <w:ind w:firstLine="1134"/>
        <w:spacing w:after="0" w:line="267" w:lineRule="auto"/>
        <w:rPr>
          <w:sz w:val="20"/>
          <w:szCs w:val="20"/>
          <w:color w:val="auto"/>
        </w:rPr>
      </w:pPr>
      <w:r>
        <w:rPr>
          <w:rFonts w:ascii="Arial" w:cs="Arial" w:eastAsia="Arial" w:hAnsi="Arial"/>
          <w:sz w:val="20"/>
          <w:szCs w:val="20"/>
          <w:b w:val="1"/>
          <w:bCs w:val="1"/>
          <w:color w:val="010000"/>
        </w:rPr>
        <w:t xml:space="preserve">2.1 </w:t>
      </w:r>
      <w:r>
        <w:rPr>
          <w:rFonts w:ascii="Arial" w:cs="Arial" w:eastAsia="Arial" w:hAnsi="Arial"/>
          <w:sz w:val="20"/>
          <w:szCs w:val="20"/>
          <w:b w:val="1"/>
          <w:bCs w:val="1"/>
          <w:color w:val="000000"/>
        </w:rPr>
        <w:t>Loyalty</w:t>
      </w:r>
      <w:r>
        <w:rPr>
          <w:rFonts w:ascii="Arial" w:cs="Arial" w:eastAsia="Arial" w:hAnsi="Arial"/>
          <w:sz w:val="20"/>
          <w:szCs w:val="20"/>
          <w:color w:val="000000"/>
        </w:rPr>
        <w:t>. During GC’s employment with the Company, GC shall devote GC’s full business energies, interest, abilities and</w:t>
      </w:r>
      <w:r>
        <w:rPr>
          <w:rFonts w:ascii="Arial" w:cs="Arial" w:eastAsia="Arial" w:hAnsi="Arial"/>
          <w:sz w:val="20"/>
          <w:szCs w:val="20"/>
          <w:b w:val="1"/>
          <w:bCs w:val="1"/>
          <w:color w:val="010000"/>
        </w:rPr>
        <w:t xml:space="preserve"> </w:t>
      </w:r>
      <w:r>
        <w:rPr>
          <w:rFonts w:ascii="Arial" w:cs="Arial" w:eastAsia="Arial" w:hAnsi="Arial"/>
          <w:sz w:val="20"/>
          <w:szCs w:val="20"/>
          <w:color w:val="000000"/>
        </w:rPr>
        <w:t>productive time to the proper and efficient performance of GC’s duties under this Agreement.</w:t>
      </w:r>
    </w:p>
    <w:p>
      <w:pPr>
        <w:spacing w:after="0" w:line="164"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9"/>
          <w:szCs w:val="19"/>
          <w:b w:val="1"/>
          <w:bCs w:val="1"/>
          <w:color w:val="010000"/>
        </w:rPr>
        <w:t xml:space="preserve">2.2 </w:t>
      </w:r>
      <w:r>
        <w:rPr>
          <w:rFonts w:ascii="Arial" w:cs="Arial" w:eastAsia="Arial" w:hAnsi="Arial"/>
          <w:sz w:val="19"/>
          <w:szCs w:val="19"/>
          <w:b w:val="1"/>
          <w:bCs w:val="1"/>
          <w:color w:val="000000"/>
        </w:rPr>
        <w:t>Agreement not to Participate in Company’s Competitors</w:t>
      </w:r>
      <w:r>
        <w:rPr>
          <w:rFonts w:ascii="Arial" w:cs="Arial" w:eastAsia="Arial" w:hAnsi="Arial"/>
          <w:sz w:val="19"/>
          <w:szCs w:val="19"/>
          <w:color w:val="000000"/>
        </w:rPr>
        <w:t>. During GC’s employment with the Company, GC agrees not</w:t>
      </w:r>
      <w:r>
        <w:rPr>
          <w:rFonts w:ascii="Arial" w:cs="Arial" w:eastAsia="Arial" w:hAnsi="Arial"/>
          <w:sz w:val="19"/>
          <w:szCs w:val="19"/>
          <w:b w:val="1"/>
          <w:bCs w:val="1"/>
          <w:color w:val="010000"/>
        </w:rPr>
        <w:t xml:space="preserve"> </w:t>
      </w:r>
      <w:r>
        <w:rPr>
          <w:rFonts w:ascii="Arial" w:cs="Arial" w:eastAsia="Arial" w:hAnsi="Arial"/>
          <w:sz w:val="19"/>
          <w:szCs w:val="19"/>
          <w:color w:val="000000"/>
        </w:rPr>
        <w:t>to acquire, assume or participate in, directly or indirectly, any position, investment or interest known by GC to be adverse or antagonistic to the Company, its business, or prospects, financial or otherwise, or in any company, person, or entity that is, directly or indirectly, in competition with the business of the Company or any of its Affiliates (as defined below). Ownership by GC, in professionally managed funds over which GC does not have control or discretion in investment decisions, or as a passive investment, of less than two percent (2%) of the outstanding shares of capital stock of any corporation with one or more classes of its capital stock listed on a national securities exchange or publicly traded on a national securities exchange or in the over-the-counter market shall not constitute a breach of this Section. For purposes of this Agreement, “Affiliate,” means, with respect to any specific entity, any other entity that, directly or indirectly, through one or more intermediaries, controls, is controlled by or is under common control with such specified entity.</w:t>
      </w:r>
    </w:p>
    <w:p>
      <w:pPr>
        <w:spacing w:after="0" w:line="177" w:lineRule="exact"/>
        <w:rPr>
          <w:sz w:val="20"/>
          <w:szCs w:val="20"/>
          <w:color w:val="auto"/>
        </w:rPr>
      </w:pPr>
    </w:p>
    <w:p>
      <w:pPr>
        <w:jc w:val="both"/>
        <w:ind w:firstLine="1134"/>
        <w:spacing w:after="0" w:line="267" w:lineRule="auto"/>
        <w:rPr>
          <w:sz w:val="20"/>
          <w:szCs w:val="20"/>
          <w:color w:val="auto"/>
        </w:rPr>
      </w:pPr>
      <w:r>
        <w:rPr>
          <w:rFonts w:ascii="Arial" w:cs="Arial" w:eastAsia="Arial" w:hAnsi="Arial"/>
          <w:sz w:val="20"/>
          <w:szCs w:val="20"/>
          <w:b w:val="1"/>
          <w:bCs w:val="1"/>
          <w:color w:val="010000"/>
        </w:rPr>
        <w:t xml:space="preserve">2.3 </w:t>
      </w:r>
      <w:r>
        <w:rPr>
          <w:rFonts w:ascii="Arial" w:cs="Arial" w:eastAsia="Arial" w:hAnsi="Arial"/>
          <w:sz w:val="20"/>
          <w:szCs w:val="20"/>
          <w:b w:val="1"/>
          <w:bCs w:val="1"/>
          <w:color w:val="000000"/>
        </w:rPr>
        <w:t>Covenant not to Compete</w:t>
      </w:r>
      <w:r>
        <w:rPr>
          <w:rFonts w:ascii="Arial" w:cs="Arial" w:eastAsia="Arial" w:hAnsi="Arial"/>
          <w:sz w:val="20"/>
          <w:szCs w:val="20"/>
          <w:color w:val="000000"/>
        </w:rPr>
        <w:t>. During GC’s employment with the Company, GC shall not engage in competition with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Company and/or any of its Affiliates in any manner or capacity, as adviser, principal, agent,</w:t>
      </w:r>
    </w:p>
    <w:p>
      <w:pPr>
        <w:sectPr>
          <w:pgSz w:w="11900" w:h="16838" w:orient="portrait"/>
          <w:cols w:equalWidth="0" w:num="1">
            <w:col w:w="11420"/>
          </w:cols>
          <w:pgMar w:left="240" w:top="576" w:right="239" w:bottom="1440" w:gutter="0" w:footer="0" w:header="0"/>
        </w:sectPr>
      </w:pPr>
    </w:p>
    <w:bookmarkStart w:id="69" w:name="page70"/>
    <w:bookmarkEnd w:id="69"/>
    <w:p>
      <w:pPr>
        <w:jc w:val="both"/>
        <w:spacing w:after="0" w:line="282" w:lineRule="auto"/>
        <w:rPr>
          <w:sz w:val="20"/>
          <w:szCs w:val="20"/>
          <w:color w:val="auto"/>
        </w:rPr>
      </w:pPr>
      <w:r>
        <w:rPr>
          <w:rFonts w:ascii="Arial" w:cs="Arial" w:eastAsia="Arial" w:hAnsi="Arial"/>
          <w:sz w:val="18"/>
          <w:szCs w:val="18"/>
          <w:color w:val="auto"/>
        </w:rPr>
        <w:t>affiliate, promoter, partner, officer, director, employee, owner, co-owner, consultant, in any phase of the business of developing, manufacturing and marketing of products or services that directly compete with the products or services of the Company, except with the prior written consent of the CEO. GC shall be entitled to request written consent of the CEO with respect to potential advisory and/or director opportunities presented to GC by a third party, which GC believes in good faith will not interfere or compete with the on-going business of the Company.</w:t>
      </w:r>
    </w:p>
    <w:p>
      <w:pPr>
        <w:spacing w:after="0" w:line="156" w:lineRule="exact"/>
        <w:rPr>
          <w:sz w:val="20"/>
          <w:szCs w:val="20"/>
          <w:color w:val="auto"/>
        </w:rPr>
      </w:pPr>
    </w:p>
    <w:p>
      <w:pPr>
        <w:ind w:left="920" w:hanging="426"/>
        <w:spacing w:after="0"/>
        <w:tabs>
          <w:tab w:leader="none" w:pos="920" w:val="left"/>
        </w:tabs>
        <w:numPr>
          <w:ilvl w:val="0"/>
          <w:numId w:val="35"/>
        </w:numPr>
        <w:rPr>
          <w:rFonts w:ascii="Arial" w:cs="Arial" w:eastAsia="Arial" w:hAnsi="Arial"/>
          <w:sz w:val="20"/>
          <w:szCs w:val="20"/>
          <w:b w:val="1"/>
          <w:bCs w:val="1"/>
          <w:color w:val="010000"/>
        </w:rPr>
      </w:pPr>
      <w:r>
        <w:rPr>
          <w:rFonts w:ascii="Arial" w:cs="Arial" w:eastAsia="Arial" w:hAnsi="Arial"/>
          <w:sz w:val="20"/>
          <w:szCs w:val="20"/>
          <w:b w:val="1"/>
          <w:bCs w:val="1"/>
          <w:color w:val="auto"/>
        </w:rPr>
        <w:t>C</w:t>
      </w:r>
      <w:r>
        <w:rPr>
          <w:rFonts w:ascii="Arial" w:cs="Arial" w:eastAsia="Arial" w:hAnsi="Arial"/>
          <w:sz w:val="16"/>
          <w:szCs w:val="16"/>
          <w:b w:val="1"/>
          <w:bCs w:val="1"/>
          <w:color w:val="auto"/>
        </w:rPr>
        <w:t>OMPENSATION OF</w:t>
      </w:r>
      <w:r>
        <w:rPr>
          <w:rFonts w:ascii="Arial" w:cs="Arial" w:eastAsia="Arial" w:hAnsi="Arial"/>
          <w:sz w:val="20"/>
          <w:szCs w:val="20"/>
          <w:b w:val="1"/>
          <w:bCs w:val="1"/>
          <w:color w:val="auto"/>
        </w:rPr>
        <w:t xml:space="preserve"> GC.</w:t>
      </w:r>
    </w:p>
    <w:p>
      <w:pPr>
        <w:spacing w:after="0" w:line="229" w:lineRule="exact"/>
        <w:rPr>
          <w:sz w:val="20"/>
          <w:szCs w:val="20"/>
          <w:color w:val="auto"/>
        </w:rPr>
      </w:pPr>
    </w:p>
    <w:p>
      <w:pPr>
        <w:jc w:val="both"/>
        <w:ind w:firstLine="1134"/>
        <w:spacing w:after="0" w:line="273" w:lineRule="auto"/>
        <w:rPr>
          <w:sz w:val="20"/>
          <w:szCs w:val="20"/>
          <w:color w:val="auto"/>
        </w:rPr>
      </w:pPr>
      <w:r>
        <w:rPr>
          <w:rFonts w:ascii="Arial" w:cs="Arial" w:eastAsia="Arial" w:hAnsi="Arial"/>
          <w:sz w:val="19"/>
          <w:szCs w:val="19"/>
          <w:b w:val="1"/>
          <w:bCs w:val="1"/>
          <w:color w:val="010000"/>
        </w:rPr>
        <w:t xml:space="preserve">3.1 </w:t>
      </w:r>
      <w:r>
        <w:rPr>
          <w:rFonts w:ascii="Arial" w:cs="Arial" w:eastAsia="Arial" w:hAnsi="Arial"/>
          <w:sz w:val="19"/>
          <w:szCs w:val="19"/>
          <w:b w:val="1"/>
          <w:bCs w:val="1"/>
          <w:color w:val="000000"/>
        </w:rPr>
        <w:t>Base Salary</w:t>
      </w:r>
      <w:r>
        <w:rPr>
          <w:rFonts w:ascii="Arial" w:cs="Arial" w:eastAsia="Arial" w:hAnsi="Arial"/>
          <w:sz w:val="19"/>
          <w:szCs w:val="19"/>
          <w:color w:val="000000"/>
        </w:rPr>
        <w:t>. The Company shall pay GC a base salary at the annualized rate of $365,000 (the “</w:t>
      </w:r>
      <w:r>
        <w:rPr>
          <w:rFonts w:ascii="Arial" w:cs="Arial" w:eastAsia="Arial" w:hAnsi="Arial"/>
          <w:sz w:val="19"/>
          <w:szCs w:val="19"/>
          <w:b w:val="1"/>
          <w:bCs w:val="1"/>
          <w:i w:val="1"/>
          <w:iCs w:val="1"/>
          <w:color w:val="000000"/>
        </w:rPr>
        <w:t>Base Salary”</w:t>
      </w:r>
      <w:r>
        <w:rPr>
          <w:rFonts w:ascii="Arial" w:cs="Arial" w:eastAsia="Arial" w:hAnsi="Arial"/>
          <w:sz w:val="19"/>
          <w:szCs w:val="19"/>
          <w:color w:val="000000"/>
        </w:rPr>
        <w:t>), less payroll</w:t>
      </w:r>
      <w:r>
        <w:rPr>
          <w:rFonts w:ascii="Arial" w:cs="Arial" w:eastAsia="Arial" w:hAnsi="Arial"/>
          <w:sz w:val="19"/>
          <w:szCs w:val="19"/>
          <w:b w:val="1"/>
          <w:bCs w:val="1"/>
          <w:color w:val="010000"/>
        </w:rPr>
        <w:t xml:space="preserve"> </w:t>
      </w:r>
      <w:r>
        <w:rPr>
          <w:rFonts w:ascii="Arial" w:cs="Arial" w:eastAsia="Arial" w:hAnsi="Arial"/>
          <w:sz w:val="19"/>
          <w:szCs w:val="19"/>
          <w:color w:val="000000"/>
        </w:rPr>
        <w:t>deductions and all required withholdings, payable in regular periodic installments in accordance with the Company’s normal payroll practices. The Base Salary shall be prorated for any partial year of employment on the basis of a 365-day fiscal year.</w:t>
      </w:r>
    </w:p>
    <w:p>
      <w:pPr>
        <w:spacing w:after="0" w:line="159" w:lineRule="exact"/>
        <w:rPr>
          <w:sz w:val="20"/>
          <w:szCs w:val="20"/>
          <w:color w:val="auto"/>
        </w:rPr>
      </w:pPr>
    </w:p>
    <w:p>
      <w:pPr>
        <w:jc w:val="both"/>
        <w:ind w:firstLine="1134"/>
        <w:spacing w:after="0" w:line="274" w:lineRule="auto"/>
        <w:rPr>
          <w:sz w:val="20"/>
          <w:szCs w:val="20"/>
          <w:color w:val="auto"/>
        </w:rPr>
      </w:pPr>
      <w:r>
        <w:rPr>
          <w:rFonts w:ascii="Arial" w:cs="Arial" w:eastAsia="Arial" w:hAnsi="Arial"/>
          <w:sz w:val="18"/>
          <w:szCs w:val="18"/>
          <w:b w:val="1"/>
          <w:bCs w:val="1"/>
          <w:color w:val="010000"/>
        </w:rPr>
        <w:t xml:space="preserve">3.2 </w:t>
      </w:r>
      <w:r>
        <w:rPr>
          <w:rFonts w:ascii="Arial" w:cs="Arial" w:eastAsia="Arial" w:hAnsi="Arial"/>
          <w:sz w:val="18"/>
          <w:szCs w:val="18"/>
          <w:b w:val="1"/>
          <w:bCs w:val="1"/>
          <w:color w:val="000000"/>
        </w:rPr>
        <w:t>Discretionary Bonus</w:t>
      </w:r>
      <w:r>
        <w:rPr>
          <w:rFonts w:ascii="Arial" w:cs="Arial" w:eastAsia="Arial" w:hAnsi="Arial"/>
          <w:sz w:val="18"/>
          <w:szCs w:val="18"/>
          <w:color w:val="000000"/>
        </w:rPr>
        <w:t>. At the sole discretion of the Board and Chief Executive Officer, promptly following each calendar</w:t>
      </w:r>
      <w:r>
        <w:rPr>
          <w:rFonts w:ascii="Arial" w:cs="Arial" w:eastAsia="Arial" w:hAnsi="Arial"/>
          <w:sz w:val="18"/>
          <w:szCs w:val="18"/>
          <w:b w:val="1"/>
          <w:bCs w:val="1"/>
          <w:color w:val="010000"/>
        </w:rPr>
        <w:t xml:space="preserve"> </w:t>
      </w:r>
      <w:r>
        <w:rPr>
          <w:rFonts w:ascii="Arial" w:cs="Arial" w:eastAsia="Arial" w:hAnsi="Arial"/>
          <w:sz w:val="18"/>
          <w:szCs w:val="18"/>
          <w:color w:val="000000"/>
        </w:rPr>
        <w:t>year of employment GC shall be eligible to receive a discretionary cash bonus of up to 40% of GC’s then-current base salary (the “</w:t>
      </w:r>
      <w:r>
        <w:rPr>
          <w:rFonts w:ascii="Arial" w:cs="Arial" w:eastAsia="Arial" w:hAnsi="Arial"/>
          <w:sz w:val="18"/>
          <w:szCs w:val="18"/>
          <w:b w:val="1"/>
          <w:bCs w:val="1"/>
          <w:i w:val="1"/>
          <w:iCs w:val="1"/>
          <w:color w:val="000000"/>
        </w:rPr>
        <w:t>Bonus”</w:t>
      </w:r>
      <w:r>
        <w:rPr>
          <w:rFonts w:ascii="Arial" w:cs="Arial" w:eastAsia="Arial" w:hAnsi="Arial"/>
          <w:sz w:val="18"/>
          <w:szCs w:val="18"/>
          <w:color w:val="000000"/>
        </w:rPr>
        <w:t>), based on GC’s achievement relative to certain performance goals (“</w:t>
      </w:r>
      <w:r>
        <w:rPr>
          <w:rFonts w:ascii="Arial" w:cs="Arial" w:eastAsia="Arial" w:hAnsi="Arial"/>
          <w:sz w:val="18"/>
          <w:szCs w:val="18"/>
          <w:b w:val="1"/>
          <w:bCs w:val="1"/>
          <w:i w:val="1"/>
          <w:iCs w:val="1"/>
          <w:color w:val="000000"/>
        </w:rPr>
        <w:t>Performance Goals”</w:t>
      </w:r>
      <w:r>
        <w:rPr>
          <w:rFonts w:ascii="Arial" w:cs="Arial" w:eastAsia="Arial" w:hAnsi="Arial"/>
          <w:sz w:val="18"/>
          <w:szCs w:val="18"/>
          <w:color w:val="000000"/>
        </w:rPr>
        <w:t>) to be established by the Chief Executive Officer in writing in a manner reasonably consistent with the Company’s priorities. The determination of whether GC has met the Performance Goals for any given year, and if so, the amount of any Bonus that will be paid for such year (if any), shall be determined by the Board and Chief Executive Officer in their sole and absolute discretion. In order to be eligible to earn or receive any Bonus, GC must remain employed by the Company through and including the date of payment of such Bonus. For the first calendar year of GC’s employment with the Company, the Bonus payable shall be pro-rated in accordance with the percentage of the calendar year that the GC is an employee of the Company.</w:t>
      </w:r>
    </w:p>
    <w:p>
      <w:pPr>
        <w:spacing w:after="0" w:line="162" w:lineRule="exact"/>
        <w:rPr>
          <w:sz w:val="20"/>
          <w:szCs w:val="20"/>
          <w:color w:val="auto"/>
        </w:rPr>
      </w:pPr>
    </w:p>
    <w:p>
      <w:pPr>
        <w:jc w:val="both"/>
        <w:ind w:firstLine="1134"/>
        <w:spacing w:after="0" w:line="258" w:lineRule="auto"/>
        <w:rPr>
          <w:sz w:val="20"/>
          <w:szCs w:val="20"/>
          <w:color w:val="auto"/>
        </w:rPr>
      </w:pPr>
      <w:r>
        <w:rPr>
          <w:rFonts w:ascii="Arial" w:cs="Arial" w:eastAsia="Arial" w:hAnsi="Arial"/>
          <w:sz w:val="19"/>
          <w:szCs w:val="19"/>
          <w:b w:val="1"/>
          <w:bCs w:val="1"/>
          <w:color w:val="010000"/>
        </w:rPr>
        <w:t xml:space="preserve">3.3 </w:t>
      </w:r>
      <w:r>
        <w:rPr>
          <w:rFonts w:ascii="Arial" w:cs="Arial" w:eastAsia="Arial" w:hAnsi="Arial"/>
          <w:sz w:val="19"/>
          <w:szCs w:val="19"/>
          <w:b w:val="1"/>
          <w:bCs w:val="1"/>
          <w:color w:val="000000"/>
        </w:rPr>
        <w:t>Stock Option</w:t>
      </w:r>
      <w:r>
        <w:rPr>
          <w:rFonts w:ascii="Arial" w:cs="Arial" w:eastAsia="Arial" w:hAnsi="Arial"/>
          <w:sz w:val="19"/>
          <w:szCs w:val="19"/>
          <w:color w:val="000000"/>
        </w:rPr>
        <w:t>. As soon as practicable following the Effective Date, GC will be granted an option to purchase up to 40,000</w:t>
      </w:r>
      <w:r>
        <w:rPr>
          <w:rFonts w:ascii="Arial" w:cs="Arial" w:eastAsia="Arial" w:hAnsi="Arial"/>
          <w:sz w:val="19"/>
          <w:szCs w:val="19"/>
          <w:b w:val="1"/>
          <w:bCs w:val="1"/>
          <w:color w:val="010000"/>
        </w:rPr>
        <w:t xml:space="preserve"> </w:t>
      </w:r>
      <w:r>
        <w:rPr>
          <w:rFonts w:ascii="Arial" w:cs="Arial" w:eastAsia="Arial" w:hAnsi="Arial"/>
          <w:sz w:val="19"/>
          <w:szCs w:val="19"/>
          <w:color w:val="000000"/>
        </w:rPr>
        <w:t>shares of the Company’s Common Stock (the “</w:t>
      </w:r>
      <w:r>
        <w:rPr>
          <w:rFonts w:ascii="Arial" w:cs="Arial" w:eastAsia="Arial" w:hAnsi="Arial"/>
          <w:sz w:val="19"/>
          <w:szCs w:val="19"/>
          <w:b w:val="1"/>
          <w:bCs w:val="1"/>
          <w:i w:val="1"/>
          <w:iCs w:val="1"/>
          <w:color w:val="000000"/>
        </w:rPr>
        <w:t>Base Option”</w:t>
      </w:r>
      <w:r>
        <w:rPr>
          <w:rFonts w:ascii="Arial" w:cs="Arial" w:eastAsia="Arial" w:hAnsi="Arial"/>
          <w:sz w:val="19"/>
          <w:szCs w:val="19"/>
          <w:color w:val="000000"/>
        </w:rPr>
        <w:t xml:space="preserve">) pursuant to the terms of the Company’s 2017 Equity Incentive Plan, as amended from time to time (the </w:t>
      </w:r>
      <w:r>
        <w:rPr>
          <w:rFonts w:ascii="Arial" w:cs="Arial" w:eastAsia="Arial" w:hAnsi="Arial"/>
          <w:sz w:val="19"/>
          <w:szCs w:val="19"/>
          <w:b w:val="1"/>
          <w:bCs w:val="1"/>
          <w:i w:val="1"/>
          <w:iCs w:val="1"/>
          <w:color w:val="000000"/>
        </w:rPr>
        <w:t>“Plan”</w:t>
      </w:r>
      <w:r>
        <w:rPr>
          <w:rFonts w:ascii="Arial" w:cs="Arial" w:eastAsia="Arial" w:hAnsi="Arial"/>
          <w:sz w:val="19"/>
          <w:szCs w:val="19"/>
          <w:color w:val="000000"/>
        </w:rPr>
        <w:t>). The Base Option shall be subject to vesting such that, subject to GC’s continued employment with the Company, 1/4 of the shares subject to the Base Option shall vest as of the first anniversary of the Effective Date and l/48th of the shares subject to the Base Option shall vest in equal monthly installments on the monthly anniversary of the Effective Date of each month for the 36 months thereafter. The exercise price per share of the Base Option will be equal to the closing selling price as reported on the Nasdaq Stock Market on the date the Base Option is granted. The Base Option will be governed by the Plan and shall be granted pursuant to a separate stock option grant notice and stock option agreement.</w:t>
      </w:r>
    </w:p>
    <w:p>
      <w:pPr>
        <w:spacing w:after="0" w:line="174" w:lineRule="exact"/>
        <w:rPr>
          <w:sz w:val="20"/>
          <w:szCs w:val="20"/>
          <w:color w:val="auto"/>
        </w:rPr>
      </w:pPr>
    </w:p>
    <w:p>
      <w:pPr>
        <w:jc w:val="both"/>
        <w:ind w:firstLine="1134"/>
        <w:spacing w:after="0" w:line="294" w:lineRule="auto"/>
        <w:rPr>
          <w:sz w:val="20"/>
          <w:szCs w:val="20"/>
          <w:color w:val="auto"/>
        </w:rPr>
      </w:pPr>
      <w:r>
        <w:rPr>
          <w:rFonts w:ascii="Arial" w:cs="Arial" w:eastAsia="Arial" w:hAnsi="Arial"/>
          <w:sz w:val="18"/>
          <w:szCs w:val="18"/>
          <w:b w:val="1"/>
          <w:bCs w:val="1"/>
          <w:color w:val="010000"/>
        </w:rPr>
        <w:t xml:space="preserve">3.4 </w:t>
      </w:r>
      <w:r>
        <w:rPr>
          <w:rFonts w:ascii="Arial" w:cs="Arial" w:eastAsia="Arial" w:hAnsi="Arial"/>
          <w:sz w:val="18"/>
          <w:szCs w:val="18"/>
          <w:b w:val="1"/>
          <w:bCs w:val="1"/>
          <w:color w:val="000000"/>
        </w:rPr>
        <w:t>Expense Reimbursements</w:t>
      </w:r>
      <w:r>
        <w:rPr>
          <w:rFonts w:ascii="Arial" w:cs="Arial" w:eastAsia="Arial" w:hAnsi="Arial"/>
          <w:sz w:val="18"/>
          <w:szCs w:val="18"/>
          <w:color w:val="000000"/>
        </w:rPr>
        <w:t>. The Company will reimburse GC for all reasonable business expenses GC incurs in</w:t>
      </w:r>
      <w:r>
        <w:rPr>
          <w:rFonts w:ascii="Arial" w:cs="Arial" w:eastAsia="Arial" w:hAnsi="Arial"/>
          <w:sz w:val="18"/>
          <w:szCs w:val="18"/>
          <w:b w:val="1"/>
          <w:bCs w:val="1"/>
          <w:color w:val="010000"/>
        </w:rPr>
        <w:t xml:space="preserve"> </w:t>
      </w:r>
      <w:r>
        <w:rPr>
          <w:rFonts w:ascii="Arial" w:cs="Arial" w:eastAsia="Arial" w:hAnsi="Arial"/>
          <w:sz w:val="18"/>
          <w:szCs w:val="18"/>
          <w:color w:val="000000"/>
        </w:rPr>
        <w:t>conducting his duties hereunder, pursuant to the Company’s usual expense reimbursement policies; provided that GC supplies the appropriate substantiation for such expenses no later than the end of the calendar month following the month in which such expenses were incurred by GC.</w:t>
      </w:r>
    </w:p>
    <w:p>
      <w:pPr>
        <w:spacing w:after="0" w:line="144" w:lineRule="exact"/>
        <w:rPr>
          <w:sz w:val="20"/>
          <w:szCs w:val="20"/>
          <w:color w:val="auto"/>
        </w:rPr>
      </w:pPr>
    </w:p>
    <w:p>
      <w:pPr>
        <w:jc w:val="both"/>
        <w:ind w:firstLine="1134"/>
        <w:spacing w:after="0" w:line="267" w:lineRule="auto"/>
        <w:rPr>
          <w:sz w:val="20"/>
          <w:szCs w:val="20"/>
          <w:color w:val="auto"/>
        </w:rPr>
      </w:pPr>
      <w:r>
        <w:rPr>
          <w:rFonts w:ascii="Arial" w:cs="Arial" w:eastAsia="Arial" w:hAnsi="Arial"/>
          <w:sz w:val="20"/>
          <w:szCs w:val="20"/>
          <w:b w:val="1"/>
          <w:bCs w:val="1"/>
          <w:color w:val="010000"/>
        </w:rPr>
        <w:t xml:space="preserve">3.5 </w:t>
      </w:r>
      <w:r>
        <w:rPr>
          <w:rFonts w:ascii="Arial" w:cs="Arial" w:eastAsia="Arial" w:hAnsi="Arial"/>
          <w:sz w:val="20"/>
          <w:szCs w:val="20"/>
          <w:b w:val="1"/>
          <w:bCs w:val="1"/>
          <w:color w:val="000000"/>
        </w:rPr>
        <w:t>Changes to Compensation</w:t>
      </w:r>
      <w:r>
        <w:rPr>
          <w:rFonts w:ascii="Arial" w:cs="Arial" w:eastAsia="Arial" w:hAnsi="Arial"/>
          <w:sz w:val="20"/>
          <w:szCs w:val="20"/>
          <w:color w:val="000000"/>
        </w:rPr>
        <w:t>. GC’s compensation will be reviewed annually and may be changed from time to time in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Company’s sole discretion.</w:t>
      </w:r>
    </w:p>
    <w:p>
      <w:pPr>
        <w:spacing w:after="0" w:line="164" w:lineRule="exact"/>
        <w:rPr>
          <w:sz w:val="20"/>
          <w:szCs w:val="20"/>
          <w:color w:val="auto"/>
        </w:rPr>
      </w:pPr>
    </w:p>
    <w:p>
      <w:pPr>
        <w:jc w:val="both"/>
        <w:ind w:firstLine="1134"/>
        <w:spacing w:after="0" w:line="267" w:lineRule="auto"/>
        <w:rPr>
          <w:sz w:val="20"/>
          <w:szCs w:val="20"/>
          <w:color w:val="auto"/>
        </w:rPr>
      </w:pPr>
      <w:r>
        <w:rPr>
          <w:rFonts w:ascii="Arial" w:cs="Arial" w:eastAsia="Arial" w:hAnsi="Arial"/>
          <w:sz w:val="20"/>
          <w:szCs w:val="20"/>
          <w:b w:val="1"/>
          <w:bCs w:val="1"/>
          <w:color w:val="010000"/>
        </w:rPr>
        <w:t xml:space="preserve">3.6 </w:t>
      </w:r>
      <w:r>
        <w:rPr>
          <w:rFonts w:ascii="Arial" w:cs="Arial" w:eastAsia="Arial" w:hAnsi="Arial"/>
          <w:sz w:val="20"/>
          <w:szCs w:val="20"/>
          <w:b w:val="1"/>
          <w:bCs w:val="1"/>
          <w:color w:val="000000"/>
        </w:rPr>
        <w:t>Employment Taxes</w:t>
      </w:r>
      <w:r>
        <w:rPr>
          <w:rFonts w:ascii="Arial" w:cs="Arial" w:eastAsia="Arial" w:hAnsi="Arial"/>
          <w:sz w:val="20"/>
          <w:szCs w:val="20"/>
          <w:color w:val="000000"/>
        </w:rPr>
        <w:t>. All of GC’s compensation shall be subject to customary withholding taxes and any other</w:t>
      </w:r>
      <w:r>
        <w:rPr>
          <w:rFonts w:ascii="Arial" w:cs="Arial" w:eastAsia="Arial" w:hAnsi="Arial"/>
          <w:sz w:val="20"/>
          <w:szCs w:val="20"/>
          <w:b w:val="1"/>
          <w:bCs w:val="1"/>
          <w:color w:val="010000"/>
        </w:rPr>
        <w:t xml:space="preserve"> </w:t>
      </w:r>
      <w:r>
        <w:rPr>
          <w:rFonts w:ascii="Arial" w:cs="Arial" w:eastAsia="Arial" w:hAnsi="Arial"/>
          <w:sz w:val="20"/>
          <w:szCs w:val="20"/>
          <w:color w:val="000000"/>
        </w:rPr>
        <w:t>employment taxes as are commonly required to be collected or withheld by the Company.</w:t>
      </w:r>
    </w:p>
    <w:p>
      <w:pPr>
        <w:spacing w:after="0" w:line="164" w:lineRule="exact"/>
        <w:rPr>
          <w:sz w:val="20"/>
          <w:szCs w:val="20"/>
          <w:color w:val="auto"/>
        </w:rPr>
      </w:pPr>
    </w:p>
    <w:p>
      <w:pPr>
        <w:jc w:val="both"/>
        <w:ind w:firstLine="1134"/>
        <w:spacing w:after="0" w:line="253" w:lineRule="auto"/>
        <w:rPr>
          <w:sz w:val="20"/>
          <w:szCs w:val="20"/>
          <w:color w:val="auto"/>
        </w:rPr>
      </w:pPr>
      <w:r>
        <w:rPr>
          <w:rFonts w:ascii="Arial" w:cs="Arial" w:eastAsia="Arial" w:hAnsi="Arial"/>
          <w:sz w:val="20"/>
          <w:szCs w:val="20"/>
          <w:b w:val="1"/>
          <w:bCs w:val="1"/>
          <w:color w:val="010000"/>
        </w:rPr>
        <w:t xml:space="preserve">3.7 </w:t>
      </w:r>
      <w:r>
        <w:rPr>
          <w:rFonts w:ascii="Arial" w:cs="Arial" w:eastAsia="Arial" w:hAnsi="Arial"/>
          <w:sz w:val="20"/>
          <w:szCs w:val="20"/>
          <w:b w:val="1"/>
          <w:bCs w:val="1"/>
          <w:color w:val="000000"/>
        </w:rPr>
        <w:t>Benefits</w:t>
      </w:r>
      <w:r>
        <w:rPr>
          <w:rFonts w:ascii="Arial" w:cs="Arial" w:eastAsia="Arial" w:hAnsi="Arial"/>
          <w:sz w:val="20"/>
          <w:szCs w:val="20"/>
          <w:color w:val="000000"/>
        </w:rPr>
        <w:t>. GC shall, in accordance with Company policy and the terms of the applicable plan documents, be eligible to</w:t>
      </w:r>
      <w:r>
        <w:rPr>
          <w:rFonts w:ascii="Arial" w:cs="Arial" w:eastAsia="Arial" w:hAnsi="Arial"/>
          <w:sz w:val="20"/>
          <w:szCs w:val="20"/>
          <w:b w:val="1"/>
          <w:bCs w:val="1"/>
          <w:color w:val="010000"/>
        </w:rPr>
        <w:t xml:space="preserve"> </w:t>
      </w:r>
      <w:r>
        <w:rPr>
          <w:rFonts w:ascii="Arial" w:cs="Arial" w:eastAsia="Arial" w:hAnsi="Arial"/>
          <w:sz w:val="20"/>
          <w:szCs w:val="20"/>
          <w:color w:val="000000"/>
        </w:rPr>
        <w:t>participate in benefits under any benefit plan or arrangement that may be in effect from time to time and made available to the Company’s senior management employees.</w:t>
      </w:r>
    </w:p>
    <w:p>
      <w:pPr>
        <w:spacing w:after="0" w:line="178" w:lineRule="exact"/>
        <w:rPr>
          <w:sz w:val="20"/>
          <w:szCs w:val="20"/>
          <w:color w:val="auto"/>
        </w:rPr>
      </w:pPr>
    </w:p>
    <w:p>
      <w:pPr>
        <w:jc w:val="both"/>
        <w:ind w:firstLine="1134"/>
        <w:spacing w:after="0" w:line="267" w:lineRule="auto"/>
        <w:rPr>
          <w:sz w:val="20"/>
          <w:szCs w:val="20"/>
          <w:color w:val="auto"/>
        </w:rPr>
      </w:pPr>
      <w:r>
        <w:rPr>
          <w:rFonts w:ascii="Arial" w:cs="Arial" w:eastAsia="Arial" w:hAnsi="Arial"/>
          <w:sz w:val="20"/>
          <w:szCs w:val="20"/>
          <w:b w:val="1"/>
          <w:bCs w:val="1"/>
          <w:color w:val="010000"/>
        </w:rPr>
        <w:t xml:space="preserve">3.8 </w:t>
      </w:r>
      <w:r>
        <w:rPr>
          <w:rFonts w:ascii="Arial" w:cs="Arial" w:eastAsia="Arial" w:hAnsi="Arial"/>
          <w:sz w:val="20"/>
          <w:szCs w:val="20"/>
          <w:b w:val="1"/>
          <w:bCs w:val="1"/>
          <w:color w:val="000000"/>
        </w:rPr>
        <w:t>Holidays and Vacation</w:t>
      </w:r>
      <w:r>
        <w:rPr>
          <w:rFonts w:ascii="Arial" w:cs="Arial" w:eastAsia="Arial" w:hAnsi="Arial"/>
          <w:sz w:val="20"/>
          <w:szCs w:val="20"/>
          <w:color w:val="000000"/>
        </w:rPr>
        <w:t>. GC shall be eligible for paid holiday and vacation time in accordance with Company policy as in</w:t>
      </w:r>
      <w:r>
        <w:rPr>
          <w:rFonts w:ascii="Arial" w:cs="Arial" w:eastAsia="Arial" w:hAnsi="Arial"/>
          <w:sz w:val="20"/>
          <w:szCs w:val="20"/>
          <w:b w:val="1"/>
          <w:bCs w:val="1"/>
          <w:color w:val="010000"/>
        </w:rPr>
        <w:t xml:space="preserve"> </w:t>
      </w:r>
      <w:r>
        <w:rPr>
          <w:rFonts w:ascii="Arial" w:cs="Arial" w:eastAsia="Arial" w:hAnsi="Arial"/>
          <w:sz w:val="20"/>
          <w:szCs w:val="20"/>
          <w:color w:val="000000"/>
        </w:rPr>
        <w:t>effect from time to time.</w:t>
      </w:r>
    </w:p>
    <w:p>
      <w:pPr>
        <w:spacing w:after="0" w:line="164" w:lineRule="exact"/>
        <w:rPr>
          <w:sz w:val="20"/>
          <w:szCs w:val="20"/>
          <w:color w:val="auto"/>
        </w:rPr>
      </w:pPr>
    </w:p>
    <w:p>
      <w:pPr>
        <w:ind w:left="920" w:hanging="426"/>
        <w:spacing w:after="0"/>
        <w:tabs>
          <w:tab w:leader="none" w:pos="920" w:val="left"/>
        </w:tabs>
        <w:numPr>
          <w:ilvl w:val="0"/>
          <w:numId w:val="36"/>
        </w:numPr>
        <w:rPr>
          <w:rFonts w:ascii="Arial" w:cs="Arial" w:eastAsia="Arial" w:hAnsi="Arial"/>
          <w:sz w:val="20"/>
          <w:szCs w:val="20"/>
          <w:b w:val="1"/>
          <w:bCs w:val="1"/>
          <w:color w:val="010000"/>
        </w:rPr>
      </w:pPr>
      <w:r>
        <w:rPr>
          <w:rFonts w:ascii="Arial" w:cs="Arial" w:eastAsia="Arial" w:hAnsi="Arial"/>
          <w:sz w:val="20"/>
          <w:szCs w:val="20"/>
          <w:b w:val="1"/>
          <w:bCs w:val="1"/>
          <w:color w:val="auto"/>
        </w:rPr>
        <w:t>T</w:t>
      </w:r>
      <w:r>
        <w:rPr>
          <w:rFonts w:ascii="Arial" w:cs="Arial" w:eastAsia="Arial" w:hAnsi="Arial"/>
          <w:sz w:val="16"/>
          <w:szCs w:val="16"/>
          <w:b w:val="1"/>
          <w:bCs w:val="1"/>
          <w:color w:val="auto"/>
        </w:rPr>
        <w:t>ERMINATION</w:t>
      </w:r>
      <w:r>
        <w:rPr>
          <w:rFonts w:ascii="Arial" w:cs="Arial" w:eastAsia="Arial" w:hAnsi="Arial"/>
          <w:sz w:val="20"/>
          <w:szCs w:val="20"/>
          <w:b w:val="1"/>
          <w:bCs w:val="1"/>
          <w:color w:val="auto"/>
        </w:rPr>
        <w:t>.</w:t>
      </w:r>
    </w:p>
    <w:p>
      <w:pPr>
        <w:spacing w:after="0" w:line="229" w:lineRule="exact"/>
        <w:rPr>
          <w:sz w:val="20"/>
          <w:szCs w:val="20"/>
          <w:color w:val="auto"/>
        </w:rPr>
      </w:pPr>
    </w:p>
    <w:p>
      <w:pPr>
        <w:ind w:right="20" w:firstLine="1134"/>
        <w:spacing w:after="0" w:line="267" w:lineRule="auto"/>
        <w:rPr>
          <w:sz w:val="20"/>
          <w:szCs w:val="20"/>
          <w:color w:val="auto"/>
        </w:rPr>
      </w:pPr>
      <w:r>
        <w:rPr>
          <w:rFonts w:ascii="Arial" w:cs="Arial" w:eastAsia="Arial" w:hAnsi="Arial"/>
          <w:sz w:val="20"/>
          <w:szCs w:val="20"/>
          <w:b w:val="1"/>
          <w:bCs w:val="1"/>
          <w:color w:val="010000"/>
        </w:rPr>
        <w:t xml:space="preserve">4.1 </w:t>
      </w:r>
      <w:r>
        <w:rPr>
          <w:rFonts w:ascii="Arial" w:cs="Arial" w:eastAsia="Arial" w:hAnsi="Arial"/>
          <w:sz w:val="20"/>
          <w:szCs w:val="20"/>
          <w:b w:val="1"/>
          <w:bCs w:val="1"/>
          <w:color w:val="000000"/>
        </w:rPr>
        <w:t>Termination by the Company</w:t>
      </w:r>
      <w:r>
        <w:rPr>
          <w:rFonts w:ascii="Arial" w:cs="Arial" w:eastAsia="Arial" w:hAnsi="Arial"/>
          <w:sz w:val="20"/>
          <w:szCs w:val="20"/>
          <w:color w:val="000000"/>
        </w:rPr>
        <w:t>. GC’s employment with the Company is at will and may be terminated by the Company at</w:t>
      </w:r>
      <w:r>
        <w:rPr>
          <w:rFonts w:ascii="Arial" w:cs="Arial" w:eastAsia="Arial" w:hAnsi="Arial"/>
          <w:sz w:val="20"/>
          <w:szCs w:val="20"/>
          <w:b w:val="1"/>
          <w:bCs w:val="1"/>
          <w:color w:val="010000"/>
        </w:rPr>
        <w:t xml:space="preserve"> </w:t>
      </w:r>
      <w:r>
        <w:rPr>
          <w:rFonts w:ascii="Arial" w:cs="Arial" w:eastAsia="Arial" w:hAnsi="Arial"/>
          <w:sz w:val="20"/>
          <w:szCs w:val="20"/>
          <w:color w:val="000000"/>
        </w:rPr>
        <w:t>any time and for any reason, or for no reason, including, but not limited to, under the following conditions:</w:t>
      </w:r>
    </w:p>
    <w:p>
      <w:pPr>
        <w:spacing w:after="0" w:line="164" w:lineRule="exact"/>
        <w:rPr>
          <w:sz w:val="20"/>
          <w:szCs w:val="20"/>
          <w:color w:val="auto"/>
        </w:rPr>
      </w:pPr>
    </w:p>
    <w:p>
      <w:pPr>
        <w:ind w:firstLine="1945"/>
        <w:spacing w:after="0" w:line="267" w:lineRule="auto"/>
        <w:rPr>
          <w:sz w:val="20"/>
          <w:szCs w:val="20"/>
          <w:color w:val="auto"/>
        </w:rPr>
      </w:pPr>
      <w:r>
        <w:rPr>
          <w:rFonts w:ascii="Arial" w:cs="Arial" w:eastAsia="Arial" w:hAnsi="Arial"/>
          <w:sz w:val="20"/>
          <w:szCs w:val="20"/>
          <w:b w:val="1"/>
          <w:bCs w:val="1"/>
          <w:color w:val="010000"/>
        </w:rPr>
        <w:t xml:space="preserve">4.1.1 </w:t>
      </w:r>
      <w:r>
        <w:rPr>
          <w:rFonts w:ascii="Arial" w:cs="Arial" w:eastAsia="Arial" w:hAnsi="Arial"/>
          <w:sz w:val="20"/>
          <w:szCs w:val="20"/>
          <w:b w:val="1"/>
          <w:bCs w:val="1"/>
          <w:color w:val="000000"/>
        </w:rPr>
        <w:t>Termination by the Company for Cause</w:t>
      </w:r>
      <w:r>
        <w:rPr>
          <w:rFonts w:ascii="Arial" w:cs="Arial" w:eastAsia="Arial" w:hAnsi="Arial"/>
          <w:sz w:val="20"/>
          <w:szCs w:val="20"/>
          <w:color w:val="000000"/>
        </w:rPr>
        <w:t>. The Company may terminate GC’s employment under this</w:t>
      </w:r>
      <w:r>
        <w:rPr>
          <w:rFonts w:ascii="Arial" w:cs="Arial" w:eastAsia="Arial" w:hAnsi="Arial"/>
          <w:sz w:val="20"/>
          <w:szCs w:val="20"/>
          <w:b w:val="1"/>
          <w:bCs w:val="1"/>
          <w:color w:val="010000"/>
        </w:rPr>
        <w:t xml:space="preserve"> </w:t>
      </w:r>
      <w:r>
        <w:rPr>
          <w:rFonts w:ascii="Arial" w:cs="Arial" w:eastAsia="Arial" w:hAnsi="Arial"/>
          <w:sz w:val="20"/>
          <w:szCs w:val="20"/>
          <w:color w:val="000000"/>
        </w:rPr>
        <w:t>Agreement for “</w:t>
      </w:r>
      <w:r>
        <w:rPr>
          <w:rFonts w:ascii="Arial" w:cs="Arial" w:eastAsia="Arial" w:hAnsi="Arial"/>
          <w:sz w:val="20"/>
          <w:szCs w:val="20"/>
          <w:b w:val="1"/>
          <w:bCs w:val="1"/>
          <w:i w:val="1"/>
          <w:iCs w:val="1"/>
          <w:color w:val="000000"/>
        </w:rPr>
        <w:t>Cause”</w:t>
      </w:r>
      <w:r>
        <w:rPr>
          <w:rFonts w:ascii="Arial" w:cs="Arial" w:eastAsia="Arial" w:hAnsi="Arial"/>
          <w:sz w:val="20"/>
          <w:szCs w:val="20"/>
          <w:color w:val="000000"/>
        </w:rPr>
        <w:t xml:space="preserve"> (as defined below) by delivery of written notice to GC. Any notice of</w:t>
      </w:r>
    </w:p>
    <w:p>
      <w:pPr>
        <w:sectPr>
          <w:pgSz w:w="11900" w:h="16838" w:orient="portrait"/>
          <w:cols w:equalWidth="0" w:num="1">
            <w:col w:w="11420"/>
          </w:cols>
          <w:pgMar w:left="240" w:top="690"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termination given pursuant to this section shall effect termination as of the date of the notice, or as of such other date specified in the notice.</w:t>
      </w:r>
    </w:p>
    <w:p>
      <w:pPr>
        <w:spacing w:after="0" w:line="233" w:lineRule="exact"/>
        <w:rPr>
          <w:sz w:val="20"/>
          <w:szCs w:val="20"/>
          <w:color w:val="auto"/>
        </w:rPr>
      </w:pPr>
    </w:p>
    <w:p>
      <w:pPr>
        <w:jc w:val="both"/>
        <w:ind w:firstLine="1945"/>
        <w:spacing w:after="0" w:line="253" w:lineRule="auto"/>
        <w:rPr>
          <w:sz w:val="20"/>
          <w:szCs w:val="20"/>
          <w:color w:val="auto"/>
        </w:rPr>
      </w:pPr>
      <w:r>
        <w:rPr>
          <w:rFonts w:ascii="Arial" w:cs="Arial" w:eastAsia="Arial" w:hAnsi="Arial"/>
          <w:sz w:val="20"/>
          <w:szCs w:val="20"/>
          <w:b w:val="1"/>
          <w:bCs w:val="1"/>
          <w:color w:val="010000"/>
        </w:rPr>
        <w:t xml:space="preserve">4.1.2 </w:t>
      </w:r>
      <w:r>
        <w:rPr>
          <w:rFonts w:ascii="Arial" w:cs="Arial" w:eastAsia="Arial" w:hAnsi="Arial"/>
          <w:sz w:val="20"/>
          <w:szCs w:val="20"/>
          <w:b w:val="1"/>
          <w:bCs w:val="1"/>
          <w:color w:val="000000"/>
        </w:rPr>
        <w:t>Termination by the Company without Cause</w:t>
      </w:r>
      <w:r>
        <w:rPr>
          <w:rFonts w:ascii="Arial" w:cs="Arial" w:eastAsia="Arial" w:hAnsi="Arial"/>
          <w:sz w:val="20"/>
          <w:szCs w:val="20"/>
          <w:color w:val="000000"/>
        </w:rPr>
        <w:t>. The Company may terminate GC’s employment under this</w:t>
      </w:r>
      <w:r>
        <w:rPr>
          <w:rFonts w:ascii="Arial" w:cs="Arial" w:eastAsia="Arial" w:hAnsi="Arial"/>
          <w:sz w:val="20"/>
          <w:szCs w:val="20"/>
          <w:b w:val="1"/>
          <w:bCs w:val="1"/>
          <w:color w:val="010000"/>
        </w:rPr>
        <w:t xml:space="preserve"> </w:t>
      </w:r>
      <w:r>
        <w:rPr>
          <w:rFonts w:ascii="Arial" w:cs="Arial" w:eastAsia="Arial" w:hAnsi="Arial"/>
          <w:sz w:val="20"/>
          <w:szCs w:val="20"/>
          <w:color w:val="000000"/>
        </w:rPr>
        <w:t>Agreement without Cause at any time and for any reason, or for no reason. Such termination shall be effective on the date GC is so informed, or as otherwise specified by the Company.</w:t>
      </w:r>
    </w:p>
    <w:p>
      <w:pPr>
        <w:spacing w:after="0" w:line="178" w:lineRule="exact"/>
        <w:rPr>
          <w:sz w:val="20"/>
          <w:szCs w:val="20"/>
          <w:color w:val="auto"/>
        </w:rPr>
      </w:pPr>
    </w:p>
    <w:p>
      <w:pPr>
        <w:jc w:val="both"/>
        <w:ind w:right="20" w:firstLine="1134"/>
        <w:spacing w:after="0" w:line="267" w:lineRule="auto"/>
        <w:rPr>
          <w:sz w:val="20"/>
          <w:szCs w:val="20"/>
          <w:color w:val="auto"/>
        </w:rPr>
      </w:pPr>
      <w:r>
        <w:rPr>
          <w:rFonts w:ascii="Arial" w:cs="Arial" w:eastAsia="Arial" w:hAnsi="Arial"/>
          <w:sz w:val="20"/>
          <w:szCs w:val="20"/>
          <w:b w:val="1"/>
          <w:bCs w:val="1"/>
          <w:color w:val="010000"/>
        </w:rPr>
        <w:t xml:space="preserve">4.2 </w:t>
      </w:r>
      <w:r>
        <w:rPr>
          <w:rFonts w:ascii="Arial" w:cs="Arial" w:eastAsia="Arial" w:hAnsi="Arial"/>
          <w:sz w:val="20"/>
          <w:szCs w:val="20"/>
          <w:b w:val="1"/>
          <w:bCs w:val="1"/>
          <w:color w:val="000000"/>
        </w:rPr>
        <w:t>Termination by GC</w:t>
      </w:r>
      <w:r>
        <w:rPr>
          <w:rFonts w:ascii="Arial" w:cs="Arial" w:eastAsia="Arial" w:hAnsi="Arial"/>
          <w:sz w:val="20"/>
          <w:szCs w:val="20"/>
          <w:color w:val="000000"/>
        </w:rPr>
        <w:t>. GC may terminate his employment with the Company at any time and for any reason, or for no</w:t>
      </w:r>
      <w:r>
        <w:rPr>
          <w:rFonts w:ascii="Arial" w:cs="Arial" w:eastAsia="Arial" w:hAnsi="Arial"/>
          <w:sz w:val="20"/>
          <w:szCs w:val="20"/>
          <w:b w:val="1"/>
          <w:bCs w:val="1"/>
          <w:color w:val="010000"/>
        </w:rPr>
        <w:t xml:space="preserve"> </w:t>
      </w:r>
      <w:r>
        <w:rPr>
          <w:rFonts w:ascii="Arial" w:cs="Arial" w:eastAsia="Arial" w:hAnsi="Arial"/>
          <w:sz w:val="20"/>
          <w:szCs w:val="20"/>
          <w:color w:val="000000"/>
        </w:rPr>
        <w:t>reason, upon thirty (30) days written notice to the Company.</w:t>
      </w:r>
    </w:p>
    <w:p>
      <w:pPr>
        <w:spacing w:after="0" w:line="164" w:lineRule="exact"/>
        <w:rPr>
          <w:sz w:val="20"/>
          <w:szCs w:val="20"/>
          <w:color w:val="auto"/>
        </w:rPr>
      </w:pPr>
    </w:p>
    <w:p>
      <w:pPr>
        <w:jc w:val="both"/>
        <w:ind w:firstLine="1134"/>
        <w:spacing w:after="0" w:line="267" w:lineRule="auto"/>
        <w:rPr>
          <w:sz w:val="20"/>
          <w:szCs w:val="20"/>
          <w:color w:val="auto"/>
        </w:rPr>
      </w:pPr>
      <w:r>
        <w:rPr>
          <w:rFonts w:ascii="Arial" w:cs="Arial" w:eastAsia="Arial" w:hAnsi="Arial"/>
          <w:sz w:val="20"/>
          <w:szCs w:val="20"/>
          <w:b w:val="1"/>
          <w:bCs w:val="1"/>
          <w:color w:val="010000"/>
        </w:rPr>
        <w:t xml:space="preserve">4.3 </w:t>
      </w:r>
      <w:r>
        <w:rPr>
          <w:rFonts w:ascii="Arial" w:cs="Arial" w:eastAsia="Arial" w:hAnsi="Arial"/>
          <w:sz w:val="20"/>
          <w:szCs w:val="20"/>
          <w:b w:val="1"/>
          <w:bCs w:val="1"/>
          <w:color w:val="000000"/>
        </w:rPr>
        <w:t>Termination for Death or Disability</w:t>
      </w:r>
      <w:r>
        <w:rPr>
          <w:rFonts w:ascii="Arial" w:cs="Arial" w:eastAsia="Arial" w:hAnsi="Arial"/>
          <w:sz w:val="20"/>
          <w:szCs w:val="20"/>
          <w:color w:val="000000"/>
        </w:rPr>
        <w:t>. GC’s employment with the Company shall automatically terminate effective upon</w:t>
      </w:r>
      <w:r>
        <w:rPr>
          <w:rFonts w:ascii="Arial" w:cs="Arial" w:eastAsia="Arial" w:hAnsi="Arial"/>
          <w:sz w:val="20"/>
          <w:szCs w:val="20"/>
          <w:b w:val="1"/>
          <w:bCs w:val="1"/>
          <w:color w:val="010000"/>
        </w:rPr>
        <w:t xml:space="preserve"> </w:t>
      </w:r>
      <w:r>
        <w:rPr>
          <w:rFonts w:ascii="Arial" w:cs="Arial" w:eastAsia="Arial" w:hAnsi="Arial"/>
          <w:sz w:val="20"/>
          <w:szCs w:val="20"/>
          <w:color w:val="000000"/>
        </w:rPr>
        <w:t>the date of GC’s death or Disability (as defined in the Plan).</w:t>
      </w:r>
    </w:p>
    <w:p>
      <w:pPr>
        <w:spacing w:after="0" w:line="164" w:lineRule="exact"/>
        <w:rPr>
          <w:sz w:val="20"/>
          <w:szCs w:val="20"/>
          <w:color w:val="auto"/>
        </w:rPr>
      </w:pPr>
    </w:p>
    <w:p>
      <w:pPr>
        <w:jc w:val="both"/>
        <w:ind w:firstLine="1134"/>
        <w:spacing w:after="0" w:line="253" w:lineRule="auto"/>
        <w:rPr>
          <w:sz w:val="20"/>
          <w:szCs w:val="20"/>
          <w:color w:val="auto"/>
        </w:rPr>
      </w:pPr>
      <w:r>
        <w:rPr>
          <w:rFonts w:ascii="Arial" w:cs="Arial" w:eastAsia="Arial" w:hAnsi="Arial"/>
          <w:sz w:val="20"/>
          <w:szCs w:val="20"/>
          <w:b w:val="1"/>
          <w:bCs w:val="1"/>
          <w:color w:val="010000"/>
        </w:rPr>
        <w:t xml:space="preserve">4.4 </w:t>
      </w:r>
      <w:r>
        <w:rPr>
          <w:rFonts w:ascii="Arial" w:cs="Arial" w:eastAsia="Arial" w:hAnsi="Arial"/>
          <w:sz w:val="20"/>
          <w:szCs w:val="20"/>
          <w:b w:val="1"/>
          <w:bCs w:val="1"/>
          <w:color w:val="000000"/>
        </w:rPr>
        <w:t>Termination by Mutual Agreement of the Parties</w:t>
      </w:r>
      <w:r>
        <w:rPr>
          <w:rFonts w:ascii="Arial" w:cs="Arial" w:eastAsia="Arial" w:hAnsi="Arial"/>
          <w:sz w:val="20"/>
          <w:szCs w:val="20"/>
          <w:color w:val="000000"/>
        </w:rPr>
        <w:t>. GC’s employment with the Company may be terminated at any time</w:t>
      </w:r>
      <w:r>
        <w:rPr>
          <w:rFonts w:ascii="Arial" w:cs="Arial" w:eastAsia="Arial" w:hAnsi="Arial"/>
          <w:sz w:val="20"/>
          <w:szCs w:val="20"/>
          <w:b w:val="1"/>
          <w:bCs w:val="1"/>
          <w:color w:val="010000"/>
        </w:rPr>
        <w:t xml:space="preserve"> </w:t>
      </w:r>
      <w:r>
        <w:rPr>
          <w:rFonts w:ascii="Arial" w:cs="Arial" w:eastAsia="Arial" w:hAnsi="Arial"/>
          <w:sz w:val="20"/>
          <w:szCs w:val="20"/>
          <w:color w:val="000000"/>
        </w:rPr>
        <w:t>upon a mutual agreement in writing of the Parties. Any such termination of employment shall have the consequences specified in such agreement.</w:t>
      </w:r>
    </w:p>
    <w:p>
      <w:pPr>
        <w:spacing w:after="0" w:line="178" w:lineRule="exact"/>
        <w:rPr>
          <w:sz w:val="20"/>
          <w:szCs w:val="20"/>
          <w:color w:val="auto"/>
        </w:rPr>
      </w:pPr>
    </w:p>
    <w:p>
      <w:pPr>
        <w:ind w:left="1140"/>
        <w:spacing w:after="0"/>
        <w:tabs>
          <w:tab w:leader="none" w:pos="1640" w:val="left"/>
        </w:tabs>
        <w:rPr>
          <w:sz w:val="20"/>
          <w:szCs w:val="20"/>
          <w:color w:val="auto"/>
        </w:rPr>
      </w:pPr>
      <w:r>
        <w:rPr>
          <w:rFonts w:ascii="Arial" w:cs="Arial" w:eastAsia="Arial" w:hAnsi="Arial"/>
          <w:sz w:val="20"/>
          <w:szCs w:val="20"/>
          <w:b w:val="1"/>
          <w:bCs w:val="1"/>
          <w:color w:val="010000"/>
        </w:rPr>
        <w:t>4.5</w:t>
      </w:r>
      <w:r>
        <w:rPr>
          <w:sz w:val="20"/>
          <w:szCs w:val="20"/>
          <w:color w:val="auto"/>
        </w:rPr>
        <w:tab/>
      </w:r>
      <w:r>
        <w:rPr>
          <w:rFonts w:ascii="Arial" w:cs="Arial" w:eastAsia="Arial" w:hAnsi="Arial"/>
          <w:sz w:val="16"/>
          <w:szCs w:val="16"/>
          <w:b w:val="1"/>
          <w:bCs w:val="1"/>
          <w:color w:val="auto"/>
        </w:rPr>
        <w:t>Compensation upon Termination</w:t>
      </w:r>
      <w:r>
        <w:rPr>
          <w:rFonts w:ascii="Arial" w:cs="Arial" w:eastAsia="Arial" w:hAnsi="Arial"/>
          <w:sz w:val="16"/>
          <w:szCs w:val="16"/>
          <w:color w:val="auto"/>
        </w:rPr>
        <w:t>.</w:t>
      </w:r>
    </w:p>
    <w:p>
      <w:pPr>
        <w:spacing w:after="0" w:line="216" w:lineRule="exact"/>
        <w:rPr>
          <w:sz w:val="20"/>
          <w:szCs w:val="20"/>
          <w:color w:val="auto"/>
        </w:rPr>
      </w:pPr>
    </w:p>
    <w:p>
      <w:pPr>
        <w:jc w:val="both"/>
        <w:ind w:firstLine="1945"/>
        <w:spacing w:after="0" w:line="248" w:lineRule="auto"/>
        <w:rPr>
          <w:sz w:val="20"/>
          <w:szCs w:val="20"/>
          <w:color w:val="auto"/>
        </w:rPr>
      </w:pPr>
      <w:r>
        <w:rPr>
          <w:rFonts w:ascii="Arial" w:cs="Arial" w:eastAsia="Arial" w:hAnsi="Arial"/>
          <w:sz w:val="20"/>
          <w:szCs w:val="20"/>
          <w:b w:val="1"/>
          <w:bCs w:val="1"/>
          <w:color w:val="010000"/>
        </w:rPr>
        <w:t xml:space="preserve">4.5.1 </w:t>
      </w:r>
      <w:r>
        <w:rPr>
          <w:rFonts w:ascii="Arial" w:cs="Arial" w:eastAsia="Arial" w:hAnsi="Arial"/>
          <w:sz w:val="20"/>
          <w:szCs w:val="20"/>
          <w:b w:val="1"/>
          <w:bCs w:val="1"/>
          <w:color w:val="000000"/>
        </w:rPr>
        <w:t>Death or Disability</w:t>
      </w:r>
      <w:r>
        <w:rPr>
          <w:rFonts w:ascii="Arial" w:cs="Arial" w:eastAsia="Arial" w:hAnsi="Arial"/>
          <w:sz w:val="20"/>
          <w:szCs w:val="20"/>
          <w:color w:val="000000"/>
        </w:rPr>
        <w:t>. If GC’s employment is terminated by death or Disability, the Company shall pay to GC,</w:t>
      </w:r>
      <w:r>
        <w:rPr>
          <w:rFonts w:ascii="Arial" w:cs="Arial" w:eastAsia="Arial" w:hAnsi="Arial"/>
          <w:sz w:val="20"/>
          <w:szCs w:val="20"/>
          <w:b w:val="1"/>
          <w:bCs w:val="1"/>
          <w:color w:val="010000"/>
        </w:rPr>
        <w:t xml:space="preserve"> </w:t>
      </w:r>
      <w:r>
        <w:rPr>
          <w:rFonts w:ascii="Arial" w:cs="Arial" w:eastAsia="Arial" w:hAnsi="Arial"/>
          <w:sz w:val="20"/>
          <w:szCs w:val="20"/>
          <w:color w:val="000000"/>
        </w:rPr>
        <w:t>or to GC’s heirs, GC’s accrued and unpaid base salary and accrued and unused vacation benefits earned through the date of termination at the rate in effect at the time of termination, less standard deductions and withholdings. The Company shall thereafter have no further obligations to GC and/or GC’s heirs under this Agreement, except as otherwise provided by law.</w:t>
      </w:r>
    </w:p>
    <w:p>
      <w:pPr>
        <w:spacing w:after="0" w:line="184" w:lineRule="exact"/>
        <w:rPr>
          <w:sz w:val="20"/>
          <w:szCs w:val="20"/>
          <w:color w:val="auto"/>
        </w:rPr>
      </w:pPr>
    </w:p>
    <w:p>
      <w:pPr>
        <w:jc w:val="both"/>
        <w:ind w:firstLine="1945"/>
        <w:spacing w:after="0" w:line="248" w:lineRule="auto"/>
        <w:rPr>
          <w:sz w:val="20"/>
          <w:szCs w:val="20"/>
          <w:color w:val="auto"/>
        </w:rPr>
      </w:pPr>
      <w:r>
        <w:rPr>
          <w:rFonts w:ascii="Arial" w:cs="Arial" w:eastAsia="Arial" w:hAnsi="Arial"/>
          <w:sz w:val="20"/>
          <w:szCs w:val="20"/>
          <w:b w:val="1"/>
          <w:bCs w:val="1"/>
          <w:color w:val="010000"/>
        </w:rPr>
        <w:t xml:space="preserve">4.5.2 </w:t>
      </w:r>
      <w:r>
        <w:rPr>
          <w:rFonts w:ascii="Arial" w:cs="Arial" w:eastAsia="Arial" w:hAnsi="Arial"/>
          <w:sz w:val="20"/>
          <w:szCs w:val="20"/>
          <w:b w:val="1"/>
          <w:bCs w:val="1"/>
          <w:color w:val="000000"/>
        </w:rPr>
        <w:t>Termination for Cause</w:t>
      </w:r>
      <w:r>
        <w:rPr>
          <w:rFonts w:ascii="Arial" w:cs="Arial" w:eastAsia="Arial" w:hAnsi="Arial"/>
          <w:sz w:val="20"/>
          <w:szCs w:val="20"/>
          <w:color w:val="000000"/>
        </w:rPr>
        <w:t>. If the Company terminates GC’s employment for Cause, then the Company shall pay</w:t>
      </w:r>
      <w:r>
        <w:rPr>
          <w:rFonts w:ascii="Arial" w:cs="Arial" w:eastAsia="Arial" w:hAnsi="Arial"/>
          <w:sz w:val="20"/>
          <w:szCs w:val="20"/>
          <w:b w:val="1"/>
          <w:bCs w:val="1"/>
          <w:color w:val="010000"/>
        </w:rPr>
        <w:t xml:space="preserve"> </w:t>
      </w:r>
      <w:r>
        <w:rPr>
          <w:rFonts w:ascii="Arial" w:cs="Arial" w:eastAsia="Arial" w:hAnsi="Arial"/>
          <w:sz w:val="20"/>
          <w:szCs w:val="20"/>
          <w:color w:val="000000"/>
        </w:rPr>
        <w:t>GC’s accrued and unpaid base salary and accrued and unused vacation benefits earned through the date of termination, at the rate in effect at the time of termination, less standard deductions and withholdings. The Company shall thereafter have no further obligations to GC under this Agreement, except as otherwise provided by law.</w:t>
      </w:r>
    </w:p>
    <w:p>
      <w:pPr>
        <w:spacing w:after="0" w:line="184" w:lineRule="exact"/>
        <w:rPr>
          <w:sz w:val="20"/>
          <w:szCs w:val="20"/>
          <w:color w:val="auto"/>
        </w:rPr>
      </w:pPr>
    </w:p>
    <w:p>
      <w:pPr>
        <w:jc w:val="both"/>
        <w:ind w:firstLine="1945"/>
        <w:spacing w:after="0" w:line="268" w:lineRule="auto"/>
        <w:rPr>
          <w:sz w:val="20"/>
          <w:szCs w:val="20"/>
          <w:color w:val="auto"/>
        </w:rPr>
      </w:pPr>
      <w:r>
        <w:rPr>
          <w:rFonts w:ascii="Arial" w:cs="Arial" w:eastAsia="Arial" w:hAnsi="Arial"/>
          <w:sz w:val="18"/>
          <w:szCs w:val="18"/>
          <w:b w:val="1"/>
          <w:bCs w:val="1"/>
          <w:color w:val="010000"/>
        </w:rPr>
        <w:t xml:space="preserve">4.5.3 </w:t>
      </w:r>
      <w:r>
        <w:rPr>
          <w:rFonts w:ascii="Arial" w:cs="Arial" w:eastAsia="Arial" w:hAnsi="Arial"/>
          <w:sz w:val="18"/>
          <w:szCs w:val="18"/>
          <w:b w:val="1"/>
          <w:bCs w:val="1"/>
          <w:color w:val="000000"/>
        </w:rPr>
        <w:t>Termination by Company without Cause or by GC for Good Reason Not In Connection with a Change in</w:t>
      </w:r>
      <w:r>
        <w:rPr>
          <w:rFonts w:ascii="Arial" w:cs="Arial" w:eastAsia="Arial" w:hAnsi="Arial"/>
          <w:sz w:val="18"/>
          <w:szCs w:val="18"/>
          <w:b w:val="1"/>
          <w:bCs w:val="1"/>
          <w:color w:val="010000"/>
        </w:rPr>
        <w:t xml:space="preserve"> </w:t>
      </w:r>
      <w:r>
        <w:rPr>
          <w:rFonts w:ascii="Arial" w:cs="Arial" w:eastAsia="Arial" w:hAnsi="Arial"/>
          <w:sz w:val="18"/>
          <w:szCs w:val="18"/>
          <w:b w:val="1"/>
          <w:bCs w:val="1"/>
          <w:color w:val="000000"/>
        </w:rPr>
        <w:t>Control</w:t>
      </w:r>
      <w:r>
        <w:rPr>
          <w:rFonts w:ascii="Arial" w:cs="Arial" w:eastAsia="Arial" w:hAnsi="Arial"/>
          <w:sz w:val="18"/>
          <w:szCs w:val="18"/>
          <w:color w:val="000000"/>
        </w:rPr>
        <w:t>. If the Company terminates GC’s employment without Cause or if GC resigns his employment for “</w:t>
      </w:r>
      <w:r>
        <w:rPr>
          <w:rFonts w:ascii="Arial" w:cs="Arial" w:eastAsia="Arial" w:hAnsi="Arial"/>
          <w:sz w:val="18"/>
          <w:szCs w:val="18"/>
          <w:b w:val="1"/>
          <w:bCs w:val="1"/>
          <w:i w:val="1"/>
          <w:iCs w:val="1"/>
          <w:color w:val="000000"/>
        </w:rPr>
        <w:t>Good Reason”</w:t>
      </w:r>
      <w:r>
        <w:rPr>
          <w:rFonts w:ascii="Arial" w:cs="Arial" w:eastAsia="Arial" w:hAnsi="Arial"/>
          <w:sz w:val="18"/>
          <w:szCs w:val="18"/>
          <w:b w:val="1"/>
          <w:bCs w:val="1"/>
          <w:color w:val="000000"/>
        </w:rPr>
        <w:t xml:space="preserve"> </w:t>
      </w:r>
      <w:r>
        <w:rPr>
          <w:rFonts w:ascii="Arial" w:cs="Arial" w:eastAsia="Arial" w:hAnsi="Arial"/>
          <w:sz w:val="18"/>
          <w:szCs w:val="18"/>
          <w:color w:val="000000"/>
        </w:rPr>
        <w:t>(as defined below),</w:t>
      </w:r>
      <w:r>
        <w:rPr>
          <w:rFonts w:ascii="Arial" w:cs="Arial" w:eastAsia="Arial" w:hAnsi="Arial"/>
          <w:sz w:val="18"/>
          <w:szCs w:val="18"/>
          <w:b w:val="1"/>
          <w:bCs w:val="1"/>
          <w:color w:val="000000"/>
        </w:rPr>
        <w:t xml:space="preserve"> </w:t>
      </w:r>
      <w:r>
        <w:rPr>
          <w:rFonts w:ascii="Arial" w:cs="Arial" w:eastAsia="Arial" w:hAnsi="Arial"/>
          <w:sz w:val="18"/>
          <w:szCs w:val="18"/>
          <w:color w:val="000000"/>
        </w:rPr>
        <w:t xml:space="preserve">in either case at any time other than upon the occurrence of, or within the 13 months immediately following, the effective date of a </w:t>
      </w:r>
      <w:r>
        <w:rPr>
          <w:rFonts w:ascii="Arial" w:cs="Arial" w:eastAsia="Arial" w:hAnsi="Arial"/>
          <w:sz w:val="18"/>
          <w:szCs w:val="18"/>
          <w:b w:val="1"/>
          <w:bCs w:val="1"/>
          <w:i w:val="1"/>
          <w:iCs w:val="1"/>
          <w:color w:val="000000"/>
        </w:rPr>
        <w:t>“Change in</w:t>
      </w:r>
      <w:r>
        <w:rPr>
          <w:rFonts w:ascii="Arial" w:cs="Arial" w:eastAsia="Arial" w:hAnsi="Arial"/>
          <w:sz w:val="18"/>
          <w:szCs w:val="18"/>
          <w:color w:val="000000"/>
        </w:rPr>
        <w:t xml:space="preserve"> </w:t>
      </w:r>
      <w:r>
        <w:rPr>
          <w:rFonts w:ascii="Arial" w:cs="Arial" w:eastAsia="Arial" w:hAnsi="Arial"/>
          <w:sz w:val="18"/>
          <w:szCs w:val="18"/>
          <w:b w:val="1"/>
          <w:bCs w:val="1"/>
          <w:i w:val="1"/>
          <w:iCs w:val="1"/>
          <w:color w:val="000000"/>
        </w:rPr>
        <w:t xml:space="preserve">Control” </w:t>
      </w:r>
      <w:r>
        <w:rPr>
          <w:rFonts w:ascii="Arial" w:cs="Arial" w:eastAsia="Arial" w:hAnsi="Arial"/>
          <w:sz w:val="18"/>
          <w:szCs w:val="18"/>
          <w:color w:val="000000"/>
        </w:rPr>
        <w:t>(as defined below), the Company shall pay GC’s accrued and unpaid base salary and accrued and unused vacation benefits earned</w:t>
      </w:r>
      <w:r>
        <w:rPr>
          <w:rFonts w:ascii="Arial" w:cs="Arial" w:eastAsia="Arial" w:hAnsi="Arial"/>
          <w:sz w:val="18"/>
          <w:szCs w:val="18"/>
          <w:b w:val="1"/>
          <w:bCs w:val="1"/>
          <w:i w:val="1"/>
          <w:iCs w:val="1"/>
          <w:color w:val="000000"/>
        </w:rPr>
        <w:t xml:space="preserve"> </w:t>
      </w:r>
      <w:r>
        <w:rPr>
          <w:rFonts w:ascii="Arial" w:cs="Arial" w:eastAsia="Arial" w:hAnsi="Arial"/>
          <w:sz w:val="18"/>
          <w:szCs w:val="18"/>
          <w:color w:val="000000"/>
        </w:rPr>
        <w:t xml:space="preserve">through the date of termination, at the rate in effect at the time of termination, less standard deductions and withholdings. In addition to the above, if GC furnishes to the Company an executed waiver and release of claims in the form attached hereto as </w:t>
      </w:r>
      <w:r>
        <w:rPr>
          <w:rFonts w:ascii="Arial" w:cs="Arial" w:eastAsia="Arial" w:hAnsi="Arial"/>
          <w:sz w:val="18"/>
          <w:szCs w:val="18"/>
          <w:b w:val="1"/>
          <w:bCs w:val="1"/>
          <w:color w:val="000000"/>
        </w:rPr>
        <w:t>Exhibit A</w:t>
      </w:r>
      <w:r>
        <w:rPr>
          <w:rFonts w:ascii="Arial" w:cs="Arial" w:eastAsia="Arial" w:hAnsi="Arial"/>
          <w:sz w:val="18"/>
          <w:szCs w:val="18"/>
          <w:color w:val="000000"/>
        </w:rPr>
        <w:t xml:space="preserve"> (or in such other form as may be specified by the Company) (the “</w:t>
      </w:r>
      <w:r>
        <w:rPr>
          <w:rFonts w:ascii="Arial" w:cs="Arial" w:eastAsia="Arial" w:hAnsi="Arial"/>
          <w:sz w:val="18"/>
          <w:szCs w:val="18"/>
          <w:b w:val="1"/>
          <w:bCs w:val="1"/>
          <w:i w:val="1"/>
          <w:iCs w:val="1"/>
          <w:color w:val="000000"/>
        </w:rPr>
        <w:t>Release”</w:t>
      </w:r>
      <w:r>
        <w:rPr>
          <w:rFonts w:ascii="Arial" w:cs="Arial" w:eastAsia="Arial" w:hAnsi="Arial"/>
          <w:sz w:val="18"/>
          <w:szCs w:val="18"/>
          <w:color w:val="000000"/>
        </w:rPr>
        <w:t>) within the time period specified therein, but in no event later than 45 days following GC’s termination, and if GC allows such Release to become effective in accordance with its terms, then (i) GC shall be entitled to severance in the form of continuation of his base salary, at the base salary rate equal to the greater of the rate in effect at the time of termination or the rate immediately prior to the event giving rise to Good Reason (the “</w:t>
      </w:r>
      <w:r>
        <w:rPr>
          <w:rFonts w:ascii="Arial" w:cs="Arial" w:eastAsia="Arial" w:hAnsi="Arial"/>
          <w:sz w:val="18"/>
          <w:szCs w:val="18"/>
          <w:b w:val="1"/>
          <w:bCs w:val="1"/>
          <w:i w:val="1"/>
          <w:iCs w:val="1"/>
          <w:color w:val="000000"/>
        </w:rPr>
        <w:t>Severance Payments”</w:t>
      </w:r>
      <w:r>
        <w:rPr>
          <w:rFonts w:ascii="Arial" w:cs="Arial" w:eastAsia="Arial" w:hAnsi="Arial"/>
          <w:sz w:val="18"/>
          <w:szCs w:val="18"/>
          <w:color w:val="000000"/>
        </w:rPr>
        <w:t>), for a period of nine (9) months following the termination date (the “</w:t>
      </w:r>
      <w:r>
        <w:rPr>
          <w:rFonts w:ascii="Arial" w:cs="Arial" w:eastAsia="Arial" w:hAnsi="Arial"/>
          <w:sz w:val="18"/>
          <w:szCs w:val="18"/>
          <w:b w:val="1"/>
          <w:bCs w:val="1"/>
          <w:i w:val="1"/>
          <w:iCs w:val="1"/>
          <w:color w:val="000000"/>
        </w:rPr>
        <w:t>Severance Period”</w:t>
      </w:r>
      <w:r>
        <w:rPr>
          <w:rFonts w:ascii="Arial" w:cs="Arial" w:eastAsia="Arial" w:hAnsi="Arial"/>
          <w:sz w:val="18"/>
          <w:szCs w:val="18"/>
          <w:color w:val="000000"/>
        </w:rPr>
        <w:t xml:space="preserve">), and (ii) the Company will pay directly to the insurance provider the premium for COBRA continuation coverage for GC and GC’s family during the Severance Period or until he obtains new employment, whichever comes first (the </w:t>
      </w:r>
      <w:r>
        <w:rPr>
          <w:rFonts w:ascii="Arial" w:cs="Arial" w:eastAsia="Arial" w:hAnsi="Arial"/>
          <w:sz w:val="18"/>
          <w:szCs w:val="18"/>
          <w:b w:val="1"/>
          <w:bCs w:val="1"/>
          <w:i w:val="1"/>
          <w:iCs w:val="1"/>
          <w:color w:val="000000"/>
        </w:rPr>
        <w:t>“COBRA Coverage”</w:t>
      </w:r>
      <w:r>
        <w:rPr>
          <w:rFonts w:ascii="Arial" w:cs="Arial" w:eastAsia="Arial" w:hAnsi="Arial"/>
          <w:sz w:val="18"/>
          <w:szCs w:val="18"/>
          <w:color w:val="000000"/>
        </w:rPr>
        <w:t>); provided that, if the Company determines that it cannot provide the COBRA Coverage without potentially violating</w:t>
      </w:r>
      <w:r>
        <w:rPr>
          <w:rFonts w:ascii="Arial" w:cs="Arial" w:eastAsia="Arial" w:hAnsi="Arial"/>
          <w:sz w:val="18"/>
          <w:szCs w:val="18"/>
          <w:b w:val="1"/>
          <w:bCs w:val="1"/>
          <w:i w:val="1"/>
          <w:iCs w:val="1"/>
          <w:color w:val="000000"/>
        </w:rPr>
        <w:t xml:space="preserve"> </w:t>
      </w:r>
      <w:r>
        <w:rPr>
          <w:rFonts w:ascii="Arial" w:cs="Arial" w:eastAsia="Arial" w:hAnsi="Arial"/>
          <w:sz w:val="18"/>
          <w:szCs w:val="18"/>
          <w:color w:val="000000"/>
        </w:rPr>
        <w:t>applicable law or incurring additional expense under applicable law (including, without limitation, Section 2716 of the Public Health Service Act), the Company will provide GC, in lieu thereof, taxable, continued installment payments equal to the COBRA premium, payable on the last day of a given month, for 9 months (measured from the termination date), which payments will be made regardless of whether GC elects COBRA continuation coverage (the “</w:t>
      </w:r>
      <w:r>
        <w:rPr>
          <w:rFonts w:ascii="Arial" w:cs="Arial" w:eastAsia="Arial" w:hAnsi="Arial"/>
          <w:sz w:val="18"/>
          <w:szCs w:val="18"/>
          <w:b w:val="1"/>
          <w:bCs w:val="1"/>
          <w:i w:val="1"/>
          <w:iCs w:val="1"/>
          <w:color w:val="000000"/>
        </w:rPr>
        <w:t>COBRA Bonus”</w:t>
      </w:r>
      <w:r>
        <w:rPr>
          <w:rFonts w:ascii="Arial" w:cs="Arial" w:eastAsia="Arial" w:hAnsi="Arial"/>
          <w:sz w:val="18"/>
          <w:szCs w:val="18"/>
          <w:color w:val="000000"/>
        </w:rPr>
        <w:t xml:space="preserve">). Notwithstanding the foregoing, the number of months of COBRA Bonus to be paid, in any case, shall be reduced by the number of months of COBRA Coverage previously paid by the Company. The Severance Payments will be subject to standard payroll deductions and withholdings and will be made on the Company’s regular payroll cycle, provided, however, that any Severance Payments otherwise scheduled to be made prior to the effective date of the Release shall accrue and be paid in the first payroll period that follows such effective date, </w:t>
      </w:r>
      <w:r>
        <w:rPr>
          <w:rFonts w:ascii="Arial" w:cs="Arial" w:eastAsia="Arial" w:hAnsi="Arial"/>
          <w:sz w:val="18"/>
          <w:szCs w:val="18"/>
          <w:i w:val="1"/>
          <w:iCs w:val="1"/>
          <w:color w:val="000000"/>
        </w:rPr>
        <w:t>provided, further</w:t>
      </w:r>
      <w:r>
        <w:rPr>
          <w:rFonts w:ascii="Arial" w:cs="Arial" w:eastAsia="Arial" w:hAnsi="Arial"/>
          <w:sz w:val="18"/>
          <w:szCs w:val="18"/>
          <w:color w:val="000000"/>
        </w:rPr>
        <w:t>, that if the 45 day period to execute the Release spans two calendar years, no Severance Payments will be made until the later calendar year. The Company shall thereafter have no further obligations to GC under this Agreement, except as otherwise provided by law.</w:t>
      </w:r>
    </w:p>
    <w:p>
      <w:pPr>
        <w:sectPr>
          <w:pgSz w:w="11900" w:h="16838" w:orient="portrait"/>
          <w:cols w:equalWidth="0" w:num="1">
            <w:col w:w="11420"/>
          </w:cols>
          <w:pgMar w:left="240" w:top="690" w:right="239" w:bottom="1440" w:gutter="0" w:footer="0" w:header="0"/>
        </w:sectPr>
      </w:pPr>
    </w:p>
    <w:bookmarkStart w:id="71" w:name="page72"/>
    <w:bookmarkEnd w:id="71"/>
    <w:p>
      <w:pPr>
        <w:jc w:val="both"/>
        <w:ind w:firstLine="1945"/>
        <w:spacing w:after="0" w:line="255" w:lineRule="auto"/>
        <w:rPr>
          <w:sz w:val="20"/>
          <w:szCs w:val="20"/>
          <w:color w:val="auto"/>
        </w:rPr>
      </w:pPr>
      <w:r>
        <w:rPr>
          <w:rFonts w:ascii="Arial" w:cs="Arial" w:eastAsia="Arial" w:hAnsi="Arial"/>
          <w:sz w:val="19"/>
          <w:szCs w:val="19"/>
          <w:b w:val="1"/>
          <w:bCs w:val="1"/>
          <w:color w:val="010000"/>
        </w:rPr>
        <w:t xml:space="preserve">4.5.4 </w:t>
      </w:r>
      <w:r>
        <w:rPr>
          <w:rFonts w:ascii="Arial" w:cs="Arial" w:eastAsia="Arial" w:hAnsi="Arial"/>
          <w:sz w:val="19"/>
          <w:szCs w:val="19"/>
          <w:b w:val="1"/>
          <w:bCs w:val="1"/>
          <w:color w:val="000000"/>
        </w:rPr>
        <w:t>Termination by Company without Cause or by GC for Good Reason In Connection with a Change in</w:t>
      </w:r>
      <w:r>
        <w:rPr>
          <w:rFonts w:ascii="Arial" w:cs="Arial" w:eastAsia="Arial" w:hAnsi="Arial"/>
          <w:sz w:val="19"/>
          <w:szCs w:val="19"/>
          <w:b w:val="1"/>
          <w:bCs w:val="1"/>
          <w:color w:val="010000"/>
        </w:rPr>
        <w:t xml:space="preserve"> </w:t>
      </w:r>
      <w:r>
        <w:rPr>
          <w:rFonts w:ascii="Arial" w:cs="Arial" w:eastAsia="Arial" w:hAnsi="Arial"/>
          <w:sz w:val="19"/>
          <w:szCs w:val="19"/>
          <w:b w:val="1"/>
          <w:bCs w:val="1"/>
          <w:color w:val="000000"/>
        </w:rPr>
        <w:t>Control</w:t>
      </w:r>
      <w:r>
        <w:rPr>
          <w:rFonts w:ascii="Arial" w:cs="Arial" w:eastAsia="Arial" w:hAnsi="Arial"/>
          <w:sz w:val="19"/>
          <w:szCs w:val="19"/>
          <w:color w:val="000000"/>
        </w:rPr>
        <w:t>. If the Company terminates GC’s employment without Cause or if GC resigns his employment for Good Reason, in either case upon</w:t>
      </w:r>
      <w:r>
        <w:rPr>
          <w:rFonts w:ascii="Arial" w:cs="Arial" w:eastAsia="Arial" w:hAnsi="Arial"/>
          <w:sz w:val="19"/>
          <w:szCs w:val="19"/>
          <w:b w:val="1"/>
          <w:bCs w:val="1"/>
          <w:color w:val="000000"/>
        </w:rPr>
        <w:t xml:space="preserve"> </w:t>
      </w:r>
      <w:r>
        <w:rPr>
          <w:rFonts w:ascii="Arial" w:cs="Arial" w:eastAsia="Arial" w:hAnsi="Arial"/>
          <w:sz w:val="19"/>
          <w:szCs w:val="19"/>
          <w:color w:val="000000"/>
        </w:rPr>
        <w:t>the occurrence of, or within the 13 months immediately following, the effective date of a Change in Control, the Company shall pay GC’s accrued and unpaid base salary and accrued and unused vacation benefits earned through the date of termination, at the rate in effect at the time of termination, less standard deductions and withholdings. In addition, if GC furnishes to the Company an executed Release within the time period specified therein, but in no event later than 45 days following GC’s termination, and if GC allows such Release to become effective in accordance with its terms, then GC shall be entitled to: (1) the Severance Payments and COBRA payments described in Section 4.5.3 above; provided, however, that the Severance Payments and COBRA payments shall be increased from 9 months to 12 months and (2) accelerated vesting of all of GC’s unvested Company equity awards, such that GC shall become vested in 100% of the shares subject to all such equity awards on the effective date of the Release; provided, however, that the vesting of any performance-based awards shall be as if all applicable performance criteria were achieved at target levels. The Company shall thereafter have no further obligations to GC under this Agreement, except as otherwise provided by law.</w:t>
      </w:r>
    </w:p>
    <w:p>
      <w:pPr>
        <w:spacing w:after="0" w:line="185" w:lineRule="exact"/>
        <w:rPr>
          <w:sz w:val="20"/>
          <w:szCs w:val="20"/>
          <w:color w:val="auto"/>
        </w:rPr>
      </w:pPr>
    </w:p>
    <w:p>
      <w:pPr>
        <w:ind w:left="1140"/>
        <w:spacing w:after="0"/>
        <w:tabs>
          <w:tab w:leader="none" w:pos="1640" w:val="left"/>
        </w:tabs>
        <w:rPr>
          <w:sz w:val="20"/>
          <w:szCs w:val="20"/>
          <w:color w:val="auto"/>
        </w:rPr>
      </w:pPr>
      <w:r>
        <w:rPr>
          <w:rFonts w:ascii="Arial" w:cs="Arial" w:eastAsia="Arial" w:hAnsi="Arial"/>
          <w:sz w:val="20"/>
          <w:szCs w:val="20"/>
          <w:b w:val="1"/>
          <w:bCs w:val="1"/>
          <w:color w:val="010000"/>
        </w:rPr>
        <w:t>4.6</w:t>
      </w:r>
      <w:r>
        <w:rPr>
          <w:sz w:val="20"/>
          <w:szCs w:val="20"/>
          <w:color w:val="auto"/>
        </w:rPr>
        <w:tab/>
      </w: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Agreement, the following terms shall have the</w:t>
      </w:r>
    </w:p>
    <w:p>
      <w:pPr>
        <w:spacing w:after="0" w:line="222"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following meanings:</w:t>
      </w:r>
    </w:p>
    <w:p>
      <w:pPr>
        <w:spacing w:after="0" w:line="205" w:lineRule="exact"/>
        <w:rPr>
          <w:sz w:val="20"/>
          <w:szCs w:val="20"/>
          <w:color w:val="auto"/>
        </w:rPr>
      </w:pPr>
    </w:p>
    <w:p>
      <w:pPr>
        <w:jc w:val="both"/>
        <w:ind w:firstLine="1945"/>
        <w:spacing w:after="0" w:line="273" w:lineRule="auto"/>
        <w:rPr>
          <w:sz w:val="20"/>
          <w:szCs w:val="20"/>
          <w:color w:val="auto"/>
        </w:rPr>
      </w:pPr>
      <w:r>
        <w:rPr>
          <w:rFonts w:ascii="Arial" w:cs="Arial" w:eastAsia="Arial" w:hAnsi="Arial"/>
          <w:sz w:val="18"/>
          <w:szCs w:val="18"/>
          <w:b w:val="1"/>
          <w:bCs w:val="1"/>
          <w:color w:val="010000"/>
        </w:rPr>
        <w:t>4.6.1 “</w:t>
      </w:r>
      <w:r>
        <w:rPr>
          <w:rFonts w:ascii="Arial" w:cs="Arial" w:eastAsia="Arial" w:hAnsi="Arial"/>
          <w:sz w:val="18"/>
          <w:szCs w:val="18"/>
          <w:b w:val="1"/>
          <w:bCs w:val="1"/>
          <w:i w:val="1"/>
          <w:iCs w:val="1"/>
          <w:color w:val="000000"/>
        </w:rPr>
        <w:t>Cause”</w:t>
      </w:r>
      <w:r>
        <w:rPr>
          <w:rFonts w:ascii="Arial" w:cs="Arial" w:eastAsia="Arial" w:hAnsi="Arial"/>
          <w:sz w:val="18"/>
          <w:szCs w:val="18"/>
          <w:b w:val="1"/>
          <w:bCs w:val="1"/>
          <w:color w:val="010000"/>
        </w:rPr>
        <w:t xml:space="preserve"> </w:t>
      </w:r>
      <w:r>
        <w:rPr>
          <w:rFonts w:ascii="Arial" w:cs="Arial" w:eastAsia="Arial" w:hAnsi="Arial"/>
          <w:sz w:val="18"/>
          <w:szCs w:val="18"/>
          <w:color w:val="000000"/>
        </w:rPr>
        <w:t>shall mean the occurrence of any one or more of the following: (i) GC’s commission of any crime</w:t>
      </w:r>
      <w:r>
        <w:rPr>
          <w:rFonts w:ascii="Arial" w:cs="Arial" w:eastAsia="Arial" w:hAnsi="Arial"/>
          <w:sz w:val="18"/>
          <w:szCs w:val="18"/>
          <w:b w:val="1"/>
          <w:bCs w:val="1"/>
          <w:color w:val="010000"/>
        </w:rPr>
        <w:t xml:space="preserve"> </w:t>
      </w:r>
      <w:r>
        <w:rPr>
          <w:rFonts w:ascii="Arial" w:cs="Arial" w:eastAsia="Arial" w:hAnsi="Arial"/>
          <w:sz w:val="18"/>
          <w:szCs w:val="18"/>
          <w:color w:val="000000"/>
        </w:rPr>
        <w:t xml:space="preserve">involving fraud, dishonesty or moral turpitude; (ii) GC’s attempted commission of or participation in a fraud or act of dishonesty against the Company that results in (or might have reasonably resulted in) material harm to the business of the Company; (iii) GC’s intentional, material violation of any contract or agreement between GC and the Company or any statutory duty GC owes to the Company; or (iv) GC’s conduct that constitutes gross insubordination, incompetence or habitual neglect of duties and that results in (or might have reasonably resulted in) material harm to the business of the Company; </w:t>
      </w:r>
      <w:r>
        <w:rPr>
          <w:rFonts w:ascii="Arial" w:cs="Arial" w:eastAsia="Arial" w:hAnsi="Arial"/>
          <w:sz w:val="18"/>
          <w:szCs w:val="18"/>
          <w:i w:val="1"/>
          <w:iCs w:val="1"/>
          <w:color w:val="000000"/>
        </w:rPr>
        <w:t>provided, however</w:t>
      </w:r>
      <w:r>
        <w:rPr>
          <w:rFonts w:ascii="Arial" w:cs="Arial" w:eastAsia="Arial" w:hAnsi="Arial"/>
          <w:sz w:val="18"/>
          <w:szCs w:val="18"/>
          <w:color w:val="000000"/>
        </w:rPr>
        <w:t>, that the action or conduct described in clauses (iii) and (iv) above will constitute “Cause” only if such action or conduct continues after the Company has provided GC with written notice thereof and thirty (30) days to cure, or otherwise remedy to the extent possible under direct control of the GC, the same. An occurrence of “Cause” as set forth in the preceding sentence shall be based upon a good faith determination by the Board. GC’s Disability shall not constitute Cause as set forth herein. The determination that a termination is for Cause shall be by the Board in its sole and exclusive judgment and discretion.</w:t>
      </w:r>
    </w:p>
    <w:p>
      <w:pPr>
        <w:spacing w:after="0" w:line="158"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20"/>
          <w:szCs w:val="20"/>
          <w:b w:val="1"/>
          <w:bCs w:val="1"/>
          <w:color w:val="010000"/>
        </w:rPr>
        <w:t>4.6.2</w:t>
      </w:r>
      <w:r>
        <w:rPr>
          <w:sz w:val="20"/>
          <w:szCs w:val="20"/>
          <w:color w:val="auto"/>
        </w:rPr>
        <w:tab/>
      </w:r>
      <w:r>
        <w:rPr>
          <w:rFonts w:ascii="Arial" w:cs="Arial" w:eastAsia="Arial" w:hAnsi="Arial"/>
          <w:sz w:val="18"/>
          <w:szCs w:val="18"/>
          <w:b w:val="1"/>
          <w:bCs w:val="1"/>
          <w:color w:val="010000"/>
        </w:rPr>
        <w:t>“</w:t>
      </w:r>
      <w:r>
        <w:rPr>
          <w:rFonts w:ascii="Arial" w:cs="Arial" w:eastAsia="Arial" w:hAnsi="Arial"/>
          <w:sz w:val="18"/>
          <w:szCs w:val="18"/>
          <w:b w:val="1"/>
          <w:bCs w:val="1"/>
          <w:i w:val="1"/>
          <w:iCs w:val="1"/>
          <w:color w:val="000000"/>
        </w:rPr>
        <w:t>Change in Control”</w:t>
      </w:r>
      <w:r>
        <w:rPr>
          <w:rFonts w:ascii="Arial" w:cs="Arial" w:eastAsia="Arial" w:hAnsi="Arial"/>
          <w:sz w:val="18"/>
          <w:szCs w:val="18"/>
          <w:b w:val="1"/>
          <w:bCs w:val="1"/>
          <w:color w:val="010000"/>
        </w:rPr>
        <w:t xml:space="preserve"> </w:t>
      </w:r>
      <w:r>
        <w:rPr>
          <w:rFonts w:ascii="Arial" w:cs="Arial" w:eastAsia="Arial" w:hAnsi="Arial"/>
          <w:sz w:val="18"/>
          <w:szCs w:val="18"/>
          <w:color w:val="000000"/>
        </w:rPr>
        <w:t>shall have the meaning set forth in the Amended and Restated 2006 Equity Incentive</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Plan.</w:t>
      </w:r>
    </w:p>
    <w:p>
      <w:pPr>
        <w:spacing w:after="0" w:line="202" w:lineRule="exact"/>
        <w:rPr>
          <w:sz w:val="20"/>
          <w:szCs w:val="20"/>
          <w:color w:val="auto"/>
        </w:rPr>
      </w:pPr>
    </w:p>
    <w:p>
      <w:pPr>
        <w:jc w:val="both"/>
        <w:ind w:firstLine="1945"/>
        <w:spacing w:after="0" w:line="302" w:lineRule="auto"/>
        <w:rPr>
          <w:sz w:val="20"/>
          <w:szCs w:val="20"/>
          <w:color w:val="auto"/>
        </w:rPr>
      </w:pPr>
      <w:r>
        <w:rPr>
          <w:rFonts w:ascii="Arial" w:cs="Arial" w:eastAsia="Arial" w:hAnsi="Arial"/>
          <w:sz w:val="18"/>
          <w:szCs w:val="18"/>
          <w:b w:val="1"/>
          <w:bCs w:val="1"/>
          <w:color w:val="010000"/>
        </w:rPr>
        <w:t>4.6.3 “</w:t>
      </w:r>
      <w:r>
        <w:rPr>
          <w:rFonts w:ascii="Arial" w:cs="Arial" w:eastAsia="Arial" w:hAnsi="Arial"/>
          <w:sz w:val="18"/>
          <w:szCs w:val="18"/>
          <w:b w:val="1"/>
          <w:bCs w:val="1"/>
          <w:i w:val="1"/>
          <w:iCs w:val="1"/>
          <w:color w:val="000000"/>
        </w:rPr>
        <w:t>Good Reason”</w:t>
      </w:r>
      <w:r>
        <w:rPr>
          <w:rFonts w:ascii="Arial" w:cs="Arial" w:eastAsia="Arial" w:hAnsi="Arial"/>
          <w:sz w:val="18"/>
          <w:szCs w:val="18"/>
          <w:b w:val="1"/>
          <w:bCs w:val="1"/>
          <w:color w:val="010000"/>
        </w:rPr>
        <w:t xml:space="preserve"> </w:t>
      </w:r>
      <w:r>
        <w:rPr>
          <w:rFonts w:ascii="Arial" w:cs="Arial" w:eastAsia="Arial" w:hAnsi="Arial"/>
          <w:sz w:val="18"/>
          <w:szCs w:val="18"/>
          <w:color w:val="000000"/>
        </w:rPr>
        <w:t>shall mean any of the following actions: (i) the assignment to GC of any duties or</w:t>
      </w:r>
      <w:r>
        <w:rPr>
          <w:rFonts w:ascii="Arial" w:cs="Arial" w:eastAsia="Arial" w:hAnsi="Arial"/>
          <w:sz w:val="18"/>
          <w:szCs w:val="18"/>
          <w:b w:val="1"/>
          <w:bCs w:val="1"/>
          <w:color w:val="010000"/>
        </w:rPr>
        <w:t xml:space="preserve"> </w:t>
      </w:r>
      <w:r>
        <w:rPr>
          <w:rFonts w:ascii="Arial" w:cs="Arial" w:eastAsia="Arial" w:hAnsi="Arial"/>
          <w:sz w:val="18"/>
          <w:szCs w:val="18"/>
          <w:color w:val="000000"/>
        </w:rPr>
        <w:t>responsibilities that results in a material diminution in GC’s function as in effect immediately prior to the effective date of the Change in Control; provided, however, that it will be considered a material diminution in GC’s function if, following a Change in Control, the GC is not reporting directly to the Chief Executive Officer who is in turn reporting to the Company’s (or if applicable ultimate parent entity’s) corporate board of directors; (ii) a reduction by the Company in GC’s annual base salary as in effect on the effective date of the Change in Control; provided, however, that Good Reason shall not be deemed to have occurred in the event of a reduction in GC’s annual base salary that is pursuant to a salary reduction program affecting substantially all of the employees of the Company and that does not adversely affect GC to a greater extent than other similarly situated employees; or (iii) a relocation of GC’s primary business office to a location more than 50 miles from the location of GC’s primary business office as of the effective date of the Change in Control, except for required travel by GC on the Company’s business to an extent substantially consistent with GC’s business travel obligations prior to the effective date of the Change in Control. For the purposes of application of this definition of Good Reason to Section 4.5.3, the words “as in effect immediately prior to the effective date of the Change in Control” shall be read to mean as of, or immediately prior to, the date of the event giving rise to Good Reason. In all events, in order for a termination for Good Reason to occur, the GC must provide the Company with written notice of the condition constituting Good Reason within 90 days of the initial occurrence of such condition, and allow the Company a 30-day cure period in which to cure such condition, and the GC must resign employment within 10 days of the end of such 30-day cure period if the Company does not cure the condition in such cure period. For clarity, “corporate board of directors” as used in the definition of Good Reason means the Company’s (or if applicable ultimate parent entity’s) board of directors as such term is used in Section 141 of the Delaware General Corporation Law, or if the Company (or if applicable ultimate parent entity) is not a corporation</w:t>
      </w:r>
    </w:p>
    <w:p>
      <w:pPr>
        <w:sectPr>
          <w:pgSz w:w="11900" w:h="16838" w:orient="portrait"/>
          <w:cols w:equalWidth="0" w:num="1">
            <w:col w:w="11420"/>
          </w:cols>
          <w:pgMar w:left="240" w:top="684" w:right="239" w:bottom="1440" w:gutter="0" w:footer="0" w:header="0"/>
        </w:sectPr>
      </w:pPr>
    </w:p>
    <w:bookmarkStart w:id="72" w:name="page73"/>
    <w:bookmarkEnd w:id="72"/>
    <w:p>
      <w:pPr>
        <w:jc w:val="both"/>
        <w:ind w:right="20"/>
        <w:spacing w:after="0" w:line="250" w:lineRule="auto"/>
        <w:rPr>
          <w:sz w:val="20"/>
          <w:szCs w:val="20"/>
          <w:color w:val="auto"/>
        </w:rPr>
      </w:pPr>
      <w:r>
        <w:rPr>
          <w:rFonts w:ascii="Arial" w:cs="Arial" w:eastAsia="Arial" w:hAnsi="Arial"/>
          <w:sz w:val="20"/>
          <w:szCs w:val="20"/>
          <w:color w:val="auto"/>
        </w:rPr>
        <w:t>organized under Delaware law, the most senior governing body of the Company (or if applicable ultimate parent entity) the majority of which is comprised of non-employee and independent members and has responsibility and authority for managing the business and affairs of the Company (or if applicable ultimate parent entity).</w:t>
      </w:r>
    </w:p>
    <w:p>
      <w:pPr>
        <w:spacing w:after="0" w:line="180"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20"/>
          <w:szCs w:val="20"/>
          <w:b w:val="1"/>
          <w:bCs w:val="1"/>
          <w:color w:val="010000"/>
        </w:rPr>
        <w:t>4.7</w:t>
      </w:r>
      <w:r>
        <w:rPr>
          <w:sz w:val="20"/>
          <w:szCs w:val="20"/>
          <w:color w:val="auto"/>
        </w:rPr>
        <w:tab/>
      </w:r>
      <w:r>
        <w:rPr>
          <w:rFonts w:ascii="Arial" w:cs="Arial" w:eastAsia="Arial" w:hAnsi="Arial"/>
          <w:sz w:val="18"/>
          <w:szCs w:val="18"/>
          <w:b w:val="1"/>
          <w:bCs w:val="1"/>
          <w:color w:val="auto"/>
        </w:rPr>
        <w:t>Survival of Certain Sections</w:t>
      </w:r>
      <w:r>
        <w:rPr>
          <w:rFonts w:ascii="Arial" w:cs="Arial" w:eastAsia="Arial" w:hAnsi="Arial"/>
          <w:sz w:val="18"/>
          <w:szCs w:val="18"/>
          <w:color w:val="auto"/>
        </w:rPr>
        <w:t>. Sections 3.4, 3.6 and 4 through 18 of this Agreement will survive the termination of this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94" w:lineRule="exact"/>
        <w:rPr>
          <w:sz w:val="20"/>
          <w:szCs w:val="20"/>
          <w:color w:val="auto"/>
        </w:rPr>
      </w:pPr>
    </w:p>
    <w:p>
      <w:pPr>
        <w:jc w:val="both"/>
        <w:ind w:firstLine="1134"/>
        <w:spacing w:after="0" w:line="278" w:lineRule="auto"/>
        <w:rPr>
          <w:sz w:val="20"/>
          <w:szCs w:val="20"/>
          <w:color w:val="auto"/>
        </w:rPr>
      </w:pPr>
      <w:r>
        <w:rPr>
          <w:rFonts w:ascii="Arial" w:cs="Arial" w:eastAsia="Arial" w:hAnsi="Arial"/>
          <w:sz w:val="18"/>
          <w:szCs w:val="18"/>
          <w:b w:val="1"/>
          <w:bCs w:val="1"/>
          <w:color w:val="010000"/>
        </w:rPr>
        <w:t xml:space="preserve">4.8 </w:t>
      </w:r>
      <w:r>
        <w:rPr>
          <w:rFonts w:ascii="Arial" w:cs="Arial" w:eastAsia="Arial" w:hAnsi="Arial"/>
          <w:sz w:val="18"/>
          <w:szCs w:val="18"/>
          <w:b w:val="1"/>
          <w:bCs w:val="1"/>
          <w:color w:val="000000"/>
        </w:rPr>
        <w:t>Parachute Payment</w:t>
      </w:r>
      <w:r>
        <w:rPr>
          <w:rFonts w:ascii="Arial" w:cs="Arial" w:eastAsia="Arial" w:hAnsi="Arial"/>
          <w:sz w:val="18"/>
          <w:szCs w:val="18"/>
          <w:color w:val="000000"/>
        </w:rPr>
        <w:t>. If any payment or benefit GC would receive pursuant to this Agreement (“</w:t>
      </w:r>
      <w:r>
        <w:rPr>
          <w:rFonts w:ascii="Arial" w:cs="Arial" w:eastAsia="Arial" w:hAnsi="Arial"/>
          <w:sz w:val="18"/>
          <w:szCs w:val="18"/>
          <w:b w:val="1"/>
          <w:bCs w:val="1"/>
          <w:i w:val="1"/>
          <w:iCs w:val="1"/>
          <w:color w:val="000000"/>
        </w:rPr>
        <w:t>Payment”</w:t>
      </w:r>
      <w:r>
        <w:rPr>
          <w:rFonts w:ascii="Arial" w:cs="Arial" w:eastAsia="Arial" w:hAnsi="Arial"/>
          <w:sz w:val="18"/>
          <w:szCs w:val="18"/>
          <w:color w:val="000000"/>
        </w:rPr>
        <w:t>) would (i)</w:t>
      </w:r>
      <w:r>
        <w:rPr>
          <w:rFonts w:ascii="Arial" w:cs="Arial" w:eastAsia="Arial" w:hAnsi="Arial"/>
          <w:sz w:val="18"/>
          <w:szCs w:val="18"/>
          <w:b w:val="1"/>
          <w:bCs w:val="1"/>
          <w:color w:val="010000"/>
        </w:rPr>
        <w:t xml:space="preserve"> </w:t>
      </w:r>
      <w:r>
        <w:rPr>
          <w:rFonts w:ascii="Arial" w:cs="Arial" w:eastAsia="Arial" w:hAnsi="Arial"/>
          <w:sz w:val="18"/>
          <w:szCs w:val="18"/>
          <w:color w:val="000000"/>
        </w:rPr>
        <w:t>constitute a “</w:t>
      </w:r>
      <w:r>
        <w:rPr>
          <w:rFonts w:ascii="Arial" w:cs="Arial" w:eastAsia="Arial" w:hAnsi="Arial"/>
          <w:sz w:val="18"/>
          <w:szCs w:val="18"/>
          <w:b w:val="1"/>
          <w:bCs w:val="1"/>
          <w:i w:val="1"/>
          <w:iCs w:val="1"/>
          <w:color w:val="000000"/>
        </w:rPr>
        <w:t>Parachute Payment”</w:t>
      </w:r>
      <w:r>
        <w:rPr>
          <w:rFonts w:ascii="Arial" w:cs="Arial" w:eastAsia="Arial" w:hAnsi="Arial"/>
          <w:sz w:val="18"/>
          <w:szCs w:val="18"/>
          <w:color w:val="000000"/>
        </w:rPr>
        <w:t xml:space="preserve"> within the meaning of Section 280G of the Internal Revenue Code of 1986, as amended (the “</w:t>
      </w:r>
      <w:r>
        <w:rPr>
          <w:rFonts w:ascii="Arial" w:cs="Arial" w:eastAsia="Arial" w:hAnsi="Arial"/>
          <w:sz w:val="18"/>
          <w:szCs w:val="18"/>
          <w:b w:val="1"/>
          <w:bCs w:val="1"/>
          <w:i w:val="1"/>
          <w:iCs w:val="1"/>
          <w:color w:val="000000"/>
        </w:rPr>
        <w:t>Code”</w:t>
      </w:r>
      <w:r>
        <w:rPr>
          <w:rFonts w:ascii="Arial" w:cs="Arial" w:eastAsia="Arial" w:hAnsi="Arial"/>
          <w:sz w:val="18"/>
          <w:szCs w:val="18"/>
          <w:color w:val="000000"/>
        </w:rPr>
        <w:t>), and</w:t>
      </w:r>
    </w:p>
    <w:p>
      <w:pPr>
        <w:spacing w:after="0" w:line="2" w:lineRule="exact"/>
        <w:rPr>
          <w:sz w:val="20"/>
          <w:szCs w:val="20"/>
          <w:color w:val="auto"/>
        </w:rPr>
      </w:pPr>
    </w:p>
    <w:p>
      <w:pPr>
        <w:jc w:val="both"/>
        <w:ind w:firstLine="8"/>
        <w:spacing w:after="0" w:line="270" w:lineRule="auto"/>
        <w:tabs>
          <w:tab w:leader="none" w:pos="3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but for this sentence, be subject to the excise tax imposed by Section 4999 of the Code (the “</w:t>
      </w: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then such Payment shall be equal to the Reduced Amount. The “</w:t>
      </w:r>
      <w:r>
        <w:rPr>
          <w:rFonts w:ascii="Arial" w:cs="Arial" w:eastAsia="Arial" w:hAnsi="Arial"/>
          <w:sz w:val="18"/>
          <w:szCs w:val="18"/>
          <w:b w:val="1"/>
          <w:bCs w:val="1"/>
          <w:i w:val="1"/>
          <w:iCs w:val="1"/>
          <w:color w:val="auto"/>
        </w:rPr>
        <w:t>Reduced Amount”</w:t>
      </w:r>
      <w:r>
        <w:rPr>
          <w:rFonts w:ascii="Arial" w:cs="Arial" w:eastAsia="Arial" w:hAnsi="Arial"/>
          <w:sz w:val="18"/>
          <w:szCs w:val="18"/>
          <w:color w:val="auto"/>
        </w:rPr>
        <w:t xml:space="preserve">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GC’s receipt, on an after-tax basis, of the greatest economic benefit notwithstanding that all or some portion of the Payment may be subject to the Excise Tax. If a reduction in payments or benefits constituting Parachute Payments is necessary so that the Payment equals the Reduced Amount, reduction shall occur in the manner that results in the greatest economic benefit for GC. If more than one method of reduction will result in the same economic benefit, the items so reduced will be reduced pro rata.</w:t>
      </w:r>
    </w:p>
    <w:p>
      <w:pPr>
        <w:spacing w:after="0" w:line="174"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20"/>
          <w:szCs w:val="20"/>
          <w:color w:val="auto"/>
        </w:rPr>
        <w:t>In the event it is subsequently determined by the Internal Revenue Service that some portion of the Reduced Amount (as determined pursuant to clause (x) in the preceding paragraph) is subject to the Excise Tax, GC agrees to promptly return to the Company a sufficient amount of the Payment so that no portion of the Reduced Amount is subject to the Excise Tax. For the avoidance of doubt, if the Reduced Amount is determined in accordance with clause (y) in the preceding paragraph, GC will have no obligation to return any portion of the Payment pursuant to the preceding sentence.</w:t>
      </w:r>
    </w:p>
    <w:p>
      <w:pPr>
        <w:spacing w:after="0" w:line="19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9"/>
          <w:szCs w:val="19"/>
          <w:color w:val="auto"/>
        </w:rPr>
        <w:t>Unless GC and the Company agree on an alternative accounting or law firm, the accounting firm then engaged by the Company for general tax compliance purposes shall perform the foregoing calculations. If the accounting firm so engaged by the Company is serving as accountant or auditor for the individual, entity or group effecting the Change in Control, the Company shall appoint a nationally recognized accounting, law or consulting firm to make the determinations required hereunder. The Company shall bear all expenses with respect to the determinations by such accounting, law or consulting firm required to be made hereunder.</w:t>
      </w:r>
    </w:p>
    <w:p>
      <w:pPr>
        <w:spacing w:after="0" w:line="181"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20"/>
          <w:szCs w:val="20"/>
          <w:color w:val="auto"/>
        </w:rPr>
        <w:t>The Company shall use commercially reasonable efforts such that the accounting, law or consulting firm engaged to make the determinations hereunder shall provide its calculations, together with detailed supporting documentation, to GC and the Company within 15 calendar days after the date on which GC’s right to a Payment is triggered (if requested at that time by GC or the Company) or such other time as requested by GC or the Company.</w:t>
      </w:r>
    </w:p>
    <w:p>
      <w:pPr>
        <w:spacing w:after="0" w:line="186"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b w:val="1"/>
          <w:bCs w:val="1"/>
          <w:color w:val="010000"/>
        </w:rPr>
        <w:t xml:space="preserve">4.9 </w:t>
      </w:r>
      <w:r>
        <w:rPr>
          <w:rFonts w:ascii="Arial" w:cs="Arial" w:eastAsia="Arial" w:hAnsi="Arial"/>
          <w:sz w:val="18"/>
          <w:szCs w:val="18"/>
          <w:b w:val="1"/>
          <w:bCs w:val="1"/>
          <w:color w:val="000000"/>
        </w:rPr>
        <w:t>Application of Internal Revenue Code Section 409A</w:t>
      </w:r>
      <w:r>
        <w:rPr>
          <w:rFonts w:ascii="Arial" w:cs="Arial" w:eastAsia="Arial" w:hAnsi="Arial"/>
          <w:sz w:val="18"/>
          <w:szCs w:val="18"/>
          <w:color w:val="000000"/>
        </w:rPr>
        <w:t>. Notwithstanding anything to the contrary set forth herein, any</w:t>
      </w:r>
      <w:r>
        <w:rPr>
          <w:rFonts w:ascii="Arial" w:cs="Arial" w:eastAsia="Arial" w:hAnsi="Arial"/>
          <w:sz w:val="18"/>
          <w:szCs w:val="18"/>
          <w:b w:val="1"/>
          <w:bCs w:val="1"/>
          <w:color w:val="010000"/>
        </w:rPr>
        <w:t xml:space="preserve"> </w:t>
      </w:r>
      <w:r>
        <w:rPr>
          <w:rFonts w:ascii="Arial" w:cs="Arial" w:eastAsia="Arial" w:hAnsi="Arial"/>
          <w:sz w:val="18"/>
          <w:szCs w:val="18"/>
          <w:color w:val="000000"/>
        </w:rPr>
        <w:t>payments and benefits provided under this Agreement (the “</w:t>
      </w:r>
      <w:r>
        <w:rPr>
          <w:rFonts w:ascii="Arial" w:cs="Arial" w:eastAsia="Arial" w:hAnsi="Arial"/>
          <w:sz w:val="18"/>
          <w:szCs w:val="18"/>
          <w:b w:val="1"/>
          <w:bCs w:val="1"/>
          <w:i w:val="1"/>
          <w:iCs w:val="1"/>
          <w:color w:val="000000"/>
        </w:rPr>
        <w:t>Severance Benefits”</w:t>
      </w:r>
      <w:r>
        <w:rPr>
          <w:rFonts w:ascii="Arial" w:cs="Arial" w:eastAsia="Arial" w:hAnsi="Arial"/>
          <w:sz w:val="18"/>
          <w:szCs w:val="18"/>
          <w:color w:val="000000"/>
        </w:rPr>
        <w:t>) that constitute “deferred compensation” within the meaning of Section 409A of the Code and the regulations and other guidance thereunder and any state law of similar effect (collectively “</w:t>
      </w:r>
      <w:r>
        <w:rPr>
          <w:rFonts w:ascii="Arial" w:cs="Arial" w:eastAsia="Arial" w:hAnsi="Arial"/>
          <w:sz w:val="18"/>
          <w:szCs w:val="18"/>
          <w:b w:val="1"/>
          <w:bCs w:val="1"/>
          <w:i w:val="1"/>
          <w:iCs w:val="1"/>
          <w:color w:val="000000"/>
        </w:rPr>
        <w:t>Section</w:t>
      </w:r>
      <w:r>
        <w:rPr>
          <w:rFonts w:ascii="Arial" w:cs="Arial" w:eastAsia="Arial" w:hAnsi="Arial"/>
          <w:sz w:val="18"/>
          <w:szCs w:val="18"/>
          <w:color w:val="000000"/>
        </w:rPr>
        <w:t xml:space="preserve"> </w:t>
      </w:r>
      <w:r>
        <w:rPr>
          <w:rFonts w:ascii="Arial" w:cs="Arial" w:eastAsia="Arial" w:hAnsi="Arial"/>
          <w:sz w:val="18"/>
          <w:szCs w:val="18"/>
          <w:b w:val="1"/>
          <w:bCs w:val="1"/>
          <w:i w:val="1"/>
          <w:iCs w:val="1"/>
          <w:color w:val="000000"/>
        </w:rPr>
        <w:t>409A”</w:t>
      </w:r>
      <w:r>
        <w:rPr>
          <w:rFonts w:ascii="Arial" w:cs="Arial" w:eastAsia="Arial" w:hAnsi="Arial"/>
          <w:sz w:val="18"/>
          <w:szCs w:val="18"/>
          <w:color w:val="000000"/>
        </w:rPr>
        <w:t>) shall not commence in connection with GC’s termination of employment unless and until GC has also incurred a “separation from</w:t>
      </w:r>
      <w:r>
        <w:rPr>
          <w:rFonts w:ascii="Arial" w:cs="Arial" w:eastAsia="Arial" w:hAnsi="Arial"/>
          <w:sz w:val="18"/>
          <w:szCs w:val="18"/>
          <w:b w:val="1"/>
          <w:bCs w:val="1"/>
          <w:i w:val="1"/>
          <w:iCs w:val="1"/>
          <w:color w:val="000000"/>
        </w:rPr>
        <w:t xml:space="preserve"> </w:t>
      </w:r>
      <w:r>
        <w:rPr>
          <w:rFonts w:ascii="Arial" w:cs="Arial" w:eastAsia="Arial" w:hAnsi="Arial"/>
          <w:sz w:val="18"/>
          <w:szCs w:val="18"/>
          <w:color w:val="000000"/>
        </w:rPr>
        <w:t>service” (as such term is defined in Treasury Regulation Section 1.409A-1(h) (“</w:t>
      </w:r>
      <w:r>
        <w:rPr>
          <w:rFonts w:ascii="Arial" w:cs="Arial" w:eastAsia="Arial" w:hAnsi="Arial"/>
          <w:sz w:val="18"/>
          <w:szCs w:val="18"/>
          <w:b w:val="1"/>
          <w:bCs w:val="1"/>
          <w:i w:val="1"/>
          <w:iCs w:val="1"/>
          <w:color w:val="000000"/>
        </w:rPr>
        <w:t>Separation From Service”</w:t>
      </w:r>
      <w:r>
        <w:rPr>
          <w:rFonts w:ascii="Arial" w:cs="Arial" w:eastAsia="Arial" w:hAnsi="Arial"/>
          <w:sz w:val="18"/>
          <w:szCs w:val="18"/>
          <w:color w:val="000000"/>
        </w:rPr>
        <w:t>), unless the Company reasonably determines that such amounts may be provided to GC without causing GC to incur the additional 20% tax under Section 409A.</w:t>
      </w:r>
    </w:p>
    <w:p>
      <w:pPr>
        <w:spacing w:after="0" w:line="16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9"/>
          <w:szCs w:val="19"/>
          <w:color w:val="auto"/>
        </w:rPr>
        <w:t>It is intended that each installment of the Severance Benefits payments provided for in this Agreement is a separate “payment” for purposes of Treasury Regulation Section 1.409A-2(b)(2)(i). For the avoidance of doubt, it is intended that payments of the Severance Benefits set forth in this Agreement satisfy, to the greatest extent possible, the exemptions from the application of Section 409A provided under Treasury Regulation Sections 1.409A-1(b)(4), 1.409A-1(b)(5) and 1.409A-1(b)(9). However, if the Company (or, if applicable, the successor entity thereto) determines that the Severance Benefits constitute “deferred compensation” under Section 409A and GC is, on the termination of service, a “specified employee” of the Company or any successor entity thereto, as such term is defined in Section 409A(a)(2)(B)(i) of the Code, then, solely to the extent necessary to avoid the incurrence of the adverse personal tax consequences under Section 409A, the timing of the Severance Benefit payments shall be delayed until the earlier to</w:t>
      </w:r>
    </w:p>
    <w:p>
      <w:pPr>
        <w:sectPr>
          <w:pgSz w:w="11900" w:h="16838" w:orient="portrait"/>
          <w:cols w:equalWidth="0" w:num="1">
            <w:col w:w="11420"/>
          </w:cols>
          <w:pgMar w:left="240" w:top="690" w:right="239" w:bottom="1440" w:gutter="0" w:footer="0" w:header="0"/>
        </w:sectPr>
      </w:pPr>
    </w:p>
    <w:bookmarkStart w:id="73" w:name="page74"/>
    <w:bookmarkEnd w:id="73"/>
    <w:p>
      <w:pPr>
        <w:jc w:val="both"/>
        <w:spacing w:after="0" w:line="278" w:lineRule="auto"/>
        <w:rPr>
          <w:sz w:val="20"/>
          <w:szCs w:val="20"/>
          <w:color w:val="auto"/>
        </w:rPr>
      </w:pPr>
      <w:r>
        <w:rPr>
          <w:rFonts w:ascii="Arial" w:cs="Arial" w:eastAsia="Arial" w:hAnsi="Arial"/>
          <w:sz w:val="18"/>
          <w:szCs w:val="18"/>
          <w:color w:val="auto"/>
        </w:rPr>
        <w:t>occur of: (i) the date that is six months and one day after GC’s Separation From Service, or (ii) the date of GC’s death (such applicable date, the “</w:t>
      </w:r>
      <w:r>
        <w:rPr>
          <w:rFonts w:ascii="Arial" w:cs="Arial" w:eastAsia="Arial" w:hAnsi="Arial"/>
          <w:sz w:val="18"/>
          <w:szCs w:val="18"/>
          <w:b w:val="1"/>
          <w:bCs w:val="1"/>
          <w:i w:val="1"/>
          <w:iCs w:val="1"/>
          <w:color w:val="auto"/>
        </w:rPr>
        <w:t>Specified Employee Initial Payment Date”</w:t>
      </w:r>
      <w:r>
        <w:rPr>
          <w:rFonts w:ascii="Arial" w:cs="Arial" w:eastAsia="Arial" w:hAnsi="Arial"/>
          <w:sz w:val="18"/>
          <w:szCs w:val="18"/>
          <w:color w:val="auto"/>
        </w:rPr>
        <w:t>), the Company (or the successor entity thereto, as applicable) shall (A) pay to GC a lump sum amount equal to the sum of the Severance Benefit payments that GC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6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9"/>
          <w:szCs w:val="19"/>
          <w:color w:val="auto"/>
        </w:rPr>
        <w:t>Notwithstanding anything to the contrary set forth herein, GC shall receive the Severance Benefits described above, if and only if GC duly executes and returns to the Company within the applicable time period set forth therein, but in no event more than forty-five days following Separation From Service, the Release and permits the Release to become effective in accordance with its terms. Notwithstanding any other payment schedule set forth in this Agreement, none of the Severance Benefits will be paid or otherwise delivered prior to the effective date of the Release. Except to the extent that payments may be delayed until the Specified Employee Initial Payment Date pursuant to the preceding paragraph, on the first regular payroll pay day following the effective date of the Release, the Company will pay GC the Severance Benefits GC would otherwise have received under the Agreement on or prior to such date but for the delay in payment related to the effectiveness of the Release, with the balance of the Severance Benefits being paid as originally scheduled. All amounts payable under the Agreement will be subject to standard payroll taxes and deductions.</w:t>
      </w:r>
    </w:p>
    <w:p>
      <w:pPr>
        <w:spacing w:after="0" w:line="179" w:lineRule="exact"/>
        <w:rPr>
          <w:sz w:val="20"/>
          <w:szCs w:val="20"/>
          <w:color w:val="auto"/>
        </w:rPr>
      </w:pPr>
    </w:p>
    <w:p>
      <w:pPr>
        <w:ind w:left="920" w:hanging="426"/>
        <w:spacing w:after="0"/>
        <w:tabs>
          <w:tab w:leader="none" w:pos="920" w:val="left"/>
        </w:tabs>
        <w:numPr>
          <w:ilvl w:val="0"/>
          <w:numId w:val="38"/>
        </w:numPr>
        <w:rPr>
          <w:rFonts w:ascii="Arial" w:cs="Arial" w:eastAsia="Arial" w:hAnsi="Arial"/>
          <w:sz w:val="20"/>
          <w:szCs w:val="20"/>
          <w:b w:val="1"/>
          <w:bCs w:val="1"/>
          <w:color w:val="010000"/>
        </w:rPr>
      </w:pPr>
      <w:r>
        <w:rPr>
          <w:rFonts w:ascii="Arial" w:cs="Arial" w:eastAsia="Arial" w:hAnsi="Arial"/>
          <w:sz w:val="20"/>
          <w:szCs w:val="20"/>
          <w:b w:val="1"/>
          <w:bCs w:val="1"/>
          <w:color w:val="auto"/>
        </w:rPr>
        <w:t>C</w:t>
      </w:r>
      <w:r>
        <w:rPr>
          <w:rFonts w:ascii="Arial" w:cs="Arial" w:eastAsia="Arial" w:hAnsi="Arial"/>
          <w:sz w:val="16"/>
          <w:szCs w:val="16"/>
          <w:b w:val="1"/>
          <w:bCs w:val="1"/>
          <w:color w:val="auto"/>
        </w:rPr>
        <w:t>ONFIDENTIAL AND</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ROPRIETARY</w:t>
      </w:r>
      <w:r>
        <w:rPr>
          <w:rFonts w:ascii="Arial" w:cs="Arial" w:eastAsia="Arial" w:hAnsi="Arial"/>
          <w:sz w:val="20"/>
          <w:szCs w:val="20"/>
          <w:b w:val="1"/>
          <w:bCs w:val="1"/>
          <w:color w:val="auto"/>
        </w:rPr>
        <w:t xml:space="preserve"> I</w:t>
      </w:r>
      <w:r>
        <w:rPr>
          <w:rFonts w:ascii="Arial" w:cs="Arial" w:eastAsia="Arial" w:hAnsi="Arial"/>
          <w:sz w:val="16"/>
          <w:szCs w:val="16"/>
          <w:b w:val="1"/>
          <w:bCs w:val="1"/>
          <w:color w:val="auto"/>
        </w:rPr>
        <w:t>NFORMATION</w:t>
      </w:r>
      <w:r>
        <w:rPr>
          <w:rFonts w:ascii="Arial" w:cs="Arial" w:eastAsia="Arial" w:hAnsi="Arial"/>
          <w:sz w:val="20"/>
          <w:szCs w:val="20"/>
          <w:color w:val="auto"/>
        </w:rPr>
        <w:t>.</w:t>
      </w:r>
    </w:p>
    <w:p>
      <w:pPr>
        <w:spacing w:after="0" w:line="235" w:lineRule="exact"/>
        <w:rPr>
          <w:sz w:val="20"/>
          <w:szCs w:val="20"/>
          <w:color w:val="auto"/>
        </w:rPr>
      </w:pPr>
    </w:p>
    <w:p>
      <w:pPr>
        <w:ind w:right="20" w:firstLine="486"/>
        <w:spacing w:after="0" w:line="260" w:lineRule="auto"/>
        <w:rPr>
          <w:sz w:val="20"/>
          <w:szCs w:val="20"/>
          <w:color w:val="auto"/>
        </w:rPr>
      </w:pPr>
      <w:r>
        <w:rPr>
          <w:rFonts w:ascii="Arial" w:cs="Arial" w:eastAsia="Arial" w:hAnsi="Arial"/>
          <w:sz w:val="20"/>
          <w:szCs w:val="20"/>
          <w:color w:val="auto"/>
        </w:rPr>
        <w:t>GC has already executed, as a condition of GC’s employment with the Company, the Company’s standard form of Proprietary Information and Inventions Agreement (the “</w:t>
      </w:r>
      <w:r>
        <w:rPr>
          <w:rFonts w:ascii="Arial" w:cs="Arial" w:eastAsia="Arial" w:hAnsi="Arial"/>
          <w:sz w:val="20"/>
          <w:szCs w:val="20"/>
          <w:b w:val="1"/>
          <w:bCs w:val="1"/>
          <w:i w:val="1"/>
          <w:iCs w:val="1"/>
          <w:color w:val="auto"/>
        </w:rPr>
        <w:t>PIIA”</w:t>
      </w:r>
      <w:r>
        <w:rPr>
          <w:rFonts w:ascii="Arial" w:cs="Arial" w:eastAsia="Arial" w:hAnsi="Arial"/>
          <w:sz w:val="20"/>
          <w:szCs w:val="20"/>
          <w:color w:val="auto"/>
        </w:rPr>
        <w:t>). The PIIA remains in full force and effect.</w:t>
      </w:r>
    </w:p>
    <w:p>
      <w:pPr>
        <w:spacing w:after="0" w:line="171" w:lineRule="exact"/>
        <w:rPr>
          <w:sz w:val="20"/>
          <w:szCs w:val="20"/>
          <w:color w:val="auto"/>
        </w:rPr>
      </w:pPr>
    </w:p>
    <w:p>
      <w:pPr>
        <w:ind w:left="920" w:hanging="426"/>
        <w:spacing w:after="0"/>
        <w:tabs>
          <w:tab w:leader="none" w:pos="920" w:val="left"/>
        </w:tabs>
        <w:numPr>
          <w:ilvl w:val="0"/>
          <w:numId w:val="39"/>
        </w:numPr>
        <w:rPr>
          <w:rFonts w:ascii="Arial" w:cs="Arial" w:eastAsia="Arial" w:hAnsi="Arial"/>
          <w:sz w:val="20"/>
          <w:szCs w:val="20"/>
          <w:b w:val="1"/>
          <w:bCs w:val="1"/>
          <w:color w:val="010000"/>
        </w:rPr>
      </w:pPr>
      <w:r>
        <w:rPr>
          <w:rFonts w:ascii="Arial" w:cs="Arial" w:eastAsia="Arial" w:hAnsi="Arial"/>
          <w:sz w:val="20"/>
          <w:szCs w:val="20"/>
          <w:color w:val="auto"/>
        </w:rPr>
        <w:t>A</w:t>
      </w:r>
      <w:r>
        <w:rPr>
          <w:rFonts w:ascii="Arial" w:cs="Arial" w:eastAsia="Arial" w:hAnsi="Arial"/>
          <w:sz w:val="16"/>
          <w:szCs w:val="16"/>
          <w:b w:val="1"/>
          <w:bCs w:val="1"/>
          <w:color w:val="auto"/>
        </w:rPr>
        <w:t>SSIGNMENT AND</w:t>
      </w:r>
      <w:r>
        <w:rPr>
          <w:rFonts w:ascii="Arial" w:cs="Arial" w:eastAsia="Arial" w:hAnsi="Arial"/>
          <w:sz w:val="20"/>
          <w:szCs w:val="20"/>
          <w:color w:val="auto"/>
        </w:rPr>
        <w:t xml:space="preserve"> </w:t>
      </w:r>
      <w:r>
        <w:rPr>
          <w:rFonts w:ascii="Arial" w:cs="Arial" w:eastAsia="Arial" w:hAnsi="Arial"/>
          <w:sz w:val="20"/>
          <w:szCs w:val="20"/>
          <w:b w:val="1"/>
          <w:bCs w:val="1"/>
          <w:color w:val="auto"/>
        </w:rPr>
        <w:t>B</w:t>
      </w:r>
      <w:r>
        <w:rPr>
          <w:rFonts w:ascii="Arial" w:cs="Arial" w:eastAsia="Arial" w:hAnsi="Arial"/>
          <w:sz w:val="16"/>
          <w:szCs w:val="16"/>
          <w:b w:val="1"/>
          <w:bCs w:val="1"/>
          <w:color w:val="auto"/>
        </w:rPr>
        <w:t>INDING</w:t>
      </w:r>
      <w:r>
        <w:rPr>
          <w:rFonts w:ascii="Arial" w:cs="Arial" w:eastAsia="Arial" w:hAnsi="Arial"/>
          <w:sz w:val="20"/>
          <w:szCs w:val="20"/>
          <w:color w:val="auto"/>
        </w:rPr>
        <w:t xml:space="preserve"> </w:t>
      </w:r>
      <w:r>
        <w:rPr>
          <w:rFonts w:ascii="Arial" w:cs="Arial" w:eastAsia="Arial" w:hAnsi="Arial"/>
          <w:sz w:val="20"/>
          <w:szCs w:val="20"/>
          <w:b w:val="1"/>
          <w:bCs w:val="1"/>
          <w:color w:val="auto"/>
        </w:rPr>
        <w:t>E</w:t>
      </w:r>
      <w:r>
        <w:rPr>
          <w:rFonts w:ascii="Arial" w:cs="Arial" w:eastAsia="Arial" w:hAnsi="Arial"/>
          <w:sz w:val="16"/>
          <w:szCs w:val="16"/>
          <w:b w:val="1"/>
          <w:bCs w:val="1"/>
          <w:color w:val="auto"/>
        </w:rPr>
        <w:t>FFECT</w:t>
      </w:r>
      <w:r>
        <w:rPr>
          <w:rFonts w:ascii="Arial" w:cs="Arial" w:eastAsia="Arial" w:hAnsi="Arial"/>
          <w:sz w:val="20"/>
          <w:szCs w:val="20"/>
          <w:b w:val="1"/>
          <w:bCs w:val="1"/>
          <w:color w:val="auto"/>
        </w:rPr>
        <w:t>.</w:t>
      </w:r>
    </w:p>
    <w:p>
      <w:pPr>
        <w:spacing w:after="0" w:line="235"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20"/>
          <w:szCs w:val="20"/>
          <w:color w:val="auto"/>
        </w:rPr>
        <w:t>This Agreement shall be binding upon and inure to the benefit of GC and GC’s heirs, executors, personal representatives, assigns, administrators and legal representatives. Because of the unique and personal nature of GC’s duties under this Agreement, neither this Agreement nor any rights or obligations under this Agreement shall be assignable by GC. This Agreement shall be binding upon and inure to the benefit of the Company and its successors, assigns and legal representatives.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w:t>
      </w:r>
    </w:p>
    <w:p>
      <w:pPr>
        <w:spacing w:after="0" w:line="187" w:lineRule="exact"/>
        <w:rPr>
          <w:sz w:val="20"/>
          <w:szCs w:val="20"/>
          <w:color w:val="auto"/>
        </w:rPr>
      </w:pPr>
    </w:p>
    <w:p>
      <w:pPr>
        <w:ind w:left="920" w:hanging="426"/>
        <w:spacing w:after="0"/>
        <w:tabs>
          <w:tab w:leader="none" w:pos="920" w:val="left"/>
        </w:tabs>
        <w:numPr>
          <w:ilvl w:val="0"/>
          <w:numId w:val="40"/>
        </w:numPr>
        <w:rPr>
          <w:rFonts w:ascii="Arial" w:cs="Arial" w:eastAsia="Arial" w:hAnsi="Arial"/>
          <w:sz w:val="20"/>
          <w:szCs w:val="20"/>
          <w:b w:val="1"/>
          <w:bCs w:val="1"/>
          <w:color w:val="010000"/>
        </w:rPr>
      </w:pPr>
      <w:r>
        <w:rPr>
          <w:rFonts w:ascii="Arial" w:cs="Arial" w:eastAsia="Arial" w:hAnsi="Arial"/>
          <w:sz w:val="20"/>
          <w:szCs w:val="20"/>
          <w:b w:val="1"/>
          <w:bCs w:val="1"/>
          <w:color w:val="auto"/>
        </w:rPr>
        <w:t>N</w:t>
      </w:r>
      <w:r>
        <w:rPr>
          <w:rFonts w:ascii="Arial" w:cs="Arial" w:eastAsia="Arial" w:hAnsi="Arial"/>
          <w:sz w:val="16"/>
          <w:szCs w:val="16"/>
          <w:b w:val="1"/>
          <w:bCs w:val="1"/>
          <w:color w:val="auto"/>
        </w:rPr>
        <w:t>OTICES</w:t>
      </w:r>
      <w:r>
        <w:rPr>
          <w:rFonts w:ascii="Arial" w:cs="Arial" w:eastAsia="Arial" w:hAnsi="Arial"/>
          <w:sz w:val="20"/>
          <w:szCs w:val="20"/>
          <w:color w:val="auto"/>
        </w:rPr>
        <w:t>.</w:t>
      </w:r>
    </w:p>
    <w:p>
      <w:pPr>
        <w:spacing w:after="0" w:line="235" w:lineRule="exact"/>
        <w:rPr>
          <w:sz w:val="20"/>
          <w:szCs w:val="20"/>
          <w:color w:val="auto"/>
        </w:rPr>
      </w:pPr>
    </w:p>
    <w:p>
      <w:pPr>
        <w:jc w:val="both"/>
        <w:ind w:right="20" w:firstLine="486"/>
        <w:spacing w:after="0" w:line="250" w:lineRule="auto"/>
        <w:rPr>
          <w:sz w:val="20"/>
          <w:szCs w:val="20"/>
          <w:color w:val="auto"/>
        </w:rPr>
      </w:pPr>
      <w:r>
        <w:rPr>
          <w:rFonts w:ascii="Arial" w:cs="Arial" w:eastAsia="Arial" w:hAnsi="Arial"/>
          <w:sz w:val="20"/>
          <w:szCs w:val="20"/>
          <w:color w:val="auto"/>
        </w:rPr>
        <w:t>All notices or demands of any kind required or permitted to be given by the Company or GC under this Agreement shall be given in writing and shall be personally delivered (and receipted for) or faxed during normal business hours or mailed by certified mail, return receipt requested, postage prepaid, addressed as follows: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If to the Company:</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10421 Pacific Center Court, Suite 200</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San Diego, CA 92121</w:t>
      </w:r>
    </w:p>
    <w:p>
      <w:pPr>
        <w:ind w:left="500"/>
        <w:spacing w:after="0"/>
        <w:rPr>
          <w:sz w:val="20"/>
          <w:szCs w:val="20"/>
          <w:color w:val="auto"/>
        </w:rPr>
      </w:pPr>
      <w:r>
        <w:rPr>
          <w:rFonts w:ascii="Arial" w:cs="Arial" w:eastAsia="Arial" w:hAnsi="Arial"/>
          <w:sz w:val="20"/>
          <w:szCs w:val="20"/>
          <w:color w:val="auto"/>
        </w:rPr>
        <w:t>Attention: Chief Executive Officer</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If to GC:</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267970</wp:posOffset>
            </wp:positionV>
            <wp:extent cx="16027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0274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550545</wp:posOffset>
            </wp:positionV>
            <wp:extent cx="16027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Any such written notice shall be deemed given on the earlier of the date on which such notice is personally delivered or three days after its deposit in the United States mail as specified above. Either Party may change its address for notices by giving notice to the other Party in the manner specified in this Section.</w:t>
      </w:r>
    </w:p>
    <w:p>
      <w:pPr>
        <w:sectPr>
          <w:pgSz w:w="11900" w:h="16838" w:orient="portrait"/>
          <w:cols w:equalWidth="0" w:num="1">
            <w:col w:w="11420"/>
          </w:cols>
          <w:pgMar w:left="240" w:top="690" w:right="239" w:bottom="1440" w:gutter="0" w:footer="0" w:header="0"/>
        </w:sectPr>
      </w:pPr>
    </w:p>
    <w:bookmarkStart w:id="74" w:name="page75"/>
    <w:bookmarkEnd w:id="74"/>
    <w:p>
      <w:pPr>
        <w:ind w:left="920" w:hanging="426"/>
        <w:spacing w:after="0"/>
        <w:tabs>
          <w:tab w:leader="none" w:pos="920" w:val="left"/>
        </w:tabs>
        <w:numPr>
          <w:ilvl w:val="0"/>
          <w:numId w:val="41"/>
        </w:numPr>
        <w:rPr>
          <w:rFonts w:ascii="Arial" w:cs="Arial" w:eastAsia="Arial" w:hAnsi="Arial"/>
          <w:sz w:val="20"/>
          <w:szCs w:val="20"/>
          <w:b w:val="1"/>
          <w:bCs w:val="1"/>
          <w:color w:val="010000"/>
        </w:rPr>
      </w:pPr>
      <w:r>
        <w:rPr>
          <w:rFonts w:ascii="Arial" w:cs="Arial" w:eastAsia="Arial" w:hAnsi="Arial"/>
          <w:sz w:val="20"/>
          <w:szCs w:val="20"/>
          <w:b w:val="1"/>
          <w:bCs w:val="1"/>
          <w:color w:val="auto"/>
        </w:rPr>
        <w:t>C</w:t>
      </w:r>
      <w:r>
        <w:rPr>
          <w:rFonts w:ascii="Arial" w:cs="Arial" w:eastAsia="Arial" w:hAnsi="Arial"/>
          <w:sz w:val="16"/>
          <w:szCs w:val="16"/>
          <w:b w:val="1"/>
          <w:bCs w:val="1"/>
          <w:color w:val="auto"/>
        </w:rPr>
        <w:t>HOICE OF</w:t>
      </w:r>
      <w:r>
        <w:rPr>
          <w:rFonts w:ascii="Arial" w:cs="Arial" w:eastAsia="Arial" w:hAnsi="Arial"/>
          <w:sz w:val="20"/>
          <w:szCs w:val="20"/>
          <w:b w:val="1"/>
          <w:bCs w:val="1"/>
          <w:color w:val="auto"/>
        </w:rPr>
        <w:t xml:space="preserve"> L</w:t>
      </w:r>
      <w:r>
        <w:rPr>
          <w:rFonts w:ascii="Arial" w:cs="Arial" w:eastAsia="Arial" w:hAnsi="Arial"/>
          <w:sz w:val="16"/>
          <w:szCs w:val="16"/>
          <w:b w:val="1"/>
          <w:bCs w:val="1"/>
          <w:color w:val="auto"/>
        </w:rPr>
        <w:t>AW</w:t>
      </w:r>
      <w:r>
        <w:rPr>
          <w:rFonts w:ascii="Arial" w:cs="Arial" w:eastAsia="Arial" w:hAnsi="Arial"/>
          <w:sz w:val="20"/>
          <w:szCs w:val="20"/>
          <w:b w:val="1"/>
          <w:bCs w:val="1"/>
          <w:color w:val="auto"/>
        </w:rPr>
        <w:t>.</w:t>
      </w:r>
    </w:p>
    <w:p>
      <w:pPr>
        <w:spacing w:after="0" w:line="235" w:lineRule="exact"/>
        <w:rPr>
          <w:sz w:val="20"/>
          <w:szCs w:val="20"/>
          <w:color w:val="auto"/>
        </w:rPr>
      </w:pPr>
    </w:p>
    <w:p>
      <w:pPr>
        <w:ind w:firstLine="486"/>
        <w:spacing w:after="0" w:line="260" w:lineRule="auto"/>
        <w:rPr>
          <w:sz w:val="20"/>
          <w:szCs w:val="20"/>
          <w:color w:val="auto"/>
        </w:rPr>
      </w:pPr>
      <w:r>
        <w:rPr>
          <w:rFonts w:ascii="Arial" w:cs="Arial" w:eastAsia="Arial" w:hAnsi="Arial"/>
          <w:sz w:val="20"/>
          <w:szCs w:val="20"/>
          <w:color w:val="auto"/>
        </w:rPr>
        <w:t>This Agreement shall be construed and interpreted in accordance with the internal laws of the State of California without regard to its conflict of laws principles.</w:t>
      </w:r>
    </w:p>
    <w:p>
      <w:pPr>
        <w:spacing w:after="0" w:line="171" w:lineRule="exact"/>
        <w:rPr>
          <w:sz w:val="20"/>
          <w:szCs w:val="20"/>
          <w:color w:val="auto"/>
        </w:rPr>
      </w:pPr>
    </w:p>
    <w:p>
      <w:pPr>
        <w:ind w:left="920" w:hanging="426"/>
        <w:spacing w:after="0"/>
        <w:tabs>
          <w:tab w:leader="none" w:pos="920" w:val="left"/>
        </w:tabs>
        <w:numPr>
          <w:ilvl w:val="0"/>
          <w:numId w:val="42"/>
        </w:numPr>
        <w:rPr>
          <w:rFonts w:ascii="Arial" w:cs="Arial" w:eastAsia="Arial" w:hAnsi="Arial"/>
          <w:sz w:val="20"/>
          <w:szCs w:val="20"/>
          <w:b w:val="1"/>
          <w:bCs w:val="1"/>
          <w:color w:val="010000"/>
        </w:rPr>
      </w:pPr>
      <w:r>
        <w:rPr>
          <w:rFonts w:ascii="Arial" w:cs="Arial" w:eastAsia="Arial" w:hAnsi="Arial"/>
          <w:sz w:val="20"/>
          <w:szCs w:val="20"/>
          <w:b w:val="1"/>
          <w:bCs w:val="1"/>
          <w:color w:val="auto"/>
        </w:rPr>
        <w:t>I</w:t>
      </w:r>
      <w:r>
        <w:rPr>
          <w:rFonts w:ascii="Arial" w:cs="Arial" w:eastAsia="Arial" w:hAnsi="Arial"/>
          <w:sz w:val="16"/>
          <w:szCs w:val="16"/>
          <w:b w:val="1"/>
          <w:bCs w:val="1"/>
          <w:color w:val="auto"/>
        </w:rPr>
        <w:t>NTEGRATION</w:t>
      </w:r>
      <w:r>
        <w:rPr>
          <w:rFonts w:ascii="Arial" w:cs="Arial" w:eastAsia="Arial" w:hAnsi="Arial"/>
          <w:sz w:val="20"/>
          <w:szCs w:val="20"/>
          <w:b w:val="1"/>
          <w:bCs w:val="1"/>
          <w:color w:val="auto"/>
        </w:rPr>
        <w:t>.</w:t>
      </w:r>
    </w:p>
    <w:p>
      <w:pPr>
        <w:spacing w:after="0" w:line="2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20"/>
          <w:szCs w:val="20"/>
          <w:color w:val="auto"/>
        </w:rPr>
        <w:t xml:space="preserve">This Agreement, including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and the PIIA, contains the complete, final and exclusive agreement of the Parties relating to the terms and conditions of GC’s employment and the termination of GC’s employment, and supersedes any and all prior and/or contemporaneous oral and written employment agreements or arrangements between the Parties.</w:t>
      </w:r>
    </w:p>
    <w:p>
      <w:pPr>
        <w:spacing w:after="0" w:line="178" w:lineRule="exact"/>
        <w:rPr>
          <w:sz w:val="20"/>
          <w:szCs w:val="20"/>
          <w:color w:val="auto"/>
        </w:rPr>
      </w:pPr>
    </w:p>
    <w:p>
      <w:pPr>
        <w:ind w:left="1020" w:hanging="526"/>
        <w:spacing w:after="0"/>
        <w:tabs>
          <w:tab w:leader="none" w:pos="1020" w:val="left"/>
        </w:tabs>
        <w:numPr>
          <w:ilvl w:val="0"/>
          <w:numId w:val="43"/>
        </w:numPr>
        <w:rPr>
          <w:rFonts w:ascii="Arial" w:cs="Arial" w:eastAsia="Arial" w:hAnsi="Arial"/>
          <w:sz w:val="20"/>
          <w:szCs w:val="20"/>
          <w:b w:val="1"/>
          <w:bCs w:val="1"/>
          <w:color w:val="010000"/>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MENDMENT</w:t>
      </w:r>
      <w:r>
        <w:rPr>
          <w:rFonts w:ascii="Arial" w:cs="Arial" w:eastAsia="Arial" w:hAnsi="Arial"/>
          <w:sz w:val="20"/>
          <w:szCs w:val="20"/>
          <w:b w:val="1"/>
          <w:bCs w:val="1"/>
          <w:color w:val="auto"/>
        </w:rPr>
        <w:t>.</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This Agreement cannot be amended or modified except by a written agreement signed by GC and the Company.</w:t>
      </w:r>
    </w:p>
    <w:p>
      <w:pPr>
        <w:spacing w:after="0" w:line="210" w:lineRule="exact"/>
        <w:rPr>
          <w:sz w:val="20"/>
          <w:szCs w:val="20"/>
          <w:color w:val="auto"/>
        </w:rPr>
      </w:pPr>
    </w:p>
    <w:p>
      <w:pPr>
        <w:ind w:left="1000" w:hanging="506"/>
        <w:spacing w:after="0"/>
        <w:tabs>
          <w:tab w:leader="none" w:pos="1000" w:val="left"/>
        </w:tabs>
        <w:numPr>
          <w:ilvl w:val="0"/>
          <w:numId w:val="44"/>
        </w:numPr>
        <w:rPr>
          <w:rFonts w:ascii="Arial" w:cs="Arial" w:eastAsia="Arial" w:hAnsi="Arial"/>
          <w:sz w:val="20"/>
          <w:szCs w:val="20"/>
          <w:b w:val="1"/>
          <w:bCs w:val="1"/>
          <w:color w:val="010000"/>
        </w:rPr>
      </w:pPr>
      <w:r>
        <w:rPr>
          <w:rFonts w:ascii="Arial" w:cs="Arial" w:eastAsia="Arial" w:hAnsi="Arial"/>
          <w:sz w:val="20"/>
          <w:szCs w:val="20"/>
          <w:b w:val="1"/>
          <w:bCs w:val="1"/>
          <w:color w:val="auto"/>
        </w:rPr>
        <w:t>W</w:t>
      </w:r>
      <w:r>
        <w:rPr>
          <w:rFonts w:ascii="Arial" w:cs="Arial" w:eastAsia="Arial" w:hAnsi="Arial"/>
          <w:sz w:val="16"/>
          <w:szCs w:val="16"/>
          <w:b w:val="1"/>
          <w:bCs w:val="1"/>
          <w:color w:val="auto"/>
        </w:rPr>
        <w:t>AIVER</w:t>
      </w:r>
      <w:r>
        <w:rPr>
          <w:rFonts w:ascii="Arial" w:cs="Arial" w:eastAsia="Arial" w:hAnsi="Arial"/>
          <w:sz w:val="20"/>
          <w:szCs w:val="20"/>
          <w:b w:val="1"/>
          <w:bCs w:val="1"/>
          <w:color w:val="auto"/>
        </w:rPr>
        <w:t>.</w:t>
      </w:r>
    </w:p>
    <w:p>
      <w:pPr>
        <w:spacing w:after="0" w:line="23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9"/>
          <w:szCs w:val="19"/>
          <w:color w:val="auto"/>
        </w:rPr>
        <w:t>No term, covenant or condition of this Agreement or any breach thereof shall be deemed waived, except with the written consent of the Party against whom the wavier is claimed, and any waiver or any such term, covenant, condition or breach shall not be deemed to be a waiver of any preceding or succeeding breach of the same or any other term, covenant, condition or breach.</w:t>
      </w:r>
    </w:p>
    <w:p>
      <w:pPr>
        <w:spacing w:after="0" w:line="164" w:lineRule="exact"/>
        <w:rPr>
          <w:sz w:val="20"/>
          <w:szCs w:val="20"/>
          <w:color w:val="auto"/>
        </w:rPr>
      </w:pPr>
    </w:p>
    <w:p>
      <w:pPr>
        <w:ind w:left="1020" w:hanging="526"/>
        <w:spacing w:after="0"/>
        <w:tabs>
          <w:tab w:leader="none" w:pos="1020" w:val="left"/>
        </w:tabs>
        <w:numPr>
          <w:ilvl w:val="0"/>
          <w:numId w:val="45"/>
        </w:numPr>
        <w:rPr>
          <w:rFonts w:ascii="Arial" w:cs="Arial" w:eastAsia="Arial" w:hAnsi="Arial"/>
          <w:sz w:val="20"/>
          <w:szCs w:val="20"/>
          <w:b w:val="1"/>
          <w:bCs w:val="1"/>
          <w:color w:val="010000"/>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EVERABILITY</w:t>
      </w:r>
      <w:r>
        <w:rPr>
          <w:rFonts w:ascii="Arial" w:cs="Arial" w:eastAsia="Arial" w:hAnsi="Arial"/>
          <w:sz w:val="20"/>
          <w:szCs w:val="20"/>
          <w:b w:val="1"/>
          <w:bCs w:val="1"/>
          <w:color w:val="auto"/>
        </w:rPr>
        <w:t>.</w:t>
      </w:r>
    </w:p>
    <w:p>
      <w:pPr>
        <w:spacing w:after="0" w:line="235"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20"/>
          <w:szCs w:val="20"/>
          <w:color w:val="auto"/>
        </w:rPr>
        <w:t>The finding by a court of competent jurisdiction of the unenforceability, invalidity or illegality of any provision of this Agreement shall not render any other provision of this Agreement unenforceable, invalid or illegal. Such court shall have the authority to modify or replace the invalid or unenforceable term or provision with a valid and enforceable term or provision, which most accurately represents the Parties’ intention with respect to the invalid or unenforceable term, or provision.</w:t>
      </w:r>
    </w:p>
    <w:p>
      <w:pPr>
        <w:spacing w:after="0" w:line="186" w:lineRule="exact"/>
        <w:rPr>
          <w:sz w:val="20"/>
          <w:szCs w:val="20"/>
          <w:color w:val="auto"/>
        </w:rPr>
      </w:pPr>
    </w:p>
    <w:p>
      <w:pPr>
        <w:ind w:left="1020" w:hanging="526"/>
        <w:spacing w:after="0"/>
        <w:tabs>
          <w:tab w:leader="none" w:pos="1020" w:val="left"/>
        </w:tabs>
        <w:numPr>
          <w:ilvl w:val="0"/>
          <w:numId w:val="46"/>
        </w:numPr>
        <w:rPr>
          <w:rFonts w:ascii="Arial" w:cs="Arial" w:eastAsia="Arial" w:hAnsi="Arial"/>
          <w:sz w:val="20"/>
          <w:szCs w:val="20"/>
          <w:b w:val="1"/>
          <w:bCs w:val="1"/>
          <w:color w:val="010000"/>
        </w:rPr>
      </w:pPr>
      <w:r>
        <w:rPr>
          <w:rFonts w:ascii="Arial" w:cs="Arial" w:eastAsia="Arial" w:hAnsi="Arial"/>
          <w:sz w:val="20"/>
          <w:szCs w:val="20"/>
          <w:b w:val="1"/>
          <w:bCs w:val="1"/>
          <w:color w:val="auto"/>
        </w:rPr>
        <w:t>I</w:t>
      </w:r>
      <w:r>
        <w:rPr>
          <w:rFonts w:ascii="Arial" w:cs="Arial" w:eastAsia="Arial" w:hAnsi="Arial"/>
          <w:sz w:val="16"/>
          <w:szCs w:val="16"/>
          <w:b w:val="1"/>
          <w:bCs w:val="1"/>
          <w:color w:val="auto"/>
        </w:rPr>
        <w:t>NTERPRETATION</w:t>
      </w:r>
      <w:r>
        <w:rPr>
          <w:rFonts w:ascii="Arial" w:cs="Arial" w:eastAsia="Arial" w:hAnsi="Arial"/>
          <w:sz w:val="20"/>
          <w:szCs w:val="20"/>
          <w:b w:val="1"/>
          <w:bCs w:val="1"/>
          <w:color w:val="auto"/>
        </w:rPr>
        <w:t>; C</w:t>
      </w:r>
      <w:r>
        <w:rPr>
          <w:rFonts w:ascii="Arial" w:cs="Arial" w:eastAsia="Arial" w:hAnsi="Arial"/>
          <w:sz w:val="16"/>
          <w:szCs w:val="16"/>
          <w:b w:val="1"/>
          <w:bCs w:val="1"/>
          <w:color w:val="auto"/>
        </w:rPr>
        <w:t>ONSTRUCTION</w:t>
      </w:r>
      <w:r>
        <w:rPr>
          <w:rFonts w:ascii="Arial" w:cs="Arial" w:eastAsia="Arial" w:hAnsi="Arial"/>
          <w:sz w:val="20"/>
          <w:szCs w:val="20"/>
          <w:b w:val="1"/>
          <w:bCs w:val="1"/>
          <w:color w:val="auto"/>
        </w:rPr>
        <w:t>.</w:t>
      </w:r>
    </w:p>
    <w:p>
      <w:pPr>
        <w:spacing w:after="0" w:line="235"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8"/>
          <w:szCs w:val="18"/>
          <w:color w:val="auto"/>
        </w:rPr>
        <w:t>The headings set forth in this Agreement are for convenience of reference only and shall not be used in interpreting this Agreement. This Agreement has been drafted by legal counsel representing the Company, but GC has been encouraged to consult with, and has consulted with, GC’s own independent counsel and tax advisors with respect to the terms of this Agreement. The Parties acknowledge that each Party and its counsel has reviewed and revised, or had an opportunity to review and revise, this Agreement, and any rule of construction to the effect that any ambiguities are to be resolved against the drafting party shall not be employed in the interpretation of this Agreement.</w:t>
      </w:r>
    </w:p>
    <w:p>
      <w:pPr>
        <w:spacing w:after="0" w:line="159" w:lineRule="exact"/>
        <w:rPr>
          <w:sz w:val="20"/>
          <w:szCs w:val="20"/>
          <w:color w:val="auto"/>
        </w:rPr>
      </w:pPr>
    </w:p>
    <w:p>
      <w:pPr>
        <w:ind w:left="1020" w:hanging="526"/>
        <w:spacing w:after="0"/>
        <w:tabs>
          <w:tab w:leader="none" w:pos="1020" w:val="left"/>
        </w:tabs>
        <w:numPr>
          <w:ilvl w:val="0"/>
          <w:numId w:val="47"/>
        </w:numPr>
        <w:rPr>
          <w:rFonts w:ascii="Arial" w:cs="Arial" w:eastAsia="Arial" w:hAnsi="Arial"/>
          <w:sz w:val="20"/>
          <w:szCs w:val="20"/>
          <w:b w:val="1"/>
          <w:bCs w:val="1"/>
          <w:color w:val="010000"/>
        </w:rPr>
      </w:pPr>
      <w:r>
        <w:rPr>
          <w:rFonts w:ascii="Arial" w:cs="Arial" w:eastAsia="Arial" w:hAnsi="Arial"/>
          <w:sz w:val="20"/>
          <w:szCs w:val="20"/>
          <w:b w:val="1"/>
          <w:bCs w:val="1"/>
          <w:color w:val="auto"/>
        </w:rPr>
        <w:t>R</w:t>
      </w:r>
      <w:r>
        <w:rPr>
          <w:rFonts w:ascii="Arial" w:cs="Arial" w:eastAsia="Arial" w:hAnsi="Arial"/>
          <w:sz w:val="16"/>
          <w:szCs w:val="16"/>
          <w:b w:val="1"/>
          <w:bCs w:val="1"/>
          <w:color w:val="auto"/>
        </w:rPr>
        <w:t>EPRESENTATIONS AND</w:t>
      </w:r>
      <w:r>
        <w:rPr>
          <w:rFonts w:ascii="Arial" w:cs="Arial" w:eastAsia="Arial" w:hAnsi="Arial"/>
          <w:sz w:val="20"/>
          <w:szCs w:val="20"/>
          <w:b w:val="1"/>
          <w:bCs w:val="1"/>
          <w:color w:val="auto"/>
        </w:rPr>
        <w:t xml:space="preserve"> W</w:t>
      </w:r>
      <w:r>
        <w:rPr>
          <w:rFonts w:ascii="Arial" w:cs="Arial" w:eastAsia="Arial" w:hAnsi="Arial"/>
          <w:sz w:val="16"/>
          <w:szCs w:val="16"/>
          <w:b w:val="1"/>
          <w:bCs w:val="1"/>
          <w:color w:val="auto"/>
        </w:rPr>
        <w:t>ARRANTIES</w:t>
      </w:r>
      <w:r>
        <w:rPr>
          <w:rFonts w:ascii="Arial" w:cs="Arial" w:eastAsia="Arial" w:hAnsi="Arial"/>
          <w:sz w:val="20"/>
          <w:szCs w:val="20"/>
          <w:b w:val="1"/>
          <w:bCs w:val="1"/>
          <w:color w:val="auto"/>
        </w:rPr>
        <w:t>.</w:t>
      </w:r>
    </w:p>
    <w:p>
      <w:pPr>
        <w:spacing w:after="0" w:line="23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0"/>
          <w:szCs w:val="20"/>
          <w:color w:val="auto"/>
        </w:rPr>
        <w:t>GC represents and warrants that GC is not restricted or prohibited, contractually or otherwise, from entering into and performing each of the terms and covenants contained in this Agreement, and that GC’s execution and performance of this Agreement will not violate or breach any other agreements between GC and any other person or entity.</w:t>
      </w:r>
    </w:p>
    <w:p>
      <w:pPr>
        <w:spacing w:after="0" w:line="180" w:lineRule="exact"/>
        <w:rPr>
          <w:sz w:val="20"/>
          <w:szCs w:val="20"/>
          <w:color w:val="auto"/>
        </w:rPr>
      </w:pPr>
    </w:p>
    <w:p>
      <w:pPr>
        <w:ind w:left="1020" w:hanging="526"/>
        <w:spacing w:after="0"/>
        <w:tabs>
          <w:tab w:leader="none" w:pos="1020" w:val="left"/>
        </w:tabs>
        <w:numPr>
          <w:ilvl w:val="0"/>
          <w:numId w:val="48"/>
        </w:numPr>
        <w:rPr>
          <w:rFonts w:ascii="Arial" w:cs="Arial" w:eastAsia="Arial" w:hAnsi="Arial"/>
          <w:sz w:val="20"/>
          <w:szCs w:val="20"/>
          <w:b w:val="1"/>
          <w:bCs w:val="1"/>
          <w:color w:val="010000"/>
        </w:rPr>
      </w:pPr>
      <w:r>
        <w:rPr>
          <w:rFonts w:ascii="Arial" w:cs="Arial" w:eastAsia="Arial" w:hAnsi="Arial"/>
          <w:sz w:val="20"/>
          <w:szCs w:val="20"/>
          <w:b w:val="1"/>
          <w:bCs w:val="1"/>
          <w:color w:val="auto"/>
        </w:rPr>
        <w:t>C</w:t>
      </w:r>
      <w:r>
        <w:rPr>
          <w:rFonts w:ascii="Arial" w:cs="Arial" w:eastAsia="Arial" w:hAnsi="Arial"/>
          <w:sz w:val="16"/>
          <w:szCs w:val="16"/>
          <w:b w:val="1"/>
          <w:bCs w:val="1"/>
          <w:color w:val="auto"/>
        </w:rPr>
        <w:t>OUNTERPARTS</w:t>
      </w:r>
      <w:r>
        <w:rPr>
          <w:rFonts w:ascii="Arial" w:cs="Arial" w:eastAsia="Arial" w:hAnsi="Arial"/>
          <w:sz w:val="20"/>
          <w:szCs w:val="20"/>
          <w:b w:val="1"/>
          <w:bCs w:val="1"/>
          <w:color w:val="auto"/>
        </w:rPr>
        <w:t>.</w:t>
      </w:r>
    </w:p>
    <w:p>
      <w:pPr>
        <w:spacing w:after="0" w:line="235" w:lineRule="exact"/>
        <w:rPr>
          <w:sz w:val="20"/>
          <w:szCs w:val="20"/>
          <w:color w:val="auto"/>
        </w:rPr>
      </w:pPr>
    </w:p>
    <w:p>
      <w:pPr>
        <w:ind w:firstLine="486"/>
        <w:spacing w:after="0" w:line="260" w:lineRule="auto"/>
        <w:rPr>
          <w:sz w:val="20"/>
          <w:szCs w:val="20"/>
          <w:color w:val="auto"/>
        </w:rPr>
      </w:pPr>
      <w:r>
        <w:rPr>
          <w:rFonts w:ascii="Arial" w:cs="Arial" w:eastAsia="Arial" w:hAnsi="Arial"/>
          <w:sz w:val="20"/>
          <w:szCs w:val="20"/>
          <w:color w:val="auto"/>
        </w:rPr>
        <w:t>This Agreement may be executed in two counterparts, each of which shall be deemed an original, all of which together shall contribute one and the same instrument.</w:t>
      </w:r>
    </w:p>
    <w:p>
      <w:pPr>
        <w:spacing w:after="0" w:line="171" w:lineRule="exact"/>
        <w:rPr>
          <w:sz w:val="20"/>
          <w:szCs w:val="20"/>
          <w:color w:val="auto"/>
        </w:rPr>
      </w:pPr>
    </w:p>
    <w:p>
      <w:pPr>
        <w:ind w:left="1020" w:hanging="526"/>
        <w:spacing w:after="0"/>
        <w:tabs>
          <w:tab w:leader="none" w:pos="1020" w:val="left"/>
        </w:tabs>
        <w:numPr>
          <w:ilvl w:val="0"/>
          <w:numId w:val="49"/>
        </w:numPr>
        <w:rPr>
          <w:rFonts w:ascii="Arial" w:cs="Arial" w:eastAsia="Arial" w:hAnsi="Arial"/>
          <w:sz w:val="20"/>
          <w:szCs w:val="20"/>
          <w:b w:val="1"/>
          <w:bCs w:val="1"/>
          <w:color w:val="010000"/>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RBITRATION</w:t>
      </w:r>
      <w:r>
        <w:rPr>
          <w:rFonts w:ascii="Arial" w:cs="Arial" w:eastAsia="Arial" w:hAnsi="Arial"/>
          <w:sz w:val="20"/>
          <w:szCs w:val="20"/>
          <w:b w:val="1"/>
          <w:bCs w:val="1"/>
          <w:color w:val="auto"/>
        </w:rPr>
        <w:t>.</w:t>
      </w:r>
    </w:p>
    <w:p>
      <w:pPr>
        <w:spacing w:after="0" w:line="23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9"/>
          <w:szCs w:val="19"/>
          <w:color w:val="auto"/>
        </w:rPr>
        <w:t>To ensure the rapid and economical resolution of disputes that may arise in connection with GC’s employment with the Company, GC and the Company agree that any and all disputes, claims, or causes of action, in law or equity, arising from or relating to GC’s employment, or the termination of that employment, will be resolved, to the fullest extent permitted by law, by final, binding and confidential arbitration pursuant to both the substantive and procedural provisions of the Federal Arbitration Act in San Diego, California conducted by the Judicial Arbitration and Mediation Services/Endispute, Inc. (“</w:t>
      </w:r>
      <w:r>
        <w:rPr>
          <w:rFonts w:ascii="Arial" w:cs="Arial" w:eastAsia="Arial" w:hAnsi="Arial"/>
          <w:sz w:val="19"/>
          <w:szCs w:val="19"/>
          <w:b w:val="1"/>
          <w:bCs w:val="1"/>
          <w:i w:val="1"/>
          <w:iCs w:val="1"/>
          <w:color w:val="auto"/>
        </w:rPr>
        <w:t>JAMS”</w:t>
      </w:r>
      <w:r>
        <w:rPr>
          <w:rFonts w:ascii="Arial" w:cs="Arial" w:eastAsia="Arial" w:hAnsi="Arial"/>
          <w:sz w:val="19"/>
          <w:szCs w:val="19"/>
          <w:color w:val="auto"/>
        </w:rPr>
        <w:t>), or its successors, under the then current rules of JAMS for employment disputes; provided that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Accordingly, GC and the Company</w:t>
      </w:r>
    </w:p>
    <w:p>
      <w:pPr>
        <w:sectPr>
          <w:pgSz w:w="11900" w:h="16838" w:orient="portrait"/>
          <w:cols w:equalWidth="0" w:num="1">
            <w:col w:w="11420"/>
          </w:cols>
          <w:pgMar w:left="240" w:top="684" w:right="239" w:bottom="1440" w:gutter="0" w:footer="0" w:header="0"/>
        </w:sectPr>
      </w:pPr>
    </w:p>
    <w:bookmarkStart w:id="75" w:name="page76"/>
    <w:bookmarkEnd w:id="75"/>
    <w:p>
      <w:pPr>
        <w:jc w:val="both"/>
        <w:spacing w:after="0" w:line="278" w:lineRule="auto"/>
        <w:rPr>
          <w:sz w:val="20"/>
          <w:szCs w:val="20"/>
          <w:color w:val="auto"/>
        </w:rPr>
      </w:pPr>
      <w:r>
        <w:rPr>
          <w:rFonts w:ascii="Arial" w:cs="Arial" w:eastAsia="Arial" w:hAnsi="Arial"/>
          <w:sz w:val="18"/>
          <w:szCs w:val="18"/>
          <w:color w:val="auto"/>
        </w:rPr>
        <w:t>hereby waive any right to a jury trial. Both GC and the Company shall be entitled to all rights and remedies that either GC or the Company would be entitled to pursue in a court of law. The Company shall pay any JAMS filing fee and shall pay the arbitrator’s fee. Nothing in this Agreement is intended to prevent either GC or the Company from obtaining injunctive relief in court to prevent irreparable harm pending the conclusion of any such arbitration. Notwithstanding the foregoing, GC and the Company each have the right to resolve any issue or dispute involving confidential, proprietary or trade secret information, or intellectual property rights, by Court action instead of arbitration.</w:t>
      </w:r>
    </w:p>
    <w:p>
      <w:pPr>
        <w:spacing w:after="0" w:line="159" w:lineRule="exact"/>
        <w:rPr>
          <w:sz w:val="20"/>
          <w:szCs w:val="20"/>
          <w:color w:val="auto"/>
        </w:rPr>
      </w:pPr>
    </w:p>
    <w:p>
      <w:pPr>
        <w:ind w:left="1020" w:hanging="526"/>
        <w:spacing w:after="0"/>
        <w:tabs>
          <w:tab w:leader="none" w:pos="1020" w:val="left"/>
        </w:tabs>
        <w:numPr>
          <w:ilvl w:val="0"/>
          <w:numId w:val="50"/>
        </w:numPr>
        <w:rPr>
          <w:rFonts w:ascii="Arial" w:cs="Arial" w:eastAsia="Arial" w:hAnsi="Arial"/>
          <w:sz w:val="20"/>
          <w:szCs w:val="20"/>
          <w:b w:val="1"/>
          <w:bCs w:val="1"/>
          <w:color w:val="010000"/>
        </w:rPr>
      </w:pPr>
      <w:r>
        <w:rPr>
          <w:rFonts w:ascii="Arial" w:cs="Arial" w:eastAsia="Arial" w:hAnsi="Arial"/>
          <w:sz w:val="20"/>
          <w:szCs w:val="20"/>
          <w:b w:val="1"/>
          <w:bCs w:val="1"/>
          <w:color w:val="auto"/>
        </w:rPr>
        <w:t>T</w:t>
      </w:r>
      <w:r>
        <w:rPr>
          <w:rFonts w:ascii="Arial" w:cs="Arial" w:eastAsia="Arial" w:hAnsi="Arial"/>
          <w:sz w:val="16"/>
          <w:szCs w:val="16"/>
          <w:b w:val="1"/>
          <w:bCs w:val="1"/>
          <w:color w:val="auto"/>
        </w:rPr>
        <w:t>RADE</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ECRETS OF</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THERS</w:t>
      </w:r>
      <w:r>
        <w:rPr>
          <w:rFonts w:ascii="Arial" w:cs="Arial" w:eastAsia="Arial" w:hAnsi="Arial"/>
          <w:sz w:val="20"/>
          <w:szCs w:val="20"/>
          <w:b w:val="1"/>
          <w:bCs w:val="1"/>
          <w:color w:val="auto"/>
        </w:rPr>
        <w:t>.</w:t>
      </w:r>
    </w:p>
    <w:p>
      <w:pPr>
        <w:spacing w:after="0" w:line="23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9"/>
          <w:szCs w:val="19"/>
          <w:color w:val="auto"/>
        </w:rPr>
        <w:t>It is the understanding of both the Company and GC that GC shall not divulge to the Company and/or its subsidiaries any confidential information or trade secrets belonging to others, including GC’s former employers, nor shall the Company and/or its Affiliates seek to elicit from GC any such information. Consistent with the foregoing, GC shall not provide to the Company and/or its Affiliates, and the Company and/or its Affiliates shall not request, any documents or copies of documents containing such information.</w:t>
      </w:r>
    </w:p>
    <w:p>
      <w:pPr>
        <w:spacing w:after="0" w:line="171" w:lineRule="exact"/>
        <w:rPr>
          <w:sz w:val="20"/>
          <w:szCs w:val="20"/>
          <w:color w:val="auto"/>
        </w:rPr>
      </w:pPr>
    </w:p>
    <w:p>
      <w:pPr>
        <w:ind w:left="1020" w:hanging="526"/>
        <w:spacing w:after="0"/>
        <w:tabs>
          <w:tab w:leader="none" w:pos="1020" w:val="left"/>
        </w:tabs>
        <w:numPr>
          <w:ilvl w:val="0"/>
          <w:numId w:val="51"/>
        </w:numPr>
        <w:rPr>
          <w:rFonts w:ascii="Arial" w:cs="Arial" w:eastAsia="Arial" w:hAnsi="Arial"/>
          <w:sz w:val="20"/>
          <w:szCs w:val="20"/>
          <w:b w:val="1"/>
          <w:bCs w:val="1"/>
          <w:color w:val="010000"/>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DVERTISING</w:t>
      </w:r>
      <w:r>
        <w:rPr>
          <w:rFonts w:ascii="Arial" w:cs="Arial" w:eastAsia="Arial" w:hAnsi="Arial"/>
          <w:sz w:val="20"/>
          <w:szCs w:val="20"/>
          <w:b w:val="1"/>
          <w:bCs w:val="1"/>
          <w:color w:val="auto"/>
        </w:rPr>
        <w:t xml:space="preserve"> W</w:t>
      </w:r>
      <w:r>
        <w:rPr>
          <w:rFonts w:ascii="Arial" w:cs="Arial" w:eastAsia="Arial" w:hAnsi="Arial"/>
          <w:sz w:val="16"/>
          <w:szCs w:val="16"/>
          <w:b w:val="1"/>
          <w:bCs w:val="1"/>
          <w:color w:val="auto"/>
        </w:rPr>
        <w:t>AIVER</w:t>
      </w:r>
      <w:r>
        <w:rPr>
          <w:rFonts w:ascii="Arial" w:cs="Arial" w:eastAsia="Arial" w:hAnsi="Arial"/>
          <w:sz w:val="20"/>
          <w:szCs w:val="20"/>
          <w:color w:val="auto"/>
        </w:rPr>
        <w:t>.</w:t>
      </w:r>
    </w:p>
    <w:p>
      <w:pPr>
        <w:spacing w:after="0" w:line="235"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color w:val="auto"/>
        </w:rPr>
        <w:t>GC agrees to permit the Company, and persons or other organizations authorized by the Company, to use, publish and distribute advertising or sales promotional literature concerning the products and/or services of the Company, or the machinery and equipment used in the provision thereof, in which GC’s name and/or pictures of GC taken in the course of GC’s provision of services to the Company appear. GC hereby waives and releases any claim or right GC may otherwise have arising out of such use, publication or distribution.</w:t>
      </w:r>
    </w:p>
    <w:p>
      <w:pPr>
        <w:spacing w:after="0" w:line="162"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[R</w:t>
      </w:r>
      <w:r>
        <w:rPr>
          <w:rFonts w:ascii="Arial" w:cs="Arial" w:eastAsia="Arial" w:hAnsi="Arial"/>
          <w:sz w:val="16"/>
          <w:szCs w:val="16"/>
          <w:color w:val="auto"/>
        </w:rPr>
        <w:t>EMAINDER OF THIS PAGE INTENTIONALLY LEFT BLANK</w:t>
      </w:r>
      <w:r>
        <w:rPr>
          <w:rFonts w:ascii="Arial" w:cs="Arial" w:eastAsia="Arial" w:hAnsi="Arial"/>
          <w:sz w:val="20"/>
          <w:szCs w:val="20"/>
          <w:color w:val="auto"/>
        </w:rPr>
        <w:t>]</w:t>
      </w:r>
    </w:p>
    <w:p>
      <w:pPr>
        <w:sectPr>
          <w:pgSz w:w="11900" w:h="16838" w:orient="portrait"/>
          <w:cols w:equalWidth="0" w:num="1">
            <w:col w:w="11420"/>
          </w:cols>
          <w:pgMar w:left="240" w:top="690" w:right="239" w:bottom="1440" w:gutter="0" w:footer="0" w:header="0"/>
        </w:sectPr>
      </w:pPr>
    </w:p>
    <w:bookmarkStart w:id="76" w:name="page77"/>
    <w:bookmarkEnd w:id="76"/>
    <w:p>
      <w:pPr>
        <w:ind w:left="500"/>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5"/>
          <w:szCs w:val="15"/>
          <w:b w:val="1"/>
          <w:bCs w:val="1"/>
          <w:color w:val="auto"/>
        </w:rPr>
        <w:t>N WITNESS WHEREOF</w:t>
      </w:r>
      <w:r>
        <w:rPr>
          <w:rFonts w:ascii="Arial" w:cs="Arial" w:eastAsia="Arial" w:hAnsi="Arial"/>
          <w:sz w:val="19"/>
          <w:szCs w:val="19"/>
          <w:color w:val="auto"/>
        </w:rPr>
        <w:t>, the Parties have executed the Agreement as of the date below.</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NAPTYSBIO</w:t>
      </w:r>
      <w:r>
        <w:rPr>
          <w:rFonts w:ascii="Arial" w:cs="Arial" w:eastAsia="Arial" w:hAnsi="Arial"/>
          <w:sz w:val="20"/>
          <w:szCs w:val="20"/>
          <w:b w:val="1"/>
          <w:bCs w:val="1"/>
          <w:color w:val="auto"/>
        </w:rPr>
        <w:t xml:space="preserve">, </w:t>
      </w:r>
      <w:r>
        <w:rPr>
          <w:rFonts w:ascii="Arial" w:cs="Arial" w:eastAsia="Arial" w:hAnsi="Arial"/>
          <w:sz w:val="16"/>
          <w:szCs w:val="16"/>
          <w:b w:val="1"/>
          <w:bCs w:val="1"/>
          <w:color w:val="auto"/>
        </w:rPr>
        <w:t>INC</w:t>
      </w:r>
      <w:r>
        <w:rPr>
          <w:rFonts w:ascii="Arial" w:cs="Arial" w:eastAsia="Arial" w:hAnsi="Arial"/>
          <w:sz w:val="20"/>
          <w:szCs w:val="20"/>
          <w:color w:val="auto"/>
        </w:rPr>
        <w:t>.</w:t>
      </w: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Hamza Suria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Its: President &amp; CEO</w:t>
      </w:r>
    </w:p>
    <w:p>
      <w:pPr>
        <w:spacing w:after="0"/>
        <w:rPr>
          <w:sz w:val="20"/>
          <w:szCs w:val="20"/>
          <w:color w:val="auto"/>
        </w:rPr>
      </w:pPr>
      <w:r>
        <w:rPr>
          <w:rFonts w:ascii="Arial" w:cs="Arial" w:eastAsia="Arial" w:hAnsi="Arial"/>
          <w:sz w:val="20"/>
          <w:szCs w:val="20"/>
          <w:color w:val="auto"/>
        </w:rPr>
        <w:t>Dated: August __, 2018</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GC:</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Eric Loumeau</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ERIC LOUMEAU</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Dated: August __,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2479"/>
        <w:spacing w:after="0"/>
        <w:rPr>
          <w:sz w:val="20"/>
          <w:szCs w:val="20"/>
          <w:color w:val="auto"/>
        </w:rPr>
      </w:pPr>
      <w:r>
        <w:rPr>
          <w:rFonts w:ascii="Arial" w:cs="Arial" w:eastAsia="Arial" w:hAnsi="Arial"/>
          <w:sz w:val="20"/>
          <w:szCs w:val="20"/>
          <w:color w:val="auto"/>
        </w:rPr>
        <w:t>[S</w:t>
      </w:r>
      <w:r>
        <w:rPr>
          <w:rFonts w:ascii="Arial" w:cs="Arial" w:eastAsia="Arial" w:hAnsi="Arial"/>
          <w:sz w:val="16"/>
          <w:szCs w:val="16"/>
          <w:color w:val="auto"/>
        </w:rPr>
        <w:t>IGNATURE</w:t>
      </w:r>
      <w:r>
        <w:rPr>
          <w:rFonts w:ascii="Arial" w:cs="Arial" w:eastAsia="Arial" w:hAnsi="Arial"/>
          <w:sz w:val="20"/>
          <w:szCs w:val="20"/>
          <w:color w:val="auto"/>
        </w:rPr>
        <w:t xml:space="preserve"> P</w:t>
      </w:r>
      <w:r>
        <w:rPr>
          <w:rFonts w:ascii="Arial" w:cs="Arial" w:eastAsia="Arial" w:hAnsi="Arial"/>
          <w:sz w:val="16"/>
          <w:szCs w:val="16"/>
          <w:color w:val="auto"/>
        </w:rPr>
        <w:t>AGE TO</w:t>
      </w:r>
      <w:r>
        <w:rPr>
          <w:rFonts w:ascii="Arial" w:cs="Arial" w:eastAsia="Arial" w:hAnsi="Arial"/>
          <w:sz w:val="20"/>
          <w:szCs w:val="20"/>
          <w:color w:val="auto"/>
        </w:rPr>
        <w:t xml:space="preserve"> E</w:t>
      </w:r>
      <w:r>
        <w:rPr>
          <w:rFonts w:ascii="Arial" w:cs="Arial" w:eastAsia="Arial" w:hAnsi="Arial"/>
          <w:sz w:val="16"/>
          <w:szCs w:val="16"/>
          <w:color w:val="auto"/>
        </w:rPr>
        <w:t>MPLOYMENT</w:t>
      </w:r>
      <w:r>
        <w:rPr>
          <w:rFonts w:ascii="Arial" w:cs="Arial" w:eastAsia="Arial" w:hAnsi="Arial"/>
          <w:sz w:val="20"/>
          <w:szCs w:val="20"/>
          <w:color w:val="auto"/>
        </w:rPr>
        <w:t xml:space="preserve"> A</w:t>
      </w:r>
      <w:r>
        <w:rPr>
          <w:rFonts w:ascii="Arial" w:cs="Arial" w:eastAsia="Arial" w:hAnsi="Arial"/>
          <w:sz w:val="16"/>
          <w:szCs w:val="16"/>
          <w:color w:val="auto"/>
        </w:rPr>
        <w:t>GREEMENT</w:t>
      </w:r>
      <w:r>
        <w:rPr>
          <w:rFonts w:ascii="Arial" w:cs="Arial" w:eastAsia="Arial" w:hAnsi="Arial"/>
          <w:sz w:val="20"/>
          <w:szCs w:val="20"/>
          <w:color w:val="auto"/>
        </w:rPr>
        <w:t>]</w:t>
      </w:r>
    </w:p>
    <w:p>
      <w:pPr>
        <w:sectPr>
          <w:pgSz w:w="11900" w:h="16838" w:orient="portrait"/>
          <w:cols w:equalWidth="0" w:num="1">
            <w:col w:w="10219"/>
          </w:cols>
          <w:pgMar w:left="240" w:top="684" w:right="1440" w:bottom="1440" w:gutter="0" w:footer="0" w:header="0"/>
        </w:sectPr>
      </w:pPr>
    </w:p>
    <w:bookmarkStart w:id="77" w:name="page78"/>
    <w:bookmarkEnd w:id="77"/>
    <w:p>
      <w:pPr>
        <w:jc w:val="center"/>
        <w:ind w:left="500"/>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left="500"/>
        <w:spacing w:after="0"/>
        <w:rPr>
          <w:sz w:val="20"/>
          <w:szCs w:val="20"/>
          <w:color w:val="auto"/>
        </w:rPr>
      </w:pPr>
      <w:r>
        <w:rPr>
          <w:rFonts w:ascii="Arial" w:cs="Arial" w:eastAsia="Arial" w:hAnsi="Arial"/>
          <w:sz w:val="20"/>
          <w:szCs w:val="20"/>
          <w:b w:val="1"/>
          <w:bCs w:val="1"/>
          <w:color w:val="auto"/>
        </w:rPr>
        <w:t>RELEASE AND WAIVER OF CLAIMS</w:t>
      </w:r>
    </w:p>
    <w:p>
      <w:pPr>
        <w:spacing w:after="0" w:line="216" w:lineRule="exact"/>
        <w:rPr>
          <w:sz w:val="20"/>
          <w:szCs w:val="20"/>
          <w:color w:val="auto"/>
        </w:rPr>
      </w:pPr>
    </w:p>
    <w:p>
      <w:pPr>
        <w:jc w:val="center"/>
        <w:ind w:left="500"/>
        <w:spacing w:after="0"/>
        <w:rPr>
          <w:sz w:val="20"/>
          <w:szCs w:val="20"/>
          <w:color w:val="auto"/>
        </w:rPr>
      </w:pPr>
      <w:r>
        <w:rPr>
          <w:rFonts w:ascii="Arial" w:cs="Arial" w:eastAsia="Arial" w:hAnsi="Arial"/>
          <w:sz w:val="20"/>
          <w:szCs w:val="20"/>
          <w:b w:val="1"/>
          <w:bCs w:val="1"/>
          <w:color w:val="auto"/>
        </w:rPr>
        <w:t>TO BE SIGNED ON OR FOLLOWING THE SEPARATION DATE ONLY</w:t>
      </w:r>
    </w:p>
    <w:p>
      <w:pPr>
        <w:spacing w:after="0" w:line="22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8"/>
          <w:szCs w:val="18"/>
          <w:color w:val="auto"/>
        </w:rPr>
        <w:t xml:space="preserve">In consideration of the payments and other benefits set forth in the Employment Agreement effective August 6, 2018, to which this form is attached, I, Eric Loumeau, hereby furnish </w:t>
      </w:r>
      <w:r>
        <w:rPr>
          <w:rFonts w:ascii="Arial" w:cs="Arial" w:eastAsia="Arial" w:hAnsi="Arial"/>
          <w:sz w:val="18"/>
          <w:szCs w:val="18"/>
          <w:b w:val="1"/>
          <w:bCs w:val="1"/>
          <w:color w:val="auto"/>
        </w:rPr>
        <w:t>A</w:t>
      </w:r>
      <w:r>
        <w:rPr>
          <w:rFonts w:ascii="Arial" w:cs="Arial" w:eastAsia="Arial" w:hAnsi="Arial"/>
          <w:sz w:val="14"/>
          <w:szCs w:val="14"/>
          <w:b w:val="1"/>
          <w:bCs w:val="1"/>
          <w:color w:val="auto"/>
        </w:rPr>
        <w:t>NAPTYS</w:t>
      </w:r>
      <w:r>
        <w:rPr>
          <w:rFonts w:ascii="Arial" w:cs="Arial" w:eastAsia="Arial" w:hAnsi="Arial"/>
          <w:sz w:val="18"/>
          <w:szCs w:val="18"/>
          <w:b w:val="1"/>
          <w:bCs w:val="1"/>
          <w:color w:val="auto"/>
        </w:rPr>
        <w:t>B</w:t>
      </w:r>
      <w:r>
        <w:rPr>
          <w:rFonts w:ascii="Arial" w:cs="Arial" w:eastAsia="Arial" w:hAnsi="Arial"/>
          <w:sz w:val="14"/>
          <w:szCs w:val="14"/>
          <w:b w:val="1"/>
          <w:bCs w:val="1"/>
          <w:color w:val="auto"/>
        </w:rPr>
        <w:t>IO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with the following release and waiver (“</w:t>
      </w:r>
      <w:r>
        <w:rPr>
          <w:rFonts w:ascii="Arial" w:cs="Arial" w:eastAsia="Arial" w:hAnsi="Arial"/>
          <w:sz w:val="18"/>
          <w:szCs w:val="18"/>
          <w:b w:val="1"/>
          <w:bCs w:val="1"/>
          <w:i w:val="1"/>
          <w:iCs w:val="1"/>
          <w:color w:val="auto"/>
        </w:rPr>
        <w:t>Release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Waiver”</w:t>
      </w:r>
      <w:r>
        <w:rPr>
          <w:rFonts w:ascii="Arial" w:cs="Arial" w:eastAsia="Arial" w:hAnsi="Arial"/>
          <w:sz w:val="18"/>
          <w:szCs w:val="18"/>
          <w:color w:val="auto"/>
        </w:rPr>
        <w:t>). In exchange for the consideration provided to me by the Employment Agreement that I am not otherwise entitled to receive, I hereby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and completely release the Company and its current and former directors, officers, employees, stockholders, partners, agents, attorneys, predecessors, successors, parent and subsidiary entities, insurers, affiliates, and assigns (collectively, the “</w:t>
      </w:r>
      <w:r>
        <w:rPr>
          <w:rFonts w:ascii="Arial" w:cs="Arial" w:eastAsia="Arial" w:hAnsi="Arial"/>
          <w:sz w:val="18"/>
          <w:szCs w:val="18"/>
          <w:b w:val="1"/>
          <w:bCs w:val="1"/>
          <w:i w:val="1"/>
          <w:iCs w:val="1"/>
          <w:color w:val="auto"/>
        </w:rPr>
        <w:t>Released Parties”</w:t>
      </w:r>
      <w:r>
        <w:rPr>
          <w:rFonts w:ascii="Arial" w:cs="Arial" w:eastAsia="Arial" w:hAnsi="Arial"/>
          <w:sz w:val="18"/>
          <w:szCs w:val="18"/>
          <w:color w:val="auto"/>
        </w:rPr>
        <w:t>) from any and all claims, liabilities and obligations, both known and unknown, that arise out of or are in any way related to events, acts, conduct, or omissions occurring prior to or on the date that I sign this Agreement (collectively, the “</w:t>
      </w:r>
      <w:r>
        <w:rPr>
          <w:rFonts w:ascii="Arial" w:cs="Arial" w:eastAsia="Arial" w:hAnsi="Arial"/>
          <w:sz w:val="18"/>
          <w:szCs w:val="18"/>
          <w:b w:val="1"/>
          <w:bCs w:val="1"/>
          <w:i w:val="1"/>
          <w:iCs w:val="1"/>
          <w:color w:val="auto"/>
        </w:rPr>
        <w:t>Released Claims”</w:t>
      </w:r>
      <w:r>
        <w:rPr>
          <w:rFonts w:ascii="Arial" w:cs="Arial" w:eastAsia="Arial" w:hAnsi="Arial"/>
          <w:sz w:val="18"/>
          <w:szCs w:val="18"/>
          <w:color w:val="auto"/>
        </w:rPr>
        <w:t>). The Released Claims include, but are not limited to: (a) all claims arising out of or in any way related to my employment with the Company, or the termination of that employment; (b) all claims related to my compensation or benefits from the Company including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misclassification, attorneys’ fees, or other claims arising under the federal Civil Rights Act of 1964 (as amended), the federal Americans with Disabilities Act of 1990, the federal Age Discrimination in Employment Act of 1967 (as amended) (the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the California Labor Code, and the California Fair Employment and Housing Act (as amended). Notwithstanding the foregoing, the following are not included in the Released Claims (the “</w:t>
      </w:r>
      <w:r>
        <w:rPr>
          <w:rFonts w:ascii="Arial" w:cs="Arial" w:eastAsia="Arial" w:hAnsi="Arial"/>
          <w:sz w:val="18"/>
          <w:szCs w:val="18"/>
          <w:b w:val="1"/>
          <w:bCs w:val="1"/>
          <w:i w:val="1"/>
          <w:iCs w:val="1"/>
          <w:color w:val="auto"/>
        </w:rPr>
        <w:t>Excluded Claims”</w:t>
      </w:r>
      <w:r>
        <w:rPr>
          <w:rFonts w:ascii="Arial" w:cs="Arial" w:eastAsia="Arial" w:hAnsi="Arial"/>
          <w:sz w:val="18"/>
          <w:szCs w:val="18"/>
          <w:color w:val="auto"/>
        </w:rPr>
        <w:t>): (a) any rights or claims for indemnification I may have pursuant to the charter or bylaws of the Company or under applicable law; (b) any rights or claims to unemployment compensation, funds accrued in my 401k account, or any vested equity incentives; (c) any rights that are not waivable as a matter of law; or (d) any claims arising from the breach of this Agreement. I hereby represent and warrant that, other than the Excluded Claims, I am not aware of any claims I have or might have against any of the Released Parties that are not included in the Released Claims.</w:t>
      </w:r>
    </w:p>
    <w:p>
      <w:pPr>
        <w:spacing w:after="0" w:line="175"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20"/>
          <w:szCs w:val="20"/>
          <w:color w:val="auto"/>
        </w:rPr>
        <w:t>I also acknowledge that I have read and understand Section 1542 of the California Civil Code which reads as follows: “</w:t>
      </w:r>
      <w:r>
        <w:rPr>
          <w:rFonts w:ascii="Arial" w:cs="Arial" w:eastAsia="Arial" w:hAnsi="Arial"/>
          <w:sz w:val="20"/>
          <w:szCs w:val="20"/>
          <w:b w:val="1"/>
          <w:bCs w:val="1"/>
          <w:color w:val="auto"/>
        </w:rPr>
        <w:t>A general release</w:t>
      </w:r>
      <w:r>
        <w:rPr>
          <w:rFonts w:ascii="Arial" w:cs="Arial" w:eastAsia="Arial" w:hAnsi="Arial"/>
          <w:sz w:val="20"/>
          <w:szCs w:val="20"/>
          <w:color w:val="auto"/>
        </w:rPr>
        <w:t xml:space="preserve"> </w:t>
      </w:r>
      <w:r>
        <w:rPr>
          <w:rFonts w:ascii="Arial" w:cs="Arial" w:eastAsia="Arial" w:hAnsi="Arial"/>
          <w:sz w:val="20"/>
          <w:szCs w:val="20"/>
          <w:b w:val="1"/>
          <w:bCs w:val="1"/>
          <w:color w:val="auto"/>
        </w:rPr>
        <w:t>does not extend to claims which the creditor does not know or suspect to exist in his or her favor at the time of executing the release, which if known by him or her must have materially affected his or her settlement with the debtor</w:t>
      </w:r>
      <w:r>
        <w:rPr>
          <w:rFonts w:ascii="Arial" w:cs="Arial" w:eastAsia="Arial" w:hAnsi="Arial"/>
          <w:sz w:val="20"/>
          <w:szCs w:val="20"/>
          <w:color w:val="auto"/>
        </w:rPr>
        <w:t>.” I hereby expressly waive and</w:t>
      </w:r>
      <w:r>
        <w:rPr>
          <w:rFonts w:ascii="Arial" w:cs="Arial" w:eastAsia="Arial" w:hAnsi="Arial"/>
          <w:sz w:val="20"/>
          <w:szCs w:val="20"/>
          <w:b w:val="1"/>
          <w:bCs w:val="1"/>
          <w:color w:val="auto"/>
        </w:rPr>
        <w:t xml:space="preserve"> </w:t>
      </w:r>
      <w:r>
        <w:rPr>
          <w:rFonts w:ascii="Arial" w:cs="Arial" w:eastAsia="Arial" w:hAnsi="Arial"/>
          <w:sz w:val="20"/>
          <w:szCs w:val="20"/>
          <w:color w:val="auto"/>
        </w:rPr>
        <w:t>relinquish all rights and benefits under that Section and any law of any jurisdiction, including New York, of similar effect with respect to any claims I may have against the Company.</w:t>
      </w:r>
    </w:p>
    <w:p>
      <w:pPr>
        <w:spacing w:after="0" w:line="19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9"/>
          <w:szCs w:val="19"/>
          <w:color w:val="auto"/>
        </w:rPr>
        <w:t>I acknowledge that, among other rights, I am waiving and releasing any rights I may have under ADEA, that this Release and Waiver is knowing and voluntary, and that the consideration given for this Release and Waiver is in addition to anything of value to which I was already entitled as an executive of the Company. I further acknowledge that I have been advised, as required by the Older Workers Benefit Protection Act, that: (a) the release and waiver granted herein does not relate to claims under the ADEA which may arise after this Release and Waiver is executed; (b) I should consult with an attorney prior to executing this Release and Waiver; and (c) if I am age 40 or older at the time of execution of this release, I have 21 days from the date of termination of my employment with the Company in which to consider this Release and Waiver (although I may choose voluntarily to execute this Release and Waiver earlier); and (d) if I am age 40 or older at the time of execution of this release, I have seven days following the execution of this Release and Waiver to revoke my consent to this Release and Waiver and this Release and Waiver shall not be effective until the seven day revocation period has expired without my having previously revoked this Release and Waiver.</w:t>
      </w:r>
    </w:p>
    <w:p>
      <w:pPr>
        <w:spacing w:after="0" w:line="181"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20"/>
          <w:szCs w:val="20"/>
          <w:color w:val="auto"/>
        </w:rPr>
        <w:t>I agree not to disparage the Company and its officers, directors, employees, shareholders and/or agents, in any manner likely to be harmful to them or their business, business reputations or personal reputations; provided that I may respond accurately and fully to any question, inquiry or request for information when required by legal process (e.g., a valid subpoena or other similar compulsion of law) or as part of a government investigation.</w:t>
      </w:r>
    </w:p>
    <w:p>
      <w:pPr>
        <w:sectPr>
          <w:pgSz w:w="11900" w:h="16838" w:orient="portrait"/>
          <w:cols w:equalWidth="0" w:num="1">
            <w:col w:w="11420"/>
          </w:cols>
          <w:pgMar w:left="240" w:top="684" w:right="239" w:bottom="1440" w:gutter="0" w:footer="0" w:header="0"/>
        </w:sectPr>
      </w:pPr>
    </w:p>
    <w:bookmarkStart w:id="78" w:name="page79"/>
    <w:bookmarkEnd w:id="78"/>
    <w:p>
      <w:pPr>
        <w:jc w:val="both"/>
        <w:ind w:firstLine="486"/>
        <w:spacing w:after="0" w:line="243" w:lineRule="auto"/>
        <w:rPr>
          <w:sz w:val="20"/>
          <w:szCs w:val="20"/>
          <w:color w:val="auto"/>
        </w:rPr>
      </w:pPr>
      <w:r>
        <w:rPr>
          <w:rFonts w:ascii="Arial" w:cs="Arial" w:eastAsia="Arial" w:hAnsi="Arial"/>
          <w:sz w:val="20"/>
          <w:szCs w:val="20"/>
          <w:color w:val="auto"/>
        </w:rPr>
        <w:t>I acknowledge my continuing obligations under my Proprietary Information and Inventions Agreement. Pursuant to the Proprietary Information and Inventions Agreement I understand that among other things, I must not use or disclose any confidential or proprietary information of the Company and I must immediately return all Company property and documents (including all embodiments of proprietary information) and all copies thereof in my possession or control. I understand and agree that my right to the severance pay I am receiving in exchange for my agreement to the terms of this Release and Waiver is contingent upon my continued compliance with my Proprietary Information and Inventions Agreement.</w:t>
      </w:r>
    </w:p>
    <w:p>
      <w:pPr>
        <w:spacing w:after="0" w:line="19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8"/>
          <w:szCs w:val="18"/>
          <w:color w:val="auto"/>
        </w:rPr>
        <w:t>This Release and Waiver constitutes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00"/>
        <w:spacing w:after="0"/>
        <w:tabs>
          <w:tab w:leader="none" w:pos="17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wp:posOffset>
            </wp:positionV>
            <wp:extent cx="311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ind w:left="2320"/>
        <w:spacing w:after="0"/>
        <w:rPr>
          <w:sz w:val="20"/>
          <w:szCs w:val="20"/>
          <w:color w:val="auto"/>
        </w:rPr>
      </w:pPr>
      <w:r>
        <w:rPr>
          <w:rFonts w:ascii="Arial" w:cs="Arial" w:eastAsia="Arial" w:hAnsi="Arial"/>
          <w:sz w:val="20"/>
          <w:szCs w:val="20"/>
          <w:color w:val="auto"/>
        </w:rPr>
        <w:t>ERIC LOUMEAU</w:t>
      </w:r>
    </w:p>
    <w:p>
      <w:pPr>
        <w:sectPr>
          <w:pgSz w:w="11900" w:h="16838" w:orient="portrait"/>
          <w:cols w:equalWidth="0" w:num="1">
            <w:col w:w="11420"/>
          </w:cols>
          <w:pgMar w:left="240" w:top="69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Hamza Suria, certify that:</w:t>
      </w:r>
    </w:p>
    <w:p>
      <w:pPr>
        <w:spacing w:after="0" w:line="158"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17"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60" w:hanging="172"/>
        <w:spacing w:after="0" w:line="277" w:lineRule="auto"/>
        <w:tabs>
          <w:tab w:leader="none" w:pos="19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180" w:right="200" w:hanging="172"/>
        <w:spacing w:after="0" w:line="264" w:lineRule="auto"/>
        <w:tabs>
          <w:tab w:leader="none" w:pos="19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20" w:right="260" w:hanging="169"/>
        <w:spacing w:after="0" w:line="264" w:lineRule="auto"/>
        <w:tabs>
          <w:tab w:leader="none" w:pos="443"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60" w:hanging="169"/>
        <w:spacing w:after="0" w:line="264" w:lineRule="auto"/>
        <w:tabs>
          <w:tab w:leader="none" w:pos="453"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100" w:hanging="169"/>
        <w:spacing w:after="0" w:line="277" w:lineRule="auto"/>
        <w:tabs>
          <w:tab w:leader="none" w:pos="443"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420" w:right="180" w:hanging="169"/>
        <w:spacing w:after="0" w:line="264" w:lineRule="auto"/>
        <w:tabs>
          <w:tab w:leader="none" w:pos="453"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260" w:hanging="169"/>
        <w:spacing w:after="0" w:line="277" w:lineRule="auto"/>
        <w:tabs>
          <w:tab w:leader="none" w:pos="453"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420"/>
          </w:cols>
          <w:pgMar w:left="240" w:top="6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Dominic G. Piscitelli, certify that:</w:t>
      </w:r>
    </w:p>
    <w:p>
      <w:pPr>
        <w:spacing w:after="0" w:line="212"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57"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60" w:hanging="172"/>
        <w:spacing w:after="0" w:line="277" w:lineRule="auto"/>
        <w:tabs>
          <w:tab w:leader="none" w:pos="19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180" w:right="200" w:hanging="172"/>
        <w:spacing w:after="0" w:line="264" w:lineRule="auto"/>
        <w:tabs>
          <w:tab w:leader="none" w:pos="19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20" w:right="260" w:hanging="169"/>
        <w:spacing w:after="0" w:line="264" w:lineRule="auto"/>
        <w:tabs>
          <w:tab w:leader="none" w:pos="443"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60" w:hanging="169"/>
        <w:spacing w:after="0" w:line="264" w:lineRule="auto"/>
        <w:tabs>
          <w:tab w:leader="none" w:pos="453"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100" w:hanging="169"/>
        <w:spacing w:after="0" w:line="277" w:lineRule="auto"/>
        <w:tabs>
          <w:tab w:leader="none" w:pos="443"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420" w:right="180" w:hanging="169"/>
        <w:spacing w:after="0" w:line="264" w:lineRule="auto"/>
        <w:tabs>
          <w:tab w:leader="none" w:pos="453"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260" w:hanging="169"/>
        <w:spacing w:after="0" w:line="277" w:lineRule="auto"/>
        <w:tabs>
          <w:tab w:leader="none" w:pos="453"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Dominic G. Piscitelli</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Hamza Suria, Chief Executive Officer of AnaptysBio, Inc. (Company), do hereby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880" w:right="340" w:hanging="440"/>
        <w:spacing w:after="0" w:line="342" w:lineRule="auto"/>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2018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80" w:right="180" w:hanging="440"/>
        <w:spacing w:after="0" w:line="277"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420"/>
          </w:cols>
          <w:pgMar w:left="240" w:top="6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Dominic G. Piscitelli, Chief Financial Officer of AnaptysBio, Inc. (Company), do hereby certify, pursuant to 18 U.S.C. Section 1350, as adopted pursuant to Section 906 of the Sarbanes-Oxley Act of 2002, that to the best of my knowledge:</w:t>
      </w:r>
    </w:p>
    <w:p>
      <w:pPr>
        <w:spacing w:after="0" w:line="62" w:lineRule="exact"/>
        <w:rPr>
          <w:sz w:val="20"/>
          <w:szCs w:val="20"/>
          <w:color w:val="auto"/>
        </w:rPr>
      </w:pPr>
    </w:p>
    <w:p>
      <w:pPr>
        <w:ind w:left="880" w:right="340" w:hanging="440"/>
        <w:spacing w:after="0" w:line="342" w:lineRule="auto"/>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2018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80" w:right="180" w:hanging="440"/>
        <w:spacing w:after="0" w:line="277"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Dominic G. Piscitelli</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6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lvl w:ilvl="1">
      <w:lvlJc w:val="left"/>
      <w:lvlText w:val="•"/>
      <w:numFmt w:val="bullet"/>
      <w:start w:val="1"/>
    </w:lvl>
  </w:abstractNum>
  <w:abstractNum w:abstractNumId="3">
    <w:nsid w:val="3A95F874"/>
    <w:multiLevelType w:val="hybridMultilevel"/>
    <w:lvl w:ilvl="0">
      <w:lvlJc w:val="left"/>
      <w:lvlText w:val="%1."/>
      <w:numFmt w:val="decimal"/>
      <w:start w:val="2"/>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1."/>
      <w:numFmt w:val="decimal"/>
      <w:start w:val="3"/>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1."/>
      <w:numFmt w:val="decimal"/>
      <w:start w:val="10"/>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lowerRoman"/>
      <w:start w:val="2"/>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lvl w:ilvl="1">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2"/>
    </w:lvl>
  </w:abstractNum>
  <w:abstractNum w:abstractNumId="34">
    <w:nsid w:val="57E4CCAF"/>
    <w:multiLevelType w:val="hybridMultilevel"/>
    <w:lvl w:ilvl="0">
      <w:lvlJc w:val="left"/>
      <w:lvlText w:val="%1."/>
      <w:numFmt w:val="decimal"/>
      <w:start w:val="3"/>
    </w:lvl>
  </w:abstractNum>
  <w:abstractNum w:abstractNumId="35">
    <w:nsid w:val="7A6D8D3C"/>
    <w:multiLevelType w:val="hybridMultilevel"/>
    <w:lvl w:ilvl="0">
      <w:lvlJc w:val="left"/>
      <w:lvlText w:val="%1."/>
      <w:numFmt w:val="decimal"/>
      <w:start w:val="4"/>
    </w:lvl>
  </w:abstractNum>
  <w:abstractNum w:abstractNumId="36">
    <w:nsid w:val="4B588F54"/>
    <w:multiLevelType w:val="hybridMultilevel"/>
    <w:lvl w:ilvl="0">
      <w:lvlJc w:val="left"/>
      <w:lvlText w:val="(%1)"/>
      <w:numFmt w:val="lowerRoman"/>
      <w:start w:val="2"/>
    </w:lvl>
  </w:abstractNum>
  <w:abstractNum w:abstractNumId="37">
    <w:nsid w:val="542289EC"/>
    <w:multiLevelType w:val="hybridMultilevel"/>
    <w:lvl w:ilvl="0">
      <w:lvlJc w:val="left"/>
      <w:lvlText w:val="%1."/>
      <w:numFmt w:val="decimal"/>
      <w:start w:val="5"/>
    </w:lvl>
  </w:abstractNum>
  <w:abstractNum w:abstractNumId="38">
    <w:nsid w:val="6DE91B18"/>
    <w:multiLevelType w:val="hybridMultilevel"/>
    <w:lvl w:ilvl="0">
      <w:lvlJc w:val="left"/>
      <w:lvlText w:val="%1."/>
      <w:numFmt w:val="decimal"/>
      <w:start w:val="6"/>
    </w:lvl>
  </w:abstractNum>
  <w:abstractNum w:abstractNumId="39">
    <w:nsid w:val="38437FDB"/>
    <w:multiLevelType w:val="hybridMultilevel"/>
    <w:lvl w:ilvl="0">
      <w:lvlJc w:val="left"/>
      <w:lvlText w:val="%1."/>
      <w:numFmt w:val="decimal"/>
      <w:start w:val="7"/>
    </w:lvl>
  </w:abstractNum>
  <w:abstractNum w:abstractNumId="40">
    <w:nsid w:val="7644A45C"/>
    <w:multiLevelType w:val="hybridMultilevel"/>
    <w:lvl w:ilvl="0">
      <w:lvlJc w:val="left"/>
      <w:lvlText w:val="%1."/>
      <w:numFmt w:val="decimal"/>
      <w:start w:val="8"/>
    </w:lvl>
  </w:abstractNum>
  <w:abstractNum w:abstractNumId="41">
    <w:nsid w:val="32FFF902"/>
    <w:multiLevelType w:val="hybridMultilevel"/>
    <w:lvl w:ilvl="0">
      <w:lvlJc w:val="left"/>
      <w:lvlText w:val="%1."/>
      <w:numFmt w:val="decimal"/>
      <w:start w:val="9"/>
    </w:lvl>
  </w:abstractNum>
  <w:abstractNum w:abstractNumId="42">
    <w:nsid w:val="684A481A"/>
    <w:multiLevelType w:val="hybridMultilevel"/>
    <w:lvl w:ilvl="0">
      <w:lvlJc w:val="left"/>
      <w:lvlText w:val="%1."/>
      <w:numFmt w:val="decimal"/>
      <w:start w:val="10"/>
    </w:lvl>
  </w:abstractNum>
  <w:abstractNum w:abstractNumId="43">
    <w:nsid w:val="579478FE"/>
    <w:multiLevelType w:val="hybridMultilevel"/>
    <w:lvl w:ilvl="0">
      <w:lvlJc w:val="left"/>
      <w:lvlText w:val="%1."/>
      <w:numFmt w:val="decimal"/>
      <w:start w:val="11"/>
    </w:lvl>
  </w:abstractNum>
  <w:abstractNum w:abstractNumId="44">
    <w:nsid w:val="749ABB43"/>
    <w:multiLevelType w:val="hybridMultilevel"/>
    <w:lvl w:ilvl="0">
      <w:lvlJc w:val="left"/>
      <w:lvlText w:val="%1."/>
      <w:numFmt w:val="decimal"/>
      <w:start w:val="12"/>
    </w:lvl>
  </w:abstractNum>
  <w:abstractNum w:abstractNumId="45">
    <w:nsid w:val="3DC240FB"/>
    <w:multiLevelType w:val="hybridMultilevel"/>
    <w:lvl w:ilvl="0">
      <w:lvlJc w:val="left"/>
      <w:lvlText w:val="%1."/>
      <w:numFmt w:val="decimal"/>
      <w:start w:val="13"/>
    </w:lvl>
  </w:abstractNum>
  <w:abstractNum w:abstractNumId="46">
    <w:nsid w:val="1BA026FA"/>
    <w:multiLevelType w:val="hybridMultilevel"/>
    <w:lvl w:ilvl="0">
      <w:lvlJc w:val="left"/>
      <w:lvlText w:val="%1."/>
      <w:numFmt w:val="decimal"/>
      <w:start w:val="14"/>
    </w:lvl>
  </w:abstractNum>
  <w:abstractNum w:abstractNumId="47">
    <w:nsid w:val="79A1DEAA"/>
    <w:multiLevelType w:val="hybridMultilevel"/>
    <w:lvl w:ilvl="0">
      <w:lvlJc w:val="left"/>
      <w:lvlText w:val="%1."/>
      <w:numFmt w:val="decimal"/>
      <w:start w:val="15"/>
    </w:lvl>
  </w:abstractNum>
  <w:abstractNum w:abstractNumId="48">
    <w:nsid w:val="75C6C33A"/>
    <w:multiLevelType w:val="hybridMultilevel"/>
    <w:lvl w:ilvl="0">
      <w:lvlJc w:val="left"/>
      <w:lvlText w:val="%1."/>
      <w:numFmt w:val="decimal"/>
      <w:start w:val="16"/>
    </w:lvl>
  </w:abstractNum>
  <w:abstractNum w:abstractNumId="49">
    <w:nsid w:val="12E685FB"/>
    <w:multiLevelType w:val="hybridMultilevel"/>
    <w:lvl w:ilvl="0">
      <w:lvlJc w:val="left"/>
      <w:lvlText w:val="%1."/>
      <w:numFmt w:val="decimal"/>
      <w:start w:val="17"/>
    </w:lvl>
  </w:abstractNum>
  <w:abstractNum w:abstractNumId="50">
    <w:nsid w:val="70C6A529"/>
    <w:multiLevelType w:val="hybridMultilevel"/>
    <w:lvl w:ilvl="0">
      <w:lvlJc w:val="left"/>
      <w:lvlText w:val="%1."/>
      <w:numFmt w:val="decimal"/>
      <w:start w:val="18"/>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2019-12-28T18:03:13Z</dcterms:created>
  <dcterms:modified xsi:type="dcterms:W3CDTF">2019-12-28T18:03:13Z</dcterms:modified>
</cp:coreProperties>
</file>