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February 5, 2018</w:t>
      </w:r>
    </w:p>
    <w:p>
      <w:pPr>
        <w:spacing w:after="0" w:line="161"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0" w:lineRule="exact"/>
        <w:rPr>
          <w:sz w:val="24"/>
          <w:szCs w:val="24"/>
          <w:color w:val="auto"/>
        </w:rPr>
      </w:pPr>
    </w:p>
    <w:p>
      <w:pPr>
        <w:spacing w:after="0" w:line="27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WASHINGTON, D.C. 20549</w:t>
      </w:r>
    </w:p>
    <w:p>
      <w:pPr>
        <w:spacing w:after="0" w:line="21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S-3</w:t>
      </w:r>
    </w:p>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REGISTRATION STATEMENT</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UNDER</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1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ANAPTYSBIO, INC.</w:t>
      </w:r>
    </w:p>
    <w:p>
      <w:pPr>
        <w:spacing w:after="0" w:line="98" w:lineRule="exact"/>
        <w:rPr>
          <w:sz w:val="24"/>
          <w:szCs w:val="24"/>
          <w:color w:val="auto"/>
        </w:rPr>
      </w:pPr>
    </w:p>
    <w:tbl>
      <w:tblPr>
        <w:tblLayout w:type="fixed"/>
        <w:tblInd w:w="1840" w:type="dxa"/>
        <w:tblCellMar>
          <w:top w:w="0" w:type="dxa"/>
          <w:left w:w="0" w:type="dxa"/>
          <w:bottom w:w="0" w:type="dxa"/>
          <w:right w:w="0" w:type="dxa"/>
        </w:tblCellMar>
      </w:tblPr>
      <w:tr>
        <w:trPr>
          <w:trHeight w:val="160"/>
        </w:trPr>
        <w:tc>
          <w:tcPr>
            <w:tcW w:w="2160" w:type="dxa"/>
            <w:vAlign w:val="bottom"/>
          </w:tcPr>
          <w:p>
            <w:pPr>
              <w:spacing w:after="0"/>
              <w:rPr>
                <w:sz w:val="13"/>
                <w:szCs w:val="13"/>
                <w:color w:val="auto"/>
              </w:rPr>
            </w:pPr>
          </w:p>
        </w:tc>
        <w:tc>
          <w:tcPr>
            <w:tcW w:w="3540" w:type="dxa"/>
            <w:vAlign w:val="bottom"/>
          </w:tcPr>
          <w:p>
            <w:pPr>
              <w:jc w:val="right"/>
              <w:ind w:right="429"/>
              <w:spacing w:after="0"/>
              <w:rPr>
                <w:sz w:val="20"/>
                <w:szCs w:val="20"/>
                <w:color w:val="auto"/>
              </w:rPr>
            </w:pPr>
            <w:r>
              <w:rPr>
                <w:rFonts w:ascii="Arial" w:cs="Arial" w:eastAsia="Arial" w:hAnsi="Arial"/>
                <w:sz w:val="13"/>
                <w:szCs w:val="13"/>
                <w:color w:val="auto"/>
              </w:rPr>
              <w:t>(Exact name of registrant as specified in its charter)</w:t>
            </w:r>
          </w:p>
        </w:tc>
        <w:tc>
          <w:tcPr>
            <w:tcW w:w="1820" w:type="dxa"/>
            <w:vAlign w:val="bottom"/>
          </w:tcPr>
          <w:p>
            <w:pPr>
              <w:spacing w:after="0"/>
              <w:rPr>
                <w:sz w:val="13"/>
                <w:szCs w:val="13"/>
                <w:color w:val="auto"/>
              </w:rPr>
            </w:pPr>
          </w:p>
        </w:tc>
      </w:tr>
      <w:tr>
        <w:trPr>
          <w:trHeight w:val="463"/>
        </w:trPr>
        <w:tc>
          <w:tcPr>
            <w:tcW w:w="2160" w:type="dxa"/>
            <w:vAlign w:val="bottom"/>
          </w:tcPr>
          <w:p>
            <w:pPr>
              <w:jc w:val="center"/>
              <w:ind w:right="368"/>
              <w:spacing w:after="0"/>
              <w:rPr>
                <w:sz w:val="20"/>
                <w:szCs w:val="20"/>
                <w:color w:val="auto"/>
              </w:rPr>
            </w:pPr>
            <w:r>
              <w:rPr>
                <w:rFonts w:ascii="Arial" w:cs="Arial" w:eastAsia="Arial" w:hAnsi="Arial"/>
                <w:sz w:val="14"/>
                <w:szCs w:val="14"/>
                <w:color w:val="auto"/>
                <w:w w:val="94"/>
              </w:rPr>
              <w:t>Delaware</w:t>
            </w:r>
          </w:p>
        </w:tc>
        <w:tc>
          <w:tcPr>
            <w:tcW w:w="3540" w:type="dxa"/>
            <w:vAlign w:val="bottom"/>
          </w:tcPr>
          <w:p>
            <w:pPr>
              <w:jc w:val="center"/>
              <w:ind w:right="129"/>
              <w:spacing w:after="0"/>
              <w:rPr>
                <w:sz w:val="20"/>
                <w:szCs w:val="20"/>
                <w:color w:val="auto"/>
              </w:rPr>
            </w:pPr>
            <w:r>
              <w:rPr>
                <w:rFonts w:ascii="Arial" w:cs="Arial" w:eastAsia="Arial" w:hAnsi="Arial"/>
                <w:sz w:val="14"/>
                <w:szCs w:val="14"/>
                <w:color w:val="auto"/>
                <w:w w:val="96"/>
              </w:rPr>
              <w:t>2834</w:t>
            </w:r>
          </w:p>
        </w:tc>
        <w:tc>
          <w:tcPr>
            <w:tcW w:w="1820" w:type="dxa"/>
            <w:vAlign w:val="bottom"/>
          </w:tcPr>
          <w:p>
            <w:pPr>
              <w:jc w:val="center"/>
              <w:ind w:left="408"/>
              <w:spacing w:after="0"/>
              <w:rPr>
                <w:sz w:val="20"/>
                <w:szCs w:val="20"/>
                <w:color w:val="auto"/>
              </w:rPr>
            </w:pPr>
            <w:r>
              <w:rPr>
                <w:rFonts w:ascii="Arial" w:cs="Arial" w:eastAsia="Arial" w:hAnsi="Arial"/>
                <w:sz w:val="14"/>
                <w:szCs w:val="14"/>
                <w:color w:val="auto"/>
                <w:w w:val="93"/>
              </w:rPr>
              <w:t>20-3828755</w:t>
            </w:r>
          </w:p>
        </w:tc>
      </w:tr>
      <w:tr>
        <w:trPr>
          <w:trHeight w:val="169"/>
        </w:trPr>
        <w:tc>
          <w:tcPr>
            <w:tcW w:w="2160" w:type="dxa"/>
            <w:vAlign w:val="bottom"/>
          </w:tcPr>
          <w:p>
            <w:pPr>
              <w:jc w:val="center"/>
              <w:ind w:right="368"/>
              <w:spacing w:after="0"/>
              <w:rPr>
                <w:sz w:val="20"/>
                <w:szCs w:val="20"/>
                <w:color w:val="auto"/>
              </w:rPr>
            </w:pPr>
            <w:r>
              <w:rPr>
                <w:rFonts w:ascii="Arial" w:cs="Arial" w:eastAsia="Arial" w:hAnsi="Arial"/>
                <w:sz w:val="14"/>
                <w:szCs w:val="14"/>
                <w:color w:val="auto"/>
                <w:w w:val="95"/>
              </w:rPr>
              <w:t>(State or other jurisdiction of</w:t>
            </w:r>
          </w:p>
        </w:tc>
        <w:tc>
          <w:tcPr>
            <w:tcW w:w="3540" w:type="dxa"/>
            <w:vAlign w:val="bottom"/>
          </w:tcPr>
          <w:p>
            <w:pPr>
              <w:jc w:val="center"/>
              <w:ind w:right="109"/>
              <w:spacing w:after="0"/>
              <w:rPr>
                <w:sz w:val="20"/>
                <w:szCs w:val="20"/>
                <w:color w:val="auto"/>
              </w:rPr>
            </w:pPr>
            <w:r>
              <w:rPr>
                <w:rFonts w:ascii="Arial" w:cs="Arial" w:eastAsia="Arial" w:hAnsi="Arial"/>
                <w:sz w:val="14"/>
                <w:szCs w:val="14"/>
                <w:color w:val="auto"/>
                <w:w w:val="94"/>
              </w:rPr>
              <w:t>(Primary Standard Industrial</w:t>
            </w:r>
          </w:p>
        </w:tc>
        <w:tc>
          <w:tcPr>
            <w:tcW w:w="1820" w:type="dxa"/>
            <w:vAlign w:val="bottom"/>
          </w:tcPr>
          <w:p>
            <w:pPr>
              <w:jc w:val="center"/>
              <w:ind w:left="408"/>
              <w:spacing w:after="0"/>
              <w:rPr>
                <w:sz w:val="20"/>
                <w:szCs w:val="20"/>
                <w:color w:val="auto"/>
              </w:rPr>
            </w:pPr>
            <w:r>
              <w:rPr>
                <w:rFonts w:ascii="Arial" w:cs="Arial" w:eastAsia="Arial" w:hAnsi="Arial"/>
                <w:sz w:val="14"/>
                <w:szCs w:val="14"/>
                <w:color w:val="auto"/>
                <w:w w:val="95"/>
              </w:rPr>
              <w:t>(I.R.S. Employer</w:t>
            </w:r>
          </w:p>
        </w:tc>
      </w:tr>
      <w:tr>
        <w:trPr>
          <w:trHeight w:val="182"/>
        </w:trPr>
        <w:tc>
          <w:tcPr>
            <w:tcW w:w="2160" w:type="dxa"/>
            <w:vAlign w:val="bottom"/>
          </w:tcPr>
          <w:p>
            <w:pPr>
              <w:jc w:val="center"/>
              <w:ind w:right="368"/>
              <w:spacing w:after="0"/>
              <w:rPr>
                <w:sz w:val="20"/>
                <w:szCs w:val="20"/>
                <w:color w:val="auto"/>
              </w:rPr>
            </w:pPr>
            <w:r>
              <w:rPr>
                <w:rFonts w:ascii="Arial" w:cs="Arial" w:eastAsia="Arial" w:hAnsi="Arial"/>
                <w:sz w:val="14"/>
                <w:szCs w:val="14"/>
                <w:color w:val="auto"/>
                <w:w w:val="94"/>
              </w:rPr>
              <w:t>incorporation or organization)</w:t>
            </w:r>
          </w:p>
        </w:tc>
        <w:tc>
          <w:tcPr>
            <w:tcW w:w="3540" w:type="dxa"/>
            <w:vAlign w:val="bottom"/>
          </w:tcPr>
          <w:p>
            <w:pPr>
              <w:jc w:val="center"/>
              <w:ind w:right="109"/>
              <w:spacing w:after="0"/>
              <w:rPr>
                <w:sz w:val="20"/>
                <w:szCs w:val="20"/>
                <w:color w:val="auto"/>
              </w:rPr>
            </w:pPr>
            <w:r>
              <w:rPr>
                <w:rFonts w:ascii="Arial" w:cs="Arial" w:eastAsia="Arial" w:hAnsi="Arial"/>
                <w:sz w:val="14"/>
                <w:szCs w:val="14"/>
                <w:color w:val="auto"/>
                <w:w w:val="94"/>
              </w:rPr>
              <w:t>Classification Code Number)</w:t>
            </w:r>
          </w:p>
        </w:tc>
        <w:tc>
          <w:tcPr>
            <w:tcW w:w="1820" w:type="dxa"/>
            <w:vAlign w:val="bottom"/>
          </w:tcPr>
          <w:p>
            <w:pPr>
              <w:jc w:val="center"/>
              <w:ind w:left="408"/>
              <w:spacing w:after="0"/>
              <w:rPr>
                <w:sz w:val="20"/>
                <w:szCs w:val="20"/>
                <w:color w:val="auto"/>
              </w:rPr>
            </w:pPr>
            <w:r>
              <w:rPr>
                <w:rFonts w:ascii="Arial" w:cs="Arial" w:eastAsia="Arial" w:hAnsi="Arial"/>
                <w:sz w:val="14"/>
                <w:szCs w:val="14"/>
                <w:color w:val="auto"/>
                <w:w w:val="97"/>
              </w:rPr>
              <w:t>Identification Number)</w:t>
            </w:r>
          </w:p>
        </w:tc>
      </w:tr>
      <w:tr>
        <w:trPr>
          <w:trHeight w:val="277"/>
        </w:trPr>
        <w:tc>
          <w:tcPr>
            <w:tcW w:w="2160" w:type="dxa"/>
            <w:vAlign w:val="bottom"/>
          </w:tcPr>
          <w:p>
            <w:pPr>
              <w:spacing w:after="0"/>
              <w:rPr>
                <w:sz w:val="24"/>
                <w:szCs w:val="24"/>
                <w:color w:val="auto"/>
              </w:rPr>
            </w:pPr>
          </w:p>
        </w:tc>
        <w:tc>
          <w:tcPr>
            <w:tcW w:w="3540" w:type="dxa"/>
            <w:vAlign w:val="bottom"/>
          </w:tcPr>
          <w:p>
            <w:pPr>
              <w:jc w:val="center"/>
              <w:ind w:right="29"/>
              <w:spacing w:after="0"/>
              <w:rPr>
                <w:sz w:val="20"/>
                <w:szCs w:val="20"/>
                <w:color w:val="auto"/>
              </w:rPr>
            </w:pPr>
            <w:r>
              <w:rPr>
                <w:rFonts w:ascii="Arial" w:cs="Arial" w:eastAsia="Arial" w:hAnsi="Arial"/>
                <w:sz w:val="14"/>
                <w:szCs w:val="14"/>
                <w:color w:val="auto"/>
                <w:w w:val="93"/>
              </w:rPr>
              <w:t>10421 Pacific Center Court, Suite 200</w:t>
            </w:r>
          </w:p>
        </w:tc>
        <w:tc>
          <w:tcPr>
            <w:tcW w:w="1820" w:type="dxa"/>
            <w:vAlign w:val="bottom"/>
          </w:tcPr>
          <w:p>
            <w:pPr>
              <w:spacing w:after="0"/>
              <w:rPr>
                <w:sz w:val="24"/>
                <w:szCs w:val="24"/>
                <w:color w:val="auto"/>
              </w:rPr>
            </w:pPr>
          </w:p>
        </w:tc>
      </w:tr>
      <w:tr>
        <w:trPr>
          <w:trHeight w:val="182"/>
        </w:trPr>
        <w:tc>
          <w:tcPr>
            <w:tcW w:w="2160" w:type="dxa"/>
            <w:vAlign w:val="bottom"/>
          </w:tcPr>
          <w:p>
            <w:pPr>
              <w:spacing w:after="0"/>
              <w:rPr>
                <w:sz w:val="15"/>
                <w:szCs w:val="15"/>
                <w:color w:val="auto"/>
              </w:rPr>
            </w:pPr>
          </w:p>
        </w:tc>
        <w:tc>
          <w:tcPr>
            <w:tcW w:w="3540" w:type="dxa"/>
            <w:vAlign w:val="bottom"/>
          </w:tcPr>
          <w:p>
            <w:pPr>
              <w:jc w:val="center"/>
              <w:ind w:right="49"/>
              <w:spacing w:after="0"/>
              <w:rPr>
                <w:sz w:val="20"/>
                <w:szCs w:val="20"/>
                <w:color w:val="auto"/>
              </w:rPr>
            </w:pPr>
            <w:r>
              <w:rPr>
                <w:rFonts w:ascii="Arial" w:cs="Arial" w:eastAsia="Arial" w:hAnsi="Arial"/>
                <w:sz w:val="14"/>
                <w:szCs w:val="14"/>
                <w:color w:val="auto"/>
                <w:w w:val="93"/>
              </w:rPr>
              <w:t>San Diego, CA 92121</w:t>
            </w:r>
          </w:p>
        </w:tc>
        <w:tc>
          <w:tcPr>
            <w:tcW w:w="1820" w:type="dxa"/>
            <w:vAlign w:val="bottom"/>
          </w:tcPr>
          <w:p>
            <w:pPr>
              <w:spacing w:after="0"/>
              <w:rPr>
                <w:sz w:val="15"/>
                <w:szCs w:val="15"/>
                <w:color w:val="auto"/>
              </w:rPr>
            </w:pPr>
          </w:p>
        </w:tc>
      </w:tr>
      <w:tr>
        <w:trPr>
          <w:trHeight w:val="203"/>
        </w:trPr>
        <w:tc>
          <w:tcPr>
            <w:tcW w:w="2160" w:type="dxa"/>
            <w:vAlign w:val="bottom"/>
          </w:tcPr>
          <w:p>
            <w:pPr>
              <w:spacing w:after="0"/>
              <w:rPr>
                <w:sz w:val="17"/>
                <w:szCs w:val="17"/>
                <w:color w:val="auto"/>
              </w:rPr>
            </w:pPr>
          </w:p>
        </w:tc>
        <w:tc>
          <w:tcPr>
            <w:tcW w:w="3540" w:type="dxa"/>
            <w:vAlign w:val="bottom"/>
          </w:tcPr>
          <w:p>
            <w:pPr>
              <w:jc w:val="right"/>
              <w:ind w:right="1329"/>
              <w:spacing w:after="0"/>
              <w:rPr>
                <w:sz w:val="20"/>
                <w:szCs w:val="20"/>
                <w:color w:val="auto"/>
              </w:rPr>
            </w:pPr>
            <w:r>
              <w:rPr>
                <w:rFonts w:ascii="Arial" w:cs="Arial" w:eastAsia="Arial" w:hAnsi="Arial"/>
                <w:sz w:val="14"/>
                <w:szCs w:val="14"/>
                <w:color w:val="auto"/>
              </w:rPr>
              <w:t>(858) 362-6295</w:t>
            </w:r>
          </w:p>
        </w:tc>
        <w:tc>
          <w:tcPr>
            <w:tcW w:w="1820" w:type="dxa"/>
            <w:vAlign w:val="bottom"/>
          </w:tcPr>
          <w:p>
            <w:pPr>
              <w:spacing w:after="0"/>
              <w:rPr>
                <w:sz w:val="17"/>
                <w:szCs w:val="17"/>
                <w:color w:val="auto"/>
              </w:rPr>
            </w:pP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Hamza Suria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AnaptysBio,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10421 Pacific Center Court, Suite 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San Diego, CA 92121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(858) 362-6295</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Copies 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Effie Toshav, Esq.</w:t>
      </w:r>
    </w:p>
    <w:p>
      <w:pPr>
        <w:jc w:val="center"/>
        <w:spacing w:after="0" w:line="221" w:lineRule="auto"/>
        <w:rPr>
          <w:sz w:val="20"/>
          <w:szCs w:val="20"/>
          <w:color w:val="auto"/>
        </w:rPr>
      </w:pPr>
      <w:r>
        <w:rPr>
          <w:rFonts w:ascii="Arial" w:cs="Arial" w:eastAsia="Arial" w:hAnsi="Arial"/>
          <w:sz w:val="14"/>
          <w:szCs w:val="14"/>
          <w:color w:val="auto"/>
        </w:rPr>
        <w:t>Matthew S. Rossiter, Esq.</w:t>
      </w:r>
    </w:p>
    <w:p>
      <w:pPr>
        <w:jc w:val="center"/>
        <w:spacing w:after="0" w:line="221" w:lineRule="auto"/>
        <w:rPr>
          <w:sz w:val="20"/>
          <w:szCs w:val="20"/>
          <w:color w:val="auto"/>
        </w:rPr>
      </w:pPr>
      <w:r>
        <w:rPr>
          <w:rFonts w:ascii="Arial" w:cs="Arial" w:eastAsia="Arial" w:hAnsi="Arial"/>
          <w:sz w:val="14"/>
          <w:szCs w:val="14"/>
          <w:color w:val="auto"/>
        </w:rPr>
        <w:t>Robert A. Freedman, Esq.</w:t>
      </w:r>
    </w:p>
    <w:p>
      <w:pPr>
        <w:jc w:val="center"/>
        <w:spacing w:after="0" w:line="222" w:lineRule="auto"/>
        <w:rPr>
          <w:sz w:val="20"/>
          <w:szCs w:val="20"/>
          <w:color w:val="auto"/>
        </w:rPr>
      </w:pPr>
      <w:r>
        <w:rPr>
          <w:rFonts w:ascii="Arial" w:cs="Arial" w:eastAsia="Arial" w:hAnsi="Arial"/>
          <w:sz w:val="14"/>
          <w:szCs w:val="14"/>
          <w:color w:val="auto"/>
        </w:rPr>
        <w:t>Fenwick &amp; West LLP</w:t>
      </w:r>
    </w:p>
    <w:p>
      <w:pPr>
        <w:jc w:val="center"/>
        <w:spacing w:after="0" w:line="221" w:lineRule="auto"/>
        <w:rPr>
          <w:sz w:val="20"/>
          <w:szCs w:val="20"/>
          <w:color w:val="auto"/>
        </w:rPr>
      </w:pPr>
      <w:r>
        <w:rPr>
          <w:rFonts w:ascii="Arial" w:cs="Arial" w:eastAsia="Arial" w:hAnsi="Arial"/>
          <w:sz w:val="14"/>
          <w:szCs w:val="14"/>
          <w:color w:val="auto"/>
        </w:rPr>
        <w:t>555 California Street</w:t>
      </w:r>
    </w:p>
    <w:p>
      <w:pPr>
        <w:jc w:val="center"/>
        <w:spacing w:after="0" w:line="222" w:lineRule="auto"/>
        <w:rPr>
          <w:sz w:val="20"/>
          <w:szCs w:val="20"/>
          <w:color w:val="auto"/>
        </w:rPr>
      </w:pPr>
      <w:r>
        <w:rPr>
          <w:rFonts w:ascii="Arial" w:cs="Arial" w:eastAsia="Arial" w:hAnsi="Arial"/>
          <w:sz w:val="14"/>
          <w:szCs w:val="14"/>
          <w:color w:val="auto"/>
        </w:rPr>
        <w:t>San Francisco, CA 94104</w:t>
      </w:r>
    </w:p>
    <w:p>
      <w:pPr>
        <w:jc w:val="center"/>
        <w:spacing w:after="0"/>
        <w:rPr>
          <w:sz w:val="20"/>
          <w:szCs w:val="20"/>
          <w:color w:val="auto"/>
        </w:rPr>
      </w:pPr>
      <w:r>
        <w:rPr>
          <w:rFonts w:ascii="Arial" w:cs="Arial" w:eastAsia="Arial" w:hAnsi="Arial"/>
          <w:sz w:val="14"/>
          <w:szCs w:val="14"/>
          <w:color w:val="auto"/>
        </w:rPr>
        <w:t>(415) 875-2300</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3" w:lineRule="exact"/>
        <w:rPr>
          <w:sz w:val="24"/>
          <w:szCs w:val="24"/>
          <w:color w:val="auto"/>
        </w:rPr>
      </w:pPr>
    </w:p>
    <w:p>
      <w:pPr>
        <w:ind w:left="3780"/>
        <w:spacing w:after="0"/>
        <w:rPr>
          <w:sz w:val="20"/>
          <w:szCs w:val="20"/>
          <w:color w:val="auto"/>
        </w:rPr>
      </w:pPr>
      <w:r>
        <w:rPr>
          <w:rFonts w:ascii="Arial" w:cs="Arial" w:eastAsia="Arial" w:hAnsi="Arial"/>
          <w:sz w:val="13"/>
          <w:szCs w:val="13"/>
          <w:b w:val="1"/>
          <w:bCs w:val="1"/>
          <w:color w:val="auto"/>
        </w:rPr>
        <w:t>From time to time after the effective date of this Registration Statement.</w:t>
      </w:r>
    </w:p>
    <w:p>
      <w:pPr>
        <w:spacing w:after="0" w:line="97" w:lineRule="exact"/>
        <w:rPr>
          <w:sz w:val="24"/>
          <w:szCs w:val="24"/>
          <w:color w:val="auto"/>
        </w:rPr>
      </w:pPr>
    </w:p>
    <w:p>
      <w:pPr>
        <w:spacing w:after="0"/>
        <w:rPr>
          <w:sz w:val="20"/>
          <w:szCs w:val="20"/>
          <w:color w:val="auto"/>
        </w:rPr>
      </w:pPr>
      <w:r>
        <w:rPr>
          <w:rFonts w:ascii="Arial" w:cs="Arial" w:eastAsia="Arial" w:hAnsi="Arial"/>
          <w:sz w:val="13"/>
          <w:szCs w:val="13"/>
          <w:color w:val="auto"/>
        </w:rPr>
        <w:t>If the only securities being registered on this Form are being offered pursuant to dividend or interest reinvestment plans, please check the following box: o</w:t>
      </w:r>
    </w:p>
    <w:p>
      <w:pPr>
        <w:spacing w:after="0" w:line="53" w:lineRule="exact"/>
        <w:rPr>
          <w:sz w:val="24"/>
          <w:szCs w:val="24"/>
          <w:color w:val="auto"/>
        </w:rPr>
      </w:pPr>
    </w:p>
    <w:p>
      <w:pPr>
        <w:ind w:right="18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right="440"/>
        <w:spacing w:after="0" w:line="255"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33" w:lineRule="exact"/>
        <w:rPr>
          <w:sz w:val="24"/>
          <w:szCs w:val="24"/>
          <w:color w:val="auto"/>
        </w:rPr>
      </w:pPr>
    </w:p>
    <w:p>
      <w:pPr>
        <w:ind w:right="80"/>
        <w:spacing w:after="0" w:line="255"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earliest effective registration statement for the same offering: o</w:t>
      </w:r>
    </w:p>
    <w:p>
      <w:pPr>
        <w:spacing w:after="0" w:line="33" w:lineRule="exact"/>
        <w:rPr>
          <w:sz w:val="24"/>
          <w:szCs w:val="24"/>
          <w:color w:val="auto"/>
        </w:rPr>
      </w:pPr>
    </w:p>
    <w:p>
      <w:pPr>
        <w:ind w:right="140"/>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If this Form is a post-effective amendment to a registration statement filed pursuant to General Instruction I. D. filed to register additional securities or additional classes of securities pursuant to Rule 413(b) under the Securities Act, check the following box. o</w:t>
      </w:r>
    </w:p>
    <w:p>
      <w:pPr>
        <w:spacing w:after="0" w:line="33" w:lineRule="exact"/>
        <w:rPr>
          <w:sz w:val="24"/>
          <w:szCs w:val="24"/>
          <w:color w:val="auto"/>
        </w:rPr>
      </w:pPr>
    </w:p>
    <w:p>
      <w:pPr>
        <w:ind w:right="8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50"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820" w:type="dxa"/>
            <w:vAlign w:val="bottom"/>
          </w:tcPr>
          <w:p>
            <w:pPr>
              <w:ind w:left="186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5060" w:type="dxa"/>
            <w:vAlign w:val="bottom"/>
          </w:tcPr>
          <w:p>
            <w:pPr>
              <w:ind w:left="3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20" w:type="dxa"/>
            <w:vAlign w:val="bottom"/>
          </w:tcPr>
          <w:p>
            <w:pPr>
              <w:ind w:left="186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6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820" w:type="dxa"/>
            <w:vAlign w:val="bottom"/>
          </w:tcPr>
          <w:p>
            <w:pPr>
              <w:ind w:left="1860"/>
              <w:spacing w:after="0"/>
              <w:rPr>
                <w:sz w:val="20"/>
                <w:szCs w:val="20"/>
                <w:color w:val="auto"/>
              </w:rPr>
            </w:pPr>
            <w:r>
              <w:rPr>
                <w:rFonts w:ascii="Arial" w:cs="Arial" w:eastAsia="Arial" w:hAnsi="Arial"/>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 w:lineRule="exact"/>
        <w:rPr>
          <w:sz w:val="24"/>
          <w:szCs w:val="24"/>
          <w:color w:val="auto"/>
        </w:rPr>
      </w:pPr>
    </w:p>
    <w:p>
      <w:pPr>
        <w:ind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ectPr>
          <w:pgSz w:w="11900" w:h="16838" w:orient="portrait"/>
          <w:cols w:equalWidth="0" w:num="1">
            <w:col w:w="11420"/>
          </w:cols>
          <w:pgMar w:left="240" w:top="783" w:right="239" w:bottom="1440" w:gutter="0" w:footer="0" w:header="0"/>
        </w:sectPr>
      </w:pPr>
    </w:p>
    <w:bookmarkStart w:id="1" w:name="page2"/>
    <w:bookmarkEnd w:id="1"/>
    <w:p>
      <w:pPr>
        <w:jc w:val="center"/>
        <w:ind w:right="158"/>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336550</wp:posOffset>
            </wp:positionV>
            <wp:extent cx="69723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2300" cy="171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882"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60" w:type="dxa"/>
            <w:vAlign w:val="bottom"/>
          </w:tcPr>
          <w:p>
            <w:pPr>
              <w:jc w:val="center"/>
              <w:ind w:left="37"/>
              <w:spacing w:after="0"/>
              <w:rPr>
                <w:sz w:val="20"/>
                <w:szCs w:val="20"/>
                <w:color w:val="auto"/>
              </w:rPr>
            </w:pPr>
            <w:r>
              <w:rPr>
                <w:rFonts w:ascii="Arial" w:cs="Arial" w:eastAsia="Arial" w:hAnsi="Arial"/>
                <w:sz w:val="13"/>
                <w:szCs w:val="13"/>
                <w:b w:val="1"/>
                <w:bCs w:val="1"/>
                <w:color w:val="auto"/>
                <w:w w:val="89"/>
              </w:rPr>
              <w:t>Proposed Maximum</w:t>
            </w: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87"/>
              </w:rPr>
              <w:t>Proposed Maximum</w:t>
            </w:r>
          </w:p>
        </w:tc>
        <w:tc>
          <w:tcPr>
            <w:tcW w:w="1400" w:type="dxa"/>
            <w:vAlign w:val="bottom"/>
          </w:tcPr>
          <w:p>
            <w:pPr>
              <w:spacing w:after="0"/>
              <w:rPr>
                <w:sz w:val="13"/>
                <w:szCs w:val="13"/>
                <w:color w:val="auto"/>
              </w:rPr>
            </w:pPr>
          </w:p>
        </w:tc>
      </w:tr>
      <w:tr>
        <w:trPr>
          <w:trHeight w:val="135"/>
        </w:trPr>
        <w:tc>
          <w:tcPr>
            <w:tcW w:w="2500" w:type="dxa"/>
            <w:vAlign w:val="bottom"/>
          </w:tcPr>
          <w:p>
            <w:pPr>
              <w:jc w:val="center"/>
              <w:ind w:right="737"/>
              <w:spacing w:after="0" w:line="135" w:lineRule="exact"/>
              <w:rPr>
                <w:sz w:val="20"/>
                <w:szCs w:val="20"/>
                <w:color w:val="auto"/>
              </w:rPr>
            </w:pPr>
            <w:r>
              <w:rPr>
                <w:rFonts w:ascii="Arial" w:cs="Arial" w:eastAsia="Arial" w:hAnsi="Arial"/>
                <w:sz w:val="13"/>
                <w:szCs w:val="13"/>
                <w:b w:val="1"/>
                <w:bCs w:val="1"/>
                <w:color w:val="auto"/>
                <w:w w:val="86"/>
              </w:rPr>
              <w:t>Title of Each Class of Securities</w:t>
            </w:r>
          </w:p>
        </w:tc>
        <w:tc>
          <w:tcPr>
            <w:tcW w:w="2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8"/>
              </w:rPr>
              <w:t>Amount to be</w:t>
            </w:r>
          </w:p>
        </w:tc>
        <w:tc>
          <w:tcPr>
            <w:tcW w:w="196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0"/>
              </w:rPr>
              <w:t>Offering Price Per</w:t>
            </w:r>
          </w:p>
        </w:tc>
        <w:tc>
          <w:tcPr>
            <w:tcW w:w="1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Aggregate Offering</w:t>
            </w:r>
          </w:p>
        </w:tc>
        <w:tc>
          <w:tcPr>
            <w:tcW w:w="1400" w:type="dxa"/>
            <w:vAlign w:val="bottom"/>
          </w:tcPr>
          <w:p>
            <w:pPr>
              <w:jc w:val="center"/>
              <w:ind w:left="317"/>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4"/>
        </w:trPr>
        <w:tc>
          <w:tcPr>
            <w:tcW w:w="2500" w:type="dxa"/>
            <w:vAlign w:val="bottom"/>
          </w:tcPr>
          <w:p>
            <w:pPr>
              <w:jc w:val="center"/>
              <w:ind w:right="697"/>
              <w:spacing w:after="0"/>
              <w:rPr>
                <w:sz w:val="20"/>
                <w:szCs w:val="20"/>
                <w:color w:val="auto"/>
              </w:rPr>
            </w:pPr>
            <w:r>
              <w:rPr>
                <w:rFonts w:ascii="Arial" w:cs="Arial" w:eastAsia="Arial" w:hAnsi="Arial"/>
                <w:sz w:val="13"/>
                <w:szCs w:val="13"/>
                <w:b w:val="1"/>
                <w:bCs w:val="1"/>
                <w:color w:val="auto"/>
                <w:w w:val="87"/>
              </w:rPr>
              <w:t>to be Registered</w:t>
            </w:r>
            <w:r>
              <w:rPr>
                <w:rFonts w:ascii="Arial" w:cs="Arial" w:eastAsia="Arial" w:hAnsi="Arial"/>
                <w:sz w:val="8"/>
                <w:szCs w:val="8"/>
                <w:b w:val="1"/>
                <w:bCs w:val="1"/>
                <w:color w:val="auto"/>
                <w:w w:val="87"/>
              </w:rPr>
              <w:t>(1)</w:t>
            </w:r>
          </w:p>
        </w:tc>
        <w:tc>
          <w:tcPr>
            <w:tcW w:w="2020" w:type="dxa"/>
            <w:vAlign w:val="bottom"/>
          </w:tcPr>
          <w:p>
            <w:pPr>
              <w:jc w:val="center"/>
              <w:ind w:left="277"/>
              <w:spacing w:after="0"/>
              <w:rPr>
                <w:sz w:val="20"/>
                <w:szCs w:val="20"/>
                <w:color w:val="auto"/>
              </w:rPr>
            </w:pPr>
            <w:r>
              <w:rPr>
                <w:rFonts w:ascii="Arial" w:cs="Arial" w:eastAsia="Arial" w:hAnsi="Arial"/>
                <w:sz w:val="13"/>
                <w:szCs w:val="13"/>
                <w:b w:val="1"/>
                <w:bCs w:val="1"/>
                <w:color w:val="auto"/>
                <w:w w:val="88"/>
              </w:rPr>
              <w:t>Registered</w:t>
            </w:r>
            <w:r>
              <w:rPr>
                <w:rFonts w:ascii="Arial" w:cs="Arial" w:eastAsia="Arial" w:hAnsi="Arial"/>
                <w:sz w:val="8"/>
                <w:szCs w:val="8"/>
                <w:b w:val="1"/>
                <w:bCs w:val="1"/>
                <w:color w:val="auto"/>
                <w:w w:val="88"/>
              </w:rPr>
              <w:t>(1)</w:t>
            </w:r>
          </w:p>
        </w:tc>
        <w:tc>
          <w:tcPr>
            <w:tcW w:w="1960" w:type="dxa"/>
            <w:vAlign w:val="bottom"/>
          </w:tcPr>
          <w:p>
            <w:pPr>
              <w:jc w:val="center"/>
              <w:ind w:left="57"/>
              <w:spacing w:after="0"/>
              <w:rPr>
                <w:sz w:val="20"/>
                <w:szCs w:val="20"/>
                <w:color w:val="auto"/>
              </w:rPr>
            </w:pPr>
            <w:r>
              <w:rPr>
                <w:rFonts w:ascii="Arial" w:cs="Arial" w:eastAsia="Arial" w:hAnsi="Arial"/>
                <w:sz w:val="13"/>
                <w:szCs w:val="13"/>
                <w:b w:val="1"/>
                <w:bCs w:val="1"/>
                <w:color w:val="auto"/>
                <w:w w:val="91"/>
              </w:rPr>
              <w:t>Security</w:t>
            </w:r>
            <w:r>
              <w:rPr>
                <w:rFonts w:ascii="Arial" w:cs="Arial" w:eastAsia="Arial" w:hAnsi="Arial"/>
                <w:sz w:val="8"/>
                <w:szCs w:val="8"/>
                <w:b w:val="1"/>
                <w:bCs w:val="1"/>
                <w:color w:val="auto"/>
                <w:w w:val="91"/>
              </w:rPr>
              <w:t>(1)</w:t>
            </w: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91"/>
              </w:rPr>
              <w:t>Price</w:t>
            </w:r>
            <w:r>
              <w:rPr>
                <w:rFonts w:ascii="Arial" w:cs="Arial" w:eastAsia="Arial" w:hAnsi="Arial"/>
                <w:sz w:val="8"/>
                <w:szCs w:val="8"/>
                <w:b w:val="1"/>
                <w:bCs w:val="1"/>
                <w:color w:val="auto"/>
                <w:w w:val="91"/>
              </w:rPr>
              <w:t>(1)</w:t>
            </w:r>
          </w:p>
        </w:tc>
        <w:tc>
          <w:tcPr>
            <w:tcW w:w="1400" w:type="dxa"/>
            <w:vAlign w:val="bottom"/>
          </w:tcPr>
          <w:p>
            <w:pPr>
              <w:jc w:val="center"/>
              <w:ind w:left="357"/>
              <w:spacing w:after="0"/>
              <w:rPr>
                <w:sz w:val="20"/>
                <w:szCs w:val="20"/>
                <w:color w:val="auto"/>
              </w:rPr>
            </w:pPr>
            <w:r>
              <w:rPr>
                <w:rFonts w:ascii="Arial" w:cs="Arial" w:eastAsia="Arial" w:hAnsi="Arial"/>
                <w:sz w:val="13"/>
                <w:szCs w:val="13"/>
                <w:b w:val="1"/>
                <w:bCs w:val="1"/>
                <w:color w:val="auto"/>
                <w:w w:val="87"/>
              </w:rPr>
              <w:t>Registration Fee</w:t>
            </w:r>
            <w:r>
              <w:rPr>
                <w:rFonts w:ascii="Arial" w:cs="Arial" w:eastAsia="Arial" w:hAnsi="Arial"/>
                <w:sz w:val="8"/>
                <w:szCs w:val="8"/>
                <w:b w:val="1"/>
                <w:bCs w:val="1"/>
                <w:color w:val="auto"/>
                <w:w w:val="87"/>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6972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400" w:lineRule="exact"/>
        <w:rPr>
          <w:sz w:val="20"/>
          <w:szCs w:val="20"/>
          <w:color w:val="auto"/>
        </w:rPr>
      </w:pPr>
    </w:p>
    <w:p>
      <w:pPr>
        <w:ind w:left="42"/>
        <w:spacing w:after="0"/>
        <w:rPr>
          <w:sz w:val="20"/>
          <w:szCs w:val="20"/>
          <w:color w:val="auto"/>
        </w:rPr>
      </w:pPr>
      <w:r>
        <w:rPr>
          <w:rFonts w:ascii="Arial" w:cs="Arial" w:eastAsia="Arial" w:hAnsi="Arial"/>
          <w:sz w:val="13"/>
          <w:szCs w:val="13"/>
          <w:color w:val="auto"/>
        </w:rPr>
        <w:t>Common stock, $0.001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6972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6" w:lineRule="exact"/>
        <w:rPr>
          <w:sz w:val="20"/>
          <w:szCs w:val="20"/>
          <w:color w:val="auto"/>
        </w:rPr>
      </w:pPr>
    </w:p>
    <w:p>
      <w:pPr>
        <w:ind w:left="42"/>
        <w:spacing w:after="0"/>
        <w:rPr>
          <w:sz w:val="20"/>
          <w:szCs w:val="20"/>
          <w:color w:val="auto"/>
        </w:rPr>
      </w:pPr>
      <w:r>
        <w:rPr>
          <w:rFonts w:ascii="Arial" w:cs="Arial" w:eastAsia="Arial" w:hAnsi="Arial"/>
          <w:sz w:val="13"/>
          <w:szCs w:val="13"/>
          <w:color w:val="auto"/>
        </w:rPr>
        <w:t>Preferred stock, $0.001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6972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6" w:lineRule="exact"/>
        <w:rPr>
          <w:sz w:val="20"/>
          <w:szCs w:val="20"/>
          <w:color w:val="auto"/>
        </w:rPr>
      </w:pPr>
    </w:p>
    <w:p>
      <w:pPr>
        <w:ind w:left="42"/>
        <w:spacing w:after="0"/>
        <w:rPr>
          <w:sz w:val="20"/>
          <w:szCs w:val="20"/>
          <w:color w:val="auto"/>
        </w:rPr>
      </w:pPr>
      <w:r>
        <w:rPr>
          <w:rFonts w:ascii="Arial" w:cs="Arial" w:eastAsia="Arial" w:hAnsi="Arial"/>
          <w:sz w:val="13"/>
          <w:szCs w:val="13"/>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6972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6" w:lineRule="exact"/>
        <w:rPr>
          <w:sz w:val="20"/>
          <w:szCs w:val="20"/>
          <w:color w:val="auto"/>
        </w:rPr>
      </w:pPr>
    </w:p>
    <w:p>
      <w:pPr>
        <w:ind w:left="42"/>
        <w:spacing w:after="0"/>
        <w:rPr>
          <w:sz w:val="20"/>
          <w:szCs w:val="20"/>
          <w:color w:val="auto"/>
        </w:rPr>
      </w:pPr>
      <w:r>
        <w:rPr>
          <w:rFonts w:ascii="Arial" w:cs="Arial" w:eastAsia="Arial" w:hAnsi="Arial"/>
          <w:sz w:val="13"/>
          <w:szCs w:val="13"/>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6972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6" w:lineRule="exact"/>
        <w:rPr>
          <w:sz w:val="20"/>
          <w:szCs w:val="20"/>
          <w:color w:val="auto"/>
        </w:rPr>
      </w:pPr>
    </w:p>
    <w:p>
      <w:pPr>
        <w:ind w:left="42"/>
        <w:spacing w:after="0"/>
        <w:rPr>
          <w:sz w:val="20"/>
          <w:szCs w:val="20"/>
          <w:color w:val="auto"/>
        </w:rPr>
      </w:pPr>
      <w:r>
        <w:rPr>
          <w:rFonts w:ascii="Arial" w:cs="Arial" w:eastAsia="Arial" w:hAnsi="Arial"/>
          <w:sz w:val="13"/>
          <w:szCs w:val="13"/>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6972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6" w:lineRule="exact"/>
        <w:rPr>
          <w:sz w:val="20"/>
          <w:szCs w:val="20"/>
          <w:color w:val="auto"/>
        </w:rPr>
      </w:pPr>
    </w:p>
    <w:p>
      <w:pPr>
        <w:ind w:left="42"/>
        <w:spacing w:after="0"/>
        <w:rPr>
          <w:sz w:val="20"/>
          <w:szCs w:val="20"/>
          <w:color w:val="auto"/>
        </w:rPr>
      </w:pPr>
      <w:r>
        <w:rPr>
          <w:rFonts w:ascii="Arial" w:cs="Arial" w:eastAsia="Arial" w:hAnsi="Arial"/>
          <w:sz w:val="13"/>
          <w:szCs w:val="13"/>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6972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2" w:lineRule="exact"/>
        <w:rPr>
          <w:sz w:val="20"/>
          <w:szCs w:val="20"/>
          <w:color w:val="auto"/>
        </w:rPr>
      </w:pPr>
    </w:p>
    <w:p>
      <w:pPr>
        <w:ind w:left="42"/>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69723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230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 w:hanging="2"/>
        <w:spacing w:after="0" w:line="297" w:lineRule="auto"/>
        <w:tabs>
          <w:tab w:leader="none" w:pos="275" w:val="left"/>
        </w:tabs>
        <w:numPr>
          <w:ilvl w:val="0"/>
          <w:numId w:val="1"/>
        </w:numPr>
        <w:rPr>
          <w:rFonts w:ascii="Arial" w:cs="Arial" w:eastAsia="Arial" w:hAnsi="Arial"/>
          <w:sz w:val="12"/>
          <w:szCs w:val="12"/>
          <w:color w:val="auto"/>
        </w:rPr>
      </w:pPr>
      <w:r>
        <w:rPr>
          <w:rFonts w:ascii="Arial" w:cs="Arial" w:eastAsia="Arial" w:hAnsi="Arial"/>
          <w:sz w:val="12"/>
          <w:szCs w:val="12"/>
          <w:color w:val="auto"/>
        </w:rPr>
        <w:t>Omitted pursuant to Form S-3 General Instruction II.E. An indeterminate aggregate initial offering price and number or amount of the securities of each identified class is being registered as may from time to time be issued at indeterminate prices. Separate consideration may or may not be received for securities that are issuable on exercise, conversion or exchange of other securities or that are issued in units.</w:t>
      </w:r>
    </w:p>
    <w:p>
      <w:pPr>
        <w:spacing w:after="0" w:line="171" w:lineRule="exact"/>
        <w:rPr>
          <w:rFonts w:ascii="Arial" w:cs="Arial" w:eastAsia="Arial" w:hAnsi="Arial"/>
          <w:sz w:val="12"/>
          <w:szCs w:val="12"/>
          <w:color w:val="auto"/>
        </w:rPr>
      </w:pPr>
    </w:p>
    <w:p>
      <w:pPr>
        <w:ind w:left="282" w:hanging="282"/>
        <w:spacing w:after="0"/>
        <w:tabs>
          <w:tab w:leader="none" w:pos="282"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Rules 456(b) and 457(r) under the Securities Act of 1933, as amended, the Registrant is deferring payment of all of the registration fee.</w:t>
      </w:r>
    </w:p>
    <w:p>
      <w:pPr>
        <w:sectPr>
          <w:pgSz w:w="11900" w:h="16838" w:orient="portrait"/>
          <w:cols w:equalWidth="0" w:num="1">
            <w:col w:w="11122"/>
          </w:cols>
          <w:pgMar w:left="478" w:top="675" w:right="2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PROSPECTUS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AnaptysBio, Inc.</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 Preferred Stock,</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Debt Securities, Warrants, Subscription Rights and Units</w:t>
      </w:r>
    </w:p>
    <w:p>
      <w:pPr>
        <w:spacing w:after="0" w:line="200" w:lineRule="exact"/>
        <w:rPr>
          <w:sz w:val="20"/>
          <w:szCs w:val="20"/>
          <w:color w:val="auto"/>
        </w:rPr>
      </w:pPr>
    </w:p>
    <w:p>
      <w:pPr>
        <w:spacing w:after="0" w:line="365"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From time to time, we may offer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w:t>
      </w:r>
    </w:p>
    <w:p>
      <w:pPr>
        <w:spacing w:after="0" w:line="10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traded on the Nasdaq Global Market under the symbol “ANAB.”</w:t>
      </w:r>
    </w:p>
    <w:p>
      <w:pPr>
        <w:spacing w:after="0" w:line="15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 investment in our securities involves a high degree of risk. You should carefully consider the information under the heading “Risk Factors” beginning on page 4 of this prospectus before investing in our securities.</w:t>
      </w:r>
    </w:p>
    <w:p>
      <w:pPr>
        <w:spacing w:after="0" w:line="116"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color w:val="auto"/>
        </w:rPr>
        <w:t>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date of this prospectus is February 5, 2018</w:t>
      </w:r>
    </w:p>
    <w:p>
      <w:pPr>
        <w:sectPr>
          <w:pgSz w:w="11900" w:h="16838" w:orient="portrait"/>
          <w:cols w:equalWidth="0" w:num="1">
            <w:col w:w="11320"/>
          </w:cols>
          <w:pgMar w:left="240" w:top="107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0"/>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60" w:type="dxa"/>
            <w:vAlign w:val="bottom"/>
            <w:gridSpan w:val="5"/>
          </w:tcPr>
          <w:p>
            <w:pPr>
              <w:ind w:left="260"/>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743"/>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860" w:type="dxa"/>
            <w:vAlign w:val="bottom"/>
            <w:gridSpan w:val="4"/>
          </w:tcPr>
          <w:p>
            <w:pPr>
              <w:ind w:left="22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2040" w:type="dxa"/>
            <w:vAlign w:val="bottom"/>
            <w:gridSpan w:val="8"/>
            <w:vMerge w:val="restart"/>
          </w:tcPr>
          <w:p>
            <w:pPr>
              <w:ind w:left="20"/>
              <w:spacing w:after="0"/>
              <w:rPr>
                <w:rFonts w:ascii="Arial" w:cs="Arial" w:eastAsia="Arial" w:hAnsi="Arial"/>
                <w:sz w:val="16"/>
                <w:szCs w:val="16"/>
                <w:color w:val="0000EE"/>
                <w:w w:val="94"/>
              </w:rPr>
            </w:pPr>
            <w:hyperlink w:anchor="page5">
              <w:r>
                <w:rPr>
                  <w:rFonts w:ascii="Arial" w:cs="Arial" w:eastAsia="Arial" w:hAnsi="Arial"/>
                  <w:sz w:val="16"/>
                  <w:szCs w:val="16"/>
                  <w:color w:val="0000EE"/>
                  <w:w w:val="94"/>
                </w:rPr>
                <w:t>ABOUT THIS PROSPECTUS</w:t>
              </w:r>
            </w:hyperlink>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40" w:type="dxa"/>
            <w:vAlign w:val="bottom"/>
            <w:tcBorders>
              <w:bottom w:val="single" w:sz="8" w:color="0000EE"/>
            </w:tcBorders>
            <w:gridSpan w:val="8"/>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540" w:type="dxa"/>
            <w:vAlign w:val="bottom"/>
            <w:gridSpan w:val="4"/>
          </w:tcPr>
          <w:p>
            <w:pPr>
              <w:jc w:val="right"/>
              <w:spacing w:after="0" w:line="169" w:lineRule="exact"/>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gridSpan w:val="7"/>
            <w:vMerge w:val="restart"/>
          </w:tcPr>
          <w:p>
            <w:pPr>
              <w:ind w:left="40"/>
              <w:spacing w:after="0"/>
              <w:rPr>
                <w:rFonts w:ascii="Arial" w:cs="Arial" w:eastAsia="Arial" w:hAnsi="Arial"/>
                <w:sz w:val="16"/>
                <w:szCs w:val="16"/>
                <w:color w:val="0000EE"/>
                <w:w w:val="94"/>
              </w:rPr>
            </w:pPr>
            <w:hyperlink w:anchor="page6">
              <w:r>
                <w:rPr>
                  <w:rFonts w:ascii="Arial" w:cs="Arial" w:eastAsia="Arial" w:hAnsi="Arial"/>
                  <w:sz w:val="16"/>
                  <w:szCs w:val="16"/>
                  <w:color w:val="0000EE"/>
                  <w:w w:val="94"/>
                </w:rPr>
                <w:t>PROSPECTUS SUMMARY</w:t>
              </w:r>
            </w:hyperlink>
          </w:p>
        </w:tc>
        <w:tc>
          <w:tcPr>
            <w:tcW w:w="2340" w:type="dxa"/>
            <w:vAlign w:val="bottom"/>
            <w:gridSpan w:val="10"/>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tcBorders>
              <w:bottom w:val="single" w:sz="8" w:color="0000EE"/>
            </w:tcBorders>
            <w:gridSpan w:val="7"/>
            <w:vMerge w:val="continue"/>
          </w:tcPr>
          <w:p>
            <w:pPr>
              <w:spacing w:after="0"/>
              <w:rPr>
                <w:sz w:val="19"/>
                <w:szCs w:val="19"/>
                <w:color w:val="auto"/>
              </w:rPr>
            </w:pPr>
          </w:p>
        </w:tc>
        <w:tc>
          <w:tcPr>
            <w:tcW w:w="2340" w:type="dxa"/>
            <w:vAlign w:val="bottom"/>
            <w:gridSpan w:val="10"/>
            <w:vMerge w:val="continue"/>
          </w:tcPr>
          <w:p>
            <w:pPr>
              <w:spacing w:after="0"/>
              <w:rPr>
                <w:sz w:val="19"/>
                <w:szCs w:val="19"/>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17"/>
            <w:vMerge w:val="restart"/>
          </w:tcPr>
          <w:p>
            <w:pPr>
              <w:ind w:left="40"/>
              <w:spacing w:after="0"/>
              <w:rPr>
                <w:rFonts w:ascii="Arial" w:cs="Arial" w:eastAsia="Arial" w:hAnsi="Arial"/>
                <w:sz w:val="16"/>
                <w:szCs w:val="16"/>
                <w:color w:val="0000EE"/>
              </w:rPr>
            </w:pPr>
            <w:hyperlink w:anchor="page8">
              <w:r>
                <w:rPr>
                  <w:rFonts w:ascii="Arial" w:cs="Arial" w:eastAsia="Arial" w:hAnsi="Arial"/>
                  <w:sz w:val="16"/>
                  <w:szCs w:val="16"/>
                  <w:color w:val="0000EE"/>
                </w:rPr>
                <w:t>RATIO OF EARNINGS TO FIXED CHARGES</w:t>
              </w:r>
            </w:hyperlink>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gridSpan w:val="17"/>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0000EE"/>
            </w:tcBorders>
            <w:gridSpan w:val="2"/>
            <w:vMerge w:val="restart"/>
          </w:tcPr>
          <w:p>
            <w:pPr>
              <w:ind w:left="40"/>
              <w:spacing w:after="0"/>
              <w:rPr>
                <w:rFonts w:ascii="Arial" w:cs="Arial" w:eastAsia="Arial" w:hAnsi="Arial"/>
                <w:sz w:val="16"/>
                <w:szCs w:val="16"/>
                <w:color w:val="0000EE"/>
                <w:w w:val="92"/>
              </w:rPr>
            </w:pPr>
            <w:hyperlink w:anchor="page8">
              <w:r>
                <w:rPr>
                  <w:rFonts w:ascii="Arial" w:cs="Arial" w:eastAsia="Arial" w:hAnsi="Arial"/>
                  <w:sz w:val="16"/>
                  <w:szCs w:val="16"/>
                  <w:color w:val="0000EE"/>
                  <w:w w:val="92"/>
                </w:rPr>
                <w:t>RISK FACTORS</w:t>
              </w:r>
            </w:hyperlink>
          </w:p>
        </w:tc>
        <w:tc>
          <w:tcPr>
            <w:tcW w:w="2020" w:type="dxa"/>
            <w:vAlign w:val="bottom"/>
            <w:tcBorders>
              <w:top w:val="single" w:sz="8" w:color="0000EE"/>
            </w:tcBorders>
            <w:gridSpan w:val="12"/>
            <w:vMerge w:val="restart"/>
          </w:tcPr>
          <w:p>
            <w:pPr>
              <w:spacing w:after="0" w:line="20" w:lineRule="exact"/>
              <w:rPr>
                <w:sz w:val="1"/>
                <w:szCs w:val="1"/>
                <w:color w:val="auto"/>
              </w:rPr>
            </w:pPr>
          </w:p>
        </w:tc>
        <w:tc>
          <w:tcPr>
            <w:tcW w:w="1080" w:type="dxa"/>
            <w:vAlign w:val="bottom"/>
            <w:gridSpan w:val="3"/>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60" w:type="dxa"/>
            <w:vAlign w:val="bottom"/>
            <w:tcBorders>
              <w:bottom w:val="single" w:sz="8" w:color="0000EE"/>
            </w:tcBorders>
            <w:gridSpan w:val="2"/>
            <w:vMerge w:val="continue"/>
          </w:tcPr>
          <w:p>
            <w:pPr>
              <w:spacing w:after="0"/>
              <w:rPr>
                <w:sz w:val="20"/>
                <w:szCs w:val="20"/>
                <w:color w:val="auto"/>
              </w:rPr>
            </w:pPr>
          </w:p>
        </w:tc>
        <w:tc>
          <w:tcPr>
            <w:tcW w:w="2020" w:type="dxa"/>
            <w:vAlign w:val="bottom"/>
            <w:gridSpan w:val="12"/>
            <w:vMerge w:val="continue"/>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gridSpan w:val="11"/>
            <w:vMerge w:val="restart"/>
          </w:tcPr>
          <w:p>
            <w:pPr>
              <w:ind w:left="40"/>
              <w:spacing w:after="0"/>
              <w:rPr>
                <w:rFonts w:ascii="Arial" w:cs="Arial" w:eastAsia="Arial" w:hAnsi="Arial"/>
                <w:sz w:val="16"/>
                <w:szCs w:val="16"/>
                <w:color w:val="0000EE"/>
                <w:w w:val="95"/>
              </w:rPr>
            </w:pPr>
            <w:hyperlink w:anchor="page8">
              <w:r>
                <w:rPr>
                  <w:rFonts w:ascii="Arial" w:cs="Arial" w:eastAsia="Arial" w:hAnsi="Arial"/>
                  <w:sz w:val="16"/>
                  <w:szCs w:val="16"/>
                  <w:color w:val="0000EE"/>
                  <w:w w:val="95"/>
                </w:rPr>
                <w:t>FORWARD-LOOKING STATEMENTS</w:t>
              </w:r>
            </w:hyperlink>
          </w:p>
        </w:tc>
        <w:tc>
          <w:tcPr>
            <w:tcW w:w="1580" w:type="dxa"/>
            <w:vAlign w:val="bottom"/>
            <w:gridSpan w:val="6"/>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680" w:type="dxa"/>
            <w:vAlign w:val="bottom"/>
            <w:tcBorders>
              <w:bottom w:val="single" w:sz="8" w:color="0000EE"/>
            </w:tcBorders>
            <w:gridSpan w:val="11"/>
            <w:vMerge w:val="continue"/>
          </w:tcPr>
          <w:p>
            <w:pPr>
              <w:spacing w:after="0"/>
              <w:rPr>
                <w:sz w:val="20"/>
                <w:szCs w:val="20"/>
                <w:color w:val="auto"/>
              </w:rPr>
            </w:pPr>
          </w:p>
        </w:tc>
        <w:tc>
          <w:tcPr>
            <w:tcW w:w="1580" w:type="dxa"/>
            <w:vAlign w:val="bottom"/>
            <w:gridSpan w:val="6"/>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gridSpan w:val="17"/>
            <w:vMerge w:val="restart"/>
          </w:tcPr>
          <w:p>
            <w:pPr>
              <w:ind w:left="20"/>
              <w:spacing w:after="0"/>
              <w:rPr>
                <w:rFonts w:ascii="Arial" w:cs="Arial" w:eastAsia="Arial" w:hAnsi="Arial"/>
                <w:sz w:val="16"/>
                <w:szCs w:val="16"/>
                <w:color w:val="0000EE"/>
              </w:rPr>
            </w:pPr>
            <w:hyperlink w:anchor="page9">
              <w:r>
                <w:rPr>
                  <w:rFonts w:ascii="Arial" w:cs="Arial" w:eastAsia="Arial" w:hAnsi="Arial"/>
                  <w:sz w:val="16"/>
                  <w:szCs w:val="16"/>
                  <w:color w:val="0000EE"/>
                </w:rPr>
                <w:t>WHERE YOU CAN FIND MORE INFORMATION</w:t>
              </w:r>
            </w:hyperlink>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gridSpan w:val="17"/>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tcBorders>
              <w:bottom w:val="single" w:sz="8" w:color="0000EE"/>
            </w:tcBorders>
            <w:gridSpan w:val="16"/>
          </w:tcPr>
          <w:p>
            <w:pPr>
              <w:ind w:left="40"/>
              <w:spacing w:after="0"/>
              <w:rPr>
                <w:rFonts w:ascii="Arial" w:cs="Arial" w:eastAsia="Arial" w:hAnsi="Arial"/>
                <w:sz w:val="16"/>
                <w:szCs w:val="16"/>
                <w:color w:val="0000EE"/>
                <w:w w:val="96"/>
              </w:rPr>
            </w:pPr>
            <w:hyperlink w:anchor="page9">
              <w:r>
                <w:rPr>
                  <w:rFonts w:ascii="Arial" w:cs="Arial" w:eastAsia="Arial" w:hAnsi="Arial"/>
                  <w:sz w:val="16"/>
                  <w:szCs w:val="16"/>
                  <w:color w:val="0000EE"/>
                  <w:w w:val="96"/>
                </w:rPr>
                <w:t>INCORPORATION OF INFORMATION BY REFERENCE</w:t>
              </w:r>
            </w:hyperlink>
          </w:p>
        </w:tc>
        <w:tc>
          <w:tcPr>
            <w:tcW w:w="280" w:type="dxa"/>
            <w:vAlign w:val="bottom"/>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gridSpan w:val="4"/>
            <w:vMerge w:val="restart"/>
          </w:tcPr>
          <w:p>
            <w:pPr>
              <w:ind w:left="40"/>
              <w:spacing w:after="0"/>
              <w:rPr>
                <w:rFonts w:ascii="Arial" w:cs="Arial" w:eastAsia="Arial" w:hAnsi="Arial"/>
                <w:sz w:val="16"/>
                <w:szCs w:val="16"/>
                <w:color w:val="0000EE"/>
                <w:w w:val="90"/>
              </w:rPr>
            </w:pPr>
            <w:hyperlink w:anchor="page9">
              <w:r>
                <w:rPr>
                  <w:rFonts w:ascii="Arial" w:cs="Arial" w:eastAsia="Arial" w:hAnsi="Arial"/>
                  <w:sz w:val="16"/>
                  <w:szCs w:val="16"/>
                  <w:color w:val="0000EE"/>
                  <w:w w:val="90"/>
                </w:rPr>
                <w:t>USE OF PROCEEDS</w:t>
              </w:r>
            </w:hyperlink>
          </w:p>
        </w:tc>
        <w:tc>
          <w:tcPr>
            <w:tcW w:w="2800" w:type="dxa"/>
            <w:vAlign w:val="bottom"/>
            <w:gridSpan w:val="13"/>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60" w:type="dxa"/>
            <w:vAlign w:val="bottom"/>
            <w:tcBorders>
              <w:bottom w:val="single" w:sz="8" w:color="0000EE"/>
            </w:tcBorders>
            <w:gridSpan w:val="4"/>
            <w:vMerge w:val="continue"/>
          </w:tcPr>
          <w:p>
            <w:pPr>
              <w:spacing w:after="0"/>
              <w:rPr>
                <w:sz w:val="20"/>
                <w:szCs w:val="20"/>
                <w:color w:val="auto"/>
              </w:rPr>
            </w:pPr>
          </w:p>
        </w:tc>
        <w:tc>
          <w:tcPr>
            <w:tcW w:w="2800" w:type="dxa"/>
            <w:vAlign w:val="bottom"/>
            <w:gridSpan w:val="13"/>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gridSpan w:val="6"/>
            <w:vMerge w:val="restart"/>
          </w:tcPr>
          <w:p>
            <w:pPr>
              <w:ind w:left="40"/>
              <w:spacing w:after="0"/>
              <w:rPr>
                <w:rFonts w:ascii="Arial" w:cs="Arial" w:eastAsia="Arial" w:hAnsi="Arial"/>
                <w:sz w:val="16"/>
                <w:szCs w:val="16"/>
                <w:color w:val="0000EE"/>
                <w:w w:val="97"/>
              </w:rPr>
            </w:pPr>
            <w:hyperlink w:anchor="page9">
              <w:r>
                <w:rPr>
                  <w:rFonts w:ascii="Arial" w:cs="Arial" w:eastAsia="Arial" w:hAnsi="Arial"/>
                  <w:sz w:val="16"/>
                  <w:szCs w:val="16"/>
                  <w:color w:val="0000EE"/>
                  <w:w w:val="97"/>
                </w:rPr>
                <w:t>PLAN OF DISTRIBUTION</w:t>
              </w:r>
            </w:hyperlink>
          </w:p>
        </w:tc>
        <w:tc>
          <w:tcPr>
            <w:tcW w:w="2380" w:type="dxa"/>
            <w:vAlign w:val="bottom"/>
            <w:gridSpan w:val="11"/>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880" w:type="dxa"/>
            <w:vAlign w:val="bottom"/>
            <w:tcBorders>
              <w:bottom w:val="single" w:sz="8" w:color="0000EE"/>
            </w:tcBorders>
            <w:gridSpan w:val="6"/>
            <w:vMerge w:val="continue"/>
          </w:tcPr>
          <w:p>
            <w:pPr>
              <w:spacing w:after="0"/>
              <w:rPr>
                <w:sz w:val="20"/>
                <w:szCs w:val="20"/>
                <w:color w:val="auto"/>
              </w:rPr>
            </w:pPr>
          </w:p>
        </w:tc>
        <w:tc>
          <w:tcPr>
            <w:tcW w:w="2380" w:type="dxa"/>
            <w:vAlign w:val="bottom"/>
            <w:gridSpan w:val="11"/>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gridSpan w:val="10"/>
            <w:vMerge w:val="restart"/>
          </w:tcPr>
          <w:p>
            <w:pPr>
              <w:ind w:left="40"/>
              <w:spacing w:after="0"/>
              <w:rPr>
                <w:rFonts w:ascii="Arial" w:cs="Arial" w:eastAsia="Arial" w:hAnsi="Arial"/>
                <w:sz w:val="16"/>
                <w:szCs w:val="16"/>
                <w:color w:val="0000EE"/>
                <w:w w:val="95"/>
              </w:rPr>
            </w:pPr>
            <w:hyperlink w:anchor="page10">
              <w:r>
                <w:rPr>
                  <w:rFonts w:ascii="Arial" w:cs="Arial" w:eastAsia="Arial" w:hAnsi="Arial"/>
                  <w:sz w:val="16"/>
                  <w:szCs w:val="16"/>
                  <w:color w:val="0000EE"/>
                  <w:w w:val="95"/>
                </w:rPr>
                <w:t>DESCRIPTION OF CAPITAL STOCK</w:t>
              </w:r>
            </w:hyperlink>
          </w:p>
        </w:tc>
        <w:tc>
          <w:tcPr>
            <w:tcW w:w="1640" w:type="dxa"/>
            <w:vAlign w:val="bottom"/>
            <w:gridSpan w:val="7"/>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620" w:type="dxa"/>
            <w:vAlign w:val="bottom"/>
            <w:tcBorders>
              <w:bottom w:val="single" w:sz="8" w:color="0000EE"/>
            </w:tcBorders>
            <w:gridSpan w:val="10"/>
            <w:vMerge w:val="continue"/>
          </w:tcPr>
          <w:p>
            <w:pPr>
              <w:spacing w:after="0"/>
              <w:rPr>
                <w:sz w:val="20"/>
                <w:szCs w:val="20"/>
                <w:color w:val="auto"/>
              </w:rPr>
            </w:pPr>
          </w:p>
        </w:tc>
        <w:tc>
          <w:tcPr>
            <w:tcW w:w="1640" w:type="dxa"/>
            <w:vAlign w:val="bottom"/>
            <w:gridSpan w:val="7"/>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gridSpan w:val="12"/>
            <w:vMerge w:val="restart"/>
          </w:tcPr>
          <w:p>
            <w:pPr>
              <w:ind w:left="40"/>
              <w:spacing w:after="0"/>
              <w:rPr>
                <w:rFonts w:ascii="Arial" w:cs="Arial" w:eastAsia="Arial" w:hAnsi="Arial"/>
                <w:sz w:val="16"/>
                <w:szCs w:val="16"/>
                <w:color w:val="0000EE"/>
                <w:w w:val="95"/>
              </w:rPr>
            </w:pPr>
            <w:hyperlink w:anchor="page13">
              <w:r>
                <w:rPr>
                  <w:rFonts w:ascii="Arial" w:cs="Arial" w:eastAsia="Arial" w:hAnsi="Arial"/>
                  <w:sz w:val="16"/>
                  <w:szCs w:val="16"/>
                  <w:color w:val="0000EE"/>
                  <w:w w:val="95"/>
                </w:rPr>
                <w:t>DESCRIPTION OF DEBT SECURITIES</w:t>
              </w:r>
            </w:hyperlink>
          </w:p>
        </w:tc>
        <w:tc>
          <w:tcPr>
            <w:tcW w:w="1500" w:type="dxa"/>
            <w:vAlign w:val="bottom"/>
            <w:gridSpan w:val="5"/>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60" w:type="dxa"/>
            <w:vAlign w:val="bottom"/>
            <w:tcBorders>
              <w:bottom w:val="single" w:sz="8" w:color="0000EE"/>
            </w:tcBorders>
            <w:gridSpan w:val="12"/>
            <w:vMerge w:val="continue"/>
          </w:tcPr>
          <w:p>
            <w:pPr>
              <w:spacing w:after="0"/>
              <w:rPr>
                <w:sz w:val="20"/>
                <w:szCs w:val="20"/>
                <w:color w:val="auto"/>
              </w:rPr>
            </w:pPr>
          </w:p>
        </w:tc>
        <w:tc>
          <w:tcPr>
            <w:tcW w:w="1500" w:type="dxa"/>
            <w:vAlign w:val="bottom"/>
            <w:gridSpan w:val="5"/>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gridSpan w:val="17"/>
            <w:vMerge w:val="restart"/>
          </w:tcPr>
          <w:p>
            <w:pPr>
              <w:ind w:left="40"/>
              <w:spacing w:after="0"/>
              <w:rPr>
                <w:rFonts w:ascii="Arial" w:cs="Arial" w:eastAsia="Arial" w:hAnsi="Arial"/>
                <w:sz w:val="16"/>
                <w:szCs w:val="16"/>
                <w:color w:val="0000EE"/>
              </w:rPr>
            </w:pPr>
            <w:hyperlink w:anchor="page18">
              <w:r>
                <w:rPr>
                  <w:rFonts w:ascii="Arial" w:cs="Arial" w:eastAsia="Arial" w:hAnsi="Arial"/>
                  <w:sz w:val="16"/>
                  <w:szCs w:val="16"/>
                  <w:color w:val="0000EE"/>
                </w:rPr>
                <w:t>DESCRIPTION OF WARRANTS</w:t>
              </w:r>
            </w:hyperlink>
          </w:p>
        </w:tc>
        <w:tc>
          <w:tcPr>
            <w:tcW w:w="6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gridSpan w:val="17"/>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tcBorders>
              <w:bottom w:val="single" w:sz="8" w:color="0000EE"/>
            </w:tcBorders>
            <w:gridSpan w:val="13"/>
          </w:tcPr>
          <w:p>
            <w:pPr>
              <w:ind w:left="40"/>
              <w:spacing w:after="0"/>
              <w:rPr>
                <w:rFonts w:ascii="Arial" w:cs="Arial" w:eastAsia="Arial" w:hAnsi="Arial"/>
                <w:sz w:val="16"/>
                <w:szCs w:val="16"/>
                <w:color w:val="0000EE"/>
                <w:w w:val="95"/>
              </w:rPr>
            </w:pPr>
            <w:hyperlink w:anchor="page19">
              <w:r>
                <w:rPr>
                  <w:rFonts w:ascii="Arial" w:cs="Arial" w:eastAsia="Arial" w:hAnsi="Arial"/>
                  <w:sz w:val="16"/>
                  <w:szCs w:val="16"/>
                  <w:color w:val="0000EE"/>
                  <w:w w:val="95"/>
                </w:rPr>
                <w:t>DESCRIPTION OF SUBSCRIPTION RIGHTS</w:t>
              </w:r>
            </w:hyperlink>
          </w:p>
        </w:tc>
        <w:tc>
          <w:tcPr>
            <w:tcW w:w="1100" w:type="dxa"/>
            <w:vAlign w:val="bottom"/>
            <w:gridSpan w:val="4"/>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60" w:type="dxa"/>
            <w:vAlign w:val="bottom"/>
            <w:gridSpan w:val="5"/>
            <w:vMerge w:val="restart"/>
          </w:tcPr>
          <w:p>
            <w:pPr>
              <w:ind w:left="40"/>
              <w:spacing w:after="0"/>
              <w:rPr>
                <w:rFonts w:ascii="Arial" w:cs="Arial" w:eastAsia="Arial" w:hAnsi="Arial"/>
                <w:sz w:val="16"/>
                <w:szCs w:val="16"/>
                <w:color w:val="0000EE"/>
                <w:w w:val="95"/>
              </w:rPr>
            </w:pPr>
            <w:hyperlink w:anchor="page20">
              <w:r>
                <w:rPr>
                  <w:rFonts w:ascii="Arial" w:cs="Arial" w:eastAsia="Arial" w:hAnsi="Arial"/>
                  <w:sz w:val="16"/>
                  <w:szCs w:val="16"/>
                  <w:color w:val="0000EE"/>
                  <w:w w:val="95"/>
                </w:rPr>
                <w:t>DESCRIPTION OF UNITS</w:t>
              </w:r>
            </w:hyperlink>
          </w:p>
        </w:tc>
        <w:tc>
          <w:tcPr>
            <w:tcW w:w="2400" w:type="dxa"/>
            <w:vAlign w:val="bottom"/>
            <w:gridSpan w:val="12"/>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860" w:type="dxa"/>
            <w:vAlign w:val="bottom"/>
            <w:tcBorders>
              <w:bottom w:val="single" w:sz="8" w:color="0000EE"/>
            </w:tcBorders>
            <w:gridSpan w:val="5"/>
            <w:vMerge w:val="continue"/>
          </w:tcPr>
          <w:p>
            <w:pPr>
              <w:spacing w:after="0"/>
              <w:rPr>
                <w:sz w:val="20"/>
                <w:szCs w:val="20"/>
                <w:color w:val="auto"/>
              </w:rPr>
            </w:pPr>
          </w:p>
        </w:tc>
        <w:tc>
          <w:tcPr>
            <w:tcW w:w="2400" w:type="dxa"/>
            <w:vAlign w:val="bottom"/>
            <w:gridSpan w:val="12"/>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gridSpan w:val="17"/>
            <w:vMerge w:val="restart"/>
          </w:tcPr>
          <w:p>
            <w:pPr>
              <w:ind w:left="40"/>
              <w:spacing w:after="0"/>
              <w:rPr>
                <w:rFonts w:ascii="Arial" w:cs="Arial" w:eastAsia="Arial" w:hAnsi="Arial"/>
                <w:sz w:val="16"/>
                <w:szCs w:val="16"/>
                <w:color w:val="0000EE"/>
              </w:rPr>
            </w:pPr>
            <w:hyperlink w:anchor="page20">
              <w:r>
                <w:rPr>
                  <w:rFonts w:ascii="Arial" w:cs="Arial" w:eastAsia="Arial" w:hAnsi="Arial"/>
                  <w:sz w:val="16"/>
                  <w:szCs w:val="16"/>
                  <w:color w:val="0000EE"/>
                </w:rPr>
                <w:t>LEGAL MATTERS</w:t>
              </w:r>
            </w:hyperlink>
          </w:p>
        </w:tc>
        <w:tc>
          <w:tcPr>
            <w:tcW w:w="638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gridSpan w:val="17"/>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0000EE"/>
            </w:tcBorders>
            <w:gridSpan w:val="3"/>
            <w:vMerge w:val="restart"/>
          </w:tcPr>
          <w:p>
            <w:pPr>
              <w:ind w:left="40"/>
              <w:spacing w:after="0"/>
              <w:rPr>
                <w:rFonts w:ascii="Arial" w:cs="Arial" w:eastAsia="Arial" w:hAnsi="Arial"/>
                <w:sz w:val="16"/>
                <w:szCs w:val="16"/>
                <w:color w:val="0000EE"/>
              </w:rPr>
            </w:pPr>
            <w:hyperlink w:anchor="page20">
              <w:r>
                <w:rPr>
                  <w:rFonts w:ascii="Arial" w:cs="Arial" w:eastAsia="Arial" w:hAnsi="Arial"/>
                  <w:sz w:val="16"/>
                  <w:szCs w:val="16"/>
                  <w:color w:val="0000EE"/>
                </w:rPr>
                <w:t>EXPERTS</w:t>
              </w:r>
            </w:hyperlink>
          </w:p>
        </w:tc>
        <w:tc>
          <w:tcPr>
            <w:tcW w:w="2920" w:type="dxa"/>
            <w:vAlign w:val="bottom"/>
            <w:gridSpan w:val="14"/>
            <w:vMerge w:val="restart"/>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3"/>
            <w:vMerge w:val="continue"/>
          </w:tcPr>
          <w:p>
            <w:pPr>
              <w:spacing w:after="0"/>
              <w:rPr>
                <w:sz w:val="20"/>
                <w:szCs w:val="20"/>
                <w:color w:val="auto"/>
              </w:rPr>
            </w:pPr>
          </w:p>
        </w:tc>
        <w:tc>
          <w:tcPr>
            <w:tcW w:w="2920" w:type="dxa"/>
            <w:vAlign w:val="bottom"/>
            <w:gridSpan w:val="14"/>
            <w:vMerge w:val="continue"/>
          </w:tcPr>
          <w:p>
            <w:pPr>
              <w:spacing w:after="0"/>
              <w:rPr>
                <w:sz w:val="20"/>
                <w:szCs w:val="20"/>
                <w:color w:val="auto"/>
              </w:rPr>
            </w:pPr>
          </w:p>
        </w:tc>
        <w:tc>
          <w:tcPr>
            <w:tcW w:w="6540" w:type="dxa"/>
            <w:vAlign w:val="bottom"/>
            <w:gridSpan w:val="4"/>
          </w:tcPr>
          <w:p>
            <w:pPr>
              <w:jc w:val="right"/>
              <w:spacing w:after="0"/>
              <w:rPr>
                <w:sz w:val="20"/>
                <w:szCs w:val="20"/>
                <w:color w:val="auto"/>
              </w:rPr>
            </w:pPr>
            <w:r>
              <w:rPr>
                <w:rFonts w:ascii="Arial" w:cs="Arial" w:eastAsia="Arial" w:hAnsi="Arial"/>
                <w:sz w:val="16"/>
                <w:szCs w:val="16"/>
                <w:color w:val="0000EE"/>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820"/>
          </w:cols>
          <w:pgMar w:left="560" w:top="679" w:right="51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color w:val="auto"/>
        </w:rPr>
        <w:t>ABOUT THIS PROSPECTUS</w:t>
      </w:r>
    </w:p>
    <w:p>
      <w:pPr>
        <w:spacing w:after="0" w:line="171" w:lineRule="exact"/>
        <w:rPr>
          <w:sz w:val="20"/>
          <w:szCs w:val="20"/>
          <w:color w:val="auto"/>
        </w:rPr>
      </w:pPr>
    </w:p>
    <w:p>
      <w:pPr>
        <w:ind w:right="60" w:firstLine="324"/>
        <w:spacing w:after="0" w:line="268" w:lineRule="auto"/>
        <w:rPr>
          <w:sz w:val="20"/>
          <w:szCs w:val="20"/>
          <w:color w:val="auto"/>
        </w:rPr>
      </w:pPr>
      <w:r>
        <w:rPr>
          <w:rFonts w:ascii="Arial" w:cs="Arial" w:eastAsia="Arial" w:hAnsi="Arial"/>
          <w:sz w:val="15"/>
          <w:szCs w:val="15"/>
          <w:color w:val="auto"/>
        </w:rPr>
        <w:t>This prospectus is part of an automatic shelf registration statement that we filed with the Securities and Exchange Commission (the SEC) as a “well-known seasoned issuer” as defined in Rule 405 under the Securities Act of 1933, as amended (Securities Act) using a “shelf” registration process. Under this shelf registration process, from time to time, we may sell any combination of the securities described in this prospectus in one or more offerings, in amounts, at prices, and on the terms that we will determine at the time of the offering and which will be set forth in a prospectus supplement and any related free writing prospectus. Each time we offer our securities under this prospectus, we will provide a prospectus supplement that will contain more specific information about the terms of the offering. We may also add, update or change in a prospectus supplement any of the information contained in this prospectus or in documents we have incorporated by reference into this prospectus. Any statement that we make in this prospectus will be modified or superseded by any inconsistent statement made by us in a prospectus supplement. This prospectus, together with the applicable prospectus supplements and the documents incorporated by reference into this prospectus, includes all material information relating to this offering. You should carefully read both this prospectus and the applicable prospectus supplement, together with the additional information described under the headings “Incorporation of Information by Reference” and “Where You Can Find More Information” before buying any of our securities in this offering.</w:t>
      </w:r>
    </w:p>
    <w:p>
      <w:pPr>
        <w:spacing w:after="0" w:line="127"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THIS PROSPECTUS MAY NOT BE USED TO OFFER AND SELL SECURITIES UNLESS IT IS ACCOMPANIED BY A PROSPECTUS SUPPLEMENT.</w:t>
      </w:r>
    </w:p>
    <w:p>
      <w:pPr>
        <w:spacing w:after="0" w:line="167" w:lineRule="exact"/>
        <w:rPr>
          <w:sz w:val="20"/>
          <w:szCs w:val="20"/>
          <w:color w:val="auto"/>
        </w:rPr>
      </w:pPr>
    </w:p>
    <w:p>
      <w:pPr>
        <w:ind w:right="780" w:firstLine="324"/>
        <w:spacing w:after="0" w:line="275" w:lineRule="auto"/>
        <w:rPr>
          <w:sz w:val="20"/>
          <w:szCs w:val="20"/>
          <w:color w:val="auto"/>
        </w:rPr>
      </w:pPr>
      <w:r>
        <w:rPr>
          <w:rFonts w:ascii="Arial" w:cs="Arial" w:eastAsia="Arial" w:hAnsi="Arial"/>
          <w:sz w:val="16"/>
          <w:szCs w:val="16"/>
          <w:color w:val="auto"/>
        </w:rPr>
        <w:t>In this prospectus, unless the context otherwise requires, the terms “AnaptysBio,” the “Company,” “we,” “us,” and “our” refer to AnaptysBio, Inc., a Delaware corporation.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679"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PROSPECTUS SUMMARY</w:t>
      </w:r>
    </w:p>
    <w:p>
      <w:pPr>
        <w:spacing w:after="0" w:line="171" w:lineRule="exact"/>
        <w:rPr>
          <w:sz w:val="20"/>
          <w:szCs w:val="20"/>
          <w:color w:val="auto"/>
        </w:rPr>
      </w:pPr>
    </w:p>
    <w:p>
      <w:pPr>
        <w:ind w:left="40" w:right="320"/>
        <w:spacing w:after="0" w:line="261" w:lineRule="auto"/>
        <w:rPr>
          <w:sz w:val="20"/>
          <w:szCs w:val="20"/>
          <w:color w:val="auto"/>
        </w:rPr>
      </w:pPr>
      <w:r>
        <w:rPr>
          <w:rFonts w:ascii="Arial" w:cs="Arial" w:eastAsia="Arial" w:hAnsi="Arial"/>
          <w:sz w:val="16"/>
          <w:szCs w:val="16"/>
          <w:i w:val="1"/>
          <w:iCs w:val="1"/>
          <w:color w:val="auto"/>
        </w:rPr>
        <w:t>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w:t>
      </w:r>
    </w:p>
    <w:p>
      <w:pPr>
        <w:spacing w:after="0" w:line="17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6"/>
          <w:szCs w:val="16"/>
          <w:color w:val="auto"/>
        </w:rPr>
        <w:t>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in vitro.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38" w:lineRule="exact"/>
        <w:rPr>
          <w:sz w:val="20"/>
          <w:szCs w:val="20"/>
          <w:color w:val="auto"/>
        </w:rPr>
      </w:pPr>
    </w:p>
    <w:p>
      <w:pPr>
        <w:ind w:right="40" w:firstLine="324"/>
        <w:spacing w:after="0" w:line="250" w:lineRule="auto"/>
        <w:rPr>
          <w:sz w:val="20"/>
          <w:szCs w:val="20"/>
          <w:color w:val="auto"/>
        </w:rPr>
      </w:pPr>
      <w:r>
        <w:rPr>
          <w:rFonts w:ascii="Arial" w:cs="Arial" w:eastAsia="Arial" w:hAnsi="Arial"/>
          <w:sz w:val="16"/>
          <w:szCs w:val="16"/>
          <w:color w:val="auto"/>
        </w:rPr>
        <w:t>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We have completed a Phase 1 trial of ANB020 in healthy volunteers in Australia, the results of which were presented at the 2017 American Academy of Dermatology Annual Meeting and the American Academy of Allergy, Asthma and Immunology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ex vivo pharmacodynamic assay. We have subsequently completed enrollment of a Phase 2a trial of ANB020 in 12 moderate-to-severe adult atopic dermatitis patients, under an approved Clinical Trial Authorisation, or CTA, with the U.K. Medicines and Healthcare Products Regulatory Agency, or MHRA, and announced top-line data from an interim analysis of this trial in October 2017.</w:t>
      </w:r>
    </w:p>
    <w:p>
      <w:pPr>
        <w:spacing w:after="0" w:line="139" w:lineRule="exact"/>
        <w:rPr>
          <w:sz w:val="20"/>
          <w:szCs w:val="20"/>
          <w:color w:val="auto"/>
        </w:rPr>
      </w:pPr>
    </w:p>
    <w:p>
      <w:pPr>
        <w:ind w:right="60" w:firstLine="324"/>
        <w:spacing w:after="0" w:line="270" w:lineRule="auto"/>
        <w:rPr>
          <w:sz w:val="20"/>
          <w:szCs w:val="20"/>
          <w:color w:val="auto"/>
        </w:rPr>
      </w:pPr>
      <w:r>
        <w:rPr>
          <w:rFonts w:ascii="Arial" w:cs="Arial" w:eastAsia="Arial" w:hAnsi="Arial"/>
          <w:sz w:val="15"/>
          <w:szCs w:val="15"/>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Pruritus, also known as itchiness, as measured by the 5-D pruritus scale score, was also assessed for each patient. Exploratory mechanistic biomarkers included granulocyte infiltration and cytokine levels in localized skin lesions measured five days after placebo administration and five days after ANB020 administration.</w:t>
      </w:r>
    </w:p>
    <w:p>
      <w:pPr>
        <w:spacing w:after="0" w:line="127" w:lineRule="exact"/>
        <w:rPr>
          <w:sz w:val="20"/>
          <w:szCs w:val="20"/>
          <w:color w:val="auto"/>
        </w:rPr>
      </w:pPr>
    </w:p>
    <w:p>
      <w:pPr>
        <w:ind w:firstLine="324"/>
        <w:spacing w:after="0" w:line="268" w:lineRule="auto"/>
        <w:rPr>
          <w:sz w:val="20"/>
          <w:szCs w:val="20"/>
          <w:color w:val="auto"/>
        </w:rPr>
      </w:pPr>
      <w:r>
        <w:rPr>
          <w:rFonts w:ascii="Arial" w:cs="Arial" w:eastAsia="Arial" w:hAnsi="Arial"/>
          <w:sz w:val="15"/>
          <w:szCs w:val="15"/>
          <w:color w:val="auto"/>
        </w:rPr>
        <w:t>Top-line data indicated rapid and sustained clinical achievement of EASI-50, which is 50% or better improvement in EASI score relative to enrollment baseline, in 83% of patients at Day 29, and the 5-D pruritus score was reduced by 32% relative to enrollment baseline. As early as Day 15 post-ANB020 administration 75% of patients reached EASI-50 and pruritus was reduced by 28%, which was sustained until Day 57 when 75% of patients achieved EASI-50; pruritus was reduced by 22% at Day 57. All 12 patients achieved EASI-50 at one or more time points through Day 57 post-ANB020 administration. Exploratory biomarker assessment indicated reduction of granulocyte infiltration into localized skin lesions by an average of 30% amongst all patients and 60% among the 10 patients achieving EASI-50 at 29 days post-ANB020 administration, while exploratory cytokine biomarker levels were below detection limit and therefore inconclusive. ANB020 was generally well-tolerated by all patients and no severe adverse events have been reported to date. The most frequent treatment-emergent adverse events reported were mild dizziness in two patients subsequent to placebo dosing, and mild headache in two patients post-ANB020 administration. We plan to report full data from this trial, including results on additional clinical measures, at a medical conference following study completion and further data analysis.</w:t>
      </w:r>
    </w:p>
    <w:p>
      <w:pPr>
        <w:spacing w:after="0" w:line="130" w:lineRule="exact"/>
        <w:rPr>
          <w:sz w:val="20"/>
          <w:szCs w:val="20"/>
          <w:color w:val="auto"/>
        </w:rPr>
      </w:pPr>
    </w:p>
    <w:p>
      <w:pPr>
        <w:ind w:right="220" w:firstLine="324"/>
        <w:spacing w:after="0" w:line="256" w:lineRule="auto"/>
        <w:rPr>
          <w:sz w:val="20"/>
          <w:szCs w:val="20"/>
          <w:color w:val="auto"/>
        </w:rPr>
      </w:pPr>
      <w:r>
        <w:rPr>
          <w:rFonts w:ascii="Arial" w:cs="Arial" w:eastAsia="Arial" w:hAnsi="Arial"/>
          <w:sz w:val="16"/>
          <w:szCs w:val="16"/>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w:t>
      </w:r>
    </w:p>
    <w:p>
      <w:pPr>
        <w:spacing w:after="0" w:line="13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6"/>
          <w:szCs w:val="16"/>
          <w:color w:val="auto"/>
        </w:rPr>
        <w:t>We are continuing to enroll,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before and after a single dose of ANB020 or placebo. As of October 31, 2017, we completed 75 percent enrollment of this trial and top-line data are expected in the first quarter of 2018. We have also initiated enrollment,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second quarter of 2018.</w:t>
      </w:r>
    </w:p>
    <w:p>
      <w:pPr>
        <w:spacing w:after="0" w:line="137" w:lineRule="exact"/>
        <w:rPr>
          <w:sz w:val="20"/>
          <w:szCs w:val="20"/>
          <w:color w:val="auto"/>
        </w:rPr>
      </w:pPr>
    </w:p>
    <w:p>
      <w:pPr>
        <w:ind w:right="180" w:firstLine="324"/>
        <w:spacing w:after="0" w:line="274" w:lineRule="auto"/>
        <w:rPr>
          <w:sz w:val="20"/>
          <w:szCs w:val="20"/>
          <w:color w:val="auto"/>
        </w:rPr>
      </w:pPr>
      <w:r>
        <w:rPr>
          <w:rFonts w:ascii="Arial" w:cs="Arial" w:eastAsia="Arial" w:hAnsi="Arial"/>
          <w:sz w:val="15"/>
          <w:szCs w:val="15"/>
          <w:color w:val="auto"/>
        </w:rPr>
        <w:t>ANB019 inhibits the interleukin-36 receptor, or IL-36R, for the treatment of rare inflammatory diseases including generalized pustular psoriasis, or GPP, and palmo-plantar pustular psoriasis, or PPP. We are currently conducting, under an approved Clinical Trial Notification, or CTN, a Phase 1 clinical trial in healthy volunteers, where 54 subjects are dosed with ANB019 and 18 are dosed with placebo in single and multi-dose cohorts at various subcutaneous and intravenously administered dose levels. In November 2017, we announced positive top-line results from an interim analysis, which showed favorable safety, pharmacokinetics and pharmacodynamic properties that support advancement of ANB019 into Phase 2 studies for generalized pustular psoriasis and palmo-plantar pustular psoriasis during 2018. In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922" w:right="239" w:bottom="1440" w:gutter="0" w:footer="0" w:header="0"/>
        </w:sectPr>
      </w:pPr>
    </w:p>
    <w:bookmarkStart w:id="6" w:name="page7"/>
    <w:bookmarkEnd w:id="6"/>
    <w:p>
      <w:pPr>
        <w:ind w:right="60"/>
        <w:spacing w:after="0" w:line="278" w:lineRule="auto"/>
        <w:rPr>
          <w:sz w:val="20"/>
          <w:szCs w:val="20"/>
          <w:color w:val="auto"/>
        </w:rPr>
      </w:pPr>
      <w:r>
        <w:rPr>
          <w:rFonts w:ascii="Arial" w:cs="Arial" w:eastAsia="Arial" w:hAnsi="Arial"/>
          <w:sz w:val="15"/>
          <w:szCs w:val="15"/>
          <w:color w:val="auto"/>
        </w:rPr>
        <w:t>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 During December 2017, we submitted a CTA filing to the MHRA supporting the initiation of a 10-patient open-label multi-dose Phase 2 study of ANB019 in GPP patients. We anticipated filing an additional CTA application to support the initiation of a placebo-controlled multi-dose study of ANB019 in PPP.</w:t>
      </w:r>
    </w:p>
    <w:p>
      <w:pPr>
        <w:spacing w:after="0" w:line="119"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to preclinical and clinical milestones under our collaborations. Our collaborations include an immuno-oncology-focused collaboration with TESARO, Inc. and TESARO Development, Ltd., or collectively, TESARO and an inflammation-focused collaboration with Celgene Corporation, or Celgene.</w:t>
      </w:r>
    </w:p>
    <w:p>
      <w:pPr>
        <w:spacing w:after="0" w:line="129" w:lineRule="exact"/>
        <w:rPr>
          <w:sz w:val="20"/>
          <w:szCs w:val="20"/>
          <w:color w:val="auto"/>
        </w:rPr>
      </w:pPr>
    </w:p>
    <w:p>
      <w:pPr>
        <w:ind w:right="80" w:firstLine="324"/>
        <w:spacing w:after="0" w:line="292" w:lineRule="auto"/>
        <w:rPr>
          <w:sz w:val="20"/>
          <w:szCs w:val="20"/>
          <w:color w:val="auto"/>
        </w:rPr>
      </w:pPr>
      <w:r>
        <w:rPr>
          <w:rFonts w:ascii="Arial" w:cs="Arial" w:eastAsia="Arial" w:hAnsi="Arial"/>
          <w:sz w:val="14"/>
          <w:szCs w:val="14"/>
          <w:color w:val="auto"/>
        </w:rPr>
        <w:t>Under our TESARO collaboration, TESARO has initiated a registration program under an IND with the FDA of an AnaptysBio-generated anti-PD-1 antagonist antibody (TSR-042) in metastatic microsatellite high endometrial cancer patients. TESARO has completed dose escalation of an AnaptysBio-generated anti-TIM-3 antagonist antibody</w:t>
      </w:r>
    </w:p>
    <w:p>
      <w:pPr>
        <w:ind w:right="240"/>
        <w:spacing w:after="0" w:line="252" w:lineRule="auto"/>
        <w:rPr>
          <w:sz w:val="20"/>
          <w:szCs w:val="20"/>
          <w:color w:val="auto"/>
        </w:rPr>
      </w:pPr>
      <w:r>
        <w:rPr>
          <w:rFonts w:ascii="Arial" w:cs="Arial" w:eastAsia="Arial" w:hAnsi="Arial"/>
          <w:sz w:val="16"/>
          <w:szCs w:val="16"/>
          <w:color w:val="auto"/>
        </w:rPr>
        <w:t>(TSR-022) in patients under an IND and has subsequently initiated a combination study of TSR-022 and TSR-042. In addition, TESARO has initiated a Phase 1 study of an AnaptysBio-generated anti-LAG-3 antibody (TSR-033), and TESARO has initiated IND-enabling preclinical studies for an AnaptysBio generated PD-1/LAG-3 bispecific antibody, which has exhibited similar levels of T-cell activation in vitro as a combination of TSR-042 and TSR-033.</w:t>
      </w:r>
    </w:p>
    <w:p>
      <w:pPr>
        <w:spacing w:after="0" w:line="13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Under our Celgene partnership, Celgene is conducting a Phase 1 study of an AnaptysBio-generated anti-PD-1 agonist antibody (CC-90006) in healthy volunteers, and an undisclosed second AnaptysBio-generated antibody is currently under preclinical development.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The Securities We May Offer</w:t>
      </w:r>
    </w:p>
    <w:p>
      <w:pPr>
        <w:spacing w:after="0" w:line="171" w:lineRule="exact"/>
        <w:rPr>
          <w:sz w:val="20"/>
          <w:szCs w:val="20"/>
          <w:color w:val="auto"/>
        </w:rPr>
      </w:pPr>
    </w:p>
    <w:p>
      <w:pPr>
        <w:ind w:left="40" w:right="200" w:firstLine="324"/>
        <w:spacing w:after="0" w:line="315" w:lineRule="auto"/>
        <w:rPr>
          <w:sz w:val="20"/>
          <w:szCs w:val="20"/>
          <w:color w:val="auto"/>
        </w:rPr>
      </w:pPr>
      <w:r>
        <w:rPr>
          <w:rFonts w:ascii="Arial" w:cs="Arial" w:eastAsia="Arial" w:hAnsi="Arial"/>
          <w:sz w:val="14"/>
          <w:szCs w:val="14"/>
          <w:color w:val="auto"/>
        </w:rPr>
        <w:t>With this prospectus, we may offer common stock, preferred stock, debt securities, warrants, subscription rights to purchase our common stock, preferred stock or debt securities, and/or units consisting of some or all of these securities in any combination.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offer shares of our common stock, par value $0.001 per share.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Preferred Stock</w:t>
      </w:r>
    </w:p>
    <w:p>
      <w:pPr>
        <w:spacing w:after="0" w:line="167" w:lineRule="exact"/>
        <w:rPr>
          <w:sz w:val="20"/>
          <w:szCs w:val="20"/>
          <w:color w:val="auto"/>
        </w:rPr>
      </w:pPr>
    </w:p>
    <w:p>
      <w:pPr>
        <w:ind w:left="40" w:right="60" w:firstLine="324"/>
        <w:spacing w:after="0" w:line="256" w:lineRule="auto"/>
        <w:rPr>
          <w:sz w:val="20"/>
          <w:szCs w:val="20"/>
          <w:color w:val="auto"/>
        </w:rPr>
      </w:pPr>
      <w:r>
        <w:rPr>
          <w:rFonts w:ascii="Arial" w:cs="Arial" w:eastAsia="Arial" w:hAnsi="Arial"/>
          <w:sz w:val="16"/>
          <w:szCs w:val="16"/>
          <w:color w:val="auto"/>
        </w:rPr>
        <w:t>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Debt Securities</w:t>
      </w:r>
    </w:p>
    <w:p>
      <w:pPr>
        <w:spacing w:after="0" w:line="167" w:lineRule="exact"/>
        <w:rPr>
          <w:sz w:val="20"/>
          <w:szCs w:val="20"/>
          <w:color w:val="auto"/>
        </w:rPr>
      </w:pPr>
    </w:p>
    <w:p>
      <w:pPr>
        <w:jc w:val="both"/>
        <w:ind w:left="40" w:right="60" w:firstLine="324"/>
        <w:spacing w:after="0" w:line="261" w:lineRule="auto"/>
        <w:rPr>
          <w:sz w:val="20"/>
          <w:szCs w:val="20"/>
          <w:color w:val="auto"/>
        </w:rPr>
      </w:pPr>
      <w:r>
        <w:rPr>
          <w:rFonts w:ascii="Arial" w:cs="Arial" w:eastAsia="Arial" w:hAnsi="Arial"/>
          <w:sz w:val="16"/>
          <w:szCs w:val="16"/>
          <w:color w:val="auto"/>
        </w:rPr>
        <w:t>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w:t>
      </w:r>
    </w:p>
    <w:p>
      <w:pPr>
        <w:spacing w:after="0" w:line="129" w:lineRule="exact"/>
        <w:rPr>
          <w:sz w:val="20"/>
          <w:szCs w:val="20"/>
          <w:color w:val="auto"/>
        </w:rPr>
      </w:pPr>
    </w:p>
    <w:p>
      <w:pPr>
        <w:ind w:left="40" w:right="400" w:firstLine="324"/>
        <w:spacing w:after="0" w:line="275" w:lineRule="auto"/>
        <w:rPr>
          <w:sz w:val="20"/>
          <w:szCs w:val="20"/>
          <w:color w:val="auto"/>
        </w:rPr>
      </w:pPr>
      <w:r>
        <w:rPr>
          <w:rFonts w:ascii="Arial" w:cs="Arial" w:eastAsia="Arial" w:hAnsi="Arial"/>
          <w:sz w:val="16"/>
          <w:szCs w:val="16"/>
          <w:color w:val="auto"/>
        </w:rPr>
        <w:t>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Warrants</w:t>
      </w:r>
    </w:p>
    <w:p>
      <w:pPr>
        <w:spacing w:after="0" w:line="167" w:lineRule="exact"/>
        <w:rPr>
          <w:sz w:val="20"/>
          <w:szCs w:val="20"/>
          <w:color w:val="auto"/>
        </w:rPr>
      </w:pPr>
    </w:p>
    <w:p>
      <w:pPr>
        <w:ind w:left="40" w:right="260" w:firstLine="324"/>
        <w:spacing w:after="0" w:line="275" w:lineRule="auto"/>
        <w:rPr>
          <w:sz w:val="20"/>
          <w:szCs w:val="20"/>
          <w:color w:val="auto"/>
        </w:rPr>
      </w:pPr>
      <w:r>
        <w:rPr>
          <w:rFonts w:ascii="Arial" w:cs="Arial" w:eastAsia="Arial" w:hAnsi="Arial"/>
          <w:sz w:val="16"/>
          <w:szCs w:val="16"/>
          <w:color w:val="auto"/>
        </w:rPr>
        <w:t>We may offer warrants for the purchase of debt securities, shares of preferred stock or shares of common stock. We may issue warrants independently or together with other securities. Our board of directors will determine the terms of the warrants.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Subscription Rights</w:t>
      </w:r>
    </w:p>
    <w:p>
      <w:pPr>
        <w:spacing w:after="0" w:line="167" w:lineRule="exact"/>
        <w:rPr>
          <w:sz w:val="20"/>
          <w:szCs w:val="20"/>
          <w:color w:val="auto"/>
        </w:rPr>
      </w:pPr>
    </w:p>
    <w:p>
      <w:pPr>
        <w:ind w:left="40" w:right="200" w:firstLine="324"/>
        <w:spacing w:after="0" w:line="275" w:lineRule="auto"/>
        <w:rPr>
          <w:sz w:val="20"/>
          <w:szCs w:val="20"/>
          <w:color w:val="auto"/>
        </w:rPr>
      </w:pPr>
      <w:r>
        <w:rPr>
          <w:rFonts w:ascii="Arial" w:cs="Arial" w:eastAsia="Arial" w:hAnsi="Arial"/>
          <w:sz w:val="16"/>
          <w:szCs w:val="16"/>
          <w:color w:val="auto"/>
        </w:rPr>
        <w:t>We may offer subscription rights for the purchase of common stock, preferred stock or debt securities. We may issue subscription rights independently or together with other securities. Our board of directors will determine the terms of the subscription rights.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Units</w:t>
      </w:r>
    </w:p>
    <w:p>
      <w:pPr>
        <w:spacing w:after="0" w:line="167" w:lineRule="exact"/>
        <w:rPr>
          <w:sz w:val="20"/>
          <w:szCs w:val="20"/>
          <w:color w:val="auto"/>
        </w:rPr>
      </w:pPr>
    </w:p>
    <w:p>
      <w:pPr>
        <w:ind w:left="40" w:right="300" w:firstLine="324"/>
        <w:spacing w:after="0" w:line="286" w:lineRule="auto"/>
        <w:rPr>
          <w:sz w:val="20"/>
          <w:szCs w:val="20"/>
          <w:color w:val="auto"/>
        </w:rPr>
      </w:pPr>
      <w:r>
        <w:rPr>
          <w:rFonts w:ascii="Arial" w:cs="Arial" w:eastAsia="Arial" w:hAnsi="Arial"/>
          <w:sz w:val="15"/>
          <w:szCs w:val="15"/>
          <w:color w:val="auto"/>
        </w:rPr>
        <w:t>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ind w:left="40" w:right="200" w:firstLine="324"/>
        <w:spacing w:after="0" w:line="261" w:lineRule="auto"/>
        <w:rPr>
          <w:sz w:val="20"/>
          <w:szCs w:val="20"/>
          <w:color w:val="auto"/>
        </w:rPr>
      </w:pPr>
      <w:r>
        <w:rPr>
          <w:rFonts w:ascii="Arial" w:cs="Arial" w:eastAsia="Arial" w:hAnsi="Arial"/>
          <w:sz w:val="16"/>
          <w:szCs w:val="16"/>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683"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RATIO OF EARNINGS TO FIXED CHARGES</w:t>
      </w:r>
    </w:p>
    <w:p>
      <w:pPr>
        <w:spacing w:after="0" w:line="17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5"/>
          <w:szCs w:val="15"/>
          <w:color w:val="auto"/>
        </w:rPr>
        <w:t>The following table sets forth our dollar coverage deficiency. Any time we offer debt securities pursuant to this prospectus, we will provide an updated table setting forth our ratio of earnings to fixed charges on a historical basis in the applicable prospectus supplement, if required. Any time we offer shares of preferred stock pursuant to this prospectus, we will provide a table setting forth our ratio of combined fixed charges and preferred stock dividends to earnings, if required.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Nine Months</w:t>
            </w:r>
          </w:p>
        </w:tc>
      </w:tr>
      <w:tr>
        <w:trPr>
          <w:trHeight w:val="135"/>
        </w:trPr>
        <w:tc>
          <w:tcPr>
            <w:tcW w:w="470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Year Ended</w:t>
            </w:r>
          </w:p>
        </w:tc>
        <w:tc>
          <w:tcPr>
            <w:tcW w:w="17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Year Ended</w:t>
            </w: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Year Ended</w:t>
            </w:r>
          </w:p>
        </w:tc>
        <w:tc>
          <w:tcPr>
            <w:tcW w:w="16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Ended</w:t>
            </w:r>
          </w:p>
        </w:tc>
      </w:tr>
      <w:tr>
        <w:trPr>
          <w:trHeight w:val="135"/>
        </w:trPr>
        <w:tc>
          <w:tcPr>
            <w:tcW w:w="470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7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7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6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September 30,</w:t>
            </w:r>
          </w:p>
        </w:tc>
      </w:tr>
      <w:tr>
        <w:trPr>
          <w:trHeight w:val="174"/>
        </w:trPr>
        <w:tc>
          <w:tcPr>
            <w:tcW w:w="47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3"/>
                <w:szCs w:val="13"/>
                <w:b w:val="1"/>
                <w:bCs w:val="1"/>
                <w:color w:val="auto"/>
              </w:rPr>
              <w:t>2014</w:t>
            </w: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532"/>
              <w:spacing w:after="0"/>
              <w:rPr>
                <w:sz w:val="20"/>
                <w:szCs w:val="20"/>
                <w:color w:val="auto"/>
              </w:rPr>
            </w:pPr>
            <w:r>
              <w:rPr>
                <w:rFonts w:ascii="Arial" w:cs="Arial" w:eastAsia="Arial" w:hAnsi="Arial"/>
                <w:sz w:val="13"/>
                <w:szCs w:val="13"/>
                <w:b w:val="1"/>
                <w:bCs w:val="1"/>
                <w:color w:val="auto"/>
              </w:rPr>
              <w:t>2015</w:t>
            </w:r>
          </w:p>
        </w:tc>
        <w:tc>
          <w:tcPr>
            <w:tcW w:w="2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2016</w:t>
            </w:r>
          </w:p>
        </w:tc>
        <w:tc>
          <w:tcPr>
            <w:tcW w:w="2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CEEFF"/>
            </w:tcBorders>
          </w:tcPr>
          <w:p>
            <w:pPr>
              <w:spacing w:after="0"/>
              <w:rPr>
                <w:sz w:val="15"/>
                <w:szCs w:val="15"/>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Ratio of earnings to fixed charges</w:t>
            </w:r>
            <w:r>
              <w:rPr>
                <w:rFonts w:ascii="Arial" w:cs="Arial" w:eastAsia="Arial" w:hAnsi="Arial"/>
                <w:sz w:val="21"/>
                <w:szCs w:val="21"/>
                <w:color w:val="auto"/>
                <w:vertAlign w:val="superscript"/>
              </w:rPr>
              <w:t>(1)</w:t>
            </w:r>
          </w:p>
        </w:tc>
        <w:tc>
          <w:tcPr>
            <w:tcW w:w="1380" w:type="dxa"/>
            <w:vAlign w:val="bottom"/>
            <w:shd w:val="clear" w:color="auto" w:fill="CCEEFF"/>
          </w:tcPr>
          <w:p>
            <w:pPr>
              <w:jc w:val="right"/>
              <w:ind w:right="59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3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63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63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r>
    </w:tbl>
    <w:p>
      <w:pPr>
        <w:spacing w:after="0" w:line="220" w:lineRule="exact"/>
        <w:rPr>
          <w:sz w:val="20"/>
          <w:szCs w:val="20"/>
          <w:color w:val="auto"/>
        </w:rPr>
      </w:pPr>
    </w:p>
    <w:p>
      <w:pPr>
        <w:ind w:left="240" w:right="300" w:hanging="2"/>
        <w:spacing w:after="0" w:line="215" w:lineRule="auto"/>
        <w:tabs>
          <w:tab w:leader="none" w:pos="528" w:val="left"/>
        </w:tabs>
        <w:numPr>
          <w:ilvl w:val="0"/>
          <w:numId w:val="2"/>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ratio of earnings to fixed charges is computed by dividing earnings by fixed charges. Earnings consist of income before income taxes plus fixed charges. Fixed charges consist of interest expense, including amortized discounts, premiums and capitalized expenses related to indebtedness.</w:t>
      </w:r>
    </w:p>
    <w:p>
      <w:pPr>
        <w:ind w:left="240"/>
        <w:spacing w:after="0"/>
        <w:rPr>
          <w:rFonts w:ascii="Arial" w:cs="Arial" w:eastAsia="Arial" w:hAnsi="Arial"/>
          <w:sz w:val="22"/>
          <w:szCs w:val="22"/>
          <w:b w:val="1"/>
          <w:bCs w:val="1"/>
          <w:color w:val="auto"/>
          <w:vertAlign w:val="superscript"/>
        </w:rPr>
      </w:pPr>
      <w:r>
        <w:rPr>
          <w:rFonts w:ascii="Arial" w:cs="Arial" w:eastAsia="Arial" w:hAnsi="Arial"/>
          <w:sz w:val="16"/>
          <w:szCs w:val="16"/>
          <w:color w:val="auto"/>
        </w:rPr>
        <w:t>* Earnings were inadequate to cover fixed charges for all periods presented.</w:t>
      </w: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 FACTORS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5"/>
          <w:szCs w:val="15"/>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2017,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5"/>
          <w:szCs w:val="15"/>
          <w:color w:val="auto"/>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130" w:lineRule="exact"/>
        <w:rPr>
          <w:sz w:val="20"/>
          <w:szCs w:val="20"/>
          <w:color w:val="auto"/>
        </w:rPr>
      </w:pPr>
    </w:p>
    <w:p>
      <w:pPr>
        <w:ind w:right="60" w:firstLine="324"/>
        <w:spacing w:after="0" w:line="252" w:lineRule="auto"/>
        <w:rPr>
          <w:sz w:val="20"/>
          <w:szCs w:val="20"/>
          <w:color w:val="auto"/>
        </w:rPr>
      </w:pPr>
      <w:r>
        <w:rPr>
          <w:rFonts w:ascii="Arial" w:cs="Arial" w:eastAsia="Arial" w:hAnsi="Arial"/>
          <w:sz w:val="16"/>
          <w:szCs w:val="16"/>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Quarterly Report on Form 10-Q for the quarterly period ended September 30, 2017,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137" w:lineRule="exact"/>
        <w:rPr>
          <w:sz w:val="20"/>
          <w:szCs w:val="20"/>
          <w:color w:val="auto"/>
        </w:rPr>
      </w:pPr>
    </w:p>
    <w:p>
      <w:pPr>
        <w:ind w:right="80" w:firstLine="324"/>
        <w:spacing w:after="0" w:line="304" w:lineRule="auto"/>
        <w:rPr>
          <w:sz w:val="20"/>
          <w:szCs w:val="20"/>
          <w:color w:val="auto"/>
        </w:rPr>
      </w:pPr>
      <w:r>
        <w:rPr>
          <w:rFonts w:ascii="Arial" w:cs="Arial" w:eastAsia="Arial" w:hAnsi="Arial"/>
          <w:sz w:val="14"/>
          <w:szCs w:val="14"/>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976"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6"/>
          <w:szCs w:val="16"/>
          <w:b w:val="1"/>
          <w:bCs w:val="1"/>
          <w:color w:val="auto"/>
        </w:rPr>
        <w:t>WHERE YOU CAN FIND MORE INFORMATION</w:t>
      </w:r>
    </w:p>
    <w:p>
      <w:pPr>
        <w:spacing w:after="0" w:line="171" w:lineRule="exact"/>
        <w:rPr>
          <w:sz w:val="20"/>
          <w:szCs w:val="20"/>
          <w:color w:val="auto"/>
        </w:rPr>
      </w:pPr>
    </w:p>
    <w:p>
      <w:pPr>
        <w:ind w:firstLine="324"/>
        <w:spacing w:after="0" w:line="274" w:lineRule="auto"/>
        <w:rPr>
          <w:sz w:val="20"/>
          <w:szCs w:val="20"/>
          <w:color w:val="auto"/>
        </w:rPr>
      </w:pPr>
      <w:r>
        <w:rPr>
          <w:rFonts w:ascii="Arial" w:cs="Arial" w:eastAsia="Arial" w:hAnsi="Arial"/>
          <w:sz w:val="15"/>
          <w:szCs w:val="15"/>
          <w:color w:val="auto"/>
        </w:rPr>
        <w:t>We are subject to the informational requirements of the Securities Exchange Act of 1934, as amended (the Exchange Act) and are required to file annual, quarterly and other reports, proxy statements and other information with the SEC. You may inspect and copy these reports, proxy statements and other information at the public reference facilities maintained by the SEC in Washington, D.C., 100 F Street N.E., Washington, D.C. 20549. Copies of such materials can be obtained from the SEC's public reference section at prescribed rates. You may obtain information on the operation of the public reference rooms by calling the SEC at (800) SEC-0330. Additionally, the SEC maintains an Internet site (http://www.sec.gov) that contains reports, proxy and information statements, and various other information about us.</w:t>
      </w:r>
    </w:p>
    <w:p>
      <w:pPr>
        <w:spacing w:after="0" w:line="123"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color w:val="auto"/>
        </w:rPr>
        <w:t>Information about us is also available at our website at http://www.anaptysbio.com. However, the information on our website is not a part of this prospectus and is not incorporated by reference into this prospectus.</w:t>
      </w: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INCORPORATION OF INFORMATION BY REFERENCE</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6"/>
          <w:szCs w:val="16"/>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prior to the termination of any offering of securities made by this prospectus:</w:t>
      </w:r>
    </w:p>
    <w:p>
      <w:pPr>
        <w:spacing w:after="0" w:line="5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December 31, 2016 filed with the SEC on March 8, 2017;</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March 31, 2017 and filed with the SEC on May 12, 2017;</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June 30, 2017 and filed with the SEC on August 10, 2017;</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September 30, 2017 and filed with the SEC on November 7, 2017;</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Current Reports on Form 8-K filed on March 2, 2017, July 27, 2017, August 24, 2017 and February 1, 2018; and</w:t>
      </w:r>
    </w:p>
    <w:p>
      <w:pPr>
        <w:spacing w:after="0" w:line="221" w:lineRule="exact"/>
        <w:rPr>
          <w:rFonts w:ascii="Arial" w:cs="Arial" w:eastAsia="Arial" w:hAnsi="Arial"/>
          <w:sz w:val="16"/>
          <w:szCs w:val="16"/>
          <w:color w:val="auto"/>
        </w:rPr>
      </w:pPr>
    </w:p>
    <w:p>
      <w:pPr>
        <w:ind w:left="340" w:right="60" w:hanging="332"/>
        <w:spacing w:after="0" w:line="27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filed with the SEC on January 17, 2017 under Section 12 of the Exchange Act, including any amendment or report filed for the purpose of updating such description.</w:t>
      </w:r>
    </w:p>
    <w:p>
      <w:pPr>
        <w:spacing w:after="0" w:line="254" w:lineRule="exact"/>
        <w:rPr>
          <w:sz w:val="20"/>
          <w:szCs w:val="20"/>
          <w:color w:val="auto"/>
        </w:rPr>
      </w:pPr>
    </w:p>
    <w:p>
      <w:pPr>
        <w:ind w:right="40" w:firstLine="324"/>
        <w:spacing w:after="0" w:line="253" w:lineRule="auto"/>
        <w:rPr>
          <w:sz w:val="20"/>
          <w:szCs w:val="20"/>
          <w:color w:val="auto"/>
        </w:rPr>
      </w:pPr>
      <w:r>
        <w:rPr>
          <w:rFonts w:ascii="Arial" w:cs="Arial" w:eastAsia="Arial" w:hAnsi="Arial"/>
          <w:sz w:val="16"/>
          <w:szCs w:val="16"/>
          <w:color w:val="auto"/>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10421 Pacific Center Court, telephone number (858) 362-6295. See the section of this prospectus entitled “Where You Can Find More Information” for information concerning how to read and obtain copies of materials that we file with the SEC at the SEC's public offices.</w:t>
      </w:r>
    </w:p>
    <w:p>
      <w:pPr>
        <w:spacing w:after="0" w:line="13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5"/>
          <w:szCs w:val="15"/>
          <w:color w:val="auto"/>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USE OF PROCEEDS</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6"/>
          <w:szCs w:val="16"/>
          <w:color w:val="auto"/>
        </w:rPr>
        <w:t>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for our clinical development and ongoing preclinical, discovery and research programs, increasing our working capital,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PLAN OF DISTRIBUTION</w:t>
      </w:r>
    </w:p>
    <w:p>
      <w:pPr>
        <w:spacing w:after="0" w:line="171"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40"/>
          </w:cols>
          <w:pgMar w:left="240" w:top="868" w:right="319" w:bottom="1440" w:gutter="0" w:footer="0" w:header="0"/>
        </w:sectPr>
      </w:pPr>
    </w:p>
    <w:bookmarkStart w:id="9" w:name="page10"/>
    <w:bookmarkEnd w:id="9"/>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 fixed price or prices, which may be changed;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market prices prevailing at the time of sale;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prices related to such prevailing market prices; or</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negotiated prices.</w:t>
      </w:r>
    </w:p>
    <w:p>
      <w:pPr>
        <w:spacing w:after="0" w:line="140" w:lineRule="exact"/>
        <w:rPr>
          <w:sz w:val="20"/>
          <w:szCs w:val="20"/>
          <w:color w:val="auto"/>
        </w:rPr>
      </w:pPr>
    </w:p>
    <w:p>
      <w:pPr>
        <w:ind w:firstLine="324"/>
        <w:spacing w:after="0" w:line="286" w:lineRule="auto"/>
        <w:rPr>
          <w:sz w:val="20"/>
          <w:szCs w:val="20"/>
          <w:color w:val="auto"/>
        </w:rPr>
      </w:pPr>
      <w:r>
        <w:rPr>
          <w:rFonts w:ascii="Arial" w:cs="Arial" w:eastAsia="Arial" w:hAnsi="Arial"/>
          <w:sz w:val="15"/>
          <w:szCs w:val="15"/>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13" w:lineRule="exact"/>
        <w:rPr>
          <w:sz w:val="20"/>
          <w:szCs w:val="20"/>
          <w:color w:val="auto"/>
        </w:rPr>
      </w:pPr>
    </w:p>
    <w:p>
      <w:pPr>
        <w:ind w:right="140" w:firstLine="324"/>
        <w:spacing w:after="0" w:line="274" w:lineRule="auto"/>
        <w:rPr>
          <w:sz w:val="20"/>
          <w:szCs w:val="20"/>
          <w:color w:val="auto"/>
        </w:rPr>
      </w:pPr>
      <w:r>
        <w:rPr>
          <w:rFonts w:ascii="Arial" w:cs="Arial" w:eastAsia="Arial" w:hAnsi="Arial"/>
          <w:sz w:val="15"/>
          <w:szCs w:val="15"/>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23" w:lineRule="exact"/>
        <w:rPr>
          <w:sz w:val="20"/>
          <w:szCs w:val="20"/>
          <w:color w:val="auto"/>
        </w:rPr>
      </w:pPr>
    </w:p>
    <w:p>
      <w:pPr>
        <w:ind w:right="20" w:firstLine="324"/>
        <w:spacing w:after="0" w:line="295" w:lineRule="auto"/>
        <w:rPr>
          <w:sz w:val="20"/>
          <w:szCs w:val="20"/>
          <w:color w:val="auto"/>
        </w:rPr>
      </w:pPr>
      <w:r>
        <w:rPr>
          <w:rFonts w:ascii="Arial" w:cs="Arial" w:eastAsia="Arial" w:hAnsi="Arial"/>
          <w:sz w:val="14"/>
          <w:szCs w:val="14"/>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09"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The securities we offer under this prospectus may or may not be listed through the Nasdaq Global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will file a prospectus supplement to describe the terms of any offering of our securities covered by this prospectus. The prospectus supplement will disclose:</w:t>
      </w:r>
    </w:p>
    <w:p>
      <w:pPr>
        <w:spacing w:after="0" w:line="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terms of the offer;</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names of any underwriters, including any managing underwriters, as well as any dealers or agents;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purchase price of the securities from us;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net proceeds to us from the sale of the securities;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delayed delivery arrangements;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over-allotment or other options under which underwriters, if any, may purchase additional securities from us;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underwriting discounts, commissions or other items constituting underwriters' compensation, and any commissions paid to agents;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5"/>
          <w:szCs w:val="15"/>
          <w:b w:val="1"/>
          <w:bCs w:val="1"/>
          <w:color w:val="auto"/>
        </w:rPr>
      </w:pPr>
      <w:r>
        <w:rPr>
          <w:rFonts w:ascii="Arial" w:cs="Arial" w:eastAsia="Arial" w:hAnsi="Arial"/>
          <w:sz w:val="15"/>
          <w:szCs w:val="15"/>
          <w:color w:val="auto"/>
        </w:rPr>
        <w:t>in a subscription rights offering, whether we have engaged dealer-managers to facilitate the offering or subscription, including their name or names and compensation;</w:t>
      </w:r>
    </w:p>
    <w:p>
      <w:pPr>
        <w:spacing w:after="0" w:line="70" w:lineRule="exact"/>
        <w:rPr>
          <w:rFonts w:ascii="Arial" w:cs="Arial" w:eastAsia="Arial" w:hAnsi="Arial"/>
          <w:sz w:val="15"/>
          <w:szCs w:val="15"/>
          <w:b w:val="1"/>
          <w:bCs w:val="1"/>
          <w:color w:val="auto"/>
        </w:rPr>
      </w:pPr>
    </w:p>
    <w:p>
      <w:pPr>
        <w:ind w:left="340" w:hanging="332"/>
        <w:spacing w:after="0"/>
        <w:tabs>
          <w:tab w:leader="none" w:pos="3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any public offering price; and</w:t>
      </w:r>
    </w:p>
    <w:p>
      <w:pPr>
        <w:spacing w:after="0" w:line="59" w:lineRule="exact"/>
        <w:rPr>
          <w:rFonts w:ascii="Arial" w:cs="Arial" w:eastAsia="Arial" w:hAnsi="Arial"/>
          <w:sz w:val="16"/>
          <w:szCs w:val="16"/>
          <w:b w:val="1"/>
          <w:bCs w:val="1"/>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facts material to the transaction.</w:t>
      </w:r>
    </w:p>
    <w:p>
      <w:pPr>
        <w:spacing w:after="0" w:line="140"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CAPITAL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71" w:lineRule="exact"/>
        <w:rPr>
          <w:sz w:val="20"/>
          <w:szCs w:val="20"/>
          <w:color w:val="auto"/>
        </w:rPr>
      </w:pPr>
    </w:p>
    <w:p>
      <w:pPr>
        <w:jc w:val="both"/>
        <w:ind w:right="80" w:firstLine="324"/>
        <w:spacing w:after="0" w:line="261" w:lineRule="auto"/>
        <w:rPr>
          <w:sz w:val="20"/>
          <w:szCs w:val="20"/>
          <w:color w:val="auto"/>
        </w:rPr>
      </w:pPr>
      <w:r>
        <w:rPr>
          <w:rFonts w:ascii="Arial" w:cs="Arial" w:eastAsia="Arial" w:hAnsi="Arial"/>
          <w:sz w:val="16"/>
          <w:szCs w:val="16"/>
          <w:color w:val="auto"/>
        </w:rPr>
        <w:t>We are authorized to issue 510,000,000 shares of all classes of capital stock, of which 500,000,000 shares are common stock, $0.001 par value per share, and 10,000,000 shares are preferred stock, $0.001 par value per share. Our capital is stated in U.S. dollars. As of September 30, 2017, we had 20,496,288 outstanding shares of common stock and no outstanding shares of preferred stock.</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602"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25" w:lineRule="exact"/>
        <w:rPr>
          <w:sz w:val="20"/>
          <w:szCs w:val="20"/>
          <w:color w:val="auto"/>
        </w:rPr>
      </w:pPr>
    </w:p>
    <w:p>
      <w:pPr>
        <w:jc w:val="both"/>
        <w:ind w:right="200" w:firstLine="324"/>
        <w:spacing w:after="0" w:line="261" w:lineRule="auto"/>
        <w:rPr>
          <w:sz w:val="20"/>
          <w:szCs w:val="20"/>
          <w:color w:val="auto"/>
        </w:rPr>
      </w:pPr>
      <w:r>
        <w:rPr>
          <w:rFonts w:ascii="Arial" w:cs="Arial" w:eastAsia="Arial" w:hAnsi="Arial"/>
          <w:sz w:val="16"/>
          <w:szCs w:val="16"/>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is not entitled to preemptive rights, and is not subject to conversion, redemption or sinking fund provisions.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 to Receive Liquidation Distributions</w:t>
      </w:r>
    </w:p>
    <w:p>
      <w:pPr>
        <w:spacing w:after="0" w:line="225"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71" w:lineRule="exact"/>
        <w:rPr>
          <w:sz w:val="20"/>
          <w:szCs w:val="20"/>
          <w:color w:val="auto"/>
        </w:rPr>
      </w:pPr>
    </w:p>
    <w:p>
      <w:pPr>
        <w:ind w:right="280" w:firstLine="324"/>
        <w:spacing w:after="0" w:line="275" w:lineRule="auto"/>
        <w:rPr>
          <w:sz w:val="20"/>
          <w:szCs w:val="20"/>
          <w:color w:val="auto"/>
        </w:rPr>
      </w:pPr>
      <w:r>
        <w:rPr>
          <w:rFonts w:ascii="Arial" w:cs="Arial" w:eastAsia="Arial" w:hAnsi="Arial"/>
          <w:sz w:val="16"/>
          <w:szCs w:val="16"/>
          <w:color w:val="auto"/>
        </w:rPr>
        <w:t>According to the terms of our amended and restated investors’ rights agreement entered into in July 2015, certain of our common stockholders are entitled to demand, piggyback and Form S-3 registration rights.</w:t>
      </w:r>
    </w:p>
    <w:p>
      <w:pPr>
        <w:spacing w:after="0" w:line="119"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At any point, the holders of at least a majority of the then-outstanding registrable securities may make a written request to us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139" w:lineRule="exact"/>
        <w:rPr>
          <w:sz w:val="20"/>
          <w:szCs w:val="20"/>
          <w:color w:val="auto"/>
        </w:rPr>
      </w:pPr>
    </w:p>
    <w:p>
      <w:pPr>
        <w:ind w:right="80" w:firstLine="324"/>
        <w:spacing w:after="0" w:line="269" w:lineRule="auto"/>
        <w:rPr>
          <w:sz w:val="20"/>
          <w:szCs w:val="20"/>
          <w:color w:val="auto"/>
        </w:rPr>
      </w:pPr>
      <w:r>
        <w:rPr>
          <w:rFonts w:ascii="Arial" w:cs="Arial" w:eastAsia="Arial" w:hAnsi="Arial"/>
          <w:sz w:val="15"/>
          <w:szCs w:val="15"/>
          <w:i w:val="1"/>
          <w:iCs w:val="1"/>
          <w:color w:val="auto"/>
        </w:rPr>
        <w:t xml:space="preserve">Piggyback Registration Rights. </w:t>
      </w:r>
      <w:r>
        <w:rPr>
          <w:rFonts w:ascii="Arial" w:cs="Arial" w:eastAsia="Arial" w:hAnsi="Arial"/>
          <w:sz w:val="15"/>
          <w:szCs w:val="15"/>
          <w:color w:val="auto"/>
        </w:rPr>
        <w:t>If we register any of our securities for public sale in an offering, holders of registrable securities will have the right to include their shares</w:t>
      </w:r>
      <w:r>
        <w:rPr>
          <w:rFonts w:ascii="Arial" w:cs="Arial" w:eastAsia="Arial" w:hAnsi="Arial"/>
          <w:sz w:val="15"/>
          <w:szCs w:val="15"/>
          <w:i w:val="1"/>
          <w:iCs w:val="1"/>
          <w:color w:val="auto"/>
        </w:rPr>
        <w:t xml:space="preserve"> </w:t>
      </w:r>
      <w:r>
        <w:rPr>
          <w:rFonts w:ascii="Arial" w:cs="Arial" w:eastAsia="Arial" w:hAnsi="Arial"/>
          <w:sz w:val="15"/>
          <w:szCs w:val="15"/>
          <w:color w:val="auto"/>
        </w:rPr>
        <w:t>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128" w:lineRule="exact"/>
        <w:rPr>
          <w:sz w:val="20"/>
          <w:szCs w:val="20"/>
          <w:color w:val="auto"/>
        </w:rPr>
      </w:pPr>
    </w:p>
    <w:p>
      <w:pPr>
        <w:ind w:right="40" w:firstLine="324"/>
        <w:spacing w:after="0" w:line="304" w:lineRule="auto"/>
        <w:rPr>
          <w:sz w:val="20"/>
          <w:szCs w:val="20"/>
          <w:color w:val="auto"/>
        </w:rPr>
      </w:pPr>
      <w:r>
        <w:rPr>
          <w:rFonts w:ascii="Arial" w:cs="Arial" w:eastAsia="Arial" w:hAnsi="Arial"/>
          <w:sz w:val="14"/>
          <w:szCs w:val="14"/>
          <w:i w:val="1"/>
          <w:iCs w:val="1"/>
          <w:color w:val="auto"/>
        </w:rPr>
        <w:t xml:space="preserve">Form S-3 Registration Rights. </w:t>
      </w:r>
      <w:r>
        <w:rPr>
          <w:rFonts w:ascii="Arial" w:cs="Arial" w:eastAsia="Arial" w:hAnsi="Arial"/>
          <w:sz w:val="14"/>
          <w:szCs w:val="14"/>
          <w:color w:val="auto"/>
        </w:rPr>
        <w:t>Any holder of then-outstanding registrable securities can request that we register all or part of their shares on Form S-3 if we are eligible to</w:t>
      </w:r>
      <w:r>
        <w:rPr>
          <w:rFonts w:ascii="Arial" w:cs="Arial" w:eastAsia="Arial" w:hAnsi="Arial"/>
          <w:sz w:val="14"/>
          <w:szCs w:val="14"/>
          <w:i w:val="1"/>
          <w:iCs w:val="1"/>
          <w:color w:val="auto"/>
        </w:rPr>
        <w:t xml:space="preserve"> </w:t>
      </w:r>
      <w:r>
        <w:rPr>
          <w:rFonts w:ascii="Arial" w:cs="Arial" w:eastAsia="Arial" w:hAnsi="Arial"/>
          <w:sz w:val="14"/>
          <w:szCs w:val="14"/>
          <w:color w:val="auto"/>
        </w:rPr>
        <w:t>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Expenses of Registration. </w:t>
      </w:r>
      <w:r>
        <w:rPr>
          <w:rFonts w:ascii="Arial" w:cs="Arial" w:eastAsia="Arial" w:hAnsi="Arial"/>
          <w:sz w:val="16"/>
          <w:szCs w:val="16"/>
          <w:color w:val="auto"/>
        </w:rPr>
        <w:t>We generally will pay all expenses, other than underwriting discounts and commissions.</w:t>
      </w:r>
    </w:p>
    <w:p>
      <w:pPr>
        <w:spacing w:after="0" w:line="167" w:lineRule="exact"/>
        <w:rPr>
          <w:sz w:val="20"/>
          <w:szCs w:val="20"/>
          <w:color w:val="auto"/>
        </w:rPr>
      </w:pPr>
    </w:p>
    <w:p>
      <w:pPr>
        <w:ind w:right="480" w:firstLine="324"/>
        <w:spacing w:after="0" w:line="275" w:lineRule="auto"/>
        <w:rPr>
          <w:sz w:val="20"/>
          <w:szCs w:val="20"/>
          <w:color w:val="auto"/>
        </w:rPr>
      </w:pPr>
      <w:r>
        <w:rPr>
          <w:rFonts w:ascii="Arial" w:cs="Arial" w:eastAsia="Arial" w:hAnsi="Arial"/>
          <w:sz w:val="16"/>
          <w:szCs w:val="16"/>
          <w:i w:val="1"/>
          <w:iCs w:val="1"/>
          <w:color w:val="auto"/>
        </w:rPr>
        <w:t>Expiration of Registration Right</w:t>
      </w:r>
      <w:r>
        <w:rPr>
          <w:rFonts w:ascii="Arial" w:cs="Arial" w:eastAsia="Arial" w:hAnsi="Arial"/>
          <w:sz w:val="16"/>
          <w:szCs w:val="16"/>
          <w:color w:val="auto"/>
        </w:rPr>
        <w:t>s. The registration rights described above will expire, with respect to any particular holder of these rights, on the earlier of the fifth</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closing of our initial public offering, a merger, consolidation, sale or disposition of our</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80"/>
          </w:cols>
          <w:pgMar w:left="240" w:top="679" w:right="279" w:bottom="1440" w:gutter="0" w:footer="0" w:header="0"/>
        </w:sectPr>
      </w:pPr>
    </w:p>
    <w:bookmarkStart w:id="11" w:name="page12"/>
    <w:bookmarkEnd w:id="11"/>
    <w:p>
      <w:pPr>
        <w:ind w:right="100"/>
        <w:spacing w:after="0" w:line="275" w:lineRule="auto"/>
        <w:rPr>
          <w:sz w:val="20"/>
          <w:szCs w:val="20"/>
          <w:color w:val="auto"/>
        </w:rPr>
      </w:pPr>
      <w:r>
        <w:rPr>
          <w:rFonts w:ascii="Arial" w:cs="Arial" w:eastAsia="Arial" w:hAnsi="Arial"/>
          <w:sz w:val="16"/>
          <w:szCs w:val="16"/>
          <w:color w:val="auto"/>
        </w:rPr>
        <w:t>company or a sale by a holder of equity securities representing at least a majority of the voting power of our company, when that holder holds less than 1% of our outstanding common stock and can sell all of its registrable securities in a three-month period without restriction under Rule 144 of the Securities Act.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71" w:lineRule="exact"/>
        <w:rPr>
          <w:sz w:val="20"/>
          <w:szCs w:val="20"/>
          <w:color w:val="auto"/>
        </w:rPr>
      </w:pPr>
    </w:p>
    <w:p>
      <w:pPr>
        <w:ind w:firstLine="324"/>
        <w:spacing w:after="0" w:line="298" w:lineRule="auto"/>
        <w:rPr>
          <w:sz w:val="20"/>
          <w:szCs w:val="20"/>
          <w:color w:val="auto"/>
        </w:rPr>
      </w:pPr>
      <w:r>
        <w:rPr>
          <w:rFonts w:ascii="Arial" w:cs="Arial" w:eastAsia="Arial" w:hAnsi="Arial"/>
          <w:sz w:val="14"/>
          <w:szCs w:val="14"/>
          <w:color w:val="auto"/>
        </w:rPr>
        <w:t>As of September 30, 2017, no shares of our preferred stock are issued and outstanding and no such shares were subject to outstanding options or other rights to purchase or acquire. However, shares of preferred stock may be issued in one or more series from time to time by our board of directors, and the board of directors is expressly 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 generally have preferences over our common stock with respect to the payment of dividends and the distribution of assets in the event of our liquidation, dissolution or winding up.</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 of Unissued Shares of Capital Stock</w:t>
      </w:r>
    </w:p>
    <w:p>
      <w:pPr>
        <w:spacing w:after="0" w:line="171" w:lineRule="exact"/>
        <w:rPr>
          <w:sz w:val="20"/>
          <w:szCs w:val="20"/>
          <w:color w:val="auto"/>
        </w:rPr>
      </w:pPr>
    </w:p>
    <w:p>
      <w:pPr>
        <w:ind w:right="240" w:firstLine="324"/>
        <w:spacing w:after="0" w:line="256" w:lineRule="auto"/>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Our shares of authorized and unissued common stock are available for future issuance without additional stockholder approval. While these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133" w:lineRule="exact"/>
        <w:rPr>
          <w:sz w:val="20"/>
          <w:szCs w:val="20"/>
          <w:color w:val="auto"/>
        </w:rPr>
      </w:pPr>
    </w:p>
    <w:p>
      <w:pPr>
        <w:ind w:right="20" w:firstLine="324"/>
        <w:spacing w:after="0" w:line="251" w:lineRule="auto"/>
        <w:rPr>
          <w:sz w:val="20"/>
          <w:szCs w:val="20"/>
          <w:color w:val="auto"/>
        </w:rPr>
      </w:pPr>
      <w:r>
        <w:rPr>
          <w:rFonts w:ascii="Arial" w:cs="Arial" w:eastAsia="Arial" w:hAnsi="Arial"/>
          <w:sz w:val="16"/>
          <w:szCs w:val="16"/>
          <w:i w:val="1"/>
          <w:iCs w:val="1"/>
          <w:color w:val="auto"/>
        </w:rPr>
        <w:t xml:space="preserve">Preferred Stock. </w:t>
      </w:r>
      <w:r>
        <w:rPr>
          <w:rFonts w:ascii="Arial" w:cs="Arial" w:eastAsia="Arial" w:hAnsi="Arial"/>
          <w:sz w:val="16"/>
          <w:szCs w:val="16"/>
          <w:color w:val="auto"/>
        </w:rPr>
        <w:t>Our certificate of incorporation grants our board of directors the authority, without any further vote or action by our stockholders, to issue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 one or more series 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90"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Delaware Law</w:t>
      </w:r>
    </w:p>
    <w:p>
      <w:pPr>
        <w:spacing w:after="0" w:line="16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6"/>
          <w:szCs w:val="16"/>
          <w:color w:val="auto"/>
        </w:rPr>
        <w:t>We are subject to the provisions of Section 203 of the Delaware General Corporation Law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52" w:lineRule="exact"/>
        <w:rPr>
          <w:sz w:val="20"/>
          <w:szCs w:val="20"/>
          <w:color w:val="auto"/>
        </w:rPr>
      </w:pPr>
    </w:p>
    <w:p>
      <w:pPr>
        <w:ind w:left="340" w:right="8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to the date of the transaction, the board of directors of the corporation approved either the business combination or the transaction which resulted in the stockholder becoming an interested stockholder;</w:t>
      </w:r>
    </w:p>
    <w:p>
      <w:pPr>
        <w:spacing w:after="0" w:line="172" w:lineRule="exact"/>
        <w:rPr>
          <w:rFonts w:ascii="Arial" w:cs="Arial" w:eastAsia="Arial" w:hAnsi="Arial"/>
          <w:sz w:val="16"/>
          <w:szCs w:val="16"/>
          <w:color w:val="auto"/>
        </w:rPr>
      </w:pPr>
    </w:p>
    <w:p>
      <w:pPr>
        <w:ind w:left="340" w:right="12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72" w:lineRule="exact"/>
        <w:rPr>
          <w:rFonts w:ascii="Arial" w:cs="Arial" w:eastAsia="Arial" w:hAnsi="Arial"/>
          <w:sz w:val="16"/>
          <w:szCs w:val="16"/>
          <w:color w:val="auto"/>
        </w:rPr>
      </w:pPr>
    </w:p>
    <w:p>
      <w:pPr>
        <w:ind w:left="340" w:right="16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254" w:lineRule="exact"/>
        <w:rPr>
          <w:sz w:val="20"/>
          <w:szCs w:val="20"/>
          <w:color w:val="auto"/>
        </w:rPr>
      </w:pPr>
    </w:p>
    <w:p>
      <w:pPr>
        <w:ind w:firstLine="324"/>
        <w:spacing w:after="0" w:line="315" w:lineRule="auto"/>
        <w:rPr>
          <w:sz w:val="20"/>
          <w:szCs w:val="20"/>
          <w:color w:val="auto"/>
        </w:rPr>
      </w:pPr>
      <w:r>
        <w:rPr>
          <w:rFonts w:ascii="Arial" w:cs="Arial" w:eastAsia="Arial" w:hAnsi="Arial"/>
          <w:sz w:val="14"/>
          <w:szCs w:val="14"/>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 out” of these provisions. The statute could prohibit or delay mergers or other takeover or change in control attempts and, accordingly, may discourage attempts to acquire us.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Restated Certificate of Incorporation and Restated Bylaw Provisions</w:t>
      </w:r>
    </w:p>
    <w:p>
      <w:pPr>
        <w:spacing w:after="0" w:line="167"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Our restated certificate of incorporation and our restated bylaws include a number of provisions that may have the effect of deterring hostile takeovers or delaying or preventing changes in control, including the following:</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80"/>
          </w:cols>
          <w:pgMar w:left="240" w:top="683" w:right="279" w:bottom="1440" w:gutter="0" w:footer="0" w:header="0"/>
        </w:sectPr>
      </w:pPr>
    </w:p>
    <w:bookmarkStart w:id="12" w:name="page13"/>
    <w:bookmarkEnd w:id="12"/>
    <w:p>
      <w:pPr>
        <w:ind w:left="340" w:hanging="332"/>
        <w:spacing w:after="0" w:line="25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Board of Directors Vacancies. </w:t>
      </w:r>
      <w:r>
        <w:rPr>
          <w:rFonts w:ascii="Arial" w:cs="Arial" w:eastAsia="Arial" w:hAnsi="Arial"/>
          <w:sz w:val="16"/>
          <w:szCs w:val="16"/>
          <w:color w:val="auto"/>
        </w:rPr>
        <w:t>Our restated certificate of incorporation and restated bylaws authorize only our board of directors to fill vacant directorships,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9"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Our restated certificate of incorporation and restated bylaws provide that our board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20" w:lineRule="exact"/>
        <w:rPr>
          <w:rFonts w:ascii="Arial" w:cs="Arial" w:eastAsia="Arial" w:hAnsi="Arial"/>
          <w:sz w:val="16"/>
          <w:szCs w:val="16"/>
          <w:color w:val="auto"/>
        </w:rPr>
      </w:pPr>
    </w:p>
    <w:p>
      <w:pPr>
        <w:ind w:left="340" w:right="20" w:hanging="332"/>
        <w:spacing w:after="0" w:line="272"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Stockholder Action; Special Meetings of Stockholders. </w:t>
      </w:r>
      <w:r>
        <w:rPr>
          <w:rFonts w:ascii="Arial" w:cs="Arial" w:eastAsia="Arial" w:hAnsi="Arial"/>
          <w:sz w:val="15"/>
          <w:szCs w:val="15"/>
          <w:color w:val="auto"/>
        </w:rPr>
        <w:t>Our restated certificate of incorporation provides that our stockholders may not take action by written consent, but</w:t>
      </w:r>
      <w:r>
        <w:rPr>
          <w:rFonts w:ascii="Arial" w:cs="Arial" w:eastAsia="Arial" w:hAnsi="Arial"/>
          <w:sz w:val="15"/>
          <w:szCs w:val="15"/>
          <w:i w:val="1"/>
          <w:iCs w:val="1"/>
          <w:color w:val="auto"/>
        </w:rPr>
        <w:t xml:space="preserve"> </w:t>
      </w:r>
      <w:r>
        <w:rPr>
          <w:rFonts w:ascii="Arial" w:cs="Arial" w:eastAsia="Arial" w:hAnsi="Arial"/>
          <w:sz w:val="15"/>
          <w:szCs w:val="15"/>
          <w:color w:val="auto"/>
        </w:rPr>
        <w:t>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5" w:lineRule="exact"/>
        <w:rPr>
          <w:rFonts w:ascii="Arial" w:cs="Arial" w:eastAsia="Arial" w:hAnsi="Arial"/>
          <w:sz w:val="15"/>
          <w:szCs w:val="15"/>
          <w:color w:val="auto"/>
        </w:rPr>
      </w:pPr>
    </w:p>
    <w:p>
      <w:pPr>
        <w:ind w:left="340" w:right="20" w:hanging="332"/>
        <w:spacing w:after="0" w:line="25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Advance Notice Requirements for Stockholder Proposals and Director Nominations. </w:t>
      </w:r>
      <w:r>
        <w:rPr>
          <w:rFonts w:ascii="Arial" w:cs="Arial" w:eastAsia="Arial" w:hAnsi="Arial"/>
          <w:sz w:val="16"/>
          <w:szCs w:val="16"/>
          <w:color w:val="auto"/>
        </w:rPr>
        <w:t>Our restated bylaws provide advance notice procedures for stockholders seeking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9" w:lineRule="exact"/>
        <w:rPr>
          <w:rFonts w:ascii="Arial" w:cs="Arial" w:eastAsia="Arial" w:hAnsi="Arial"/>
          <w:sz w:val="16"/>
          <w:szCs w:val="16"/>
          <w:color w:val="auto"/>
        </w:rPr>
      </w:pPr>
    </w:p>
    <w:p>
      <w:pPr>
        <w:ind w:left="340" w:right="60" w:hanging="332"/>
        <w:spacing w:after="0" w:line="322"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No Cumulative Voting. </w:t>
      </w:r>
      <w:r>
        <w:rPr>
          <w:rFonts w:ascii="Arial" w:cs="Arial" w:eastAsia="Arial" w:hAnsi="Arial"/>
          <w:sz w:val="14"/>
          <w:szCs w:val="14"/>
          <w:color w:val="auto"/>
        </w:rPr>
        <w:t>The Delaware General Corporation Law provides that stockholders are not entitled to the right to cumulate votes in the election of directors unless</w:t>
      </w:r>
      <w:r>
        <w:rPr>
          <w:rFonts w:ascii="Arial" w:cs="Arial" w:eastAsia="Arial" w:hAnsi="Arial"/>
          <w:sz w:val="14"/>
          <w:szCs w:val="14"/>
          <w:i w:val="1"/>
          <w:iCs w:val="1"/>
          <w:color w:val="auto"/>
        </w:rPr>
        <w:t xml:space="preserve"> </w:t>
      </w:r>
      <w:r>
        <w:rPr>
          <w:rFonts w:ascii="Arial" w:cs="Arial" w:eastAsia="Arial" w:hAnsi="Arial"/>
          <w:sz w:val="14"/>
          <w:szCs w:val="14"/>
          <w:color w:val="auto"/>
        </w:rPr>
        <w:t>a corporation's certificate of incorporation provides otherwise. Our restated certificate of incorporation and restated bylaws do not provide for cumulative voting.</w:t>
      </w:r>
    </w:p>
    <w:p>
      <w:pPr>
        <w:ind w:left="340" w:right="180" w:hanging="332"/>
        <w:spacing w:after="0" w:line="27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Directors Removed Only for Cause. </w:t>
      </w:r>
      <w:r>
        <w:rPr>
          <w:rFonts w:ascii="Arial" w:cs="Arial" w:eastAsia="Arial" w:hAnsi="Arial"/>
          <w:sz w:val="16"/>
          <w:szCs w:val="16"/>
          <w:color w:val="auto"/>
        </w:rPr>
        <w:t>Our restated certificate of incorporation provides that stockholders may remove directors only for cause and only by the affirmative</w:t>
      </w:r>
      <w:r>
        <w:rPr>
          <w:rFonts w:ascii="Arial" w:cs="Arial" w:eastAsia="Arial" w:hAnsi="Arial"/>
          <w:sz w:val="16"/>
          <w:szCs w:val="16"/>
          <w:i w:val="1"/>
          <w:iCs w:val="1"/>
          <w:color w:val="auto"/>
        </w:rPr>
        <w:t xml:space="preserve"> </w:t>
      </w:r>
      <w:r>
        <w:rPr>
          <w:rFonts w:ascii="Arial" w:cs="Arial" w:eastAsia="Arial" w:hAnsi="Arial"/>
          <w:sz w:val="16"/>
          <w:szCs w:val="16"/>
          <w:color w:val="auto"/>
        </w:rPr>
        <w:t>vote of the holders of at least two-thirds of our outstanding common stock.</w:t>
      </w:r>
    </w:p>
    <w:p>
      <w:pPr>
        <w:spacing w:after="0" w:line="10" w:lineRule="exact"/>
        <w:rPr>
          <w:rFonts w:ascii="Arial" w:cs="Arial" w:eastAsia="Arial" w:hAnsi="Arial"/>
          <w:sz w:val="16"/>
          <w:szCs w:val="16"/>
          <w:color w:val="auto"/>
        </w:rPr>
      </w:pPr>
    </w:p>
    <w:p>
      <w:pPr>
        <w:ind w:left="340" w:right="160" w:hanging="332"/>
        <w:spacing w:after="0" w:line="27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Any amendment of the above provisions in our restated certificate of incorporation and restated bylaws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by holders of at least two-thirds of our then-outstanding capital stock entitled to vote in the election of directors.</w:t>
      </w:r>
    </w:p>
    <w:p>
      <w:pPr>
        <w:spacing w:after="0" w:line="10" w:lineRule="exact"/>
        <w:rPr>
          <w:rFonts w:ascii="Arial" w:cs="Arial" w:eastAsia="Arial" w:hAnsi="Arial"/>
          <w:sz w:val="16"/>
          <w:szCs w:val="16"/>
          <w:color w:val="auto"/>
        </w:rPr>
      </w:pPr>
    </w:p>
    <w:p>
      <w:pPr>
        <w:ind w:left="340" w:right="100" w:hanging="332"/>
        <w:spacing w:after="0" w:line="25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Issuance of Undesignated Preferred Stock. </w:t>
      </w:r>
      <w:r>
        <w:rPr>
          <w:rFonts w:ascii="Arial" w:cs="Arial" w:eastAsia="Arial" w:hAnsi="Arial"/>
          <w:sz w:val="16"/>
          <w:szCs w:val="16"/>
          <w:color w:val="auto"/>
        </w:rPr>
        <w:t>Our board of directors has the authority, without further action by the stockholders, to issue up to 10,000,000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25" w:lineRule="exact"/>
        <w:rPr>
          <w:rFonts w:ascii="Arial" w:cs="Arial" w:eastAsia="Arial" w:hAnsi="Arial"/>
          <w:sz w:val="16"/>
          <w:szCs w:val="16"/>
          <w:color w:val="auto"/>
        </w:rPr>
      </w:pPr>
    </w:p>
    <w:p>
      <w:pPr>
        <w:ind w:left="340" w:right="60" w:hanging="332"/>
        <w:spacing w:after="0" w:line="25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Choice of Forum. </w:t>
      </w:r>
      <w:r>
        <w:rPr>
          <w:rFonts w:ascii="Arial" w:cs="Arial" w:eastAsia="Arial" w:hAnsi="Arial"/>
          <w:sz w:val="16"/>
          <w:szCs w:val="16"/>
          <w:color w:val="auto"/>
        </w:rPr>
        <w:t>Our restated certificate of incorporation provides that the Court of Chancery of the State of Delaware will be the exclusive forum for any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is quoted on the Nasdaq Global Market under the trading symbol “ANAB.”</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71" w:lineRule="exact"/>
        <w:rPr>
          <w:sz w:val="20"/>
          <w:szCs w:val="20"/>
          <w:color w:val="auto"/>
        </w:rPr>
      </w:pPr>
    </w:p>
    <w:p>
      <w:pPr>
        <w:ind w:right="40" w:firstLine="324"/>
        <w:spacing w:after="0" w:line="298" w:lineRule="auto"/>
        <w:rPr>
          <w:sz w:val="20"/>
          <w:szCs w:val="20"/>
          <w:color w:val="auto"/>
        </w:rPr>
      </w:pPr>
      <w:r>
        <w:rPr>
          <w:rFonts w:ascii="Arial" w:cs="Arial" w:eastAsia="Arial" w:hAnsi="Arial"/>
          <w:sz w:val="14"/>
          <w:szCs w:val="14"/>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602" w:right="259" w:bottom="1440" w:gutter="0" w:footer="0" w:header="0"/>
        </w:sectPr>
      </w:pPr>
    </w:p>
    <w:bookmarkStart w:id="13" w:name="page14"/>
    <w:bookmarkEnd w:id="13"/>
    <w:p>
      <w:pPr>
        <w:jc w:val="both"/>
        <w:ind w:right="140" w:firstLine="324"/>
        <w:spacing w:after="0" w:line="286" w:lineRule="auto"/>
        <w:rPr>
          <w:sz w:val="20"/>
          <w:szCs w:val="20"/>
          <w:color w:val="auto"/>
        </w:rPr>
      </w:pPr>
      <w:r>
        <w:rPr>
          <w:rFonts w:ascii="Arial" w:cs="Arial" w:eastAsia="Arial" w:hAnsi="Arial"/>
          <w:sz w:val="15"/>
          <w:szCs w:val="15"/>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3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title of the series;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aggregate principal amount, and, if a series, the total amount authorized and the total amount outstanding;</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issue price or prices, expressed as a percentage of the aggregate principal amount of the debt securities;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limit on the aggregate principal amount;</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date or dates on which principal is payable;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if applicable, the method used to determine such rate or rates;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date or dates from which interest, if any, will be payable and any regular record date for the interest payable;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place or places where principal and, if applicable, premium and interest, is payable;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and conditions upon which we may, or the holders may require us to, redeem or repurchase the debt securities;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denominations in which such debt securities may be issuable, if other than denominations of $1,000 or any integral multiple of that number;</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debt securities are to be issuable in the form of certificated securities (as described below) or global securities (as described below);</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portion of principal amount that will be payable upon declaration of acceleration of the maturity date if other than the principal amount of the debt securities;</w:t>
      </w:r>
    </w:p>
    <w:p>
      <w:pPr>
        <w:spacing w:after="0" w:line="70" w:lineRule="exact"/>
        <w:rPr>
          <w:rFonts w:ascii="Arial" w:cs="Arial" w:eastAsia="Arial" w:hAnsi="Arial"/>
          <w:sz w:val="15"/>
          <w:szCs w:val="15"/>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currency of denomination;</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designation of the currency, currencies or currency units in which payment of principal and, if applicable, premium and interest, will be made;</w:t>
      </w:r>
    </w:p>
    <w:p>
      <w:pPr>
        <w:spacing w:after="0" w:line="59"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0" w:lineRule="exact"/>
        <w:rPr>
          <w:rFonts w:ascii="Arial" w:cs="Arial" w:eastAsia="Arial" w:hAnsi="Arial"/>
          <w:sz w:val="16"/>
          <w:szCs w:val="16"/>
          <w:color w:val="auto"/>
        </w:rPr>
      </w:pPr>
    </w:p>
    <w:p>
      <w:pPr>
        <w:ind w:left="340" w:right="560" w:hanging="332"/>
        <w:spacing w:after="0" w:line="275" w:lineRule="auto"/>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0" w:lineRule="exact"/>
        <w:rPr>
          <w:rFonts w:ascii="Arial" w:cs="Arial" w:eastAsia="Arial" w:hAnsi="Arial"/>
          <w:sz w:val="16"/>
          <w:szCs w:val="16"/>
          <w:b w:val="1"/>
          <w:bCs w:val="1"/>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provisions, if any, relating to any collateral provided for such debt securities;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addition to or change in the covenants and/or the acceleration provisions described in this prospectus or in the indenture;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events of default, if not otherwise described below under “Events of Default”;</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and conditions, if any, for conversion into or exchange for shares of our common stock or preferred stock;</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and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and conditions, if any, upon which the debt securities shall be subordinated in right of payment to our other indebtedness.</w:t>
      </w:r>
    </w:p>
    <w:p>
      <w:pPr>
        <w:spacing w:after="0" w:line="140"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33"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29" w:lineRule="exact"/>
        <w:rPr>
          <w:sz w:val="20"/>
          <w:szCs w:val="20"/>
          <w:color w:val="auto"/>
        </w:rPr>
      </w:pPr>
    </w:p>
    <w:p>
      <w:pPr>
        <w:ind w:right="40" w:firstLine="324"/>
        <w:spacing w:after="0" w:line="261" w:lineRule="auto"/>
        <w:rPr>
          <w:sz w:val="20"/>
          <w:szCs w:val="20"/>
          <w:color w:val="auto"/>
        </w:rPr>
      </w:pPr>
      <w:r>
        <w:rPr>
          <w:rFonts w:ascii="Arial" w:cs="Arial" w:eastAsia="Arial" w:hAnsi="Arial"/>
          <w:sz w:val="16"/>
          <w:szCs w:val="16"/>
          <w:color w:val="auto"/>
        </w:rPr>
        <w:t>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Registrar and Paying Agent</w:t>
      </w:r>
    </w:p>
    <w:p>
      <w:pPr>
        <w:spacing w:after="0" w:line="17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6"/>
          <w:szCs w:val="16"/>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 or Exchange Rights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683" w:right="259" w:bottom="1440" w:gutter="0" w:footer="0" w:header="0"/>
        </w:sectPr>
      </w:pPr>
    </w:p>
    <w:bookmarkStart w:id="14" w:name="page15"/>
    <w:bookmarkEnd w:id="14"/>
    <w:p>
      <w:pPr>
        <w:ind w:right="560" w:firstLine="324"/>
        <w:spacing w:after="0" w:line="275" w:lineRule="auto"/>
        <w:rPr>
          <w:sz w:val="20"/>
          <w:szCs w:val="20"/>
          <w:color w:val="auto"/>
        </w:rPr>
      </w:pPr>
      <w:r>
        <w:rPr>
          <w:rFonts w:ascii="Arial" w:cs="Arial" w:eastAsia="Arial" w:hAnsi="Arial"/>
          <w:sz w:val="16"/>
          <w:szCs w:val="16"/>
          <w:color w:val="auto"/>
        </w:rPr>
        <w:t>Debt securities may be convertible into or exchangeable for shares of our common stock. The terms and conditions of conversion or exchange will be stated in the applicable prospectus supplement. The terms will include, among others, the following:</w:t>
      </w:r>
    </w:p>
    <w:p>
      <w:pPr>
        <w:spacing w:after="0" w:line="3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conversion or exchange price;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conversion or exchange period;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provisions regarding the convertibility or exchangeability of the debt securities, including who may convert or exchange;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events requiring adjustment to the conversion or exchange price;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provisions affecting conversion or exchange in the event of our redemption of the debt securities; and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anti-dilution provisions, if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Registered Global Securities</w:t>
      </w:r>
    </w:p>
    <w:p>
      <w:pPr>
        <w:spacing w:after="0" w:line="171" w:lineRule="exact"/>
        <w:rPr>
          <w:sz w:val="20"/>
          <w:szCs w:val="20"/>
          <w:color w:val="auto"/>
        </w:rPr>
      </w:pPr>
    </w:p>
    <w:p>
      <w:pPr>
        <w:jc w:val="both"/>
        <w:ind w:right="340" w:firstLine="324"/>
        <w:spacing w:after="0" w:line="261" w:lineRule="auto"/>
        <w:rPr>
          <w:sz w:val="20"/>
          <w:szCs w:val="20"/>
          <w:color w:val="auto"/>
        </w:rPr>
      </w:pPr>
      <w:r>
        <w:rPr>
          <w:rFonts w:ascii="Arial" w:cs="Arial" w:eastAsia="Arial" w:hAnsi="Arial"/>
          <w:sz w:val="16"/>
          <w:szCs w:val="16"/>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5"/>
          <w:szCs w:val="15"/>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Protection in the Event of Change of Control</w:t>
      </w:r>
    </w:p>
    <w:p>
      <w:pPr>
        <w:spacing w:after="0" w:line="17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5"/>
          <w:szCs w:val="15"/>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Covenants</w:t>
      </w:r>
    </w:p>
    <w:p>
      <w:pPr>
        <w:spacing w:after="0" w:line="171" w:lineRule="exact"/>
        <w:rPr>
          <w:sz w:val="20"/>
          <w:szCs w:val="20"/>
          <w:color w:val="auto"/>
        </w:rPr>
      </w:pPr>
    </w:p>
    <w:p>
      <w:pPr>
        <w:ind w:right="60" w:firstLine="324"/>
        <w:spacing w:after="0" w:line="261" w:lineRule="auto"/>
        <w:rPr>
          <w:sz w:val="20"/>
          <w:szCs w:val="20"/>
          <w:color w:val="auto"/>
        </w:rPr>
      </w:pPr>
      <w:r>
        <w:rPr>
          <w:rFonts w:ascii="Arial" w:cs="Arial" w:eastAsia="Arial" w:hAnsi="Arial"/>
          <w:sz w:val="16"/>
          <w:szCs w:val="16"/>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Consolidation or Sale of Assets</w:t>
      </w:r>
    </w:p>
    <w:p>
      <w:pPr>
        <w:spacing w:after="0" w:line="17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The form of indenture provides that we will not consolidate with or merge into any other person or convey, transfer, sell or lease our properties and assets substantially as an entirety to any person, unless:</w:t>
      </w:r>
    </w:p>
    <w:p>
      <w:pPr>
        <w:spacing w:after="0" w:line="38" w:lineRule="exact"/>
        <w:rPr>
          <w:sz w:val="20"/>
          <w:szCs w:val="20"/>
          <w:color w:val="auto"/>
        </w:rPr>
      </w:pPr>
    </w:p>
    <w:p>
      <w:pPr>
        <w:ind w:left="340" w:right="180" w:hanging="332"/>
        <w:spacing w:after="0" w:line="25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29"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w:t>
      </w:r>
    </w:p>
    <w:p>
      <w:pPr>
        <w:spacing w:after="0" w:line="171"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color w:val="auto"/>
        </w:rPr>
        <w:t>Unless otherwise specified in the applicable prospectus supplement, the following events will be events of default under the indenture with respect to debt securities of any series:</w:t>
      </w:r>
    </w:p>
    <w:p>
      <w:pPr>
        <w:spacing w:after="0" w:line="3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fail to pay any principal or premium, if any, when it becomes due;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fail to pay any interest within 30 days after it becomes due;</w:t>
      </w:r>
    </w:p>
    <w:p>
      <w:pPr>
        <w:spacing w:after="0" w:line="59"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events involving bankruptcy, insolvency or reorganization of us or any of our significant subsidiaries.</w:t>
      </w:r>
    </w:p>
    <w:p>
      <w:pPr>
        <w:spacing w:after="0" w:line="140" w:lineRule="exact"/>
        <w:rPr>
          <w:sz w:val="20"/>
          <w:szCs w:val="20"/>
          <w:color w:val="auto"/>
        </w:rPr>
      </w:pPr>
    </w:p>
    <w:p>
      <w:pPr>
        <w:ind w:right="220" w:firstLine="324"/>
        <w:spacing w:after="0" w:line="275" w:lineRule="auto"/>
        <w:rPr>
          <w:sz w:val="20"/>
          <w:szCs w:val="20"/>
          <w:color w:val="auto"/>
        </w:rPr>
      </w:pPr>
      <w:r>
        <w:rPr>
          <w:rFonts w:ascii="Arial" w:cs="Arial" w:eastAsia="Arial" w:hAnsi="Arial"/>
          <w:sz w:val="16"/>
          <w:szCs w:val="16"/>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19"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83" w:right="239" w:bottom="1440" w:gutter="0" w:footer="0" w:header="0"/>
        </w:sectPr>
      </w:pPr>
    </w:p>
    <w:bookmarkStart w:id="15" w:name="page16"/>
    <w:bookmarkEnd w:id="15"/>
    <w:p>
      <w:pPr>
        <w:ind w:right="40"/>
        <w:spacing w:after="0" w:line="275" w:lineRule="auto"/>
        <w:rPr>
          <w:sz w:val="20"/>
          <w:szCs w:val="20"/>
          <w:color w:val="auto"/>
        </w:rPr>
      </w:pPr>
      <w:r>
        <w:rPr>
          <w:rFonts w:ascii="Arial" w:cs="Arial" w:eastAsia="Arial" w:hAnsi="Arial"/>
          <w:sz w:val="16"/>
          <w:szCs w:val="16"/>
          <w:color w:val="auto"/>
        </w:rPr>
        <w:t>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3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events of default (other than nonpayment of accelerated principal, premium or interest) have been cured or waived;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lawful interest on overdue interest and overdue principal has been paid; and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rescission would not conflict with any judgment or decree.</w:t>
      </w:r>
    </w:p>
    <w:p>
      <w:pPr>
        <w:spacing w:after="0" w:line="14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5"/>
          <w:szCs w:val="15"/>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13"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29" w:lineRule="exact"/>
        <w:rPr>
          <w:sz w:val="20"/>
          <w:szCs w:val="20"/>
          <w:color w:val="auto"/>
        </w:rPr>
      </w:pPr>
    </w:p>
    <w:p>
      <w:pPr>
        <w:ind w:right="300" w:firstLine="324"/>
        <w:spacing w:after="0" w:line="261" w:lineRule="auto"/>
        <w:rPr>
          <w:sz w:val="20"/>
          <w:szCs w:val="20"/>
          <w:color w:val="auto"/>
        </w:rPr>
      </w:pPr>
      <w:r>
        <w:rPr>
          <w:rFonts w:ascii="Arial" w:cs="Arial" w:eastAsia="Arial" w:hAnsi="Arial"/>
          <w:sz w:val="16"/>
          <w:szCs w:val="16"/>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No holder of any debt security of a series will have any right to institute any proceeding with respect to the indenture or for any remedy under the indenture, unless:</w:t>
      </w:r>
    </w:p>
    <w:p>
      <w:pPr>
        <w:spacing w:after="0" w:line="9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holder gives to the trustee written notice of a continuing event of default;</w:t>
      </w:r>
    </w:p>
    <w:p>
      <w:pPr>
        <w:spacing w:after="0" w:line="59" w:lineRule="exact"/>
        <w:rPr>
          <w:rFonts w:ascii="Arial" w:cs="Arial" w:eastAsia="Arial" w:hAnsi="Arial"/>
          <w:sz w:val="16"/>
          <w:szCs w:val="16"/>
          <w:color w:val="auto"/>
        </w:rPr>
      </w:pPr>
    </w:p>
    <w:p>
      <w:pPr>
        <w:ind w:left="340" w:right="80" w:hanging="332"/>
        <w:spacing w:after="0" w:line="27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trustee fails to institute a proceeding within 60 days after such request; and</w:t>
      </w:r>
    </w:p>
    <w:p>
      <w:pPr>
        <w:spacing w:after="0" w:line="59" w:lineRule="exact"/>
        <w:rPr>
          <w:rFonts w:ascii="Arial" w:cs="Arial" w:eastAsia="Arial" w:hAnsi="Arial"/>
          <w:sz w:val="16"/>
          <w:szCs w:val="16"/>
          <w:color w:val="auto"/>
        </w:rPr>
      </w:pPr>
    </w:p>
    <w:p>
      <w:pPr>
        <w:ind w:left="340" w:right="260" w:hanging="332"/>
        <w:spacing w:after="0" w:line="27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outstanding debt securities of the affected series do not give the trustee a direction inconsistent with such request during such 60-day period.</w:t>
      </w:r>
    </w:p>
    <w:p>
      <w:pPr>
        <w:spacing w:after="0" w:line="9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5"/>
          <w:szCs w:val="15"/>
          <w:color w:val="auto"/>
        </w:rPr>
        <w:t>These limitations do not, however, apply to a suit instituted for payment on debt securities of any series on or after the due dates expressed in the debt securities.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periodically deliver certificates to the trustee regarding our compliance with our obligations under the indenture.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 and Waiver</w:t>
      </w:r>
    </w:p>
    <w:p>
      <w:pPr>
        <w:spacing w:after="0" w:line="17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3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provide that the surviving entity following a change of control permitted under the indenture will assume all of our obligations under the indenture and debt securities;</w:t>
      </w:r>
    </w:p>
    <w:p>
      <w:pPr>
        <w:spacing w:after="0" w:line="70" w:lineRule="exact"/>
        <w:rPr>
          <w:rFonts w:ascii="Arial" w:cs="Arial" w:eastAsia="Arial" w:hAnsi="Arial"/>
          <w:sz w:val="15"/>
          <w:szCs w:val="15"/>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provide for certificated debt securities in addition to uncertificated debt securities;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comply with any requirements of the SEC under the Trust Indenture Act of 1939;</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cure any ambiguity, defect or inconsistency, or make any other change that does not materially and adversely affect the rights of any holder; and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appoint a successor trustee under the indenture with respect to one or more series.</w:t>
      </w:r>
    </w:p>
    <w:p>
      <w:pPr>
        <w:spacing w:after="0" w:line="140" w:lineRule="exact"/>
        <w:rPr>
          <w:sz w:val="20"/>
          <w:szCs w:val="20"/>
          <w:color w:val="auto"/>
        </w:rPr>
      </w:pPr>
    </w:p>
    <w:p>
      <w:pPr>
        <w:ind w:right="40" w:firstLine="324"/>
        <w:spacing w:after="0" w:line="256" w:lineRule="auto"/>
        <w:rPr>
          <w:sz w:val="20"/>
          <w:szCs w:val="20"/>
          <w:color w:val="auto"/>
        </w:rPr>
      </w:pPr>
      <w:r>
        <w:rPr>
          <w:rFonts w:ascii="Arial" w:cs="Arial" w:eastAsia="Arial" w:hAnsi="Arial"/>
          <w:sz w:val="16"/>
          <w:szCs w:val="16"/>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the amount of debt securities whose holders must consent to an amendment, supplement, or waiver to the indenture or such debt security;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reduce the rate of or change the time for payment of interest or reduce the amount of or postpone the date for payment of sinking fund or analogous obligations;</w:t>
      </w:r>
    </w:p>
    <w:p>
      <w:pPr>
        <w:spacing w:after="0" w:line="70" w:lineRule="exact"/>
        <w:rPr>
          <w:rFonts w:ascii="Arial" w:cs="Arial" w:eastAsia="Arial" w:hAnsi="Arial"/>
          <w:sz w:val="15"/>
          <w:szCs w:val="15"/>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the principal of or change the stated maturity of the debt securities;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make any debt security payable in money other than that stated in the debt security;</w:t>
      </w:r>
    </w:p>
    <w:p>
      <w:pPr>
        <w:spacing w:after="0" w:line="59" w:lineRule="exact"/>
        <w:rPr>
          <w:rFonts w:ascii="Arial" w:cs="Arial" w:eastAsia="Arial" w:hAnsi="Arial"/>
          <w:sz w:val="16"/>
          <w:szCs w:val="16"/>
          <w:color w:val="auto"/>
        </w:rPr>
      </w:pPr>
    </w:p>
    <w:p>
      <w:pPr>
        <w:ind w:left="340" w:right="24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 the amount or time of any payment required or reduce the premium payable upon any redemption, or change the time before which no such redemption may be made;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83" w:right="239" w:bottom="1440" w:gutter="0" w:footer="0" w:header="0"/>
        </w:sectPr>
      </w:pPr>
    </w:p>
    <w:bookmarkStart w:id="16" w:name="page17"/>
    <w:bookmarkEnd w:id="16"/>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waive a default in the payment of the principal of, premium, if any, or interest on the debt securities or a redemption payment;</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securities or change any provision with respect to redemption of debt securities; or</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take any other action otherwise prohibited by the indenture to be taken without the consent of each holder affected by the action.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Defeasance of Debt Securities and Certain Covenants in Certain Circumstances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38" w:lineRule="exact"/>
        <w:rPr>
          <w:sz w:val="20"/>
          <w:szCs w:val="20"/>
          <w:color w:val="auto"/>
        </w:rPr>
      </w:pPr>
    </w:p>
    <w:p>
      <w:pPr>
        <w:ind w:left="340" w:right="10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defease and be discharged from any and all of our obligations with respect to any debt securities except for the following obligations (which discharge is referred to as “legal defeasance”):</w:t>
      </w:r>
    </w:p>
    <w:p>
      <w:pPr>
        <w:spacing w:after="0" w:line="10" w:lineRule="exact"/>
        <w:rPr>
          <w:rFonts w:ascii="Arial" w:cs="Arial" w:eastAsia="Arial" w:hAnsi="Arial"/>
          <w:sz w:val="16"/>
          <w:szCs w:val="16"/>
          <w:color w:val="auto"/>
        </w:rPr>
      </w:pPr>
    </w:p>
    <w:p>
      <w:pPr>
        <w:ind w:left="580" w:hanging="234"/>
        <w:spacing w:after="0"/>
        <w:tabs>
          <w:tab w:leader="none" w:pos="580"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to register the transfer or exchange of such debt securities;</w:t>
      </w:r>
    </w:p>
    <w:p>
      <w:pPr>
        <w:spacing w:after="0" w:line="59" w:lineRule="exact"/>
        <w:rPr>
          <w:rFonts w:ascii="Arial" w:cs="Arial" w:eastAsia="Arial" w:hAnsi="Arial"/>
          <w:sz w:val="16"/>
          <w:szCs w:val="16"/>
          <w:b w:val="1"/>
          <w:bCs w:val="1"/>
          <w:color w:val="auto"/>
        </w:rPr>
      </w:pPr>
    </w:p>
    <w:p>
      <w:pPr>
        <w:ind w:left="580" w:hanging="234"/>
        <w:spacing w:after="0"/>
        <w:tabs>
          <w:tab w:leader="none" w:pos="580"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to replace temporary or mutilated, destroyed, lost or stolen debt securities;</w:t>
      </w:r>
    </w:p>
    <w:p>
      <w:pPr>
        <w:spacing w:after="0" w:line="59" w:lineRule="exact"/>
        <w:rPr>
          <w:rFonts w:ascii="Arial" w:cs="Arial" w:eastAsia="Arial" w:hAnsi="Arial"/>
          <w:sz w:val="16"/>
          <w:szCs w:val="16"/>
          <w:b w:val="1"/>
          <w:bCs w:val="1"/>
          <w:color w:val="auto"/>
        </w:rPr>
      </w:pPr>
    </w:p>
    <w:p>
      <w:pPr>
        <w:ind w:left="580" w:hanging="234"/>
        <w:spacing w:after="0"/>
        <w:tabs>
          <w:tab w:leader="none" w:pos="580"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to compensate and indemnify the trustee; or</w:t>
      </w:r>
    </w:p>
    <w:p>
      <w:pPr>
        <w:spacing w:after="0" w:line="59" w:lineRule="exact"/>
        <w:rPr>
          <w:rFonts w:ascii="Arial" w:cs="Arial" w:eastAsia="Arial" w:hAnsi="Arial"/>
          <w:sz w:val="16"/>
          <w:szCs w:val="16"/>
          <w:b w:val="1"/>
          <w:bCs w:val="1"/>
          <w:color w:val="auto"/>
        </w:rPr>
      </w:pPr>
    </w:p>
    <w:p>
      <w:pPr>
        <w:ind w:left="580" w:hanging="234"/>
        <w:spacing w:after="0"/>
        <w:tabs>
          <w:tab w:leader="none" w:pos="580"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to maintain an office or agency in respect of the debt securities and to hold monies for payment in trust; or</w:t>
      </w:r>
    </w:p>
    <w:p>
      <w:pPr>
        <w:spacing w:after="0" w:line="59" w:lineRule="exact"/>
        <w:rPr>
          <w:rFonts w:ascii="Arial" w:cs="Arial" w:eastAsia="Arial" w:hAnsi="Arial"/>
          <w:sz w:val="16"/>
          <w:szCs w:val="16"/>
          <w:b w:val="1"/>
          <w:bCs w:val="1"/>
          <w:color w:val="auto"/>
        </w:rPr>
      </w:pPr>
    </w:p>
    <w:p>
      <w:pPr>
        <w:ind w:left="340" w:right="16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In order to exercise either defeasance option, we must irrevocably deposit with the trustee or other qualifying trustee, in trust for that purpose:</w:t>
      </w:r>
    </w:p>
    <w:p>
      <w:pPr>
        <w:spacing w:after="0" w:line="8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money;</w:t>
      </w:r>
    </w:p>
    <w:p>
      <w:pPr>
        <w:spacing w:after="0" w:line="59" w:lineRule="exact"/>
        <w:rPr>
          <w:rFonts w:ascii="Arial" w:cs="Arial" w:eastAsia="Arial" w:hAnsi="Arial"/>
          <w:sz w:val="16"/>
          <w:szCs w:val="16"/>
          <w:color w:val="auto"/>
        </w:rPr>
      </w:pPr>
    </w:p>
    <w:p>
      <w:pPr>
        <w:ind w:left="340" w:right="40" w:hanging="332"/>
        <w:spacing w:after="0" w:line="25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 Government Obligations (as described below) or Foreign Government Obligations (as described below) that through the scheduled payment of principal and interest in accordance with their terms will provide money; or</w:t>
      </w:r>
    </w:p>
    <w:p>
      <w:pPr>
        <w:spacing w:after="0" w:line="1" w:lineRule="exact"/>
        <w:rPr>
          <w:rFonts w:ascii="Arial" w:cs="Arial" w:eastAsia="Arial" w:hAnsi="Arial"/>
          <w:sz w:val="16"/>
          <w:szCs w:val="16"/>
          <w:color w:val="auto"/>
        </w:rPr>
      </w:pPr>
    </w:p>
    <w:p>
      <w:pPr>
        <w:ind w:left="340" w:right="60"/>
        <w:spacing w:after="0" w:line="257" w:lineRule="auto"/>
        <w:rPr>
          <w:rFonts w:ascii="Arial" w:cs="Arial" w:eastAsia="Arial" w:hAnsi="Arial"/>
          <w:sz w:val="16"/>
          <w:szCs w:val="16"/>
          <w:color w:val="auto"/>
        </w:rPr>
      </w:pPr>
      <w:r>
        <w:rPr>
          <w:rFonts w:ascii="Arial" w:cs="Arial" w:eastAsia="Arial" w:hAnsi="Arial"/>
          <w:sz w:val="16"/>
          <w:szCs w:val="16"/>
          <w:color w:val="auto"/>
        </w:rPr>
        <w:t>a combination of money and/or U.S. Government Obligations and/or Foreign Government Obligations sufficient in the written opinion of a nationally-recognized firm of independent accountants to provide money;</w:t>
      </w:r>
    </w:p>
    <w:p>
      <w:pPr>
        <w:spacing w:after="0" w:line="24" w:lineRule="exact"/>
        <w:rPr>
          <w:rFonts w:ascii="Arial" w:cs="Arial" w:eastAsia="Arial" w:hAnsi="Arial"/>
          <w:sz w:val="16"/>
          <w:szCs w:val="16"/>
          <w:color w:val="auto"/>
        </w:rPr>
      </w:pPr>
    </w:p>
    <w:p>
      <w:pPr>
        <w:ind w:left="340" w:right="34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In addition, defeasance may be effected only if, among other things:</w:t>
      </w:r>
    </w:p>
    <w:p>
      <w:pPr>
        <w:spacing w:after="0" w:line="86" w:lineRule="exact"/>
        <w:rPr>
          <w:sz w:val="20"/>
          <w:szCs w:val="20"/>
          <w:color w:val="auto"/>
        </w:rPr>
      </w:pPr>
    </w:p>
    <w:p>
      <w:pPr>
        <w:ind w:left="340" w:right="240" w:hanging="332"/>
        <w:spacing w:after="0" w:line="275"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0" w:lineRule="exact"/>
        <w:rPr>
          <w:rFonts w:ascii="Arial" w:cs="Arial" w:eastAsia="Arial" w:hAnsi="Arial"/>
          <w:sz w:val="16"/>
          <w:szCs w:val="16"/>
          <w:color w:val="auto"/>
        </w:rPr>
      </w:pPr>
    </w:p>
    <w:p>
      <w:pPr>
        <w:ind w:left="34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29" w:lineRule="exact"/>
        <w:rPr>
          <w:rFonts w:ascii="Arial" w:cs="Arial" w:eastAsia="Arial" w:hAnsi="Arial"/>
          <w:sz w:val="16"/>
          <w:szCs w:val="16"/>
          <w:color w:val="auto"/>
        </w:rPr>
      </w:pPr>
    </w:p>
    <w:p>
      <w:pPr>
        <w:ind w:left="340" w:right="220" w:hanging="332"/>
        <w:spacing w:after="0" w:line="26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20"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other conditions described in the indenture are satisfied.</w:t>
      </w:r>
    </w:p>
    <w:p>
      <w:pPr>
        <w:spacing w:after="0" w:line="140"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33" w:lineRule="exact"/>
        <w:rPr>
          <w:sz w:val="20"/>
          <w:szCs w:val="20"/>
          <w:color w:val="auto"/>
        </w:rPr>
      </w:pPr>
    </w:p>
    <w:p>
      <w:pPr>
        <w:ind w:right="340" w:firstLine="324"/>
        <w:spacing w:after="0" w:line="310" w:lineRule="auto"/>
        <w:rPr>
          <w:sz w:val="20"/>
          <w:szCs w:val="20"/>
          <w:color w:val="auto"/>
        </w:rPr>
      </w:pPr>
      <w:r>
        <w:rPr>
          <w:rFonts w:ascii="Arial" w:cs="Arial" w:eastAsia="Arial" w:hAnsi="Arial"/>
          <w:sz w:val="15"/>
          <w:szCs w:val="15"/>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95" w:lineRule="exact"/>
        <w:rPr>
          <w:sz w:val="20"/>
          <w:szCs w:val="20"/>
          <w:color w:val="auto"/>
        </w:rPr>
      </w:pPr>
    </w:p>
    <w:p>
      <w:pPr>
        <w:ind w:right="80" w:firstLine="324"/>
        <w:spacing w:after="0" w:line="304" w:lineRule="auto"/>
        <w:rPr>
          <w:sz w:val="20"/>
          <w:szCs w:val="20"/>
          <w:color w:val="auto"/>
        </w:rPr>
      </w:pPr>
      <w:r>
        <w:rPr>
          <w:rFonts w:ascii="Arial" w:cs="Arial" w:eastAsia="Arial" w:hAnsi="Arial"/>
          <w:sz w:val="14"/>
          <w:szCs w:val="14"/>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602" w:right="27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Regarding the Trustee</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6"/>
          <w:szCs w:val="16"/>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38" w:lineRule="exact"/>
        <w:rPr>
          <w:sz w:val="20"/>
          <w:szCs w:val="20"/>
          <w:color w:val="auto"/>
        </w:rPr>
      </w:pPr>
    </w:p>
    <w:p>
      <w:pPr>
        <w:ind w:firstLine="324"/>
        <w:spacing w:after="0" w:line="278" w:lineRule="auto"/>
        <w:rPr>
          <w:sz w:val="20"/>
          <w:szCs w:val="20"/>
          <w:color w:val="auto"/>
        </w:rPr>
      </w:pPr>
      <w:r>
        <w:rPr>
          <w:rFonts w:ascii="Arial" w:cs="Arial" w:eastAsia="Arial" w:hAnsi="Arial"/>
          <w:sz w:val="15"/>
          <w:szCs w:val="15"/>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Individual Liability of Incorporators, Stockholders, Officers or Directors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indentures and the debt securities will be governed by, and construed in accordance with, the laws of the State of New York.</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DESCRIPTION OF WARRANTS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71" w:lineRule="exact"/>
        <w:rPr>
          <w:sz w:val="20"/>
          <w:szCs w:val="20"/>
          <w:color w:val="auto"/>
        </w:rPr>
      </w:pPr>
    </w:p>
    <w:p>
      <w:pPr>
        <w:ind w:right="20" w:firstLine="324"/>
        <w:spacing w:after="0" w:line="252" w:lineRule="auto"/>
        <w:rPr>
          <w:sz w:val="20"/>
          <w:szCs w:val="20"/>
          <w:color w:val="auto"/>
        </w:rPr>
      </w:pPr>
      <w:r>
        <w:rPr>
          <w:rFonts w:ascii="Arial" w:cs="Arial" w:eastAsia="Arial" w:hAnsi="Arial"/>
          <w:sz w:val="16"/>
          <w:szCs w:val="16"/>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Warrants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prospectus supplement relating to a particular issue of warrants to purchase debt securities will describe the terms of the debt warrants, including the following:</w:t>
      </w:r>
    </w:p>
    <w:p>
      <w:pPr>
        <w:spacing w:after="0" w:line="9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title of the debt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offering price for the debt warrants, if any;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aggregate number of the debt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designation and terms of the debt securities, including any conversion rights, purchasable upon exercise of the debt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date from and after which the debt warrants and any debt securities issued with them will be separately transferable;</w:t>
      </w:r>
    </w:p>
    <w:p>
      <w:pPr>
        <w:spacing w:after="0" w:line="59" w:lineRule="exact"/>
        <w:rPr>
          <w:rFonts w:ascii="Arial" w:cs="Arial" w:eastAsia="Arial" w:hAnsi="Arial"/>
          <w:sz w:val="16"/>
          <w:szCs w:val="16"/>
          <w:color w:val="auto"/>
        </w:rPr>
      </w:pPr>
    </w:p>
    <w:p>
      <w:pPr>
        <w:ind w:left="340" w:right="400" w:hanging="332"/>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principal amount of debt securities that may be purchased upon exercise of a debt warrant and the exercise price for the warrants, which may be payable in cash, securities or other property;</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dates on which the right to exercise the debt warrants will commence and expire;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minimum or maximum amount of the debt warrants that may be exercised at any one time;</w:t>
      </w:r>
    </w:p>
    <w:p>
      <w:pPr>
        <w:spacing w:after="0" w:line="59" w:lineRule="exact"/>
        <w:rPr>
          <w:rFonts w:ascii="Arial" w:cs="Arial" w:eastAsia="Arial" w:hAnsi="Arial"/>
          <w:sz w:val="16"/>
          <w:szCs w:val="16"/>
          <w:color w:val="auto"/>
        </w:rPr>
      </w:pPr>
    </w:p>
    <w:p>
      <w:pPr>
        <w:ind w:left="340" w:right="100" w:hanging="332"/>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whether the debt warrants represented by the debt warrant certificates or debt securities that may be issued upon exercise of the debt warrants will be issued in registered or bearer form;</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information with respect to book-entry procedures, if any;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currency or currency units in which the offering price, if any, and the exercise price are payable;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a discussion of material U.S. federal income tax considerations;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antidilution provisions of the debt warrants, if any;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redemption or call provisions, if any, applicable to the debt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provisions with respect to the holder's right to require us to repurchase the debt warrants upon a change in control or similar event; and</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additional terms of the debt warrants, including procedures and limitations relating to the exchange, exercise, and settlement of the debt warrants.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679" w:right="279" w:bottom="1440" w:gutter="0" w:footer="0" w:header="0"/>
        </w:sectPr>
      </w:pPr>
    </w:p>
    <w:bookmarkStart w:id="18" w:name="page19"/>
    <w:bookmarkEnd w:id="18"/>
    <w:p>
      <w:pPr>
        <w:jc w:val="both"/>
        <w:ind w:firstLine="324"/>
        <w:spacing w:after="0" w:line="256" w:lineRule="auto"/>
        <w:rPr>
          <w:sz w:val="20"/>
          <w:szCs w:val="20"/>
          <w:color w:val="auto"/>
        </w:rPr>
      </w:pPr>
      <w:r>
        <w:rPr>
          <w:rFonts w:ascii="Arial" w:cs="Arial" w:eastAsia="Arial" w:hAnsi="Arial"/>
          <w:sz w:val="16"/>
          <w:szCs w:val="16"/>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Warrants</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6"/>
          <w:szCs w:val="16"/>
          <w:color w:val="auto"/>
        </w:rPr>
        <w:t>The prospectus supplement relating to a particular series of warrants to purchase our common stock or preferred stock will describe the terms of the warrants, including the following:</w:t>
      </w:r>
    </w:p>
    <w:p>
      <w:pPr>
        <w:spacing w:after="0" w:line="3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title of the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offering price for the warrants, if any;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aggregate number of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designation and terms of the common stock or preferred stock that may be purchased upon exercise of the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security;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any securities issued with the warrants will be separately transferable;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may be purchased upon exercise of a warrant and the exercise price for the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dates on which the right to exercise the warrants shall commence and expire;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applicable, the minimum or maximum amount of the warrants that may be exercised at any one time;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currency or currency units in which the offering price, if any, and the exercise price are payable;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applicable, a discussion of material U.S. federal income tax considerations;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antidilution provisions of the warrants, if any;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redemption or call provisions, if any, applicable to the warrants;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provisions with respect to a holder's right to require us to repurchase the warrants upon a change in control or similar event; and</w:t>
      </w:r>
    </w:p>
    <w:p>
      <w:pPr>
        <w:spacing w:after="0" w:line="59" w:lineRule="exact"/>
        <w:rPr>
          <w:rFonts w:ascii="Arial" w:cs="Arial" w:eastAsia="Arial" w:hAnsi="Arial"/>
          <w:sz w:val="16"/>
          <w:szCs w:val="16"/>
          <w:color w:val="auto"/>
        </w:rPr>
      </w:pPr>
    </w:p>
    <w:p>
      <w:pPr>
        <w:ind w:left="340" w:right="2020" w:hanging="332"/>
        <w:spacing w:after="0" w:line="38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additional terms of the warrants, including procedures and limitations relating to the exchange, exercise and settlement of the warrants. Holders of equity warrants will not be entitled:</w:t>
      </w: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vote, consent, or receive dividends;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receive notice as stockholders with respect to any meeting of stockholders for the election of our directors or any other matter; or</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exercise any rights as stockholders.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DESCRIPTION OF SUBSCRIPTION RIGHTS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33"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prospectus supplement relating to any subscription rights we offer, if any, will, to the extent applicable, include specific terms relating to the offering, including some or all of the following:</w:t>
      </w:r>
    </w:p>
    <w:p>
      <w:pPr>
        <w:spacing w:after="0" w:line="3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price, if any, for the subscription rights;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exercise price payable for our common stock, preferred stock or debt securities upon the exercise of the subscription rights;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subscription rights to be issued to each stockholder;</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and terms of our common stock, preferred stock or debt securities which may be purchased per each subscription right;</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extent to which the subscription rights are transferable;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other terms of the subscription rights, including the terms, procedures and limitations relating to the exchange and exercise of the subscription rights;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59" w:lineRule="exact"/>
        <w:rPr>
          <w:rFonts w:ascii="Arial" w:cs="Arial" w:eastAsia="Arial" w:hAnsi="Arial"/>
          <w:sz w:val="16"/>
          <w:szCs w:val="16"/>
          <w:color w:val="auto"/>
        </w:rPr>
      </w:pPr>
    </w:p>
    <w:p>
      <w:pPr>
        <w:ind w:left="340" w:right="140" w:hanging="332"/>
        <w:spacing w:after="0" w:line="275"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extent to which the subscription rights may include an over-subscription privilege with respect to unsubscribed securities or an over-allotment privilege to the extent the securities are fully subscribed; and</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683" w:right="279" w:bottom="1440" w:gutter="0" w:footer="0" w:header="0"/>
        </w:sectPr>
      </w:pPr>
    </w:p>
    <w:bookmarkStart w:id="19" w:name="page20"/>
    <w:bookmarkEnd w:id="19"/>
    <w:p>
      <w:pPr>
        <w:ind w:left="340" w:right="320" w:hanging="332"/>
        <w:spacing w:after="0" w:line="275"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applicable, the material terms of any standby underwriting or purchase arrangement which may be entered into by us in connection with the offering of subscription rights.</w:t>
      </w:r>
    </w:p>
    <w:p>
      <w:pPr>
        <w:spacing w:after="0" w:line="92" w:lineRule="exact"/>
        <w:rPr>
          <w:sz w:val="20"/>
          <w:szCs w:val="20"/>
          <w:color w:val="auto"/>
        </w:rPr>
      </w:pPr>
    </w:p>
    <w:p>
      <w:pPr>
        <w:ind w:right="20" w:firstLine="324"/>
        <w:spacing w:after="0" w:line="261" w:lineRule="auto"/>
        <w:rPr>
          <w:sz w:val="20"/>
          <w:szCs w:val="20"/>
          <w:color w:val="auto"/>
        </w:rPr>
      </w:pPr>
      <w:r>
        <w:rPr>
          <w:rFonts w:ascii="Arial" w:cs="Arial" w:eastAsia="Arial" w:hAnsi="Arial"/>
          <w:sz w:val="16"/>
          <w:szCs w:val="16"/>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UNITS</w:t>
      </w:r>
    </w:p>
    <w:p>
      <w:pPr>
        <w:spacing w:after="0" w:line="17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5"/>
          <w:szCs w:val="15"/>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LEGAL MATTERS</w:t>
      </w:r>
    </w:p>
    <w:p>
      <w:pPr>
        <w:spacing w:after="0" w:line="171" w:lineRule="exact"/>
        <w:rPr>
          <w:sz w:val="20"/>
          <w:szCs w:val="20"/>
          <w:color w:val="auto"/>
        </w:rPr>
      </w:pPr>
    </w:p>
    <w:p>
      <w:pPr>
        <w:ind w:right="460" w:firstLine="324"/>
        <w:spacing w:after="0" w:line="275" w:lineRule="auto"/>
        <w:rPr>
          <w:sz w:val="20"/>
          <w:szCs w:val="20"/>
          <w:color w:val="auto"/>
        </w:rPr>
      </w:pPr>
      <w:r>
        <w:rPr>
          <w:rFonts w:ascii="Arial" w:cs="Arial" w:eastAsia="Arial" w:hAnsi="Arial"/>
          <w:sz w:val="16"/>
          <w:szCs w:val="16"/>
          <w:color w:val="auto"/>
        </w:rPr>
        <w:t>Fenwick &amp; West LLP, Mountain View, California, will issue an opinion about certain legal matters with respect to the securities. Any underwriters or agents will be advised about legal matters relating to any offering by their own counsel.</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EXPERTS</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The consolidated financial statements of AnaptysBio, Inc. as of December 31, 2016 and 2015, and for each of the years in the three-year period ended December 31, 2016, have been incorporated by reference herein in reliance upon the report of KPMG LLP, an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0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9600" w:type="dxa"/>
            <w:vAlign w:val="bottom"/>
          </w:tcPr>
          <w:p>
            <w:pPr>
              <w:ind w:left="5400"/>
              <w:spacing w:after="0"/>
              <w:rPr>
                <w:sz w:val="20"/>
                <w:szCs w:val="20"/>
                <w:color w:val="auto"/>
              </w:rPr>
            </w:pPr>
            <w:r>
              <w:rPr>
                <w:rFonts w:ascii="Arial" w:cs="Arial" w:eastAsia="Arial" w:hAnsi="Arial"/>
                <w:sz w:val="16"/>
                <w:szCs w:val="16"/>
                <w:b w:val="1"/>
                <w:bCs w:val="1"/>
                <w:color w:val="auto"/>
              </w:rPr>
              <w:t>PART II</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00" w:type="dxa"/>
            <w:vAlign w:val="bottom"/>
          </w:tcPr>
          <w:p>
            <w:pPr>
              <w:ind w:left="3800"/>
              <w:spacing w:after="0"/>
              <w:rPr>
                <w:sz w:val="20"/>
                <w:szCs w:val="20"/>
                <w:color w:val="auto"/>
              </w:rPr>
            </w:pPr>
            <w:r>
              <w:rPr>
                <w:rFonts w:ascii="Arial" w:cs="Arial" w:eastAsia="Arial" w:hAnsi="Arial"/>
                <w:sz w:val="16"/>
                <w:szCs w:val="16"/>
                <w:b w:val="1"/>
                <w:bCs w:val="1"/>
                <w:color w:val="auto"/>
              </w:rPr>
              <w:t>INFORMATION NOT REQUIRED IN PROSPECTUS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00" w:type="dxa"/>
            <w:vAlign w:val="bottom"/>
          </w:tcPr>
          <w:p>
            <w:pPr>
              <w:spacing w:after="0"/>
              <w:rPr>
                <w:sz w:val="20"/>
                <w:szCs w:val="20"/>
                <w:color w:val="auto"/>
              </w:rPr>
            </w:pPr>
            <w:r>
              <w:rPr>
                <w:rFonts w:ascii="Arial" w:cs="Arial" w:eastAsia="Arial" w:hAnsi="Arial"/>
                <w:sz w:val="16"/>
                <w:szCs w:val="16"/>
                <w:b w:val="1"/>
                <w:bCs w:val="1"/>
                <w:color w:val="auto"/>
              </w:rPr>
              <w:t>Item 14. Other Expenses of Issuance and Distribution</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ind w:left="340"/>
              <w:spacing w:after="0"/>
              <w:rPr>
                <w:sz w:val="20"/>
                <w:szCs w:val="20"/>
                <w:color w:val="auto"/>
              </w:rPr>
            </w:pPr>
            <w:r>
              <w:rPr>
                <w:rFonts w:ascii="Arial" w:cs="Arial" w:eastAsia="Arial" w:hAnsi="Arial"/>
                <w:sz w:val="16"/>
                <w:szCs w:val="16"/>
                <w:color w:val="auto"/>
                <w:w w:val="99"/>
              </w:rPr>
              <w:t>The following table sets forth estimated expenses in connection with the issuance and distribution of the securities being registered: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SEC registration fee</w:t>
            </w:r>
          </w:p>
        </w:tc>
        <w:tc>
          <w:tcPr>
            <w:tcW w:w="9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FEFEFE"/>
            </w:tcBorders>
            <w:shd w:val="clear" w:color="auto" w:fill="FEFEFE"/>
          </w:tcPr>
          <w:p>
            <w:pPr>
              <w:ind w:left="60"/>
              <w:spacing w:after="0"/>
              <w:rPr>
                <w:sz w:val="20"/>
                <w:szCs w:val="20"/>
                <w:color w:val="auto"/>
              </w:rPr>
            </w:pPr>
            <w:r>
              <w:rPr>
                <w:rFonts w:ascii="Arial" w:cs="Arial" w:eastAsia="Arial" w:hAnsi="Arial"/>
                <w:sz w:val="16"/>
                <w:szCs w:val="16"/>
                <w:color w:val="auto"/>
              </w:rPr>
              <w:t>FINRA filing fee</w:t>
            </w:r>
          </w:p>
        </w:tc>
        <w:tc>
          <w:tcPr>
            <w:tcW w:w="220" w:type="dxa"/>
            <w:vAlign w:val="bottom"/>
            <w:tcBorders>
              <w:bottom w:val="single" w:sz="8" w:color="FEFEFE"/>
            </w:tcBorders>
            <w:shd w:val="clear" w:color="auto" w:fill="FEFEFE"/>
          </w:tcPr>
          <w:p>
            <w:pPr>
              <w:spacing w:after="0"/>
              <w:rPr>
                <w:sz w:val="21"/>
                <w:szCs w:val="21"/>
                <w:color w:val="auto"/>
              </w:rPr>
            </w:pPr>
          </w:p>
        </w:tc>
        <w:tc>
          <w:tcPr>
            <w:tcW w:w="760" w:type="dxa"/>
            <w:vAlign w:val="bottom"/>
            <w:tcBorders>
              <w:bottom w:val="single" w:sz="8" w:color="FEFEFE"/>
            </w:tcBorders>
            <w:shd w:val="clear" w:color="auto" w:fill="FEFEFE"/>
          </w:tcPr>
          <w:p>
            <w:pPr>
              <w:spacing w:after="0"/>
              <w:rPr>
                <w:sz w:val="21"/>
                <w:szCs w:val="21"/>
                <w:color w:val="auto"/>
              </w:rPr>
            </w:pPr>
          </w:p>
        </w:tc>
        <w:tc>
          <w:tcPr>
            <w:tcW w:w="840" w:type="dxa"/>
            <w:vAlign w:val="bottom"/>
            <w:tcBorders>
              <w:bottom w:val="single" w:sz="8" w:color="FEFEFE"/>
            </w:tcBorders>
            <w:shd w:val="clear" w:color="auto" w:fill="FEFEFE"/>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Printing and engraving</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FEFEFE"/>
            </w:tcBorders>
            <w:shd w:val="clear" w:color="auto" w:fill="FEFEFE"/>
          </w:tcPr>
          <w:p>
            <w:pPr>
              <w:ind w:left="60"/>
              <w:spacing w:after="0"/>
              <w:rPr>
                <w:sz w:val="20"/>
                <w:szCs w:val="20"/>
                <w:color w:val="auto"/>
              </w:rPr>
            </w:pPr>
            <w:r>
              <w:rPr>
                <w:rFonts w:ascii="Arial" w:cs="Arial" w:eastAsia="Arial" w:hAnsi="Arial"/>
                <w:sz w:val="16"/>
                <w:szCs w:val="16"/>
                <w:color w:val="auto"/>
              </w:rPr>
              <w:t>Legal fees and expenses</w:t>
            </w:r>
          </w:p>
        </w:tc>
        <w:tc>
          <w:tcPr>
            <w:tcW w:w="220" w:type="dxa"/>
            <w:vAlign w:val="bottom"/>
            <w:tcBorders>
              <w:bottom w:val="single" w:sz="8" w:color="FEFEFE"/>
            </w:tcBorders>
            <w:shd w:val="clear" w:color="auto" w:fill="FEFEFE"/>
          </w:tcPr>
          <w:p>
            <w:pPr>
              <w:spacing w:after="0"/>
              <w:rPr>
                <w:sz w:val="21"/>
                <w:szCs w:val="21"/>
                <w:color w:val="auto"/>
              </w:rPr>
            </w:pPr>
          </w:p>
        </w:tc>
        <w:tc>
          <w:tcPr>
            <w:tcW w:w="760" w:type="dxa"/>
            <w:vAlign w:val="bottom"/>
            <w:tcBorders>
              <w:bottom w:val="single" w:sz="8" w:color="FEFEFE"/>
            </w:tcBorders>
            <w:shd w:val="clear" w:color="auto" w:fill="FEFEFE"/>
          </w:tcPr>
          <w:p>
            <w:pPr>
              <w:spacing w:after="0"/>
              <w:rPr>
                <w:sz w:val="21"/>
                <w:szCs w:val="21"/>
                <w:color w:val="auto"/>
              </w:rPr>
            </w:pPr>
          </w:p>
        </w:tc>
        <w:tc>
          <w:tcPr>
            <w:tcW w:w="840" w:type="dxa"/>
            <w:vAlign w:val="bottom"/>
            <w:tcBorders>
              <w:bottom w:val="single" w:sz="8" w:color="FEFEFE"/>
            </w:tcBorders>
            <w:shd w:val="clear" w:color="auto" w:fill="FEFEFE"/>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Accounting fees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FEFEFE"/>
            </w:tcBorders>
            <w:shd w:val="clear" w:color="auto" w:fill="FEFEFE"/>
          </w:tcPr>
          <w:p>
            <w:pPr>
              <w:ind w:left="60"/>
              <w:spacing w:after="0"/>
              <w:rPr>
                <w:sz w:val="20"/>
                <w:szCs w:val="20"/>
                <w:color w:val="auto"/>
              </w:rPr>
            </w:pPr>
            <w:r>
              <w:rPr>
                <w:rFonts w:ascii="Arial" w:cs="Arial" w:eastAsia="Arial" w:hAnsi="Arial"/>
                <w:sz w:val="16"/>
                <w:szCs w:val="16"/>
                <w:color w:val="auto"/>
              </w:rPr>
              <w:t>Transfer agent and registrar fees and expenses</w:t>
            </w:r>
          </w:p>
        </w:tc>
        <w:tc>
          <w:tcPr>
            <w:tcW w:w="220" w:type="dxa"/>
            <w:vAlign w:val="bottom"/>
            <w:tcBorders>
              <w:bottom w:val="single" w:sz="8" w:color="FEFEFE"/>
            </w:tcBorders>
            <w:shd w:val="clear" w:color="auto" w:fill="FEFEFE"/>
          </w:tcPr>
          <w:p>
            <w:pPr>
              <w:spacing w:after="0"/>
              <w:rPr>
                <w:sz w:val="21"/>
                <w:szCs w:val="21"/>
                <w:color w:val="auto"/>
              </w:rPr>
            </w:pPr>
          </w:p>
        </w:tc>
        <w:tc>
          <w:tcPr>
            <w:tcW w:w="760" w:type="dxa"/>
            <w:vAlign w:val="bottom"/>
            <w:tcBorders>
              <w:bottom w:val="single" w:sz="8" w:color="FEFEFE"/>
            </w:tcBorders>
            <w:shd w:val="clear" w:color="auto" w:fill="FEFEFE"/>
          </w:tcPr>
          <w:p>
            <w:pPr>
              <w:spacing w:after="0"/>
              <w:rPr>
                <w:sz w:val="21"/>
                <w:szCs w:val="21"/>
                <w:color w:val="auto"/>
              </w:rPr>
            </w:pPr>
          </w:p>
        </w:tc>
        <w:tc>
          <w:tcPr>
            <w:tcW w:w="840" w:type="dxa"/>
            <w:vAlign w:val="bottom"/>
            <w:tcBorders>
              <w:bottom w:val="single" w:sz="8" w:color="FEFEFE"/>
            </w:tcBorders>
            <w:shd w:val="clear" w:color="auto" w:fill="FEFEFE"/>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Miscellaneous 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FEFEFE"/>
            </w:tcBorders>
            <w:shd w:val="clear" w:color="auto" w:fill="FEFEFE"/>
          </w:tcPr>
          <w:p>
            <w:pPr>
              <w:spacing w:after="0"/>
              <w:rPr>
                <w:sz w:val="24"/>
                <w:szCs w:val="24"/>
                <w:color w:val="auto"/>
              </w:rPr>
            </w:pPr>
          </w:p>
        </w:tc>
        <w:tc>
          <w:tcPr>
            <w:tcW w:w="220" w:type="dxa"/>
            <w:vAlign w:val="bottom"/>
            <w:tcBorders>
              <w:bottom w:val="single" w:sz="8" w:color="FEFEFE"/>
            </w:tcBorders>
            <w:shd w:val="clear" w:color="auto" w:fill="FEFEFE"/>
          </w:tcPr>
          <w:p>
            <w:pPr>
              <w:spacing w:after="0"/>
              <w:rPr>
                <w:sz w:val="24"/>
                <w:szCs w:val="24"/>
                <w:color w:val="auto"/>
              </w:rPr>
            </w:pPr>
          </w:p>
        </w:tc>
        <w:tc>
          <w:tcPr>
            <w:tcW w:w="760" w:type="dxa"/>
            <w:vAlign w:val="bottom"/>
            <w:tcBorders>
              <w:bottom w:val="single" w:sz="8" w:color="auto"/>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600" w:type="dxa"/>
            <w:vAlign w:val="bottom"/>
            <w:shd w:val="clear" w:color="auto" w:fill="FEFEFE"/>
          </w:tcPr>
          <w:p>
            <w:pPr>
              <w:ind w:left="60"/>
              <w:spacing w:after="0"/>
              <w:rPr>
                <w:sz w:val="20"/>
                <w:szCs w:val="20"/>
                <w:color w:val="auto"/>
              </w:rPr>
            </w:pPr>
            <w:r>
              <w:rPr>
                <w:rFonts w:ascii="Arial" w:cs="Arial" w:eastAsia="Arial" w:hAnsi="Arial"/>
                <w:sz w:val="16"/>
                <w:szCs w:val="16"/>
                <w:color w:val="auto"/>
              </w:rPr>
              <w:t>Total</w:t>
            </w:r>
          </w:p>
        </w:tc>
        <w:tc>
          <w:tcPr>
            <w:tcW w:w="980" w:type="dxa"/>
            <w:vAlign w:val="bottom"/>
            <w:gridSpan w:val="2"/>
            <w:shd w:val="clear" w:color="auto" w:fill="FEFEFE"/>
          </w:tcPr>
          <w:p>
            <w:pPr>
              <w:jc w:val="right"/>
              <w:ind w:right="640"/>
              <w:spacing w:after="0"/>
              <w:rPr>
                <w:sz w:val="20"/>
                <w:szCs w:val="20"/>
                <w:color w:val="auto"/>
              </w:rPr>
            </w:pPr>
            <w:r>
              <w:rPr>
                <w:rFonts w:ascii="Arial" w:cs="Arial" w:eastAsia="Arial" w:hAnsi="Arial"/>
                <w:sz w:val="16"/>
                <w:szCs w:val="16"/>
                <w:color w:val="auto"/>
              </w:rPr>
              <w:t>$</w:t>
            </w:r>
          </w:p>
        </w:tc>
        <w:tc>
          <w:tcPr>
            <w:tcW w:w="840" w:type="dxa"/>
            <w:vAlign w:val="bottom"/>
            <w:shd w:val="clear" w:color="auto" w:fill="FEFEFE"/>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600" w:type="dxa"/>
            <w:vAlign w:val="bottom"/>
            <w:tcBorders>
              <w:top w:val="single" w:sz="8" w:color="FEFEFE"/>
              <w:bottom w:val="single" w:sz="8" w:color="FEFEFE"/>
            </w:tcBorders>
            <w:vMerge w:val="restart"/>
          </w:tcPr>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The SEC registration fee is being deferred pursuant to Rules 456(b) and 457(r) of the Securities Act.</w:t>
            </w:r>
          </w:p>
        </w:tc>
        <w:tc>
          <w:tcPr>
            <w:tcW w:w="220" w:type="dxa"/>
            <w:vAlign w:val="bottom"/>
            <w:tcBorders>
              <w:top w:val="single" w:sz="8" w:color="FEFEF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9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40" w:firstLine="8"/>
        <w:spacing w:after="0" w:line="261" w:lineRule="auto"/>
        <w:tabs>
          <w:tab w:leader="none" w:pos="122"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Indemnification of Officers and Directors</w:t>
      </w:r>
    </w:p>
    <w:p>
      <w:pPr>
        <w:spacing w:after="0" w:line="171" w:lineRule="exact"/>
        <w:rPr>
          <w:sz w:val="20"/>
          <w:szCs w:val="20"/>
          <w:color w:val="auto"/>
        </w:rPr>
      </w:pPr>
    </w:p>
    <w:p>
      <w:pPr>
        <w:ind w:right="80" w:firstLine="324"/>
        <w:spacing w:after="0" w:line="315" w:lineRule="auto"/>
        <w:rPr>
          <w:sz w:val="20"/>
          <w:szCs w:val="20"/>
          <w:color w:val="auto"/>
        </w:rPr>
      </w:pPr>
      <w:r>
        <w:rPr>
          <w:rFonts w:ascii="Arial" w:cs="Arial" w:eastAsia="Arial" w:hAnsi="Arial"/>
          <w:sz w:val="14"/>
          <w:szCs w:val="14"/>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95"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As permitted by the Delaware General Corporation Law, the Registrant's restated certificate of incorporation contains provisions that eliminate the personal liability of its directors for monetary damages for any breach of fiduciary duties as a director, except liability for the following:</w:t>
      </w:r>
    </w:p>
    <w:p>
      <w:pPr>
        <w:spacing w:after="0" w:line="3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breach of the director's duty of loyalty to the Registrant or its stockholders;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Section 174 of the Delaware General Corporation Law (regarding unlawful dividends and stock purchases); or</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23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As permitted by the Delaware General Corporation Law, the Registrant's restated bylaws provide that:</w:t>
      </w:r>
    </w:p>
    <w:p>
      <w:pPr>
        <w:spacing w:after="0" w:line="180" w:lineRule="exact"/>
        <w:rPr>
          <w:rFonts w:ascii="Arial" w:cs="Arial" w:eastAsia="Arial" w:hAnsi="Arial"/>
          <w:sz w:val="16"/>
          <w:szCs w:val="16"/>
          <w:color w:val="auto"/>
        </w:rPr>
      </w:pPr>
    </w:p>
    <w:p>
      <w:pPr>
        <w:ind w:left="340" w:right="40" w:hanging="332"/>
        <w:spacing w:after="0" w:line="27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 is required to indemnify its directors and executive officers to the fullest extent permitted by the Delaware General Corporation Law, subject to very limited exceptions;</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 may indemnify its other employees and agents as set forth in the Delaware General Corporation Law;</w:t>
      </w:r>
    </w:p>
    <w:p>
      <w:pPr>
        <w:spacing w:after="0" w:line="59" w:lineRule="exact"/>
        <w:rPr>
          <w:rFonts w:ascii="Arial" w:cs="Arial" w:eastAsia="Arial" w:hAnsi="Arial"/>
          <w:sz w:val="16"/>
          <w:szCs w:val="16"/>
          <w:color w:val="auto"/>
        </w:rPr>
      </w:pPr>
    </w:p>
    <w:p>
      <w:pPr>
        <w:ind w:left="340" w:right="200" w:hanging="332"/>
        <w:spacing w:after="0" w:line="275"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 is required to advance expenses, as incurred, to its directors and executive officers in connection with a legal proceeding to the fullest extent permitted by the Delaware General Corporation Law, subject to very limited exceptions; and</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rights conferred in the restated bylaws are not exclusive.</w:t>
      </w:r>
    </w:p>
    <w:p>
      <w:pPr>
        <w:spacing w:after="0" w:line="140" w:lineRule="exact"/>
        <w:rPr>
          <w:sz w:val="20"/>
          <w:szCs w:val="20"/>
          <w:color w:val="auto"/>
        </w:rPr>
      </w:pPr>
    </w:p>
    <w:p>
      <w:pPr>
        <w:ind w:right="80" w:firstLine="324"/>
        <w:spacing w:after="0" w:line="272" w:lineRule="auto"/>
        <w:rPr>
          <w:sz w:val="20"/>
          <w:szCs w:val="20"/>
          <w:color w:val="auto"/>
        </w:rPr>
      </w:pPr>
      <w:r>
        <w:rPr>
          <w:rFonts w:ascii="Arial" w:cs="Arial" w:eastAsia="Arial" w:hAnsi="Arial"/>
          <w:sz w:val="15"/>
          <w:szCs w:val="15"/>
          <w:color w:val="auto"/>
        </w:rPr>
        <w:t>The Registrant has entered, and intends to continue to enter, into separate indemnification agreements with its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At present, there is no pending litigation or proceeding involving a director or executive officer of the Registrant regarding which indemnification is sought.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Registrant currently carries liability insurance for its directors and officers.</w:t>
      </w:r>
    </w:p>
    <w:p>
      <w:pPr>
        <w:sectPr>
          <w:pgSz w:w="11900" w:h="16838" w:orient="portrait"/>
          <w:cols w:equalWidth="0" w:num="1">
            <w:col w:w="11420"/>
          </w:cols>
          <w:pgMar w:left="240" w:top="693"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Item 16. Exhibits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Incorporated by Reference</w:t>
            </w:r>
          </w:p>
        </w:tc>
        <w:tc>
          <w:tcPr>
            <w:tcW w:w="800" w:type="dxa"/>
            <w:vAlign w:val="bottom"/>
            <w:tcBorders>
              <w:bottom w:val="single" w:sz="8" w:color="auto"/>
            </w:tcBorders>
          </w:tcPr>
          <w:p>
            <w:pPr>
              <w:spacing w:after="0"/>
              <w:rPr>
                <w:sz w:val="15"/>
                <w:szCs w:val="15"/>
                <w:color w:val="auto"/>
              </w:rPr>
            </w:pPr>
          </w:p>
        </w:tc>
      </w:tr>
      <w:tr>
        <w:trPr>
          <w:trHeight w:val="144"/>
        </w:trPr>
        <w:tc>
          <w:tcPr>
            <w:tcW w:w="2200" w:type="dxa"/>
            <w:vAlign w:val="bottom"/>
            <w:gridSpan w:val="2"/>
          </w:tcPr>
          <w:p>
            <w:pPr>
              <w:ind w:left="660"/>
              <w:spacing w:after="0" w:line="144" w:lineRule="exact"/>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Filed</w:t>
            </w:r>
          </w:p>
        </w:tc>
      </w:tr>
      <w:tr>
        <w:trPr>
          <w:trHeight w:val="174"/>
        </w:trPr>
        <w:tc>
          <w:tcPr>
            <w:tcW w:w="17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Number</w:t>
            </w:r>
          </w:p>
        </w:tc>
        <w:tc>
          <w:tcPr>
            <w:tcW w:w="4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12"/>
          </w:tcPr>
          <w:p>
            <w:pPr>
              <w:ind w:left="180"/>
              <w:spacing w:after="0"/>
              <w:rPr>
                <w:sz w:val="20"/>
                <w:szCs w:val="20"/>
                <w:color w:val="auto"/>
              </w:rPr>
            </w:pPr>
            <w:r>
              <w:rPr>
                <w:rFonts w:ascii="Arial" w:cs="Arial" w:eastAsia="Arial" w:hAnsi="Arial"/>
                <w:sz w:val="13"/>
                <w:szCs w:val="13"/>
                <w:b w:val="1"/>
                <w:bCs w:val="1"/>
                <w:color w:val="auto"/>
              </w:rPr>
              <w:t>Exhibit Description</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Form</w:t>
            </w:r>
          </w:p>
        </w:tc>
        <w:tc>
          <w:tcPr>
            <w:tcW w:w="220" w:type="dxa"/>
            <w:vAlign w:val="bottom"/>
          </w:tcPr>
          <w:p>
            <w:pPr>
              <w:spacing w:after="0"/>
              <w:rPr>
                <w:sz w:val="15"/>
                <w:szCs w:val="15"/>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File No.</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Exhibit</w:t>
            </w: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Filing Date</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Herewith</w:t>
            </w:r>
          </w:p>
        </w:tc>
      </w:tr>
      <w:tr>
        <w:trPr>
          <w:trHeight w:val="224"/>
        </w:trPr>
        <w:tc>
          <w:tcPr>
            <w:tcW w:w="1740" w:type="dxa"/>
            <w:vAlign w:val="bottom"/>
          </w:tcPr>
          <w:p>
            <w:pPr>
              <w:ind w:left="980"/>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Form of Underwriting Agreement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98"/>
        </w:trPr>
        <w:tc>
          <w:tcPr>
            <w:tcW w:w="1740" w:type="dxa"/>
            <w:vAlign w:val="bottom"/>
          </w:tcPr>
          <w:p>
            <w:pPr>
              <w:ind w:left="980"/>
              <w:spacing w:after="0"/>
              <w:rPr>
                <w:sz w:val="20"/>
                <w:szCs w:val="20"/>
                <w:color w:val="auto"/>
              </w:rPr>
            </w:pPr>
            <w:r>
              <w:rPr>
                <w:rFonts w:ascii="Arial" w:cs="Arial" w:eastAsia="Arial" w:hAnsi="Arial"/>
                <w:sz w:val="16"/>
                <w:szCs w:val="16"/>
                <w:color w:val="auto"/>
              </w:rPr>
              <w:t>3.1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10"/>
          </w:tcPr>
          <w:p>
            <w:pPr>
              <w:spacing w:after="0"/>
              <w:rPr>
                <w:rFonts w:ascii="Arial" w:cs="Arial" w:eastAsia="Arial" w:hAnsi="Arial"/>
                <w:sz w:val="16"/>
                <w:szCs w:val="16"/>
                <w:color w:val="0000FF"/>
                <w:w w:val="92"/>
              </w:rPr>
            </w:pPr>
            <w:hyperlink r:id="rId17">
              <w:r>
                <w:rPr>
                  <w:rFonts w:ascii="Arial" w:cs="Arial" w:eastAsia="Arial" w:hAnsi="Arial"/>
                  <w:sz w:val="16"/>
                  <w:szCs w:val="16"/>
                  <w:color w:val="0000FF"/>
                  <w:w w:val="92"/>
                </w:rPr>
                <w:t>Restated Certificate of Incorporation of the</w:t>
              </w:r>
            </w:hyperlink>
          </w:p>
        </w:tc>
        <w:tc>
          <w:tcPr>
            <w:tcW w:w="600" w:type="dxa"/>
            <w:vAlign w:val="bottom"/>
            <w:gridSpan w:val="6"/>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10-Q</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001-37985</w:t>
            </w:r>
          </w:p>
        </w:tc>
        <w:tc>
          <w:tcPr>
            <w:tcW w:w="900" w:type="dxa"/>
            <w:vAlign w:val="bottom"/>
            <w:gridSpan w:val="2"/>
          </w:tcPr>
          <w:p>
            <w:pPr>
              <w:jc w:val="center"/>
              <w:ind w:left="143"/>
              <w:spacing w:after="0"/>
              <w:rPr>
                <w:sz w:val="20"/>
                <w:szCs w:val="20"/>
                <w:color w:val="auto"/>
              </w:rPr>
            </w:pPr>
            <w:r>
              <w:rPr>
                <w:rFonts w:ascii="Arial" w:cs="Arial" w:eastAsia="Arial" w:hAnsi="Arial"/>
                <w:sz w:val="16"/>
                <w:szCs w:val="16"/>
                <w:color w:val="auto"/>
                <w:w w:val="89"/>
              </w:rPr>
              <w:t>3.1</w:t>
            </w:r>
          </w:p>
        </w:tc>
        <w:tc>
          <w:tcPr>
            <w:tcW w:w="2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May 12, 2017</w:t>
            </w:r>
          </w:p>
        </w:tc>
        <w:tc>
          <w:tcPr>
            <w:tcW w:w="800" w:type="dxa"/>
            <w:vAlign w:val="bottom"/>
          </w:tcPr>
          <w:p>
            <w:pPr>
              <w:spacing w:after="0"/>
              <w:rPr>
                <w:sz w:val="24"/>
                <w:szCs w:val="24"/>
                <w:color w:val="auto"/>
              </w:rPr>
            </w:pPr>
          </w:p>
        </w:tc>
      </w:tr>
      <w:tr>
        <w:trPr>
          <w:trHeight w:val="183"/>
        </w:trPr>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gridSpan w:val="16"/>
          </w:tcPr>
          <w:p>
            <w:pPr>
              <w:spacing w:after="0" w:line="183" w:lineRule="exact"/>
              <w:rPr>
                <w:rFonts w:ascii="Arial" w:cs="Arial" w:eastAsia="Arial" w:hAnsi="Arial"/>
                <w:sz w:val="16"/>
                <w:szCs w:val="16"/>
                <w:color w:val="0000FF"/>
              </w:rPr>
            </w:pPr>
            <w:hyperlink r:id="rId17">
              <w:r>
                <w:rPr>
                  <w:rFonts w:ascii="Arial" w:cs="Arial" w:eastAsia="Arial" w:hAnsi="Arial"/>
                  <w:sz w:val="16"/>
                  <w:szCs w:val="16"/>
                  <w:color w:val="0000FF"/>
                </w:rPr>
                <w:t>Registrant</w:t>
              </w:r>
            </w:hyperlink>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1740" w:type="dxa"/>
            <w:vAlign w:val="bottom"/>
          </w:tcPr>
          <w:p>
            <w:pPr>
              <w:ind w:left="980"/>
              <w:spacing w:after="0"/>
              <w:rPr>
                <w:sz w:val="20"/>
                <w:szCs w:val="20"/>
                <w:color w:val="auto"/>
              </w:rPr>
            </w:pPr>
            <w:r>
              <w:rPr>
                <w:rFonts w:ascii="Arial" w:cs="Arial" w:eastAsia="Arial" w:hAnsi="Arial"/>
                <w:sz w:val="16"/>
                <w:szCs w:val="16"/>
                <w:color w:val="auto"/>
              </w:rPr>
              <w:t>3.2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rFonts w:ascii="Arial" w:cs="Arial" w:eastAsia="Arial" w:hAnsi="Arial"/>
                <w:sz w:val="16"/>
                <w:szCs w:val="16"/>
                <w:color w:val="0000FF"/>
              </w:rPr>
            </w:pPr>
            <w:hyperlink r:id="rId18">
              <w:r>
                <w:rPr>
                  <w:rFonts w:ascii="Arial" w:cs="Arial" w:eastAsia="Arial" w:hAnsi="Arial"/>
                  <w:sz w:val="16"/>
                  <w:szCs w:val="16"/>
                  <w:color w:val="0000FF"/>
                </w:rPr>
                <w:t>Restated Bylaws of the Registrant</w:t>
              </w:r>
            </w:hyperlink>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S-1</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333-206849</w:t>
            </w:r>
          </w:p>
        </w:tc>
        <w:tc>
          <w:tcPr>
            <w:tcW w:w="900" w:type="dxa"/>
            <w:vAlign w:val="bottom"/>
            <w:gridSpan w:val="2"/>
          </w:tcPr>
          <w:p>
            <w:pPr>
              <w:jc w:val="center"/>
              <w:ind w:left="143"/>
              <w:spacing w:after="0"/>
              <w:rPr>
                <w:sz w:val="20"/>
                <w:szCs w:val="20"/>
                <w:color w:val="auto"/>
              </w:rPr>
            </w:pPr>
            <w:r>
              <w:rPr>
                <w:rFonts w:ascii="Arial" w:cs="Arial" w:eastAsia="Arial" w:hAnsi="Arial"/>
                <w:sz w:val="16"/>
                <w:szCs w:val="16"/>
                <w:color w:val="auto"/>
                <w:w w:val="89"/>
              </w:rPr>
              <w:t>3.4</w:t>
            </w:r>
          </w:p>
        </w:tc>
        <w:tc>
          <w:tcPr>
            <w:tcW w:w="2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September 9, 2015</w:t>
            </w:r>
          </w:p>
        </w:tc>
        <w:tc>
          <w:tcPr>
            <w:tcW w:w="80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740" w:type="dxa"/>
            <w:vAlign w:val="bottom"/>
          </w:tcPr>
          <w:p>
            <w:pPr>
              <w:ind w:left="980"/>
              <w:spacing w:after="0"/>
              <w:rPr>
                <w:sz w:val="20"/>
                <w:szCs w:val="20"/>
                <w:color w:val="auto"/>
              </w:rPr>
            </w:pPr>
            <w:r>
              <w:rPr>
                <w:rFonts w:ascii="Arial" w:cs="Arial" w:eastAsia="Arial" w:hAnsi="Arial"/>
                <w:sz w:val="16"/>
                <w:szCs w:val="16"/>
                <w:color w:val="auto"/>
              </w:rPr>
              <w:t>4.1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bottom w:val="single" w:sz="8" w:color="0000FF"/>
            </w:tcBorders>
            <w:gridSpan w:val="13"/>
          </w:tcPr>
          <w:p>
            <w:pPr>
              <w:spacing w:after="0"/>
              <w:rPr>
                <w:rFonts w:ascii="Arial" w:cs="Arial" w:eastAsia="Arial" w:hAnsi="Arial"/>
                <w:sz w:val="16"/>
                <w:szCs w:val="16"/>
                <w:color w:val="0000FF"/>
                <w:w w:val="90"/>
              </w:rPr>
            </w:pPr>
            <w:hyperlink r:id="rId19">
              <w:r>
                <w:rPr>
                  <w:rFonts w:ascii="Arial" w:cs="Arial" w:eastAsia="Arial" w:hAnsi="Arial"/>
                  <w:sz w:val="16"/>
                  <w:szCs w:val="16"/>
                  <w:color w:val="0000FF"/>
                  <w:w w:val="90"/>
                </w:rPr>
                <w:t>Fourth Amended and Restated Investor Rights</w:t>
              </w:r>
            </w:hyperlink>
          </w:p>
        </w:tc>
        <w:tc>
          <w:tcPr>
            <w:tcW w:w="380" w:type="dxa"/>
            <w:vAlign w:val="bottom"/>
            <w:gridSpan w:val="3"/>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S-1</w:t>
            </w: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333-206849</w:t>
            </w:r>
          </w:p>
        </w:tc>
        <w:tc>
          <w:tcPr>
            <w:tcW w:w="900" w:type="dxa"/>
            <w:vAlign w:val="bottom"/>
            <w:gridSpan w:val="2"/>
          </w:tcPr>
          <w:p>
            <w:pPr>
              <w:jc w:val="center"/>
              <w:ind w:left="143"/>
              <w:spacing w:after="0"/>
              <w:rPr>
                <w:sz w:val="20"/>
                <w:szCs w:val="20"/>
                <w:color w:val="auto"/>
              </w:rPr>
            </w:pPr>
            <w:r>
              <w:rPr>
                <w:rFonts w:ascii="Arial" w:cs="Arial" w:eastAsia="Arial" w:hAnsi="Arial"/>
                <w:sz w:val="16"/>
                <w:szCs w:val="16"/>
                <w:color w:val="auto"/>
                <w:w w:val="89"/>
              </w:rPr>
              <w:t>4.2</w:t>
            </w:r>
          </w:p>
        </w:tc>
        <w:tc>
          <w:tcPr>
            <w:tcW w:w="2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September 9, 2015</w:t>
            </w:r>
          </w:p>
        </w:tc>
        <w:tc>
          <w:tcPr>
            <w:tcW w:w="800" w:type="dxa"/>
            <w:vAlign w:val="bottom"/>
          </w:tcPr>
          <w:p>
            <w:pPr>
              <w:spacing w:after="0"/>
              <w:rPr>
                <w:sz w:val="24"/>
                <w:szCs w:val="24"/>
                <w:color w:val="auto"/>
              </w:rPr>
            </w:pPr>
          </w:p>
        </w:tc>
      </w:tr>
      <w:tr>
        <w:trPr>
          <w:trHeight w:val="183"/>
        </w:trPr>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gridSpan w:val="16"/>
          </w:tcPr>
          <w:p>
            <w:pPr>
              <w:spacing w:after="0" w:line="183" w:lineRule="exact"/>
              <w:rPr>
                <w:rFonts w:ascii="Arial" w:cs="Arial" w:eastAsia="Arial" w:hAnsi="Arial"/>
                <w:sz w:val="16"/>
                <w:szCs w:val="16"/>
                <w:color w:val="0000FF"/>
              </w:rPr>
            </w:pPr>
            <w:hyperlink r:id="rId19">
              <w:r>
                <w:rPr>
                  <w:rFonts w:ascii="Arial" w:cs="Arial" w:eastAsia="Arial" w:hAnsi="Arial"/>
                  <w:sz w:val="16"/>
                  <w:szCs w:val="16"/>
                  <w:color w:val="0000FF"/>
                </w:rPr>
                <w:t>Agreement, dated as of July 13, 2015, by and</w:t>
              </w:r>
            </w:hyperlink>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0"/>
              </w:rPr>
            </w:pPr>
            <w:hyperlink r:id="rId19">
              <w:r>
                <w:rPr>
                  <w:rFonts w:ascii="Arial" w:cs="Arial" w:eastAsia="Arial" w:hAnsi="Arial"/>
                  <w:sz w:val="16"/>
                  <w:szCs w:val="16"/>
                  <w:color w:val="0000FF"/>
                  <w:w w:val="90"/>
                </w:rPr>
                <w:t>among the Registrant and certain of its</w:t>
              </w:r>
            </w:hyperlink>
          </w:p>
        </w:tc>
        <w:tc>
          <w:tcPr>
            <w:tcW w:w="420" w:type="dxa"/>
            <w:vAlign w:val="bottom"/>
            <w:tcBorders>
              <w:top w:val="single" w:sz="8" w:color="0000FF"/>
            </w:tcBorders>
            <w:gridSpan w:val="3"/>
          </w:tcPr>
          <w:p>
            <w:pPr>
              <w:spacing w:after="0"/>
              <w:rPr>
                <w:sz w:val="15"/>
                <w:szCs w:val="15"/>
                <w:color w:val="auto"/>
              </w:rPr>
            </w:pPr>
          </w:p>
        </w:tc>
        <w:tc>
          <w:tcPr>
            <w:tcW w:w="46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gridSpan w:val="16"/>
          </w:tcPr>
          <w:p>
            <w:pPr>
              <w:spacing w:after="0" w:line="183" w:lineRule="exact"/>
              <w:rPr>
                <w:rFonts w:ascii="Arial" w:cs="Arial" w:eastAsia="Arial" w:hAnsi="Arial"/>
                <w:sz w:val="16"/>
                <w:szCs w:val="16"/>
                <w:color w:val="0000FF"/>
              </w:rPr>
            </w:pPr>
            <w:hyperlink r:id="rId19">
              <w:r>
                <w:rPr>
                  <w:rFonts w:ascii="Arial" w:cs="Arial" w:eastAsia="Arial" w:hAnsi="Arial"/>
                  <w:sz w:val="16"/>
                  <w:szCs w:val="16"/>
                  <w:color w:val="0000FF"/>
                </w:rPr>
                <w:t>stockholders.</w:t>
              </w:r>
            </w:hyperlink>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3"/>
        </w:trPr>
        <w:tc>
          <w:tcPr>
            <w:tcW w:w="1740" w:type="dxa"/>
            <w:vAlign w:val="bottom"/>
          </w:tcPr>
          <w:p>
            <w:pPr>
              <w:ind w:left="980"/>
              <w:spacing w:after="0"/>
              <w:rPr>
                <w:sz w:val="20"/>
                <w:szCs w:val="20"/>
                <w:color w:val="auto"/>
              </w:rPr>
            </w:pPr>
            <w:r>
              <w:rPr>
                <w:rFonts w:ascii="Arial" w:cs="Arial" w:eastAsia="Arial" w:hAnsi="Arial"/>
                <w:sz w:val="16"/>
                <w:szCs w:val="16"/>
                <w:color w:val="auto"/>
              </w:rPr>
              <w:t>4.2*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Form of Debt Security</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8"/>
        </w:trPr>
        <w:tc>
          <w:tcPr>
            <w:tcW w:w="1740" w:type="dxa"/>
            <w:vAlign w:val="bottom"/>
          </w:tcPr>
          <w:p>
            <w:pPr>
              <w:ind w:left="980"/>
              <w:spacing w:after="0"/>
              <w:rPr>
                <w:sz w:val="20"/>
                <w:szCs w:val="20"/>
                <w:color w:val="auto"/>
              </w:rPr>
            </w:pPr>
            <w:r>
              <w:rPr>
                <w:rFonts w:ascii="Arial" w:cs="Arial" w:eastAsia="Arial" w:hAnsi="Arial"/>
                <w:sz w:val="16"/>
                <w:szCs w:val="16"/>
                <w:color w:val="auto"/>
              </w:rPr>
              <w:t>4.3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2"/>
              </w:rPr>
              <w:t>Form of Indenture</w:t>
            </w:r>
          </w:p>
        </w:tc>
        <w:tc>
          <w:tcPr>
            <w:tcW w:w="220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447"/>
        </w:trPr>
        <w:tc>
          <w:tcPr>
            <w:tcW w:w="1740" w:type="dxa"/>
            <w:vAlign w:val="bottom"/>
          </w:tcPr>
          <w:p>
            <w:pPr>
              <w:ind w:left="980"/>
              <w:spacing w:after="0"/>
              <w:rPr>
                <w:sz w:val="20"/>
                <w:szCs w:val="20"/>
                <w:color w:val="auto"/>
              </w:rPr>
            </w:pPr>
            <w:r>
              <w:rPr>
                <w:rFonts w:ascii="Arial" w:cs="Arial" w:eastAsia="Arial" w:hAnsi="Arial"/>
                <w:sz w:val="16"/>
                <w:szCs w:val="16"/>
                <w:color w:val="auto"/>
              </w:rPr>
              <w:t>4.4*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Form of Warrant</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1740" w:type="dxa"/>
            <w:vAlign w:val="bottom"/>
          </w:tcPr>
          <w:p>
            <w:pPr>
              <w:ind w:left="980"/>
              <w:spacing w:after="0"/>
              <w:rPr>
                <w:sz w:val="20"/>
                <w:szCs w:val="20"/>
                <w:color w:val="auto"/>
              </w:rPr>
            </w:pPr>
            <w:r>
              <w:rPr>
                <w:rFonts w:ascii="Arial" w:cs="Arial" w:eastAsia="Arial" w:hAnsi="Arial"/>
                <w:sz w:val="16"/>
                <w:szCs w:val="16"/>
                <w:color w:val="auto"/>
              </w:rPr>
              <w:t>4.5*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Form of Warrant Agreement</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1740" w:type="dxa"/>
            <w:vAlign w:val="bottom"/>
          </w:tcPr>
          <w:p>
            <w:pPr>
              <w:ind w:left="980"/>
              <w:spacing w:after="0"/>
              <w:rPr>
                <w:sz w:val="20"/>
                <w:szCs w:val="20"/>
                <w:color w:val="auto"/>
              </w:rPr>
            </w:pPr>
            <w:r>
              <w:rPr>
                <w:rFonts w:ascii="Arial" w:cs="Arial" w:eastAsia="Arial" w:hAnsi="Arial"/>
                <w:sz w:val="16"/>
                <w:szCs w:val="16"/>
                <w:color w:val="auto"/>
              </w:rPr>
              <w:t>4.6*</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Form of Preferred Stock Certificate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8"/>
        </w:trPr>
        <w:tc>
          <w:tcPr>
            <w:tcW w:w="1740" w:type="dxa"/>
            <w:vAlign w:val="bottom"/>
          </w:tcPr>
          <w:p>
            <w:pPr>
              <w:ind w:left="980"/>
              <w:spacing w:after="0"/>
              <w:rPr>
                <w:sz w:val="20"/>
                <w:szCs w:val="20"/>
                <w:color w:val="auto"/>
              </w:rPr>
            </w:pPr>
            <w:r>
              <w:rPr>
                <w:rFonts w:ascii="Arial" w:cs="Arial" w:eastAsia="Arial" w:hAnsi="Arial"/>
                <w:sz w:val="16"/>
                <w:szCs w:val="16"/>
                <w:color w:val="auto"/>
              </w:rPr>
              <w:t>5.1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5"/>
              </w:rPr>
              <w:t>Opinion of Fenwick &amp; West LLP</w:t>
            </w:r>
          </w:p>
        </w:tc>
        <w:tc>
          <w:tcPr>
            <w:tcW w:w="12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412"/>
        </w:trPr>
        <w:tc>
          <w:tcPr>
            <w:tcW w:w="1740" w:type="dxa"/>
            <w:vAlign w:val="bottom"/>
          </w:tcPr>
          <w:p>
            <w:pPr>
              <w:ind w:left="980"/>
              <w:spacing w:after="0"/>
              <w:rPr>
                <w:sz w:val="20"/>
                <w:szCs w:val="20"/>
                <w:color w:val="auto"/>
              </w:rPr>
            </w:pPr>
            <w:r>
              <w:rPr>
                <w:rFonts w:ascii="Arial" w:cs="Arial" w:eastAsia="Arial" w:hAnsi="Arial"/>
                <w:sz w:val="16"/>
                <w:szCs w:val="16"/>
                <w:color w:val="auto"/>
              </w:rPr>
              <w:t>12.1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2"/>
              </w:rPr>
              <w:t>Statement of Computation of Ratio of Earnings</w:t>
            </w:r>
          </w:p>
        </w:tc>
        <w:tc>
          <w:tcPr>
            <w:tcW w:w="3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83"/>
        </w:trPr>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gridSpan w:val="16"/>
          </w:tcPr>
          <w:p>
            <w:pPr>
              <w:spacing w:after="0" w:line="183" w:lineRule="exact"/>
              <w:rPr>
                <w:sz w:val="20"/>
                <w:szCs w:val="20"/>
                <w:color w:val="auto"/>
              </w:rPr>
            </w:pPr>
            <w:r>
              <w:rPr>
                <w:rFonts w:ascii="Arial" w:cs="Arial" w:eastAsia="Arial" w:hAnsi="Arial"/>
                <w:sz w:val="16"/>
                <w:szCs w:val="16"/>
                <w:color w:val="0000FF"/>
              </w:rPr>
              <w:t>to Fixed Charges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1740" w:type="dxa"/>
            <w:vAlign w:val="bottom"/>
          </w:tcPr>
          <w:p>
            <w:pPr>
              <w:ind w:left="980"/>
              <w:spacing w:after="0"/>
              <w:rPr>
                <w:sz w:val="20"/>
                <w:szCs w:val="20"/>
                <w:color w:val="auto"/>
              </w:rPr>
            </w:pPr>
            <w:r>
              <w:rPr>
                <w:rFonts w:ascii="Arial" w:cs="Arial" w:eastAsia="Arial" w:hAnsi="Arial"/>
                <w:sz w:val="16"/>
                <w:szCs w:val="16"/>
                <w:color w:val="auto"/>
              </w:rPr>
              <w:t>23.1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1"/>
              </w:rPr>
              <w:t>Consent of KPMG LLP, an independent</w:t>
            </w:r>
          </w:p>
        </w:tc>
        <w:tc>
          <w:tcPr>
            <w:tcW w:w="80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83"/>
        </w:trPr>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Borders>
              <w:bottom w:val="single" w:sz="8" w:color="0000FF"/>
            </w:tcBorders>
            <w:gridSpan w:val="6"/>
          </w:tcPr>
          <w:p>
            <w:pPr>
              <w:spacing w:after="0" w:line="183" w:lineRule="exact"/>
              <w:rPr>
                <w:sz w:val="20"/>
                <w:szCs w:val="20"/>
                <w:color w:val="auto"/>
              </w:rPr>
            </w:pPr>
            <w:r>
              <w:rPr>
                <w:rFonts w:ascii="Arial" w:cs="Arial" w:eastAsia="Arial" w:hAnsi="Arial"/>
                <w:sz w:val="16"/>
                <w:szCs w:val="16"/>
                <w:color w:val="0000FF"/>
                <w:w w:val="92"/>
              </w:rPr>
              <w:t>registered public accounting firm</w:t>
            </w:r>
          </w:p>
        </w:tc>
        <w:tc>
          <w:tcPr>
            <w:tcW w:w="1240" w:type="dxa"/>
            <w:vAlign w:val="bottom"/>
            <w:gridSpan w:val="10"/>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99"/>
        </w:trPr>
        <w:tc>
          <w:tcPr>
            <w:tcW w:w="1740" w:type="dxa"/>
            <w:vAlign w:val="bottom"/>
          </w:tcPr>
          <w:p>
            <w:pPr>
              <w:ind w:left="980"/>
              <w:spacing w:after="0"/>
              <w:rPr>
                <w:sz w:val="20"/>
                <w:szCs w:val="20"/>
                <w:color w:val="auto"/>
              </w:rPr>
            </w:pPr>
            <w:r>
              <w:rPr>
                <w:rFonts w:ascii="Arial" w:cs="Arial" w:eastAsia="Arial" w:hAnsi="Arial"/>
                <w:sz w:val="16"/>
                <w:szCs w:val="16"/>
                <w:color w:val="auto"/>
              </w:rPr>
              <w:t>23.3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0000FF"/>
              </w:rPr>
              <w:t>Consent of Fenwick &amp; West LLP (included in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83"/>
        </w:trPr>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0000FF"/>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94"/>
              </w:rPr>
              <w:t>Exhibit 5.1)</w:t>
            </w:r>
          </w:p>
        </w:tc>
        <w:tc>
          <w:tcPr>
            <w:tcW w:w="2200" w:type="dxa"/>
            <w:vAlign w:val="bottom"/>
            <w:tcBorders>
              <w:top w:val="single" w:sz="8" w:color="0000FF"/>
            </w:tcBorders>
            <w:gridSpan w:val="10"/>
          </w:tcPr>
          <w:p>
            <w:pPr>
              <w:spacing w:after="0"/>
              <w:rPr>
                <w:sz w:val="15"/>
                <w:szCs w:val="15"/>
                <w:color w:val="auto"/>
              </w:rPr>
            </w:pPr>
          </w:p>
        </w:tc>
        <w:tc>
          <w:tcPr>
            <w:tcW w:w="42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29"/>
        </w:trPr>
        <w:tc>
          <w:tcPr>
            <w:tcW w:w="1740" w:type="dxa"/>
            <w:vAlign w:val="bottom"/>
          </w:tcPr>
          <w:p>
            <w:pPr>
              <w:ind w:left="980"/>
              <w:spacing w:after="0"/>
              <w:rPr>
                <w:sz w:val="20"/>
                <w:szCs w:val="20"/>
                <w:color w:val="auto"/>
              </w:rPr>
            </w:pPr>
            <w:r>
              <w:rPr>
                <w:rFonts w:ascii="Arial" w:cs="Arial" w:eastAsia="Arial" w:hAnsi="Arial"/>
                <w:sz w:val="16"/>
                <w:szCs w:val="16"/>
                <w:color w:val="auto"/>
              </w:rPr>
              <w:t>24.1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Power of Attorney (included on the signature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06"/>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page hereto)</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15"/>
        </w:trPr>
        <w:tc>
          <w:tcPr>
            <w:tcW w:w="1740" w:type="dxa"/>
            <w:vAlign w:val="bottom"/>
          </w:tcPr>
          <w:p>
            <w:pPr>
              <w:ind w:left="980"/>
              <w:spacing w:after="0"/>
              <w:rPr>
                <w:sz w:val="20"/>
                <w:szCs w:val="20"/>
                <w:color w:val="auto"/>
              </w:rPr>
            </w:pPr>
            <w:r>
              <w:rPr>
                <w:rFonts w:ascii="Arial" w:cs="Arial" w:eastAsia="Arial" w:hAnsi="Arial"/>
                <w:sz w:val="16"/>
                <w:szCs w:val="16"/>
                <w:color w:val="auto"/>
              </w:rPr>
              <w:t>25.1**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Form T-1 Statement of Eligibility of Trustee for</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Senior Indenture under the Trust Indenture Act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of 1939.</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15"/>
        </w:trPr>
        <w:tc>
          <w:tcPr>
            <w:tcW w:w="1740" w:type="dxa"/>
            <w:vAlign w:val="bottom"/>
          </w:tcPr>
          <w:p>
            <w:pPr>
              <w:ind w:left="980"/>
              <w:spacing w:after="0"/>
              <w:rPr>
                <w:sz w:val="20"/>
                <w:szCs w:val="20"/>
                <w:color w:val="auto"/>
              </w:rPr>
            </w:pPr>
            <w:r>
              <w:rPr>
                <w:rFonts w:ascii="Arial" w:cs="Arial" w:eastAsia="Arial" w:hAnsi="Arial"/>
                <w:sz w:val="16"/>
                <w:szCs w:val="16"/>
                <w:color w:val="auto"/>
              </w:rPr>
              <w:t>25.2**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Form T-1 Statement of Eligibility of Trustee for</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Subordinated Indenture under the Trust</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16"/>
          </w:tcPr>
          <w:p>
            <w:pPr>
              <w:spacing w:after="0"/>
              <w:rPr>
                <w:sz w:val="20"/>
                <w:szCs w:val="20"/>
                <w:color w:val="auto"/>
              </w:rPr>
            </w:pPr>
            <w:r>
              <w:rPr>
                <w:rFonts w:ascii="Arial" w:cs="Arial" w:eastAsia="Arial" w:hAnsi="Arial"/>
                <w:sz w:val="16"/>
                <w:szCs w:val="16"/>
                <w:color w:val="auto"/>
              </w:rPr>
              <w:t>Indenture Act of 1939.</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39" w:lineRule="exact"/>
        <w:rPr>
          <w:sz w:val="20"/>
          <w:szCs w:val="20"/>
          <w:color w:val="auto"/>
        </w:rPr>
      </w:pPr>
    </w:p>
    <w:p>
      <w:pPr>
        <w:ind w:right="1760" w:firstLine="22"/>
        <w:spacing w:after="0" w:line="310" w:lineRule="auto"/>
        <w:tabs>
          <w:tab w:leader="none" w:pos="243" w:val="left"/>
        </w:tabs>
        <w:numPr>
          <w:ilvl w:val="0"/>
          <w:numId w:val="26"/>
        </w:numPr>
        <w:rPr>
          <w:rFonts w:ascii="Arial" w:cs="Arial" w:eastAsia="Arial" w:hAnsi="Arial"/>
          <w:sz w:val="15"/>
          <w:szCs w:val="15"/>
          <w:b w:val="1"/>
          <w:bCs w:val="1"/>
          <w:color w:val="auto"/>
        </w:rPr>
      </w:pPr>
      <w:r>
        <w:rPr>
          <w:rFonts w:ascii="Arial" w:cs="Arial" w:eastAsia="Arial" w:hAnsi="Arial"/>
          <w:sz w:val="15"/>
          <w:szCs w:val="15"/>
          <w:color w:val="auto"/>
        </w:rPr>
        <w:t xml:space="preserve">To be filed, when and if necessary, as an exhibit to a Current Report on Form 8-K and incorporated by reference or by post-effective amendment. </w:t>
      </w:r>
      <w:r>
        <w:rPr>
          <w:rFonts w:ascii="Arial" w:cs="Arial" w:eastAsia="Arial" w:hAnsi="Arial"/>
          <w:sz w:val="15"/>
          <w:szCs w:val="15"/>
          <w:b w:val="1"/>
          <w:bCs w:val="1"/>
          <w:color w:val="auto"/>
        </w:rPr>
        <w:t>**</w:t>
      </w:r>
      <w:r>
        <w:rPr>
          <w:rFonts w:ascii="Arial" w:cs="Arial" w:eastAsia="Arial" w:hAnsi="Arial"/>
          <w:sz w:val="15"/>
          <w:szCs w:val="15"/>
          <w:color w:val="auto"/>
        </w:rPr>
        <w:t>To be filed in accordance with the requirements of Section 305(b)(2) of the Trust Indenture Act of 1939 and Rule 5b-3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17. Undertakings</w:t>
      </w:r>
    </w:p>
    <w:p>
      <w:pPr>
        <w:spacing w:after="0" w:line="171"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207" w:lineRule="exact"/>
        <w:rPr>
          <w:rFonts w:ascii="Arial" w:cs="Arial" w:eastAsia="Arial" w:hAnsi="Arial"/>
          <w:sz w:val="16"/>
          <w:szCs w:val="16"/>
          <w:color w:val="auto"/>
        </w:rPr>
      </w:pPr>
    </w:p>
    <w:p>
      <w:pPr>
        <w:ind w:left="780" w:hanging="232"/>
        <w:spacing w:after="0"/>
        <w:tabs>
          <w:tab w:leader="none" w:pos="7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140" w:hanging="322"/>
        <w:spacing w:after="0"/>
        <w:tabs>
          <w:tab w:leader="none" w:pos="114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221" w:lineRule="exact"/>
        <w:rPr>
          <w:rFonts w:ascii="Arial" w:cs="Arial" w:eastAsia="Arial" w:hAnsi="Arial"/>
          <w:sz w:val="16"/>
          <w:szCs w:val="16"/>
          <w:color w:val="auto"/>
        </w:rPr>
      </w:pPr>
    </w:p>
    <w:p>
      <w:pPr>
        <w:ind w:left="1140" w:right="40" w:hanging="322"/>
        <w:spacing w:after="0" w:line="256" w:lineRule="auto"/>
        <w:tabs>
          <w:tab w:leader="none" w:pos="114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w:t>
      </w:r>
    </w:p>
    <w:p>
      <w:pPr>
        <w:sectPr>
          <w:pgSz w:w="11900" w:h="16838" w:orient="portrait"/>
          <w:cols w:equalWidth="0" w:num="1">
            <w:col w:w="11420"/>
          </w:cols>
          <w:pgMar w:left="240" w:top="679" w:right="239" w:bottom="1440" w:gutter="0" w:footer="0" w:header="0"/>
        </w:sectPr>
      </w:pPr>
    </w:p>
    <w:bookmarkStart w:id="22" w:name="page23"/>
    <w:bookmarkEnd w:id="22"/>
    <w:p>
      <w:pPr>
        <w:jc w:val="both"/>
        <w:ind w:left="1132" w:right="540"/>
        <w:spacing w:after="0" w:line="380" w:lineRule="auto"/>
        <w:rPr>
          <w:sz w:val="20"/>
          <w:szCs w:val="20"/>
          <w:color w:val="auto"/>
        </w:rPr>
      </w:pPr>
      <w:r>
        <w:rPr>
          <w:rFonts w:ascii="Arial" w:cs="Arial" w:eastAsia="Arial" w:hAnsi="Arial"/>
          <w:sz w:val="15"/>
          <w:szCs w:val="15"/>
          <w:color w:val="auto"/>
        </w:rPr>
        <w:t>deviation from the low or high end of the estimated maximum offering range may be reflected in the form of prospectus filed with the Securities and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0" w:lineRule="exact"/>
        <w:rPr>
          <w:sz w:val="20"/>
          <w:szCs w:val="20"/>
          <w:color w:val="auto"/>
        </w:rPr>
      </w:pPr>
    </w:p>
    <w:p>
      <w:pPr>
        <w:ind w:left="1132" w:right="260" w:hanging="322"/>
        <w:spacing w:after="0" w:line="275" w:lineRule="auto"/>
        <w:tabs>
          <w:tab w:leader="none" w:pos="11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78" w:lineRule="exact"/>
        <w:rPr>
          <w:sz w:val="20"/>
          <w:szCs w:val="20"/>
          <w:color w:val="auto"/>
        </w:rPr>
      </w:pPr>
    </w:p>
    <w:p>
      <w:pPr>
        <w:ind w:left="532" w:right="20"/>
        <w:spacing w:after="0" w:line="256" w:lineRule="auto"/>
        <w:rPr>
          <w:sz w:val="20"/>
          <w:szCs w:val="20"/>
          <w:color w:val="auto"/>
        </w:rPr>
      </w:pPr>
      <w:r>
        <w:rPr>
          <w:rFonts w:ascii="Arial" w:cs="Arial" w:eastAsia="Arial" w:hAnsi="Arial"/>
          <w:sz w:val="16"/>
          <w:szCs w:val="16"/>
          <w:i w:val="1"/>
          <w:iCs w:val="1"/>
          <w:color w:val="auto"/>
        </w:rPr>
        <w:t xml:space="preserve">provided , however </w:t>
      </w:r>
      <w:r>
        <w:rPr>
          <w:rFonts w:ascii="Arial" w:cs="Arial" w:eastAsia="Arial" w:hAnsi="Arial"/>
          <w:sz w:val="16"/>
          <w:szCs w:val="16"/>
          <w:color w:val="auto"/>
        </w:rPr>
        <w:t>, that subparagraphs (i),(ii), and (iii) do not apply if the information required to be included in a post-effective amendment by those paragraphs is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reports filed with or furnished to the Securities and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336" w:lineRule="exact"/>
        <w:rPr>
          <w:sz w:val="20"/>
          <w:szCs w:val="20"/>
          <w:color w:val="auto"/>
        </w:rPr>
      </w:pPr>
    </w:p>
    <w:p>
      <w:pPr>
        <w:ind w:left="532" w:right="180" w:firstLine="8"/>
        <w:spacing w:after="0" w:line="349" w:lineRule="auto"/>
        <w:tabs>
          <w:tab w:leader="none" w:pos="762" w:val="left"/>
        </w:tabs>
        <w:numPr>
          <w:ilvl w:val="1"/>
          <w:numId w:val="29"/>
        </w:numPr>
        <w:rPr>
          <w:rFonts w:ascii="Arial" w:cs="Arial" w:eastAsia="Arial" w:hAnsi="Arial"/>
          <w:sz w:val="14"/>
          <w:szCs w:val="14"/>
          <w:color w:val="auto"/>
        </w:rPr>
      </w:pPr>
      <w:r>
        <w:rPr>
          <w:rFonts w:ascii="Arial" w:cs="Arial" w:eastAsia="Arial" w:hAnsi="Arial"/>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274" w:lineRule="exact"/>
        <w:rPr>
          <w:rFonts w:ascii="Arial" w:cs="Arial" w:eastAsia="Arial" w:hAnsi="Arial"/>
          <w:sz w:val="14"/>
          <w:szCs w:val="14"/>
          <w:color w:val="auto"/>
        </w:rPr>
      </w:pPr>
    </w:p>
    <w:p>
      <w:pPr>
        <w:ind w:left="772" w:hanging="232"/>
        <w:spacing w:after="0"/>
        <w:tabs>
          <w:tab w:leader="none" w:pos="772" w:val="left"/>
        </w:tabs>
        <w:numPr>
          <w:ilvl w:val="1"/>
          <w:numId w:val="29"/>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392" w:lineRule="exact"/>
        <w:rPr>
          <w:rFonts w:ascii="Arial" w:cs="Arial" w:eastAsia="Arial" w:hAnsi="Arial"/>
          <w:sz w:val="14"/>
          <w:szCs w:val="14"/>
          <w:color w:val="auto"/>
        </w:rPr>
      </w:pPr>
    </w:p>
    <w:p>
      <w:pPr>
        <w:ind w:left="772" w:hanging="232"/>
        <w:spacing w:after="0"/>
        <w:tabs>
          <w:tab w:leader="none" w:pos="772"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132" w:right="120" w:hanging="322"/>
        <w:spacing w:after="0" w:line="275" w:lineRule="auto"/>
        <w:tabs>
          <w:tab w:leader="none" w:pos="1132" w:val="left"/>
        </w:tabs>
        <w:numPr>
          <w:ilvl w:val="2"/>
          <w:numId w:val="29"/>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2" w:lineRule="exact"/>
        <w:rPr>
          <w:rFonts w:ascii="Arial" w:cs="Arial" w:eastAsia="Arial" w:hAnsi="Arial"/>
          <w:sz w:val="16"/>
          <w:szCs w:val="16"/>
          <w:color w:val="auto"/>
        </w:rPr>
      </w:pPr>
    </w:p>
    <w:p>
      <w:pPr>
        <w:ind w:left="1132" w:right="20" w:hanging="322"/>
        <w:spacing w:after="0" w:line="289" w:lineRule="auto"/>
        <w:tabs>
          <w:tab w:leader="none" w:pos="1132" w:val="left"/>
        </w:tabs>
        <w:numPr>
          <w:ilvl w:val="2"/>
          <w:numId w:val="29"/>
        </w:numPr>
        <w:rPr>
          <w:rFonts w:ascii="Arial" w:cs="Arial" w:eastAsia="Arial" w:hAnsi="Arial"/>
          <w:sz w:val="14"/>
          <w:szCs w:val="14"/>
          <w:color w:val="auto"/>
        </w:rPr>
      </w:pPr>
      <w:r>
        <w:rPr>
          <w:rFonts w:ascii="Arial" w:cs="Arial" w:eastAsia="Arial" w:hAnsi="Arial"/>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4"/>
          <w:szCs w:val="14"/>
          <w:color w:val="auto"/>
        </w:rPr>
      </w:pPr>
    </w:p>
    <w:p>
      <w:pPr>
        <w:ind w:left="532" w:right="340" w:firstLine="8"/>
        <w:spacing w:after="0" w:line="278" w:lineRule="auto"/>
        <w:tabs>
          <w:tab w:leader="none" w:pos="762"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15"/>
          <w:szCs w:val="15"/>
          <w:color w:val="auto"/>
        </w:rPr>
      </w:pPr>
    </w:p>
    <w:p>
      <w:pPr>
        <w:spacing w:after="0" w:line="216" w:lineRule="exact"/>
        <w:rPr>
          <w:rFonts w:ascii="Arial" w:cs="Arial" w:eastAsia="Arial" w:hAnsi="Arial"/>
          <w:sz w:val="15"/>
          <w:szCs w:val="15"/>
          <w:color w:val="auto"/>
        </w:rPr>
      </w:pPr>
    </w:p>
    <w:p>
      <w:pPr>
        <w:ind w:left="1132" w:hanging="322"/>
        <w:spacing w:after="0"/>
        <w:tabs>
          <w:tab w:leader="none" w:pos="1132" w:val="left"/>
        </w:tabs>
        <w:numPr>
          <w:ilvl w:val="2"/>
          <w:numId w:val="2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21" w:lineRule="exact"/>
        <w:rPr>
          <w:rFonts w:ascii="Arial" w:cs="Arial" w:eastAsia="Arial" w:hAnsi="Arial"/>
          <w:sz w:val="16"/>
          <w:szCs w:val="16"/>
          <w:color w:val="auto"/>
        </w:rPr>
      </w:pPr>
    </w:p>
    <w:p>
      <w:pPr>
        <w:ind w:left="1132" w:right="680" w:hanging="322"/>
        <w:spacing w:after="0" w:line="275" w:lineRule="auto"/>
        <w:tabs>
          <w:tab w:leader="none" w:pos="1132" w:val="left"/>
        </w:tabs>
        <w:numPr>
          <w:ilvl w:val="2"/>
          <w:numId w:val="29"/>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172" w:lineRule="exact"/>
        <w:rPr>
          <w:rFonts w:ascii="Arial" w:cs="Arial" w:eastAsia="Arial" w:hAnsi="Arial"/>
          <w:sz w:val="16"/>
          <w:szCs w:val="16"/>
          <w:color w:val="auto"/>
        </w:rPr>
      </w:pPr>
    </w:p>
    <w:p>
      <w:pPr>
        <w:ind w:left="1132" w:right="340" w:hanging="322"/>
        <w:spacing w:after="0" w:line="275" w:lineRule="auto"/>
        <w:tabs>
          <w:tab w:leader="none" w:pos="1132" w:val="left"/>
        </w:tabs>
        <w:numPr>
          <w:ilvl w:val="2"/>
          <w:numId w:val="29"/>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2" w:lineRule="exact"/>
        <w:rPr>
          <w:rFonts w:ascii="Arial" w:cs="Arial" w:eastAsia="Arial" w:hAnsi="Arial"/>
          <w:sz w:val="16"/>
          <w:szCs w:val="16"/>
          <w:color w:val="auto"/>
        </w:rPr>
      </w:pPr>
    </w:p>
    <w:p>
      <w:pPr>
        <w:ind w:left="1132" w:hanging="322"/>
        <w:spacing w:after="0"/>
        <w:tabs>
          <w:tab w:leader="none" w:pos="1132" w:val="left"/>
        </w:tabs>
        <w:numPr>
          <w:ilvl w:val="2"/>
          <w:numId w:val="29"/>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86" w:lineRule="exact"/>
        <w:rPr>
          <w:rFonts w:ascii="Arial" w:cs="Arial" w:eastAsia="Arial" w:hAnsi="Arial"/>
          <w:sz w:val="16"/>
          <w:szCs w:val="16"/>
          <w:color w:val="auto"/>
        </w:rPr>
      </w:pPr>
    </w:p>
    <w:p>
      <w:pPr>
        <w:jc w:val="both"/>
        <w:ind w:left="-8" w:firstLine="8"/>
        <w:spacing w:after="0" w:line="278" w:lineRule="auto"/>
        <w:tabs>
          <w:tab w:leader="none" w:pos="222"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352"/>
          </w:cols>
          <w:pgMar w:left="248" w:top="845" w:right="299" w:bottom="1440" w:gutter="0" w:footer="0" w:header="0"/>
        </w:sectPr>
      </w:pPr>
    </w:p>
    <w:bookmarkStart w:id="23" w:name="page24"/>
    <w:bookmarkEnd w:id="23"/>
    <w:p>
      <w:pPr>
        <w:ind w:left="-8" w:right="40" w:firstLine="8"/>
        <w:spacing w:after="0" w:line="253" w:lineRule="auto"/>
        <w:tabs>
          <w:tab w:leader="none" w:pos="2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37" w:lineRule="exact"/>
        <w:rPr>
          <w:rFonts w:ascii="Arial" w:cs="Arial" w:eastAsia="Arial" w:hAnsi="Arial"/>
          <w:sz w:val="16"/>
          <w:szCs w:val="16"/>
          <w:color w:val="auto"/>
        </w:rPr>
      </w:pPr>
    </w:p>
    <w:p>
      <w:pPr>
        <w:ind w:left="-8" w:firstLine="8"/>
        <w:spacing w:after="0" w:line="270" w:lineRule="auto"/>
        <w:tabs>
          <w:tab w:leader="none" w:pos="222"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7" w:lineRule="exact"/>
        <w:rPr>
          <w:rFonts w:ascii="Arial" w:cs="Arial" w:eastAsia="Arial" w:hAnsi="Arial"/>
          <w:sz w:val="15"/>
          <w:szCs w:val="15"/>
          <w:color w:val="auto"/>
        </w:rPr>
      </w:pPr>
    </w:p>
    <w:p>
      <w:pPr>
        <w:ind w:left="-8" w:right="60" w:firstLine="8"/>
        <w:spacing w:after="0" w:line="261" w:lineRule="auto"/>
        <w:tabs>
          <w:tab w:leader="none" w:pos="2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and when applicable, the Registrant hereby further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29" w:lineRule="exact"/>
        <w:rPr>
          <w:rFonts w:ascii="Arial" w:cs="Arial" w:eastAsia="Arial" w:hAnsi="Arial"/>
          <w:sz w:val="16"/>
          <w:szCs w:val="16"/>
          <w:color w:val="auto"/>
        </w:rPr>
      </w:pPr>
    </w:p>
    <w:p>
      <w:pPr>
        <w:ind w:left="212" w:hanging="212"/>
        <w:spacing w:after="0"/>
        <w:tabs>
          <w:tab w:leader="none" w:pos="2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302" w:lineRule="exact"/>
        <w:rPr>
          <w:rFonts w:ascii="Arial" w:cs="Arial" w:eastAsia="Arial" w:hAnsi="Arial"/>
          <w:sz w:val="16"/>
          <w:szCs w:val="16"/>
          <w:color w:val="auto"/>
        </w:rPr>
      </w:pPr>
    </w:p>
    <w:p>
      <w:pPr>
        <w:ind w:left="492" w:right="60" w:hanging="249"/>
        <w:spacing w:after="0" w:line="261" w:lineRule="auto"/>
        <w:tabs>
          <w:tab w:leader="none" w:pos="4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83" w:lineRule="exact"/>
        <w:rPr>
          <w:rFonts w:ascii="Arial" w:cs="Arial" w:eastAsia="Arial" w:hAnsi="Arial"/>
          <w:sz w:val="16"/>
          <w:szCs w:val="16"/>
          <w:color w:val="auto"/>
        </w:rPr>
      </w:pPr>
    </w:p>
    <w:p>
      <w:pPr>
        <w:ind w:left="492" w:right="20" w:hanging="249"/>
        <w:spacing w:after="0" w:line="261" w:lineRule="auto"/>
        <w:tabs>
          <w:tab w:leader="none" w:pos="4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392"/>
          </w:cols>
          <w:pgMar w:left="248" w:top="683" w:right="25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6"/>
          <w:szCs w:val="16"/>
          <w:b w:val="1"/>
          <w:bCs w:val="1"/>
          <w:color w:val="auto"/>
        </w:rPr>
        <w:t>SIGNATURES</w:t>
      </w:r>
    </w:p>
    <w:p>
      <w:pPr>
        <w:spacing w:after="0" w:line="171" w:lineRule="exact"/>
        <w:rPr>
          <w:sz w:val="20"/>
          <w:szCs w:val="20"/>
          <w:color w:val="auto"/>
        </w:rPr>
      </w:pPr>
    </w:p>
    <w:p>
      <w:pPr>
        <w:ind w:right="80" w:firstLine="324"/>
        <w:spacing w:after="0" w:line="26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Jose, State of California, on February 5, 2018.</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ANAPTYSBIO, INC.</w:t>
      </w:r>
    </w:p>
    <w:p>
      <w:pPr>
        <w:spacing w:after="0" w:line="8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p>
      <w:pPr>
        <w:jc w:val="center"/>
        <w:ind w:left="2300"/>
        <w:spacing w:after="0"/>
        <w:rPr>
          <w:sz w:val="20"/>
          <w:szCs w:val="20"/>
          <w:color w:val="auto"/>
        </w:rPr>
      </w:pPr>
      <w:r>
        <w:rPr>
          <w:rFonts w:ascii="Arial" w:cs="Arial" w:eastAsia="Arial" w:hAnsi="Arial"/>
          <w:sz w:val="16"/>
          <w:szCs w:val="16"/>
          <w:color w:val="auto"/>
        </w:rPr>
        <w:t>Hamza Suria</w:t>
      </w:r>
    </w:p>
    <w:p>
      <w:pPr>
        <w:spacing w:after="0" w:line="22" w:lineRule="exact"/>
        <w:rPr>
          <w:sz w:val="20"/>
          <w:szCs w:val="20"/>
          <w:color w:val="auto"/>
        </w:rPr>
      </w:pPr>
    </w:p>
    <w:p>
      <w:pPr>
        <w:ind w:left="5740"/>
        <w:spacing w:after="0"/>
        <w:tabs>
          <w:tab w:leader="none" w:pos="64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Chief Executive Officer</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POWER OF ATTORNEY</w:t>
      </w:r>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5"/>
          <w:szCs w:val="15"/>
          <w:b w:val="1"/>
          <w:bCs w:val="1"/>
          <w:color w:val="auto"/>
        </w:rPr>
        <w:t>KNOW ALL PERSONS BY THESE PRESENTS</w:t>
      </w:r>
      <w:r>
        <w:rPr>
          <w:rFonts w:ascii="Arial" w:cs="Arial" w:eastAsia="Arial" w:hAnsi="Arial"/>
          <w:sz w:val="15"/>
          <w:szCs w:val="15"/>
          <w:color w:val="auto"/>
        </w:rPr>
        <w:t>, that each person whose signature appears below hereby constitutes and appoints Hamza Suria and Dominic G.</w:t>
      </w:r>
      <w:r>
        <w:rPr>
          <w:rFonts w:ascii="Arial" w:cs="Arial" w:eastAsia="Arial" w:hAnsi="Arial"/>
          <w:sz w:val="15"/>
          <w:szCs w:val="15"/>
          <w:b w:val="1"/>
          <w:bCs w:val="1"/>
          <w:color w:val="auto"/>
        </w:rPr>
        <w:t xml:space="preserve"> </w:t>
      </w:r>
      <w:r>
        <w:rPr>
          <w:rFonts w:ascii="Arial" w:cs="Arial" w:eastAsia="Arial" w:hAnsi="Arial"/>
          <w:sz w:val="15"/>
          <w:szCs w:val="15"/>
          <w:color w:val="auto"/>
        </w:rPr>
        <w:t>Piscitelli,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of 1933,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320"/>
          </w:cols>
          <w:pgMar w:left="240" w:top="1031" w:right="33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Signature</w:t>
            </w:r>
          </w:p>
        </w:tc>
        <w:tc>
          <w:tcPr>
            <w:tcW w:w="220" w:type="dxa"/>
            <w:vAlign w:val="bottom"/>
          </w:tcPr>
          <w:p>
            <w:pPr>
              <w:spacing w:after="0"/>
              <w:rPr>
                <w:sz w:val="15"/>
                <w:szCs w:val="15"/>
                <w:color w:val="auto"/>
              </w:rPr>
            </w:pPr>
          </w:p>
        </w:tc>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337"/>
        </w:trPr>
        <w:tc>
          <w:tcPr>
            <w:tcW w:w="3560" w:type="dxa"/>
            <w:vAlign w:val="bottom"/>
          </w:tcPr>
          <w:p>
            <w:pPr>
              <w:jc w:val="center"/>
              <w:spacing w:after="0"/>
              <w:rPr>
                <w:sz w:val="20"/>
                <w:szCs w:val="20"/>
                <w:color w:val="auto"/>
              </w:rPr>
            </w:pPr>
            <w:r>
              <w:rPr>
                <w:rFonts w:ascii="Arial" w:cs="Arial" w:eastAsia="Arial" w:hAnsi="Arial"/>
                <w:sz w:val="18"/>
                <w:szCs w:val="18"/>
                <w:color w:val="auto"/>
                <w:w w:val="90"/>
              </w:rPr>
              <w:t>/s/ Hamza Suria</w:t>
            </w:r>
          </w:p>
        </w:tc>
        <w:tc>
          <w:tcPr>
            <w:tcW w:w="2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w:t>
            </w: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3"/>
              </w:rPr>
              <w:t>and Director</w:t>
            </w: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4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0"/>
              </w:rPr>
              <w:t>Hamza Suria</w:t>
            </w:r>
          </w:p>
        </w:tc>
        <w:tc>
          <w:tcPr>
            <w:tcW w:w="22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446"/>
        </w:trPr>
        <w:tc>
          <w:tcPr>
            <w:tcW w:w="3560" w:type="dxa"/>
            <w:vAlign w:val="bottom"/>
          </w:tcPr>
          <w:p>
            <w:pPr>
              <w:jc w:val="center"/>
              <w:spacing w:after="0"/>
              <w:rPr>
                <w:sz w:val="20"/>
                <w:szCs w:val="20"/>
                <w:color w:val="auto"/>
              </w:rPr>
            </w:pPr>
            <w:r>
              <w:rPr>
                <w:rFonts w:ascii="Arial" w:cs="Arial" w:eastAsia="Arial" w:hAnsi="Arial"/>
                <w:sz w:val="18"/>
                <w:szCs w:val="18"/>
                <w:color w:val="auto"/>
                <w:w w:val="95"/>
              </w:rPr>
              <w:t>/s/ Dominic G. Piscitelli</w:t>
            </w:r>
          </w:p>
        </w:tc>
        <w:tc>
          <w:tcPr>
            <w:tcW w:w="220" w:type="dxa"/>
            <w:vAlign w:val="bottom"/>
          </w:tcPr>
          <w:p>
            <w:pPr>
              <w:spacing w:after="0"/>
              <w:rPr>
                <w:sz w:val="24"/>
                <w:szCs w:val="24"/>
                <w:color w:val="auto"/>
              </w:rPr>
            </w:pPr>
          </w:p>
        </w:tc>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jc w:val="center"/>
              <w:spacing w:after="0"/>
              <w:rPr>
                <w:sz w:val="20"/>
                <w:szCs w:val="20"/>
                <w:color w:val="auto"/>
              </w:rPr>
            </w:pPr>
            <w:r>
              <w:rPr>
                <w:rFonts w:ascii="Arial" w:cs="Arial" w:eastAsia="Arial" w:hAnsi="Arial"/>
                <w:sz w:val="18"/>
                <w:szCs w:val="18"/>
                <w:color w:val="auto"/>
                <w:w w:val="95"/>
              </w:rPr>
              <w:t>Dominic G. Piscitelli</w:t>
            </w:r>
          </w:p>
        </w:tc>
        <w:tc>
          <w:tcPr>
            <w:tcW w:w="22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3"/>
              </w:rPr>
              <w:t>(Principal Accounting and Financial Officer)</w:t>
            </w:r>
          </w:p>
        </w:tc>
        <w:tc>
          <w:tcPr>
            <w:tcW w:w="0" w:type="dxa"/>
            <w:vAlign w:val="bottom"/>
          </w:tcPr>
          <w:p>
            <w:pPr>
              <w:spacing w:after="0"/>
              <w:rPr>
                <w:sz w:val="1"/>
                <w:szCs w:val="1"/>
                <w:color w:val="auto"/>
              </w:rPr>
            </w:pPr>
          </w:p>
        </w:tc>
      </w:tr>
      <w:tr>
        <w:trPr>
          <w:trHeight w:val="270"/>
        </w:trPr>
        <w:tc>
          <w:tcPr>
            <w:tcW w:w="3560" w:type="dxa"/>
            <w:vAlign w:val="bottom"/>
          </w:tcPr>
          <w:p>
            <w:pPr>
              <w:jc w:val="center"/>
              <w:spacing w:after="0"/>
              <w:rPr>
                <w:sz w:val="20"/>
                <w:szCs w:val="20"/>
                <w:color w:val="auto"/>
              </w:rPr>
            </w:pPr>
            <w:r>
              <w:rPr>
                <w:rFonts w:ascii="Arial" w:cs="Arial" w:eastAsia="Arial" w:hAnsi="Arial"/>
                <w:sz w:val="18"/>
                <w:szCs w:val="18"/>
                <w:color w:val="auto"/>
                <w:w w:val="91"/>
              </w:rPr>
              <w:t>/s/ Carol G. Gallagher</w:t>
            </w:r>
          </w:p>
        </w:tc>
        <w:tc>
          <w:tcPr>
            <w:tcW w:w="220" w:type="dxa"/>
            <w:vAlign w:val="bottom"/>
          </w:tcPr>
          <w:p>
            <w:pPr>
              <w:spacing w:after="0"/>
              <w:rPr>
                <w:sz w:val="23"/>
                <w:szCs w:val="23"/>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jc w:val="center"/>
              <w:spacing w:after="0"/>
              <w:rPr>
                <w:sz w:val="20"/>
                <w:szCs w:val="20"/>
                <w:color w:val="auto"/>
              </w:rPr>
            </w:pPr>
            <w:r>
              <w:rPr>
                <w:rFonts w:ascii="Arial" w:cs="Arial" w:eastAsia="Arial" w:hAnsi="Arial"/>
                <w:sz w:val="18"/>
                <w:szCs w:val="18"/>
                <w:color w:val="auto"/>
                <w:w w:val="90"/>
              </w:rPr>
              <w:t>Carol G. Gallagher, Pharm.D.</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/s/ Nicholas B. Lydon</w:t>
            </w:r>
          </w:p>
        </w:tc>
        <w:tc>
          <w:tcPr>
            <w:tcW w:w="220" w:type="dxa"/>
            <w:vAlign w:val="bottom"/>
          </w:tcPr>
          <w:p>
            <w:pPr>
              <w:spacing w:after="0"/>
              <w:rPr>
                <w:sz w:val="23"/>
                <w:szCs w:val="23"/>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jc w:val="center"/>
              <w:spacing w:after="0"/>
              <w:rPr>
                <w:sz w:val="20"/>
                <w:szCs w:val="20"/>
                <w:color w:val="auto"/>
              </w:rPr>
            </w:pPr>
            <w:r>
              <w:rPr>
                <w:rFonts w:ascii="Arial" w:cs="Arial" w:eastAsia="Arial" w:hAnsi="Arial"/>
                <w:sz w:val="18"/>
                <w:szCs w:val="18"/>
                <w:color w:val="auto"/>
                <w:w w:val="91"/>
              </w:rPr>
              <w:t>Nicholas B. Lydon, Ph.D., FRS</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/s/ Hollings Renton</w:t>
            </w:r>
          </w:p>
        </w:tc>
        <w:tc>
          <w:tcPr>
            <w:tcW w:w="220" w:type="dxa"/>
            <w:vAlign w:val="bottom"/>
          </w:tcPr>
          <w:p>
            <w:pPr>
              <w:spacing w:after="0"/>
              <w:rPr>
                <w:sz w:val="23"/>
                <w:szCs w:val="23"/>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jc w:val="center"/>
              <w:spacing w:after="0"/>
              <w:rPr>
                <w:sz w:val="20"/>
                <w:szCs w:val="20"/>
                <w:color w:val="auto"/>
              </w:rPr>
            </w:pPr>
            <w:r>
              <w:rPr>
                <w:rFonts w:ascii="Arial" w:cs="Arial" w:eastAsia="Arial" w:hAnsi="Arial"/>
                <w:sz w:val="18"/>
                <w:szCs w:val="18"/>
                <w:color w:val="auto"/>
                <w:w w:val="92"/>
              </w:rPr>
              <w:t>Hollings Renton</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tcPr>
          <w:p>
            <w:pPr>
              <w:jc w:val="center"/>
              <w:spacing w:after="0"/>
              <w:rPr>
                <w:sz w:val="20"/>
                <w:szCs w:val="20"/>
                <w:color w:val="auto"/>
              </w:rPr>
            </w:pPr>
            <w:r>
              <w:rPr>
                <w:rFonts w:ascii="Arial" w:cs="Arial" w:eastAsia="Arial" w:hAnsi="Arial"/>
                <w:sz w:val="18"/>
                <w:szCs w:val="18"/>
                <w:color w:val="auto"/>
                <w:w w:val="90"/>
              </w:rPr>
              <w:t>/s/ John Schmid</w:t>
            </w:r>
          </w:p>
        </w:tc>
        <w:tc>
          <w:tcPr>
            <w:tcW w:w="220" w:type="dxa"/>
            <w:vAlign w:val="bottom"/>
          </w:tcPr>
          <w:p>
            <w:pPr>
              <w:spacing w:after="0"/>
              <w:rPr>
                <w:sz w:val="23"/>
                <w:szCs w:val="23"/>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jc w:val="center"/>
              <w:spacing w:after="0"/>
              <w:rPr>
                <w:sz w:val="20"/>
                <w:szCs w:val="20"/>
                <w:color w:val="auto"/>
              </w:rPr>
            </w:pPr>
            <w:r>
              <w:rPr>
                <w:rFonts w:ascii="Arial" w:cs="Arial" w:eastAsia="Arial" w:hAnsi="Arial"/>
                <w:sz w:val="18"/>
                <w:szCs w:val="18"/>
                <w:color w:val="auto"/>
                <w:w w:val="90"/>
              </w:rPr>
              <w:t>John Schmid</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tcPr>
          <w:p>
            <w:pPr>
              <w:jc w:val="center"/>
              <w:spacing w:after="0"/>
              <w:rPr>
                <w:sz w:val="20"/>
                <w:szCs w:val="20"/>
                <w:color w:val="auto"/>
              </w:rPr>
            </w:pPr>
            <w:r>
              <w:rPr>
                <w:rFonts w:ascii="Arial" w:cs="Arial" w:eastAsia="Arial" w:hAnsi="Arial"/>
                <w:sz w:val="18"/>
                <w:szCs w:val="18"/>
                <w:color w:val="auto"/>
                <w:w w:val="88"/>
              </w:rPr>
              <w:t>/s/ James A. Schoeneck</w:t>
            </w:r>
          </w:p>
        </w:tc>
        <w:tc>
          <w:tcPr>
            <w:tcW w:w="220" w:type="dxa"/>
            <w:vAlign w:val="bottom"/>
          </w:tcPr>
          <w:p>
            <w:pPr>
              <w:spacing w:after="0"/>
              <w:rPr>
                <w:sz w:val="23"/>
                <w:szCs w:val="23"/>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jc w:val="center"/>
              <w:spacing w:after="0"/>
              <w:rPr>
                <w:sz w:val="20"/>
                <w:szCs w:val="20"/>
                <w:color w:val="auto"/>
              </w:rPr>
            </w:pPr>
            <w:r>
              <w:rPr>
                <w:rFonts w:ascii="Arial" w:cs="Arial" w:eastAsia="Arial" w:hAnsi="Arial"/>
                <w:sz w:val="18"/>
                <w:szCs w:val="18"/>
                <w:color w:val="auto"/>
                <w:w w:val="87"/>
              </w:rPr>
              <w:t>James A. Schoeneck</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tcPr>
          <w:p>
            <w:pPr>
              <w:jc w:val="center"/>
              <w:spacing w:after="0"/>
              <w:rPr>
                <w:sz w:val="20"/>
                <w:szCs w:val="20"/>
                <w:color w:val="auto"/>
              </w:rPr>
            </w:pPr>
            <w:r>
              <w:rPr>
                <w:rFonts w:ascii="Arial" w:cs="Arial" w:eastAsia="Arial" w:hAnsi="Arial"/>
                <w:sz w:val="18"/>
                <w:szCs w:val="18"/>
                <w:color w:val="auto"/>
                <w:w w:val="87"/>
              </w:rPr>
              <w:t>/s/ James N. Topper</w:t>
            </w:r>
          </w:p>
        </w:tc>
        <w:tc>
          <w:tcPr>
            <w:tcW w:w="220" w:type="dxa"/>
            <w:vAlign w:val="bottom"/>
          </w:tcPr>
          <w:p>
            <w:pPr>
              <w:spacing w:after="0"/>
              <w:rPr>
                <w:sz w:val="23"/>
                <w:szCs w:val="23"/>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jc w:val="center"/>
              <w:spacing w:after="0"/>
              <w:rPr>
                <w:sz w:val="20"/>
                <w:szCs w:val="20"/>
                <w:color w:val="auto"/>
              </w:rPr>
            </w:pPr>
            <w:r>
              <w:rPr>
                <w:rFonts w:ascii="Arial" w:cs="Arial" w:eastAsia="Arial" w:hAnsi="Arial"/>
                <w:sz w:val="18"/>
                <w:szCs w:val="18"/>
                <w:color w:val="auto"/>
                <w:w w:val="90"/>
              </w:rPr>
              <w:t>James N. Topper, M.D., Ph.D.</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tcPr>
          <w:p>
            <w:pPr>
              <w:jc w:val="center"/>
              <w:spacing w:after="0"/>
              <w:rPr>
                <w:sz w:val="20"/>
                <w:szCs w:val="20"/>
                <w:color w:val="auto"/>
              </w:rPr>
            </w:pPr>
            <w:r>
              <w:rPr>
                <w:rFonts w:ascii="Arial" w:cs="Arial" w:eastAsia="Arial" w:hAnsi="Arial"/>
                <w:sz w:val="18"/>
                <w:szCs w:val="18"/>
                <w:color w:val="auto"/>
                <w:w w:val="90"/>
              </w:rPr>
              <w:t>/s/ J. Anthony Ware</w:t>
            </w:r>
          </w:p>
        </w:tc>
        <w:tc>
          <w:tcPr>
            <w:tcW w:w="220" w:type="dxa"/>
            <w:vAlign w:val="bottom"/>
          </w:tcPr>
          <w:p>
            <w:pPr>
              <w:spacing w:after="0"/>
              <w:rPr>
                <w:sz w:val="23"/>
                <w:szCs w:val="23"/>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62"/>
        </w:trPr>
        <w:tc>
          <w:tcPr>
            <w:tcW w:w="3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56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1329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pacing w:after="0" w:line="34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pacing w:after="0" w:line="34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pacing w:after="0" w:line="34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pacing w:after="0" w:line="34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pacing w:after="0" w:line="34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pacing w:after="0" w:line="34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pacing w:after="0" w:line="347"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February 5, 2018</w:t>
      </w:r>
    </w:p>
    <w:p>
      <w:pPr>
        <w:sectPr>
          <w:pgSz w:w="11900" w:h="16838" w:orient="portrait"/>
          <w:cols w:equalWidth="0" w:num="2">
            <w:col w:w="8580" w:space="440"/>
            <w:col w:w="2300"/>
          </w:cols>
          <w:pgMar w:left="240" w:top="1031"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ANAPTYSBIO, INC.</w:t>
      </w: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as Trustee</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Dated as of ,</w:t>
      </w:r>
    </w:p>
    <w:p>
      <w:pPr>
        <w:sectPr>
          <w:pgSz w:w="11900" w:h="16838" w:orient="portrait"/>
          <w:cols w:equalWidth="0" w:num="1">
            <w:col w:w="10220"/>
          </w:cols>
          <w:pgMar w:left="1440" w:top="364" w:right="239" w:bottom="1440" w:gutter="0" w:footer="0" w:header="0"/>
        </w:sectPr>
      </w:pPr>
    </w:p>
    <w:bookmarkStart w:id="26" w:name="page27"/>
    <w:bookmarkEnd w:id="26"/>
    <w:p>
      <w:pPr>
        <w:ind w:left="4680"/>
        <w:spacing w:after="0"/>
        <w:rPr>
          <w:sz w:val="20"/>
          <w:szCs w:val="20"/>
          <w:color w:val="auto"/>
        </w:rPr>
      </w:pPr>
      <w:r>
        <w:rPr>
          <w:rFonts w:ascii="Arial" w:cs="Arial" w:eastAsia="Arial" w:hAnsi="Arial"/>
          <w:sz w:val="18"/>
          <w:szCs w:val="18"/>
          <w:b w:val="1"/>
          <w:bCs w:val="1"/>
          <w:color w:val="auto"/>
        </w:rPr>
        <w:t>TABLE OF CONTENTS</w:t>
      </w:r>
    </w:p>
    <w:p>
      <w:pPr>
        <w:spacing w:after="0" w:line="391" w:lineRule="exact"/>
        <w:rPr>
          <w:sz w:val="20"/>
          <w:szCs w:val="20"/>
          <w:color w:val="auto"/>
        </w:rPr>
      </w:pPr>
    </w:p>
    <w:p>
      <w:pPr>
        <w:ind w:left="180" w:right="4679" w:hanging="161"/>
        <w:spacing w:after="0" w:line="579" w:lineRule="auto"/>
        <w:rPr>
          <w:sz w:val="20"/>
          <w:szCs w:val="20"/>
          <w:color w:val="auto"/>
        </w:rPr>
      </w:pPr>
      <w:r>
        <w:rPr>
          <w:rFonts w:ascii="Arial" w:cs="Arial" w:eastAsia="Arial" w:hAnsi="Arial"/>
          <w:sz w:val="18"/>
          <w:szCs w:val="18"/>
          <w:color w:val="auto"/>
        </w:rPr>
        <w:t>ARTICLE 1 - DEFINITIONS AND INCORPORATION BY REFERENCE 1.1 DEFINITIONS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1.2. OTHER DEFINITIONS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 INCORPORATION BY REFERENCE OF TRUST INDENTURE ACT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1.4. RULES OF CONSTRUCTION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2 - THE SECURITIES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 ISSUABLE IN SERIES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 ESTABLISHMENT OF TERMS OF SERIES OF SECURITIES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2.3. EXECUTION AND AUTHENTICATION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2.4. REGISTRAR AND PAYING AGENT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2.5. PAYING AGENT TO HOLD ASSETS IN TRUST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2.6. SECURITYHOLDER LISTS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2.7. TRANSFER AND EXCHANGE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2.8. REPLACEMENT SECURITIES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2.9. OUTSTANDING SECURITIES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2.10. WHEN TREASURY SECURITIES DISREGARDED; DETERMINATION OF HOLDERS’ ACTION</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2.11. TEMPORARY SECURITIES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2.12. CANCELLATION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2.13. PAYMENT OF INTEREST; DEFAULTED INTEREST; COMPUTATION OF INTEREST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2.14. CUSIP NUMBER</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2.15. PROVISIONS FOR GLOBAL SECURITIES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2.16. PERSONS DEEMED OWNERS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3 - REDEMPTION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 NOTICES TO TRUSTEE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3.2. SELECTION BY TRUSTEE OF SECURITIES TO BE REDEEMED</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3.3. NOTICE OF REDEMPTION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3.4. EFFECT OF NOTICE OF REDEMPTION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3.5. DEPOSIT OF REDEMPTION PRICE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3.6. SECURITIES REDEEMED IN PART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4 - COVENANTS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4.1. PAYMENT OF SECURITIES</w:t>
      </w:r>
    </w:p>
    <w:p>
      <w:pPr>
        <w:sectPr>
          <w:pgSz w:w="11900" w:h="16838" w:orient="portrait"/>
          <w:cols w:equalWidth="0" w:num="1">
            <w:col w:w="10139"/>
          </w:cols>
          <w:pgMar w:left="320" w:top="580" w:right="1440" w:bottom="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color w:val="auto"/>
        </w:rPr>
        <w:t>4.2. SEC REPORTS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4.3. WAIVER OF STAY, EXTENSION OR USURY LAWS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4.4. COMPLIANCE CERTIFICATE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4.5. CORPORATE EXISTENCE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5 - SUCCESSOR CORPORATION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5.1. LIMITATION ON CONSOLIDATION, MERGER AND SALE OF ASSETS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5.2. SUCCESSOR PERSON SUBSTITUTED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6 - DEFAULTS AND REMEDIES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 EVENTS OF DEFAULT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6.2. ACCELERATION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6.3. REMEDIES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6.4. WAIVER OF PAST DEFAULTS AND EVENTS OF DEFAULT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6.5. CONTROL BY MAJORITY</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6.6. LIMITATION ON SUITS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6.7. RIGHTS OF HOLDERS TO RECEIVE PAYMENT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6.8. COLLECTION SUIT BY TRUSTEE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6.9. TRUSTEE MAY FILE PROOFS OF CLAIM</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6.10. PRIORITIES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6.11. UNDERTAKING FOR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ARTICLE 7 — TRUSTEE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7.1. DUTIES OF TRUSTEE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7.2. RIGHTS OF TRUSTEE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7.3. INDIVIDUAL RIGHTS OF TRUSTEE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7.4. TRUSTEE’S DISCLAIMER</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7.5. NOTICE OF DEFAULT</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7.6. REPORTS BY TRUSTEE TO HOLDERS</w:t>
      </w:r>
    </w:p>
    <w:p>
      <w:pPr>
        <w:sectPr>
          <w:pgSz w:w="11900" w:h="16838" w:orient="portrait"/>
          <w:cols w:equalWidth="0" w:num="1">
            <w:col w:w="10139"/>
          </w:cols>
          <w:pgMar w:left="320" w:top="125" w:right="1440" w:bottom="1440" w:gutter="0" w:footer="0" w:header="0"/>
        </w:sectPr>
      </w:pPr>
    </w:p>
    <w:bookmarkStart w:id="28" w:name="page29"/>
    <w:bookmarkEnd w:id="28"/>
    <w:p>
      <w:pPr>
        <w:ind w:left="200"/>
        <w:spacing w:after="0"/>
        <w:rPr>
          <w:sz w:val="20"/>
          <w:szCs w:val="20"/>
          <w:color w:val="auto"/>
        </w:rPr>
      </w:pPr>
      <w:r>
        <w:rPr>
          <w:rFonts w:ascii="Arial" w:cs="Arial" w:eastAsia="Arial" w:hAnsi="Arial"/>
          <w:sz w:val="18"/>
          <w:szCs w:val="18"/>
          <w:color w:val="auto"/>
        </w:rPr>
        <w:t>7.7. COMPENSATION AND INDEMNITY</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7.8. REPLACEMENT OF TRUSTEE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7.9. SUCCESSOR TRUSTEE BY CONSOLIDATION, MERGER OR CONVERSION</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7.10. ELIGIBILITY; DISQUALIFICATION</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7.11. PREFERENTIAL COLLECTION OF CLAIMS AGAINST COMPANY</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7.12. PAYING AGENTS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ARTICLE 8 - AMENDMENTS, SUPPLEMENTS AND WAIVERS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8.1. WITHOUT CONSENT OF HOLDERS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8.2. WITH CONSENT OF HOLDERS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8.3. COMPLIANCE WITH TRUST INDENTURE ACT</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8.4. REVOCATION AND EFFECT OF CONSENTS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8.5. NOTATION ON OR EXCHANGE OF SECURITIES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8.6. TRUSTEE TO SIGN AMENDMENTS, ETC.</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ARTICLE 9 - DISCHARGE OF INDENTURE; DEFEASANCE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9.1. DISCHARGE OF INDENTURE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9.2. LEGAL DEFEASANCE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9.3. COVENANT DEFEASANCE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9.4. CONDITIONS TO LEGAL DEFEASANCE OR COVENANT DEFEASANCE</w:t>
      </w:r>
    </w:p>
    <w:p>
      <w:pPr>
        <w:spacing w:after="0" w:line="63" w:lineRule="exact"/>
        <w:rPr>
          <w:sz w:val="20"/>
          <w:szCs w:val="20"/>
          <w:color w:val="auto"/>
        </w:rPr>
      </w:pPr>
    </w:p>
    <w:p>
      <w:pPr>
        <w:ind w:left="200" w:right="1860"/>
        <w:spacing w:after="0" w:line="293" w:lineRule="auto"/>
        <w:rPr>
          <w:sz w:val="20"/>
          <w:szCs w:val="20"/>
          <w:color w:val="auto"/>
        </w:rPr>
      </w:pPr>
      <w:r>
        <w:rPr>
          <w:rFonts w:ascii="Arial" w:cs="Arial" w:eastAsia="Arial" w:hAnsi="Arial"/>
          <w:sz w:val="18"/>
          <w:szCs w:val="18"/>
          <w:color w:val="auto"/>
        </w:rPr>
        <w:t>9.5. DEPOSITED MONEY AND U.S. AND FOREIGN GOVERNMENT OBLIGATIONS TO BE HELD IN TRUST; OTHER MISCELLANEOUS PROVISIONS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9.6. REINSTATEMENT</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9.7. MONEYS HELD BY PAYING AGENT</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9.8. MONEYS HELD BY TRUSTEE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ARTICLE 10 - MISCELLANEOUS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 TRUST INDENTURE ACT CONTROLS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10.2. NOTICES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10.3. COMMUNICATIONS BY HOLDERS WITH OTHER HOLDERS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10.4. CERTIFICATE AND OPINION AS TO CONDITIONS PRECEDENT</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10.5. STATEMENT REQUIRED IN CERTIFICATE AND OPINION</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10.6. RULES BY TRUSTEE AND AGENTS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10.7. BUSINESS DAYS; LEGAL HOLIDAYS; PLACE OF PAYMENT</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10.8. GOVERNING LAW</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10.9. NO ADVERSE INTERPRETATION OF OTHER AGREEMENTS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10.10. NO RECOURSE AGAINST OTHERS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10.11. SUCCESSORS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10.12. MULTIPLE COUNTERPARTS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10.13. TABLE OF CONTENTS, HEADINGS, ETC.</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10.14. SEVERABILITY</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10.15. SECURITIES IN A FOREIGN CURRENCY OR IN EUROS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10.16. JUDGMENT CURRENCY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b w:val="1"/>
                <w:bCs w:val="1"/>
                <w:color w:val="auto"/>
              </w:rPr>
              <w:t>CROSS-REFERENCE TABLE</w:t>
            </w:r>
          </w:p>
        </w:tc>
      </w:tr>
      <w:tr>
        <w:trPr>
          <w:trHeight w:val="542"/>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TIA SECTION</w:t>
            </w:r>
          </w:p>
        </w:tc>
        <w:tc>
          <w:tcPr>
            <w:tcW w:w="8500" w:type="dxa"/>
            <w:vAlign w:val="bottom"/>
          </w:tcPr>
          <w:p>
            <w:pPr>
              <w:spacing w:after="0"/>
              <w:rPr>
                <w:sz w:val="24"/>
                <w:szCs w:val="24"/>
                <w:color w:val="auto"/>
              </w:rPr>
            </w:pPr>
          </w:p>
        </w:tc>
      </w:tr>
      <w:tr>
        <w:trPr>
          <w:trHeight w:val="203"/>
        </w:trPr>
        <w:tc>
          <w:tcPr>
            <w:tcW w:w="2780" w:type="dxa"/>
            <w:vAlign w:val="bottom"/>
          </w:tcPr>
          <w:p>
            <w:pPr>
              <w:spacing w:after="0"/>
              <w:rPr>
                <w:sz w:val="17"/>
                <w:szCs w:val="17"/>
                <w:color w:val="auto"/>
              </w:rPr>
            </w:pPr>
          </w:p>
        </w:tc>
        <w:tc>
          <w:tcPr>
            <w:tcW w:w="8500" w:type="dxa"/>
            <w:vAlign w:val="bottom"/>
          </w:tcPr>
          <w:p>
            <w:pPr>
              <w:ind w:left="2320"/>
              <w:spacing w:after="0"/>
              <w:rPr>
                <w:sz w:val="20"/>
                <w:szCs w:val="20"/>
                <w:color w:val="auto"/>
              </w:rPr>
            </w:pPr>
            <w:r>
              <w:rPr>
                <w:rFonts w:ascii="Arial" w:cs="Arial" w:eastAsia="Arial" w:hAnsi="Arial"/>
                <w:sz w:val="14"/>
                <w:szCs w:val="14"/>
                <w:b w:val="1"/>
                <w:bCs w:val="1"/>
                <w:color w:val="auto"/>
              </w:rPr>
              <w:t>INDENTURE SECTION</w:t>
            </w:r>
          </w:p>
        </w:tc>
      </w:tr>
      <w:tr>
        <w:trPr>
          <w:trHeight w:val="39"/>
        </w:trPr>
        <w:tc>
          <w:tcPr>
            <w:tcW w:w="2780" w:type="dxa"/>
            <w:vAlign w:val="bottom"/>
            <w:tcBorders>
              <w:bottom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r>
      <w:tr>
        <w:trPr>
          <w:trHeight w:val="25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310(a)(1)(2)(5)</w:t>
            </w:r>
          </w:p>
        </w:tc>
        <w:tc>
          <w:tcPr>
            <w:tcW w:w="85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7.10</w:t>
            </w:r>
          </w:p>
        </w:tc>
      </w:tr>
      <w:tr>
        <w:trPr>
          <w:trHeight w:val="257"/>
        </w:trPr>
        <w:tc>
          <w:tcPr>
            <w:tcW w:w="2780" w:type="dxa"/>
            <w:vAlign w:val="bottom"/>
          </w:tcPr>
          <w:p>
            <w:pPr>
              <w:ind w:left="20"/>
              <w:spacing w:after="0"/>
              <w:rPr>
                <w:sz w:val="20"/>
                <w:szCs w:val="20"/>
                <w:color w:val="auto"/>
              </w:rPr>
            </w:pPr>
            <w:r>
              <w:rPr>
                <w:rFonts w:ascii="Arial" w:cs="Arial" w:eastAsia="Arial" w:hAnsi="Arial"/>
                <w:sz w:val="18"/>
                <w:szCs w:val="18"/>
                <w:color w:val="auto"/>
              </w:rPr>
              <w:t>310(a)(3)(4)</w:t>
            </w:r>
          </w:p>
        </w:tc>
        <w:tc>
          <w:tcPr>
            <w:tcW w:w="8500" w:type="dxa"/>
            <w:vAlign w:val="bottom"/>
          </w:tcPr>
          <w:p>
            <w:pPr>
              <w:ind w:left="2320"/>
              <w:spacing w:after="0"/>
              <w:rPr>
                <w:sz w:val="20"/>
                <w:szCs w:val="20"/>
                <w:color w:val="auto"/>
              </w:rPr>
            </w:pPr>
            <w:r>
              <w:rPr>
                <w:rFonts w:ascii="Arial" w:cs="Arial" w:eastAsia="Arial" w:hAnsi="Arial"/>
                <w:sz w:val="18"/>
                <w:szCs w:val="18"/>
                <w:color w:val="auto"/>
              </w:rPr>
              <w:t>Inapplicable</w:t>
            </w:r>
          </w:p>
        </w:tc>
      </w:tr>
      <w:tr>
        <w:trPr>
          <w:trHeight w:val="27"/>
        </w:trPr>
        <w:tc>
          <w:tcPr>
            <w:tcW w:w="278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6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310(b)</w:t>
            </w:r>
          </w:p>
        </w:tc>
        <w:tc>
          <w:tcPr>
            <w:tcW w:w="85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7.8; 7.10</w:t>
            </w:r>
          </w:p>
        </w:tc>
      </w:tr>
      <w:tr>
        <w:trPr>
          <w:trHeight w:val="257"/>
        </w:trPr>
        <w:tc>
          <w:tcPr>
            <w:tcW w:w="2780" w:type="dxa"/>
            <w:vAlign w:val="bottom"/>
          </w:tcPr>
          <w:p>
            <w:pPr>
              <w:ind w:left="20"/>
              <w:spacing w:after="0"/>
              <w:rPr>
                <w:sz w:val="20"/>
                <w:szCs w:val="20"/>
                <w:color w:val="auto"/>
              </w:rPr>
            </w:pPr>
            <w:r>
              <w:rPr>
                <w:rFonts w:ascii="Arial" w:cs="Arial" w:eastAsia="Arial" w:hAnsi="Arial"/>
                <w:sz w:val="18"/>
                <w:szCs w:val="18"/>
                <w:color w:val="auto"/>
              </w:rPr>
              <w:t>310(c)</w:t>
            </w:r>
          </w:p>
        </w:tc>
        <w:tc>
          <w:tcPr>
            <w:tcW w:w="8500" w:type="dxa"/>
            <w:vAlign w:val="bottom"/>
          </w:tcPr>
          <w:p>
            <w:pPr>
              <w:ind w:left="2320"/>
              <w:spacing w:after="0"/>
              <w:rPr>
                <w:sz w:val="20"/>
                <w:szCs w:val="20"/>
                <w:color w:val="auto"/>
              </w:rPr>
            </w:pPr>
            <w:r>
              <w:rPr>
                <w:rFonts w:ascii="Arial" w:cs="Arial" w:eastAsia="Arial" w:hAnsi="Arial"/>
                <w:sz w:val="18"/>
                <w:szCs w:val="18"/>
                <w:color w:val="auto"/>
              </w:rPr>
              <w:t>Inapplicable</w:t>
            </w:r>
          </w:p>
        </w:tc>
      </w:tr>
      <w:tr>
        <w:trPr>
          <w:trHeight w:val="27"/>
        </w:trPr>
        <w:tc>
          <w:tcPr>
            <w:tcW w:w="278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500"/>
        </w:trPr>
        <w:tc>
          <w:tcPr>
            <w:tcW w:w="2780" w:type="dxa"/>
            <w:vAlign w:val="bottom"/>
            <w:shd w:val="clear" w:color="auto" w:fill="CCEEFF"/>
          </w:tcPr>
          <w:p>
            <w:pPr>
              <w:spacing w:after="0"/>
              <w:rPr>
                <w:sz w:val="24"/>
                <w:szCs w:val="24"/>
                <w:color w:val="auto"/>
              </w:rPr>
            </w:pPr>
          </w:p>
        </w:tc>
        <w:tc>
          <w:tcPr>
            <w:tcW w:w="8500" w:type="dxa"/>
            <w:vAlign w:val="bottom"/>
            <w:shd w:val="clear" w:color="auto" w:fill="CCEEFF"/>
          </w:tcPr>
          <w:p>
            <w:pPr>
              <w:spacing w:after="0"/>
              <w:rPr>
                <w:sz w:val="24"/>
                <w:szCs w:val="24"/>
                <w:color w:val="auto"/>
              </w:rPr>
            </w:pPr>
          </w:p>
        </w:tc>
      </w:tr>
      <w:tr>
        <w:trPr>
          <w:trHeight w:val="257"/>
        </w:trPr>
        <w:tc>
          <w:tcPr>
            <w:tcW w:w="2780" w:type="dxa"/>
            <w:vAlign w:val="bottom"/>
          </w:tcPr>
          <w:p>
            <w:pPr>
              <w:ind w:left="20"/>
              <w:spacing w:after="0"/>
              <w:rPr>
                <w:sz w:val="20"/>
                <w:szCs w:val="20"/>
                <w:color w:val="auto"/>
              </w:rPr>
            </w:pPr>
            <w:r>
              <w:rPr>
                <w:rFonts w:ascii="Arial" w:cs="Arial" w:eastAsia="Arial" w:hAnsi="Arial"/>
                <w:sz w:val="18"/>
                <w:szCs w:val="18"/>
                <w:color w:val="auto"/>
              </w:rPr>
              <w:t>311(a)(b)</w:t>
            </w:r>
          </w:p>
        </w:tc>
        <w:tc>
          <w:tcPr>
            <w:tcW w:w="8500" w:type="dxa"/>
            <w:vAlign w:val="bottom"/>
          </w:tcPr>
          <w:p>
            <w:pPr>
              <w:ind w:left="2320"/>
              <w:spacing w:after="0"/>
              <w:rPr>
                <w:sz w:val="20"/>
                <w:szCs w:val="20"/>
                <w:color w:val="auto"/>
              </w:rPr>
            </w:pPr>
            <w:r>
              <w:rPr>
                <w:rFonts w:ascii="Arial" w:cs="Arial" w:eastAsia="Arial" w:hAnsi="Arial"/>
                <w:sz w:val="18"/>
                <w:szCs w:val="18"/>
                <w:color w:val="auto"/>
              </w:rPr>
              <w:t>7.11</w:t>
            </w:r>
          </w:p>
        </w:tc>
      </w:tr>
      <w:tr>
        <w:trPr>
          <w:trHeight w:val="27"/>
        </w:trPr>
        <w:tc>
          <w:tcPr>
            <w:tcW w:w="2780" w:type="dxa"/>
            <w:vAlign w:val="bottom"/>
          </w:tcPr>
          <w:p>
            <w:pPr>
              <w:spacing w:after="0"/>
              <w:rPr>
                <w:sz w:val="2"/>
                <w:szCs w:val="2"/>
                <w:color w:val="auto"/>
              </w:rPr>
            </w:pPr>
          </w:p>
        </w:tc>
        <w:tc>
          <w:tcPr>
            <w:tcW w:w="8500" w:type="dxa"/>
            <w:vAlign w:val="bottom"/>
          </w:tcPr>
          <w:p>
            <w:pPr>
              <w:spacing w:after="0"/>
              <w:rPr>
                <w:sz w:val="2"/>
                <w:szCs w:val="2"/>
                <w:color w:val="auto"/>
              </w:rPr>
            </w:pPr>
          </w:p>
        </w:tc>
      </w:tr>
      <w:tr>
        <w:trPr>
          <w:trHeight w:val="26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311(c)</w:t>
            </w:r>
          </w:p>
        </w:tc>
        <w:tc>
          <w:tcPr>
            <w:tcW w:w="85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Inapplicable</w:t>
            </w:r>
          </w:p>
        </w:tc>
      </w:tr>
      <w:tr>
        <w:trPr>
          <w:trHeight w:val="500"/>
        </w:trPr>
        <w:tc>
          <w:tcPr>
            <w:tcW w:w="278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25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312(a)</w:t>
            </w:r>
          </w:p>
        </w:tc>
        <w:tc>
          <w:tcPr>
            <w:tcW w:w="850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2.6</w:t>
            </w:r>
          </w:p>
        </w:tc>
      </w:tr>
      <w:tr>
        <w:trPr>
          <w:trHeight w:val="27"/>
        </w:trPr>
        <w:tc>
          <w:tcPr>
            <w:tcW w:w="27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r>
    </w:tbl>
    <w:p>
      <w:pPr>
        <w:sectPr>
          <w:pgSz w:w="11900" w:h="16838" w:orient="portrait"/>
          <w:cols w:equalWidth="0" w:num="1">
            <w:col w:w="11280"/>
          </w:cols>
          <w:pgMar w:left="300" w:top="760" w:right="319" w:bottom="0" w:gutter="0" w:footer="0" w:header="0"/>
        </w:sectPr>
      </w:pPr>
    </w:p>
    <w:bookmarkStart w:id="29" w:name="page30"/>
    <w:bookmarkEnd w:id="2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312(b)(c)</w:t>
            </w:r>
          </w:p>
        </w:tc>
        <w:tc>
          <w:tcPr>
            <w:tcW w:w="7960" w:type="dxa"/>
            <w:vAlign w:val="bottom"/>
          </w:tcPr>
          <w:p>
            <w:pPr>
              <w:ind w:left="1780"/>
              <w:spacing w:after="0"/>
              <w:rPr>
                <w:sz w:val="20"/>
                <w:szCs w:val="20"/>
                <w:color w:val="auto"/>
              </w:rPr>
            </w:pPr>
            <w:r>
              <w:rPr>
                <w:rFonts w:ascii="Arial" w:cs="Arial" w:eastAsia="Arial" w:hAnsi="Arial"/>
                <w:sz w:val="18"/>
                <w:szCs w:val="18"/>
                <w:color w:val="auto"/>
              </w:rPr>
              <w:t>10.3</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500"/>
        </w:trPr>
        <w:tc>
          <w:tcPr>
            <w:tcW w:w="3320" w:type="dxa"/>
            <w:vAlign w:val="bottom"/>
            <w:shd w:val="clear" w:color="auto" w:fill="CCEEFF"/>
          </w:tcPr>
          <w:p>
            <w:pPr>
              <w:spacing w:after="0"/>
              <w:rPr>
                <w:sz w:val="24"/>
                <w:szCs w:val="24"/>
                <w:color w:val="auto"/>
              </w:rPr>
            </w:pPr>
          </w:p>
        </w:tc>
        <w:tc>
          <w:tcPr>
            <w:tcW w:w="7960" w:type="dxa"/>
            <w:vAlign w:val="bottom"/>
            <w:shd w:val="clear" w:color="auto" w:fill="CCEEFF"/>
          </w:tcPr>
          <w:p>
            <w:pPr>
              <w:spacing w:after="0"/>
              <w:rPr>
                <w:sz w:val="24"/>
                <w:szCs w:val="24"/>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313(a)(b)</w:t>
            </w:r>
          </w:p>
        </w:tc>
        <w:tc>
          <w:tcPr>
            <w:tcW w:w="7960" w:type="dxa"/>
            <w:vAlign w:val="bottom"/>
          </w:tcPr>
          <w:p>
            <w:pPr>
              <w:ind w:left="1780"/>
              <w:spacing w:after="0"/>
              <w:rPr>
                <w:sz w:val="20"/>
                <w:szCs w:val="20"/>
                <w:color w:val="auto"/>
              </w:rPr>
            </w:pPr>
            <w:r>
              <w:rPr>
                <w:rFonts w:ascii="Arial" w:cs="Arial" w:eastAsia="Arial" w:hAnsi="Arial"/>
                <w:sz w:val="18"/>
                <w:szCs w:val="18"/>
                <w:color w:val="auto"/>
              </w:rPr>
              <w:t>7.6</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313(c)</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7.6; 10.2</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313(d)</w:t>
            </w:r>
          </w:p>
        </w:tc>
        <w:tc>
          <w:tcPr>
            <w:tcW w:w="7960" w:type="dxa"/>
            <w:vAlign w:val="bottom"/>
          </w:tcPr>
          <w:p>
            <w:pPr>
              <w:ind w:left="1780"/>
              <w:spacing w:after="0"/>
              <w:rPr>
                <w:sz w:val="20"/>
                <w:szCs w:val="20"/>
                <w:color w:val="auto"/>
              </w:rPr>
            </w:pPr>
            <w:r>
              <w:rPr>
                <w:rFonts w:ascii="Arial" w:cs="Arial" w:eastAsia="Arial" w:hAnsi="Arial"/>
                <w:sz w:val="18"/>
                <w:szCs w:val="18"/>
                <w:color w:val="auto"/>
              </w:rPr>
              <w:t>7.6</w:t>
            </w:r>
          </w:p>
        </w:tc>
      </w:tr>
      <w:tr>
        <w:trPr>
          <w:trHeight w:val="162"/>
        </w:trPr>
        <w:tc>
          <w:tcPr>
            <w:tcW w:w="3320" w:type="dxa"/>
            <w:vAlign w:val="bottom"/>
          </w:tcPr>
          <w:p>
            <w:pPr>
              <w:spacing w:after="0"/>
              <w:rPr>
                <w:sz w:val="14"/>
                <w:szCs w:val="14"/>
                <w:color w:val="auto"/>
              </w:rPr>
            </w:pPr>
          </w:p>
        </w:tc>
        <w:tc>
          <w:tcPr>
            <w:tcW w:w="7960" w:type="dxa"/>
            <w:vAlign w:val="bottom"/>
          </w:tcPr>
          <w:p>
            <w:pPr>
              <w:spacing w:after="0"/>
              <w:rPr>
                <w:sz w:val="14"/>
                <w:szCs w:val="14"/>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314(a)</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4.2; 4.4; 10.2</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314(b)</w:t>
            </w:r>
          </w:p>
        </w:tc>
        <w:tc>
          <w:tcPr>
            <w:tcW w:w="7960" w:type="dxa"/>
            <w:vAlign w:val="bottom"/>
          </w:tcPr>
          <w:p>
            <w:pPr>
              <w:ind w:left="1780"/>
              <w:spacing w:after="0"/>
              <w:rPr>
                <w:sz w:val="20"/>
                <w:szCs w:val="20"/>
                <w:color w:val="auto"/>
              </w:rPr>
            </w:pPr>
            <w:r>
              <w:rPr>
                <w:rFonts w:ascii="Arial" w:cs="Arial" w:eastAsia="Arial" w:hAnsi="Arial"/>
                <w:sz w:val="18"/>
                <w:szCs w:val="18"/>
                <w:color w:val="auto"/>
              </w:rPr>
              <w:t>N/A</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314(c)(1)(2)</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10.4; 10.5</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314(c)(3)</w:t>
            </w:r>
          </w:p>
        </w:tc>
        <w:tc>
          <w:tcPr>
            <w:tcW w:w="7960" w:type="dxa"/>
            <w:vAlign w:val="bottom"/>
          </w:tcPr>
          <w:p>
            <w:pPr>
              <w:ind w:left="1780"/>
              <w:spacing w:after="0"/>
              <w:rPr>
                <w:sz w:val="20"/>
                <w:szCs w:val="20"/>
                <w:color w:val="auto"/>
              </w:rPr>
            </w:pPr>
            <w:r>
              <w:rPr>
                <w:rFonts w:ascii="Arial" w:cs="Arial" w:eastAsia="Arial" w:hAnsi="Arial"/>
                <w:sz w:val="18"/>
                <w:szCs w:val="18"/>
                <w:color w:val="auto"/>
              </w:rPr>
              <w:t>Inapplicable</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314(d)</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Inapplicable</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314(e)</w:t>
            </w:r>
          </w:p>
        </w:tc>
        <w:tc>
          <w:tcPr>
            <w:tcW w:w="7960" w:type="dxa"/>
            <w:vAlign w:val="bottom"/>
          </w:tcPr>
          <w:p>
            <w:pPr>
              <w:ind w:left="1780"/>
              <w:spacing w:after="0"/>
              <w:rPr>
                <w:sz w:val="20"/>
                <w:szCs w:val="20"/>
                <w:color w:val="auto"/>
              </w:rPr>
            </w:pPr>
            <w:r>
              <w:rPr>
                <w:rFonts w:ascii="Arial" w:cs="Arial" w:eastAsia="Arial" w:hAnsi="Arial"/>
                <w:sz w:val="18"/>
                <w:szCs w:val="18"/>
                <w:color w:val="auto"/>
              </w:rPr>
              <w:t>10.5</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314(f)</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Inapplicable</w:t>
            </w:r>
          </w:p>
        </w:tc>
      </w:tr>
      <w:tr>
        <w:trPr>
          <w:trHeight w:val="500"/>
        </w:trPr>
        <w:tc>
          <w:tcPr>
            <w:tcW w:w="3320" w:type="dxa"/>
            <w:vAlign w:val="bottom"/>
          </w:tcPr>
          <w:p>
            <w:pPr>
              <w:spacing w:after="0"/>
              <w:rPr>
                <w:sz w:val="24"/>
                <w:szCs w:val="24"/>
                <w:color w:val="auto"/>
              </w:rPr>
            </w:pPr>
          </w:p>
        </w:tc>
        <w:tc>
          <w:tcPr>
            <w:tcW w:w="7960" w:type="dxa"/>
            <w:vAlign w:val="bottom"/>
          </w:tcPr>
          <w:p>
            <w:pPr>
              <w:spacing w:after="0"/>
              <w:rPr>
                <w:sz w:val="24"/>
                <w:szCs w:val="24"/>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315(a)</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7.1, 7.2</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315(b)</w:t>
            </w:r>
          </w:p>
        </w:tc>
        <w:tc>
          <w:tcPr>
            <w:tcW w:w="7960" w:type="dxa"/>
            <w:vAlign w:val="bottom"/>
          </w:tcPr>
          <w:p>
            <w:pPr>
              <w:ind w:left="1780"/>
              <w:spacing w:after="0"/>
              <w:rPr>
                <w:sz w:val="20"/>
                <w:szCs w:val="20"/>
                <w:color w:val="auto"/>
              </w:rPr>
            </w:pPr>
            <w:r>
              <w:rPr>
                <w:rFonts w:ascii="Arial" w:cs="Arial" w:eastAsia="Arial" w:hAnsi="Arial"/>
                <w:sz w:val="18"/>
                <w:szCs w:val="18"/>
                <w:color w:val="auto"/>
              </w:rPr>
              <w:t>7.5; 10.2</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315(c)</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7.1</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315(d)</w:t>
            </w:r>
          </w:p>
        </w:tc>
        <w:tc>
          <w:tcPr>
            <w:tcW w:w="7960" w:type="dxa"/>
            <w:vAlign w:val="bottom"/>
          </w:tcPr>
          <w:p>
            <w:pPr>
              <w:ind w:left="1780"/>
              <w:spacing w:after="0"/>
              <w:rPr>
                <w:sz w:val="20"/>
                <w:szCs w:val="20"/>
                <w:color w:val="auto"/>
              </w:rPr>
            </w:pPr>
            <w:r>
              <w:rPr>
                <w:rFonts w:ascii="Arial" w:cs="Arial" w:eastAsia="Arial" w:hAnsi="Arial"/>
                <w:sz w:val="18"/>
                <w:szCs w:val="18"/>
                <w:color w:val="auto"/>
              </w:rPr>
              <w:t>7.1; 7.2</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315(e)</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6.11</w:t>
            </w:r>
          </w:p>
        </w:tc>
      </w:tr>
      <w:tr>
        <w:trPr>
          <w:trHeight w:val="500"/>
        </w:trPr>
        <w:tc>
          <w:tcPr>
            <w:tcW w:w="3320" w:type="dxa"/>
            <w:vAlign w:val="bottom"/>
          </w:tcPr>
          <w:p>
            <w:pPr>
              <w:spacing w:after="0"/>
              <w:rPr>
                <w:sz w:val="24"/>
                <w:szCs w:val="24"/>
                <w:color w:val="auto"/>
              </w:rPr>
            </w:pPr>
          </w:p>
        </w:tc>
        <w:tc>
          <w:tcPr>
            <w:tcW w:w="7960" w:type="dxa"/>
            <w:vAlign w:val="bottom"/>
          </w:tcPr>
          <w:p>
            <w:pPr>
              <w:spacing w:after="0"/>
              <w:rPr>
                <w:sz w:val="24"/>
                <w:szCs w:val="24"/>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316(a)(last sentence)</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2.10</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316(a)(1)(A)</w:t>
            </w:r>
          </w:p>
        </w:tc>
        <w:tc>
          <w:tcPr>
            <w:tcW w:w="7960" w:type="dxa"/>
            <w:vAlign w:val="bottom"/>
          </w:tcPr>
          <w:p>
            <w:pPr>
              <w:ind w:left="1780"/>
              <w:spacing w:after="0"/>
              <w:rPr>
                <w:sz w:val="20"/>
                <w:szCs w:val="20"/>
                <w:color w:val="auto"/>
              </w:rPr>
            </w:pPr>
            <w:r>
              <w:rPr>
                <w:rFonts w:ascii="Arial" w:cs="Arial" w:eastAsia="Arial" w:hAnsi="Arial"/>
                <w:sz w:val="18"/>
                <w:szCs w:val="18"/>
                <w:color w:val="auto"/>
              </w:rPr>
              <w:t>6.5</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316(a)(1)(B)</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6.4</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316(a)(2)</w:t>
            </w:r>
          </w:p>
        </w:tc>
        <w:tc>
          <w:tcPr>
            <w:tcW w:w="7960" w:type="dxa"/>
            <w:vAlign w:val="bottom"/>
          </w:tcPr>
          <w:p>
            <w:pPr>
              <w:ind w:left="1780"/>
              <w:spacing w:after="0"/>
              <w:rPr>
                <w:sz w:val="20"/>
                <w:szCs w:val="20"/>
                <w:color w:val="auto"/>
              </w:rPr>
            </w:pPr>
            <w:r>
              <w:rPr>
                <w:rFonts w:ascii="Arial" w:cs="Arial" w:eastAsia="Arial" w:hAnsi="Arial"/>
                <w:sz w:val="18"/>
                <w:szCs w:val="18"/>
                <w:color w:val="auto"/>
              </w:rPr>
              <w:t>8.2</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316(b)</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6.7</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316(c)</w:t>
            </w:r>
          </w:p>
        </w:tc>
        <w:tc>
          <w:tcPr>
            <w:tcW w:w="7960" w:type="dxa"/>
            <w:vAlign w:val="bottom"/>
          </w:tcPr>
          <w:p>
            <w:pPr>
              <w:ind w:left="1780"/>
              <w:spacing w:after="0"/>
              <w:rPr>
                <w:sz w:val="20"/>
                <w:szCs w:val="20"/>
                <w:color w:val="auto"/>
              </w:rPr>
            </w:pPr>
            <w:r>
              <w:rPr>
                <w:rFonts w:ascii="Arial" w:cs="Arial" w:eastAsia="Arial" w:hAnsi="Arial"/>
                <w:sz w:val="18"/>
                <w:szCs w:val="18"/>
                <w:color w:val="auto"/>
              </w:rPr>
              <w:t>8.4</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500"/>
        </w:trPr>
        <w:tc>
          <w:tcPr>
            <w:tcW w:w="3320" w:type="dxa"/>
            <w:vAlign w:val="bottom"/>
            <w:shd w:val="clear" w:color="auto" w:fill="CCEEFF"/>
          </w:tcPr>
          <w:p>
            <w:pPr>
              <w:spacing w:after="0"/>
              <w:rPr>
                <w:sz w:val="24"/>
                <w:szCs w:val="24"/>
                <w:color w:val="auto"/>
              </w:rPr>
            </w:pPr>
          </w:p>
        </w:tc>
        <w:tc>
          <w:tcPr>
            <w:tcW w:w="7960" w:type="dxa"/>
            <w:vAlign w:val="bottom"/>
            <w:shd w:val="clear" w:color="auto" w:fill="CCEEFF"/>
          </w:tcPr>
          <w:p>
            <w:pPr>
              <w:spacing w:after="0"/>
              <w:rPr>
                <w:sz w:val="24"/>
                <w:szCs w:val="24"/>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317(a)(1)</w:t>
            </w:r>
          </w:p>
        </w:tc>
        <w:tc>
          <w:tcPr>
            <w:tcW w:w="7960" w:type="dxa"/>
            <w:vAlign w:val="bottom"/>
          </w:tcPr>
          <w:p>
            <w:pPr>
              <w:ind w:left="1780"/>
              <w:spacing w:after="0"/>
              <w:rPr>
                <w:sz w:val="20"/>
                <w:szCs w:val="20"/>
                <w:color w:val="auto"/>
              </w:rPr>
            </w:pPr>
            <w:r>
              <w:rPr>
                <w:rFonts w:ascii="Arial" w:cs="Arial" w:eastAsia="Arial" w:hAnsi="Arial"/>
                <w:sz w:val="18"/>
                <w:szCs w:val="18"/>
                <w:color w:val="auto"/>
              </w:rPr>
              <w:t>6.8</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317(a)(2)</w:t>
            </w:r>
          </w:p>
        </w:tc>
        <w:tc>
          <w:tcPr>
            <w:tcW w:w="79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8"/>
                <w:szCs w:val="18"/>
                <w:color w:val="auto"/>
              </w:rPr>
              <w:t>6.9</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317(b)</w:t>
            </w:r>
          </w:p>
        </w:tc>
        <w:tc>
          <w:tcPr>
            <w:tcW w:w="7960" w:type="dxa"/>
            <w:vAlign w:val="bottom"/>
          </w:tcPr>
          <w:p>
            <w:pPr>
              <w:ind w:left="1780"/>
              <w:spacing w:after="0"/>
              <w:rPr>
                <w:sz w:val="20"/>
                <w:szCs w:val="20"/>
                <w:color w:val="auto"/>
              </w:rPr>
            </w:pPr>
            <w:r>
              <w:rPr>
                <w:rFonts w:ascii="Arial" w:cs="Arial" w:eastAsia="Arial" w:hAnsi="Arial"/>
                <w:sz w:val="18"/>
                <w:szCs w:val="18"/>
                <w:color w:val="auto"/>
              </w:rPr>
              <w:t>2.5; 7.12</w:t>
            </w:r>
          </w:p>
        </w:tc>
      </w:tr>
      <w:tr>
        <w:trPr>
          <w:trHeight w:val="27"/>
        </w:trPr>
        <w:tc>
          <w:tcPr>
            <w:tcW w:w="3320" w:type="dxa"/>
            <w:vAlign w:val="bottom"/>
          </w:tcPr>
          <w:p>
            <w:pPr>
              <w:spacing w:after="0"/>
              <w:rPr>
                <w:sz w:val="2"/>
                <w:szCs w:val="2"/>
                <w:color w:val="auto"/>
              </w:rPr>
            </w:pPr>
          </w:p>
        </w:tc>
        <w:tc>
          <w:tcPr>
            <w:tcW w:w="7960" w:type="dxa"/>
            <w:vAlign w:val="bottom"/>
          </w:tcPr>
          <w:p>
            <w:pPr>
              <w:spacing w:after="0"/>
              <w:rPr>
                <w:sz w:val="2"/>
                <w:szCs w:val="2"/>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318(a)</w:t>
            </w:r>
          </w:p>
        </w:tc>
        <w:tc>
          <w:tcPr>
            <w:tcW w:w="79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10.1</w:t>
            </w:r>
          </w:p>
        </w:tc>
      </w:tr>
      <w:tr>
        <w:trPr>
          <w:trHeight w:val="27"/>
        </w:trPr>
        <w:tc>
          <w:tcPr>
            <w:tcW w:w="3320" w:type="dxa"/>
            <w:vAlign w:val="bottom"/>
            <w:shd w:val="clear" w:color="auto" w:fill="CCEEFF"/>
          </w:tcPr>
          <w:p>
            <w:pPr>
              <w:spacing w:after="0"/>
              <w:rPr>
                <w:sz w:val="2"/>
                <w:szCs w:val="2"/>
                <w:color w:val="auto"/>
              </w:rPr>
            </w:pPr>
          </w:p>
        </w:tc>
        <w:tc>
          <w:tcPr>
            <w:tcW w:w="7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Note: This Cross-Reference Table shall not, for any purpose, be deemed to be a part of the Indenture.</w:t>
      </w:r>
    </w:p>
    <w:p>
      <w:pPr>
        <w:sectPr>
          <w:pgSz w:w="11900" w:h="16838" w:orient="portrait"/>
          <w:cols w:equalWidth="0" w:num="1">
            <w:col w:w="11340"/>
          </w:cols>
          <w:pgMar w:left="240" w:top="139" w:right="319" w:bottom="1440" w:gutter="0" w:footer="0" w:header="0"/>
        </w:sectPr>
      </w:pPr>
    </w:p>
    <w:bookmarkStart w:id="30" w:name="page31"/>
    <w:bookmarkEnd w:id="30"/>
    <w:p>
      <w:pPr>
        <w:ind w:right="120" w:firstLine="324"/>
        <w:spacing w:after="0" w:line="277" w:lineRule="auto"/>
        <w:rPr>
          <w:sz w:val="20"/>
          <w:szCs w:val="20"/>
          <w:color w:val="auto"/>
        </w:rPr>
      </w:pPr>
      <w:r>
        <w:rPr>
          <w:rFonts w:ascii="Arial" w:cs="Arial" w:eastAsia="Arial" w:hAnsi="Arial"/>
          <w:sz w:val="18"/>
          <w:szCs w:val="18"/>
          <w:color w:val="auto"/>
        </w:rPr>
        <w:t>INDENTURE, dated as of , , by and between AnaptysBio, Inc., a Delaware corporation, as Issuer (the “Company”) and , a organized under the laws of , as Trustee (the “Trustee”).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spacing w:after="0" w:line="16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 and the execution and delivery thereof have been in all respects duly authorized by the parties hereto.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of a Series thereof, as follows: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DEFINITIONS.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“Agent” means any Registrar, Paying Agent, co-registrar or agent for service of notices and demands.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 means the Board of Directors of the Company or any committee duly authorized to act therefor.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“Board Resolution” means a copy of a resolution certified pursuant to an Officers’ Certificate to have been duly adopted by the Board of Directors of the Company and to be in full force and effect on the date of such certification which has been delivered to the Trustee.</w:t>
      </w:r>
    </w:p>
    <w:p>
      <w:pPr>
        <w:spacing w:after="0" w:line="1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“Capital Stock” means, with respect to any Person, any and all shares or other equivalents (however designated) of capital stock, partnership interests or any other participation, right or other interest in the nature of an equity interest in such Person or any option, warrant or other security convertible into any of the foregoing.</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“Company” means the party named as such in the first paragraph of this Indenture until a successor replaces such party pursuant to Article 5 of this Indenture, and thereafter means the successor and any other primary obligor on the Securities.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“Company Order” means a written order signed in the name of the Company by two Officers, one of whom must be its Chief Executive Officer or its Vice President of Finance.</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“Company Request” means any written request signed in the name of the Company by its Chief Executive Officer, its President, any Vice President, its Chief Financial Officer or its Treasurer and attested to by its Secretary or any Assistant Secretary.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Trust Office” means the office of the Trustee at which at any particular time its corporate trust business shall be principally administered.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“Default” means any event that is, or that with the passing of time or giving of notice or both would be, an Event of Default.</w:t>
      </w:r>
    </w:p>
    <w:p>
      <w:pPr>
        <w:spacing w:after="0" w:line="239" w:lineRule="exact"/>
        <w:rPr>
          <w:sz w:val="20"/>
          <w:szCs w:val="20"/>
          <w:color w:val="auto"/>
        </w:rPr>
      </w:pPr>
    </w:p>
    <w:p>
      <w:pPr>
        <w:ind w:firstLine="324"/>
        <w:spacing w:after="0" w:line="296" w:lineRule="auto"/>
        <w:rPr>
          <w:sz w:val="20"/>
          <w:szCs w:val="20"/>
          <w:color w:val="auto"/>
        </w:rPr>
      </w:pPr>
      <w:r>
        <w:rPr>
          <w:rFonts w:ascii="Arial" w:cs="Arial" w:eastAsia="Arial" w:hAnsi="Arial"/>
          <w:sz w:val="17"/>
          <w:szCs w:val="17"/>
          <w:color w:val="auto"/>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means the currency of the United States of America.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“Euro” means the single currency of participating member states of the economic and monetary union as contemplated in the Treaty on European Union.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“Foreign Currency” means any currency or currency unit issued by a government other than the government of the United States of America.</w:t>
      </w:r>
    </w:p>
    <w:p>
      <w:pPr>
        <w:sectPr>
          <w:pgSz w:w="11900" w:h="16838" w:orient="portrait"/>
          <w:cols w:equalWidth="0" w:num="1">
            <w:col w:w="11400"/>
          </w:cols>
          <w:pgMar w:left="240" w:top="584" w:right="259" w:bottom="1440" w:gutter="0" w:footer="0" w:header="0"/>
        </w:sectPr>
      </w:pPr>
    </w:p>
    <w:bookmarkStart w:id="31" w:name="page32"/>
    <w:bookmarkEnd w:id="31"/>
    <w:p>
      <w:pPr>
        <w:ind w:firstLine="324"/>
        <w:spacing w:after="0" w:line="257" w:lineRule="auto"/>
        <w:rPr>
          <w:sz w:val="20"/>
          <w:szCs w:val="20"/>
          <w:color w:val="auto"/>
        </w:rPr>
      </w:pPr>
      <w:r>
        <w:rPr>
          <w:rFonts w:ascii="Arial" w:cs="Arial" w:eastAsia="Arial" w:hAnsi="Arial"/>
          <w:sz w:val="18"/>
          <w:szCs w:val="18"/>
          <w:color w:val="auto"/>
        </w:rPr>
        <w:t>“Foreign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“GAAP” means generally accepted accounting principles consistently applied as in effect in the United States of America from time to time.</w:t>
      </w:r>
    </w:p>
    <w:p>
      <w:pPr>
        <w:spacing w:after="0" w:line="22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 or “Securityholder” means the Person in whose name a Security is registered on the Registrar’s books.</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“Indenture” means this Indenture as amended, restated or supplemented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Payment Date,” when used with respect to any Security, means the Stated Maturity of an installment of interest on such Security.</w:t>
      </w:r>
    </w:p>
    <w:p>
      <w:pPr>
        <w:spacing w:after="0" w:line="239"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color w:val="auto"/>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spacing w:after="0" w:line="17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spacing w:after="0" w:line="18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“Officer” means the Chief Executive Officer, the President, any Vice President, the Chief Financial Officer, the Treasurer or the Secretary of the Company, or any other officer designated by the Board of Directors, as the case may be.</w:t>
      </w:r>
    </w:p>
    <w:p>
      <w:pPr>
        <w:spacing w:after="0" w:line="170"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“Officers’ Certificate” means, with respect to any Person, a certificate signed by the Chairman, Chief Executive Officer, President or any Senior or Executive Vice President and the Chief Financial Officer or any Treasurer of such Person, that shall comply with applicable provisions of this Indenture.</w:t>
      </w:r>
    </w:p>
    <w:p>
      <w:pPr>
        <w:spacing w:after="0" w:line="12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“Opinion of Counsel” means a written opinion from legal counsel, which counsel is reasonably acceptable to the Trustee. The counsel may be an employee of or counsel to the Company.</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joint-stock company, trust, unincorporated organization or government (including any agency or political subdivision thereof).</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“Redemption Date,” when used with respect to any Security to be redeemed, means the date fixed for such redemption pursuant to this Indenture.</w:t>
      </w:r>
    </w:p>
    <w:p>
      <w:pPr>
        <w:spacing w:after="0" w:line="23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“Responsible Officer,” when used with respect to the Trustee, means any officer within the corporate trust department or division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“SEC” means the United States Securities and Exchange Commission as constituted from time to time, or any successor performing substantially the same functions.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“Securities” means the securities that are issued under this Indenture, as amended or supplemented from time to time pursuant to this Indenture.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“Series” or “Series of Securities” means each series of debentures, notes or other debt instruments of the Company created pursuant to Sections 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“Significant Subsidiary” means (i) any direct or indirect Subsidiary of the Company that would be a “significant subsidiary” as defined in Article 1, Rule 1-02 of Regulation S-X, promulgated pursuant to the Securities Act, as such</w:t>
      </w:r>
    </w:p>
    <w:p>
      <w:pPr>
        <w:sectPr>
          <w:pgSz w:w="11900" w:h="16838" w:orient="portrait"/>
          <w:cols w:equalWidth="0" w:num="1">
            <w:col w:w="11380"/>
          </w:cols>
          <w:pgMar w:left="240" w:top="368" w:right="279" w:bottom="1440" w:gutter="0" w:footer="0" w:header="0"/>
        </w:sectPr>
      </w:pPr>
    </w:p>
    <w:bookmarkStart w:id="32" w:name="page33"/>
    <w:bookmarkEnd w:id="32"/>
    <w:p>
      <w:pPr>
        <w:ind w:right="40"/>
        <w:spacing w:after="0" w:line="264" w:lineRule="auto"/>
        <w:rPr>
          <w:sz w:val="20"/>
          <w:szCs w:val="20"/>
          <w:color w:val="auto"/>
        </w:rPr>
      </w:pPr>
      <w:r>
        <w:rPr>
          <w:rFonts w:ascii="Arial" w:cs="Arial" w:eastAsia="Arial" w:hAnsi="Arial"/>
          <w:sz w:val="18"/>
          <w:szCs w:val="18"/>
          <w:color w:val="auto"/>
        </w:rPr>
        <w:t>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 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“TIA” means the Trust Indenture Act of 1939 (15 U.S. Code Section 77aaa-77bbbb) as in effect on the date of this Indenture (except as provided in Section 8.3).</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“U.S. Government Obligations” means direct non-callable obligations of, or non-callable obligations guaranteed by, the United States of America for the payment of which obligation or guarantee the full faith and credit of the United States of America is pledged.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DEFINITIONS.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definitions of the following terms may be found in the sections indicated as follows:</w:t>
      </w:r>
    </w:p>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9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5440" w:type="dxa"/>
            <w:vAlign w:val="bottom"/>
          </w:tcPr>
          <w:p>
            <w:pPr>
              <w:ind w:left="1960"/>
              <w:spacing w:after="0"/>
              <w:rPr>
                <w:sz w:val="20"/>
                <w:szCs w:val="20"/>
                <w:color w:val="auto"/>
              </w:rPr>
            </w:pPr>
            <w:r>
              <w:rPr>
                <w:rFonts w:ascii="Arial" w:cs="Arial" w:eastAsia="Arial" w:hAnsi="Arial"/>
                <w:sz w:val="14"/>
                <w:szCs w:val="14"/>
                <w:b w:val="1"/>
                <w:bCs w:val="1"/>
                <w:color w:val="auto"/>
              </w:rPr>
              <w:t>DEFINED IN SECTION</w:t>
            </w:r>
          </w:p>
        </w:tc>
      </w:tr>
      <w:tr>
        <w:trPr>
          <w:trHeight w:val="242"/>
        </w:trPr>
        <w:tc>
          <w:tcPr>
            <w:tcW w:w="5580" w:type="dxa"/>
            <w:vAlign w:val="bottom"/>
            <w:tcBorders>
              <w:bottom w:val="single" w:sz="8" w:color="auto"/>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r>
      <w:tr>
        <w:trPr>
          <w:trHeight w:val="25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“Bankruptcy Law”</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“Business Day”</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10.7</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“Covenant Defeasance”</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9.3</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“Custodian”</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“Event of Default”</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“Journal”</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10.15</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“Judgment Currency”</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10.16</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“Legal Defeasance”</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9.2</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“Legal Holiday”</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10.7</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7"/>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 Exchange Rate”</w:t>
            </w: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10.15</w:t>
            </w:r>
          </w:p>
        </w:tc>
      </w:tr>
      <w:tr>
        <w:trPr>
          <w:trHeight w:val="500"/>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57"/>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Paying Agent”</w:t>
            </w:r>
          </w:p>
        </w:tc>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w:t>
            </w:r>
          </w:p>
        </w:tc>
      </w:tr>
      <w:tr>
        <w:trPr>
          <w:trHeight w:val="41"/>
        </w:trPr>
        <w:tc>
          <w:tcPr>
            <w:tcW w:w="55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4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317500</wp:posOffset>
            </wp:positionV>
            <wp:extent cx="721233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326" w:lineRule="exact"/>
        <w:rPr>
          <w:sz w:val="20"/>
          <w:szCs w:val="20"/>
          <w:color w:val="auto"/>
        </w:rPr>
      </w:pPr>
    </w:p>
    <w:p>
      <w:pPr>
        <w:ind w:left="80"/>
        <w:spacing w:after="0"/>
        <w:tabs>
          <w:tab w:leader="none" w:pos="5980" w:val="left"/>
        </w:tabs>
        <w:rPr>
          <w:sz w:val="20"/>
          <w:szCs w:val="20"/>
          <w:color w:val="auto"/>
        </w:rPr>
      </w:pPr>
      <w:r>
        <w:rPr>
          <w:rFonts w:ascii="Arial" w:cs="Arial" w:eastAsia="Arial" w:hAnsi="Arial"/>
          <w:sz w:val="18"/>
          <w:szCs w:val="18"/>
          <w:color w:val="auto"/>
        </w:rPr>
        <w:t>“Paying Agent”</w:t>
      </w:r>
      <w:r>
        <w:rPr>
          <w:sz w:val="20"/>
          <w:szCs w:val="20"/>
          <w:color w:val="auto"/>
        </w:rPr>
        <w:tab/>
      </w:r>
      <w:r>
        <w:rPr>
          <w:rFonts w:ascii="Arial" w:cs="Arial" w:eastAsia="Arial" w:hAnsi="Arial"/>
          <w:sz w:val="15"/>
          <w:szCs w:val="15"/>
          <w:color w:val="auto"/>
        </w:rPr>
        <w:t>2.4</w:t>
      </w:r>
    </w:p>
    <w:p>
      <w:pPr>
        <w:sectPr>
          <w:pgSz w:w="11900" w:h="16838" w:orient="portrait"/>
          <w:cols w:equalWidth="0" w:num="1">
            <w:col w:w="11420"/>
          </w:cols>
          <w:pgMar w:left="240" w:top="368" w:right="239" w:bottom="0" w:gutter="0" w:footer="0" w:header="0"/>
          <w:type w:val="continuous"/>
        </w:sectPr>
      </w:pPr>
    </w:p>
    <w:bookmarkStart w:id="33" w:name="page34"/>
    <w:bookmarkEnd w:id="33"/>
    <w:tbl>
      <w:tblPr>
        <w:tblLayout w:type="fixed"/>
        <w:tblInd w:w="60" w:type="dxa"/>
        <w:tblCellMar>
          <w:top w:w="0" w:type="dxa"/>
          <w:left w:w="0" w:type="dxa"/>
          <w:bottom w:w="0" w:type="dxa"/>
          <w:right w:w="0" w:type="dxa"/>
        </w:tblCellMar>
      </w:tblPr>
      <w:tr>
        <w:trPr>
          <w:trHeight w:val="27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“Place of Payment”</w:t>
            </w:r>
          </w:p>
        </w:tc>
        <w:tc>
          <w:tcPr>
            <w:tcW w:w="7600" w:type="dxa"/>
            <w:vAlign w:val="bottom"/>
            <w:tcBorders>
              <w:bottom w:val="single" w:sz="8" w:color="CCEEFF"/>
            </w:tcBorders>
            <w:shd w:val="clear" w:color="auto" w:fill="CCEEFF"/>
          </w:tcPr>
          <w:p>
            <w:pPr>
              <w:ind w:left="2180"/>
              <w:spacing w:after="0"/>
              <w:rPr>
                <w:sz w:val="20"/>
                <w:szCs w:val="20"/>
                <w:color w:val="auto"/>
              </w:rPr>
            </w:pPr>
            <w:r>
              <w:rPr>
                <w:rFonts w:ascii="Arial" w:cs="Arial" w:eastAsia="Arial" w:hAnsi="Arial"/>
                <w:sz w:val="18"/>
                <w:szCs w:val="18"/>
                <w:color w:val="auto"/>
              </w:rPr>
              <w:t>10.7</w:t>
            </w:r>
          </w:p>
        </w:tc>
      </w:tr>
      <w:tr>
        <w:trPr>
          <w:trHeight w:val="500"/>
        </w:trPr>
        <w:tc>
          <w:tcPr>
            <w:tcW w:w="376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27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“Registrar”</w:t>
            </w:r>
          </w:p>
        </w:tc>
        <w:tc>
          <w:tcPr>
            <w:tcW w:w="7600" w:type="dxa"/>
            <w:vAlign w:val="bottom"/>
            <w:tcBorders>
              <w:bottom w:val="single" w:sz="8" w:color="CCEEFF"/>
            </w:tcBorders>
            <w:shd w:val="clear" w:color="auto" w:fill="CCEEFF"/>
          </w:tcPr>
          <w:p>
            <w:pPr>
              <w:ind w:left="2180"/>
              <w:spacing w:after="0"/>
              <w:rPr>
                <w:sz w:val="20"/>
                <w:szCs w:val="20"/>
                <w:color w:val="auto"/>
              </w:rPr>
            </w:pPr>
            <w:r>
              <w:rPr>
                <w:rFonts w:ascii="Arial" w:cs="Arial" w:eastAsia="Arial" w:hAnsi="Arial"/>
                <w:sz w:val="18"/>
                <w:szCs w:val="18"/>
                <w:color w:val="auto"/>
              </w:rPr>
              <w:t>2.4</w:t>
            </w:r>
          </w:p>
        </w:tc>
      </w:tr>
      <w:tr>
        <w:trPr>
          <w:trHeight w:val="500"/>
        </w:trPr>
        <w:tc>
          <w:tcPr>
            <w:tcW w:w="376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27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“Required Currency”</w:t>
            </w:r>
          </w:p>
        </w:tc>
        <w:tc>
          <w:tcPr>
            <w:tcW w:w="7600" w:type="dxa"/>
            <w:vAlign w:val="bottom"/>
            <w:tcBorders>
              <w:bottom w:val="single" w:sz="8" w:color="CCEEFF"/>
            </w:tcBorders>
            <w:shd w:val="clear" w:color="auto" w:fill="CCEEFF"/>
          </w:tcPr>
          <w:p>
            <w:pPr>
              <w:ind w:left="2180"/>
              <w:spacing w:after="0"/>
              <w:rPr>
                <w:sz w:val="20"/>
                <w:szCs w:val="20"/>
                <w:color w:val="auto"/>
              </w:rPr>
            </w:pPr>
            <w:r>
              <w:rPr>
                <w:rFonts w:ascii="Arial" w:cs="Arial" w:eastAsia="Arial" w:hAnsi="Arial"/>
                <w:sz w:val="18"/>
                <w:szCs w:val="18"/>
                <w:color w:val="auto"/>
              </w:rPr>
              <w:t>10.16</w:t>
            </w:r>
          </w:p>
        </w:tc>
      </w:tr>
      <w:tr>
        <w:trPr>
          <w:trHeight w:val="500"/>
        </w:trPr>
        <w:tc>
          <w:tcPr>
            <w:tcW w:w="376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25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Agent”</w:t>
            </w:r>
          </w:p>
        </w:tc>
        <w:tc>
          <w:tcPr>
            <w:tcW w:w="760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2.4</w:t>
            </w:r>
          </w:p>
        </w:tc>
      </w:tr>
      <w:tr>
        <w:trPr>
          <w:trHeight w:val="41"/>
        </w:trPr>
        <w:tc>
          <w:tcPr>
            <w:tcW w:w="3760" w:type="dxa"/>
            <w:vAlign w:val="bottom"/>
            <w:shd w:val="clear" w:color="auto" w:fill="CCEEFF"/>
          </w:tcPr>
          <w:p>
            <w:pPr>
              <w:spacing w:after="0"/>
              <w:rPr>
                <w:sz w:val="3"/>
                <w:szCs w:val="3"/>
                <w:color w:val="auto"/>
              </w:rPr>
            </w:pPr>
          </w:p>
        </w:tc>
        <w:tc>
          <w:tcPr>
            <w:tcW w:w="7600" w:type="dxa"/>
            <w:vAlign w:val="bottom"/>
            <w:shd w:val="clear" w:color="auto" w:fill="CCEEFF"/>
          </w:tcPr>
          <w:p>
            <w:pPr>
              <w:spacing w:after="0"/>
              <w:rPr>
                <w:sz w:val="3"/>
                <w:szCs w:val="3"/>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INCORPORATION BY REFERENCE OF TRUST INDENTURE ACT.</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“Indenture securityholder” means a Holder or Securityholder.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“Indenture to be qualified” means this Indenture.</w:t>
      </w:r>
    </w:p>
    <w:p>
      <w:pPr>
        <w:sectPr>
          <w:pgSz w:w="11900" w:h="16838" w:orient="portrait"/>
          <w:cols w:equalWidth="0" w:num="1">
            <w:col w:w="11420"/>
          </w:cols>
          <w:pgMar w:left="240" w:top="612"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“Obligor on the indenture securities” means the Company.</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in the TIA by reference to another statute or defined by SEC rule have the meanings therein assigned to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RULES OF CONSTRUCTION.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920" w:hanging="264"/>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term has the meaning assigned to it herein, whether defined expressly or by reference;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each gender; and</w:t>
      </w:r>
    </w:p>
    <w:p>
      <w:pPr>
        <w:spacing w:after="0" w:line="225" w:lineRule="exact"/>
        <w:rPr>
          <w:rFonts w:ascii="Arial" w:cs="Arial" w:eastAsia="Arial" w:hAnsi="Arial"/>
          <w:sz w:val="18"/>
          <w:szCs w:val="18"/>
          <w:color w:val="auto"/>
        </w:rPr>
      </w:pPr>
    </w:p>
    <w:p>
      <w:pPr>
        <w:ind w:right="500" w:firstLine="656"/>
        <w:spacing w:after="0" w:line="277" w:lineRule="auto"/>
        <w:tabs>
          <w:tab w:leader="none" w:pos="9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2 -</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ISSUABLE IN SERIES.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 , , .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ESTABLISHMENT OF TERMS OF SERIES OF SECURITIES.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spacing w:after="0" w:line="166" w:lineRule="exact"/>
        <w:rPr>
          <w:sz w:val="20"/>
          <w:szCs w:val="20"/>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Series (which shall distinguish the Securities of that particular Series from the Securities of any other Series);</w:t>
      </w:r>
    </w:p>
    <w:p>
      <w:pPr>
        <w:spacing w:after="0" w:line="225" w:lineRule="exact"/>
        <w:rPr>
          <w:rFonts w:ascii="Arial" w:cs="Arial" w:eastAsia="Arial" w:hAnsi="Arial"/>
          <w:sz w:val="18"/>
          <w:szCs w:val="18"/>
          <w:color w:val="auto"/>
        </w:rPr>
      </w:pPr>
    </w:p>
    <w:p>
      <w:pPr>
        <w:ind w:right="240" w:firstLine="656"/>
        <w:spacing w:after="0" w:line="264" w:lineRule="auto"/>
        <w:tabs>
          <w:tab w:leader="none" w:pos="9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thereof) at which the Securities of the Series will be issued;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right="40" w:firstLine="656"/>
        <w:spacing w:after="0" w:line="259" w:lineRule="auto"/>
        <w:tabs>
          <w:tab w:leader="none" w:pos="9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ind w:right="340" w:firstLine="656"/>
        <w:spacing w:after="0" w:line="277" w:lineRule="auto"/>
        <w:tabs>
          <w:tab w:leader="none" w:pos="9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and premium, if any, on, the Securities of the Series shall be payable, or the method of such payment, if by wire transfer, mail or other means;</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ind w:right="80" w:firstLine="656"/>
        <w:spacing w:after="0" w:line="264" w:lineRule="auto"/>
        <w:tabs>
          <w:tab w:leader="none" w:pos="9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ectPr>
          <w:pgSz w:w="11900" w:h="16838" w:orient="portrait"/>
          <w:cols w:equalWidth="0" w:num="1">
            <w:col w:w="11400"/>
          </w:cols>
          <w:pgMar w:left="240" w:top="584" w:right="259" w:bottom="1440" w:gutter="0" w:footer="0" w:header="0"/>
        </w:sectPr>
      </w:pPr>
    </w:p>
    <w:bookmarkStart w:id="35" w:name="page36"/>
    <w:bookmarkEnd w:id="35"/>
    <w:p>
      <w:pPr>
        <w:ind w:right="240" w:firstLine="656"/>
        <w:spacing w:after="0" w:line="277" w:lineRule="auto"/>
        <w:tabs>
          <w:tab w:leader="none" w:pos="9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other than denominations of $1,000 and any integral multiple thereof, the denominations in which the Securities of the Series shall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issuable;</w:t>
      </w:r>
    </w:p>
    <w:p>
      <w:pPr>
        <w:spacing w:after="0" w:line="210" w:lineRule="exact"/>
        <w:rPr>
          <w:rFonts w:ascii="Arial" w:cs="Arial" w:eastAsia="Arial" w:hAnsi="Arial"/>
          <w:sz w:val="17"/>
          <w:szCs w:val="17"/>
          <w:color w:val="auto"/>
        </w:rPr>
      </w:pPr>
    </w:p>
    <w:p>
      <w:pPr>
        <w:ind w:right="340" w:firstLine="656"/>
        <w:spacing w:after="0" w:line="277" w:lineRule="auto"/>
        <w:tabs>
          <w:tab w:leader="none" w:pos="9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(if to be issued outside of the United States of America)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right="740" w:firstLine="656"/>
        <w:spacing w:after="0" w:line="277"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70" w:lineRule="exact"/>
        <w:rPr>
          <w:rFonts w:ascii="Arial" w:cs="Arial" w:eastAsia="Arial" w:hAnsi="Arial"/>
          <w:sz w:val="18"/>
          <w:szCs w:val="18"/>
          <w:color w:val="auto"/>
        </w:rPr>
      </w:pPr>
    </w:p>
    <w:p>
      <w:pPr>
        <w:jc w:val="both"/>
        <w:ind w:right="180" w:firstLine="656"/>
        <w:spacing w:after="0" w:line="264"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181" w:lineRule="exact"/>
        <w:rPr>
          <w:rFonts w:ascii="Arial" w:cs="Arial" w:eastAsia="Arial" w:hAnsi="Arial"/>
          <w:sz w:val="18"/>
          <w:szCs w:val="18"/>
          <w:color w:val="auto"/>
        </w:rPr>
      </w:pPr>
    </w:p>
    <w:p>
      <w:pPr>
        <w:ind w:right="420" w:firstLine="656"/>
        <w:spacing w:after="0" w:line="277"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and premium, if any, on, the Securities of the Series will be made;</w:t>
      </w:r>
    </w:p>
    <w:p>
      <w:pPr>
        <w:spacing w:after="0" w:line="170" w:lineRule="exact"/>
        <w:rPr>
          <w:rFonts w:ascii="Arial" w:cs="Arial" w:eastAsia="Arial" w:hAnsi="Arial"/>
          <w:sz w:val="18"/>
          <w:szCs w:val="18"/>
          <w:color w:val="auto"/>
        </w:rPr>
      </w:pPr>
    </w:p>
    <w:p>
      <w:pPr>
        <w:ind w:right="140" w:firstLine="656"/>
        <w:spacing w:after="0" w:line="264"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rFonts w:ascii="Arial" w:cs="Arial" w:eastAsia="Arial" w:hAnsi="Arial"/>
          <w:sz w:val="18"/>
          <w:szCs w:val="18"/>
          <w:color w:val="auto"/>
        </w:rPr>
      </w:pPr>
    </w:p>
    <w:p>
      <w:pPr>
        <w:ind w:right="40" w:firstLine="656"/>
        <w:spacing w:after="0" w:line="264"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the Securities of the Series;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4 or 5 that applies to Securities of the Series;</w:t>
      </w:r>
    </w:p>
    <w:p>
      <w:pPr>
        <w:spacing w:after="0" w:line="225" w:lineRule="exact"/>
        <w:rPr>
          <w:rFonts w:ascii="Arial" w:cs="Arial" w:eastAsia="Arial" w:hAnsi="Arial"/>
          <w:sz w:val="18"/>
          <w:szCs w:val="18"/>
          <w:color w:val="auto"/>
        </w:rPr>
      </w:pPr>
    </w:p>
    <w:p>
      <w:pPr>
        <w:ind w:right="140" w:firstLine="656"/>
        <w:spacing w:after="0" w:line="264"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any provision for the payment of additional interest or liquidated damages in connection with any Event of Default, and any change in the right of the Trustee or the requisite Holders of such Securities to declare the principal amount thereof due and payable pursuant to Section 6.2;</w:t>
      </w:r>
    </w:p>
    <w:p>
      <w:pPr>
        <w:spacing w:after="0" w:line="181" w:lineRule="exact"/>
        <w:rPr>
          <w:rFonts w:ascii="Arial" w:cs="Arial" w:eastAsia="Arial" w:hAnsi="Arial"/>
          <w:sz w:val="18"/>
          <w:szCs w:val="18"/>
          <w:color w:val="auto"/>
        </w:rPr>
      </w:pPr>
    </w:p>
    <w:p>
      <w:pPr>
        <w:ind w:right="60" w:firstLine="656"/>
        <w:spacing w:after="0" w:line="342" w:lineRule="auto"/>
        <w:tabs>
          <w:tab w:leader="none" w:pos="99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terms and conditions, if any, for conversion of the Securities into or exchange of the Securities for shares of common stock, preferred stock, other debt securities or warrants for common stock, preferred stock or other securities of any kind of the Company that apply to Securities of the Series;</w:t>
      </w:r>
    </w:p>
    <w:p>
      <w:pPr>
        <w:spacing w:after="0" w:line="123" w:lineRule="exact"/>
        <w:rPr>
          <w:rFonts w:ascii="Arial" w:cs="Arial" w:eastAsia="Arial" w:hAnsi="Arial"/>
          <w:sz w:val="16"/>
          <w:szCs w:val="16"/>
          <w:color w:val="auto"/>
        </w:rPr>
      </w:pPr>
    </w:p>
    <w:p>
      <w:pPr>
        <w:ind w:right="280" w:firstLine="656"/>
        <w:spacing w:after="0" w:line="277"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Trustees, depositories, interest rate calculation agents, exchange rate calculation agents or other agents with respect to Securities of such Series if other than those appointed herein;</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terms and conditions, if any, upon which the Securities shall be subordinated in right of payment to other Indebtedness of the Company;</w:t>
      </w:r>
    </w:p>
    <w:p>
      <w:pPr>
        <w:spacing w:after="0" w:line="248" w:lineRule="exact"/>
        <w:rPr>
          <w:rFonts w:ascii="Arial" w:cs="Arial" w:eastAsia="Arial" w:hAnsi="Arial"/>
          <w:sz w:val="16"/>
          <w:szCs w:val="16"/>
          <w:color w:val="auto"/>
        </w:rPr>
      </w:pPr>
    </w:p>
    <w:p>
      <w:pPr>
        <w:ind w:left="1000" w:hanging="344"/>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Article 9; and</w:t>
      </w:r>
    </w:p>
    <w:p>
      <w:pPr>
        <w:spacing w:after="0" w:line="225" w:lineRule="exact"/>
        <w:rPr>
          <w:rFonts w:ascii="Arial" w:cs="Arial" w:eastAsia="Arial" w:hAnsi="Arial"/>
          <w:sz w:val="18"/>
          <w:szCs w:val="18"/>
          <w:color w:val="auto"/>
        </w:rPr>
      </w:pPr>
    </w:p>
    <w:p>
      <w:pPr>
        <w:ind w:right="200" w:firstLine="656"/>
        <w:spacing w:after="0" w:line="277"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terms shall not be inconsistent with the provisions of this Indenture, except as permitted by Section 8.1, but which may modify or delete any provision of this Indenture insofar as it applies to such Series).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EXECUTION AND AUTHENTICATION.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Securities shall be executed on behalf of the Company by two Officers of the Company or an Officer and an Assistant Secretary of the Company. Each such signature may be either manual or facsimile. The Company’s seal may be impressed, affixed, imprinted or reproduced on the Securities and may be in facsimile form.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 valid.</w:t>
      </w:r>
    </w:p>
    <w:p>
      <w:pPr>
        <w:spacing w:after="0" w:line="24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 The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w:t>
      </w:r>
    </w:p>
    <w:p>
      <w:pPr>
        <w:sectPr>
          <w:pgSz w:w="11900" w:h="16838" w:orient="portrait"/>
          <w:cols w:equalWidth="0" w:num="1">
            <w:col w:w="11400"/>
          </w:cols>
          <w:pgMar w:left="240" w:top="368" w:right="259" w:bottom="144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color w:val="auto"/>
        </w:rPr>
        <w:t>Company or its duly authorized agent or agents, which oral instructions shall be promptly confirmed in writing. Each Security shall be dated the date of its authentication.</w:t>
      </w:r>
    </w:p>
    <w:p>
      <w:pPr>
        <w:spacing w:after="0" w:line="1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Prior to the issuance of Securities of any Series, the Trustee shall have received and (subject to Section 7.1)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7"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The Trustee shall have the right to decline to authenticate and deliver any Securities of any Series: (a) if the Trustee, being advised in writing by outside counsel, determines that such action may not lawfully be taken; or (b) if the Trustee in good faith by its board of directors or trustees, executive committee or a trust committee of directors and/or vice-presidents shall reasonably determine that such action would expose the Trustee to personal liability, or cause it to have a conflict of interest with respect to Holders of any then outstanding Series of Securities.</w:t>
      </w:r>
    </w:p>
    <w:p>
      <w:pPr>
        <w:spacing w:after="0" w:line="171"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REGISTRAR AND PAYING AGENT.</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(PROVIDED that the Company shall at all times maintain a Paying Agent in the Borough of Manhattan, City of New York, State of New York (the “New York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If the Company acts as Paying Agent, it shall segregate the money held by it for the payment of principal of, and interest and premium, if any, on, the Securities and hold it as a separate trust fund. The Company may change any Paying Agent, Registrar, co-registrar or any other Agent without notice to any Securityholder.</w:t>
      </w:r>
    </w:p>
    <w:p>
      <w:pPr>
        <w:spacing w:after="0" w:line="193" w:lineRule="exact"/>
        <w:rPr>
          <w:sz w:val="20"/>
          <w:szCs w:val="20"/>
          <w:color w:val="auto"/>
        </w:rPr>
      </w:pPr>
    </w:p>
    <w:p>
      <w:pPr>
        <w:ind w:right="80" w:firstLine="324"/>
        <w:spacing w:after="0" w:line="292" w:lineRule="auto"/>
        <w:rPr>
          <w:sz w:val="20"/>
          <w:szCs w:val="20"/>
          <w:color w:val="auto"/>
        </w:rPr>
      </w:pPr>
      <w:r>
        <w:rPr>
          <w:rFonts w:ascii="Arial" w:cs="Arial" w:eastAsia="Arial" w:hAnsi="Arial"/>
          <w:sz w:val="17"/>
          <w:szCs w:val="17"/>
          <w:color w:val="auto"/>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hereby initially designates the Corporate Trust Office of the Trustee as such office of the Company. The Company shall give prompt written notice to the Trustee of such designation or rescission, and of any change in the location of any such other office or agency.</w:t>
      </w:r>
    </w:p>
    <w:p>
      <w:pPr>
        <w:spacing w:after="0" w:line="16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such Agent. If the Company fails to maintain a Registrar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 Agent, as the case may be, is appointed prior to the time Securities of that Series are first issued. The Company designates , as the New York Paying Agent, with offices at .</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PAYING AGENT TO HOLD ASSETS IN TRUST.</w:t>
      </w:r>
    </w:p>
    <w:p>
      <w:pPr>
        <w:spacing w:after="0" w:line="22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SECURITYHOLDER LISTS.</w:t>
      </w:r>
    </w:p>
    <w:p>
      <w:pPr>
        <w:sectPr>
          <w:pgSz w:w="11900" w:h="16838" w:orient="portrait"/>
          <w:cols w:equalWidth="0" w:num="1">
            <w:col w:w="11400"/>
          </w:cols>
          <w:pgMar w:left="240" w:top="368" w:right="259" w:bottom="1440" w:gutter="0" w:footer="0" w:header="0"/>
        </w:sectPr>
      </w:pPr>
    </w:p>
    <w:bookmarkStart w:id="37" w:name="page38"/>
    <w:bookmarkEnd w:id="37"/>
    <w:p>
      <w:pPr>
        <w:ind w:right="100" w:firstLine="324"/>
        <w:spacing w:after="0" w:line="302"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TRANSFER AND EXCHANGE.</w:t>
      </w:r>
    </w:p>
    <w:p>
      <w:pPr>
        <w:spacing w:after="0" w:line="229"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as Global Securities, the provisions of Section 2.15 shall apply.</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spacing w:after="0" w:line="18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 Trustee shall not be required to exchange or register transfers of Securities of any Series called or being called for redemption in whole or in part, except the unredeemed portion of such Security being redeemed in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REPLACEMENT SECURITIES.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OUTSTANDING SECURITIES.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Securities outstanding at any time are all Securities authenticated by the Trustee, except for those canceled by it, those delivered to it for cancellation and those described in this Section 2.9 as not outstanding.</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Security does not cease to be outstanding solely because the Company or an Affiliate holds the Security.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WHEN TREASURY SECURITIES DISREGARDED; DETERMINATION OF HOLDERS’ ACTION.</w:t>
      </w:r>
    </w:p>
    <w:p>
      <w:pPr>
        <w:spacing w:after="0" w:line="229"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w:t>
      </w:r>
    </w:p>
    <w:p>
      <w:pPr>
        <w:sectPr>
          <w:pgSz w:w="11900" w:h="16838" w:orient="portrait"/>
          <w:cols w:equalWidth="0" w:num="1">
            <w:col w:w="11420"/>
          </w:cols>
          <w:pgMar w:left="240" w:top="3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2.11. TEMPORARY SECURITIES.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Until definitive Securities are ready for delivery, the Company may prepare and execute, and the Trustee shall authenticate,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the Trustee shall authenticate, definitive Securities in exchange for temporary Securities without charge to the 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CANCELLATION.</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All Securities surrendered for payment, redemption or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or, at the direction of the Trustee, the Registrar or the Paying Agent, and no one else, shall cancel, and at the written request of the Company shall dispose of,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PAYMENT OF INTEREST; DEFAULTED INTEREST; COMPUTATION OF INTEREST.</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spacing w:after="0" w:line="18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mail or cause to be mailed to each Securityholder, with a copy to the Trustee, a notice that states the special record date, the payment date and the amount of defaulted interest, and interest payable on such defaulted interest, if any, to be paid.</w:t>
      </w:r>
    </w:p>
    <w:p>
      <w:pPr>
        <w:spacing w:after="0" w:line="15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Except as otherwise specified as contemplated by Section 2.2 for Securities of any Series, interest on the Securities of each Series shall be computed on the basis of a 360-day year of twelve 30-day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CUSIP NUMBER.</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PROVISIONS FOR GLOBAL SECURITIES.</w:t>
      </w:r>
    </w:p>
    <w:p>
      <w:pPr>
        <w:spacing w:after="0" w:line="229" w:lineRule="exact"/>
        <w:rPr>
          <w:sz w:val="20"/>
          <w:szCs w:val="20"/>
          <w:color w:val="auto"/>
        </w:rPr>
      </w:pPr>
    </w:p>
    <w:p>
      <w:pPr>
        <w:ind w:right="320" w:firstLine="332"/>
        <w:spacing w:after="0" w:line="277" w:lineRule="auto"/>
        <w:tabs>
          <w:tab w:leader="none" w:pos="5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spacing w:after="0" w:line="170" w:lineRule="exact"/>
        <w:rPr>
          <w:rFonts w:ascii="Arial" w:cs="Arial" w:eastAsia="Arial" w:hAnsi="Arial"/>
          <w:sz w:val="18"/>
          <w:szCs w:val="18"/>
          <w:color w:val="auto"/>
        </w:rPr>
      </w:pPr>
    </w:p>
    <w:p>
      <w:pPr>
        <w:ind w:firstLine="332"/>
        <w:spacing w:after="0" w:line="269" w:lineRule="auto"/>
        <w:tabs>
          <w:tab w:leader="none" w:pos="579"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179" w:lineRule="exact"/>
        <w:rPr>
          <w:rFonts w:ascii="Arial" w:cs="Arial" w:eastAsia="Arial" w:hAnsi="Arial"/>
          <w:sz w:val="17"/>
          <w:szCs w:val="17"/>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Global Security issued hereunder shall bear a legend in substantially the following form:</w:t>
      </w:r>
    </w:p>
    <w:p>
      <w:pPr>
        <w:sectPr>
          <w:pgSz w:w="11900" w:h="16838" w:orient="portrait"/>
          <w:cols w:equalWidth="0" w:num="1">
            <w:col w:w="11420"/>
          </w:cols>
          <w:pgMar w:left="240" w:top="580" w:right="239" w:bottom="1440" w:gutter="0" w:footer="0" w:header="0"/>
        </w:sectPr>
      </w:pPr>
    </w:p>
    <w:bookmarkStart w:id="39" w:name="page40"/>
    <w:bookmarkEnd w:id="39"/>
    <w:p>
      <w:pPr>
        <w:ind w:left="660" w:right="14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88" w:lineRule="exact"/>
        <w:rPr>
          <w:sz w:val="20"/>
          <w:szCs w:val="20"/>
          <w:color w:val="auto"/>
        </w:rPr>
      </w:pPr>
    </w:p>
    <w:p>
      <w:pPr>
        <w:ind w:right="260" w:firstLine="332"/>
        <w:spacing w:after="0" w:line="277" w:lineRule="auto"/>
        <w:tabs>
          <w:tab w:leader="none" w:pos="5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70" w:lineRule="exact"/>
        <w:rPr>
          <w:rFonts w:ascii="Arial" w:cs="Arial" w:eastAsia="Arial" w:hAnsi="Arial"/>
          <w:sz w:val="18"/>
          <w:szCs w:val="18"/>
          <w:color w:val="auto"/>
        </w:rPr>
      </w:pPr>
    </w:p>
    <w:p>
      <w:pPr>
        <w:ind w:right="260" w:firstLine="332"/>
        <w:spacing w:after="0" w:line="308" w:lineRule="auto"/>
        <w:tabs>
          <w:tab w:leader="none" w:pos="569"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spacing w:after="0" w:line="146" w:lineRule="exact"/>
        <w:rPr>
          <w:rFonts w:ascii="Arial" w:cs="Arial" w:eastAsia="Arial" w:hAnsi="Arial"/>
          <w:sz w:val="17"/>
          <w:szCs w:val="17"/>
          <w:color w:val="auto"/>
        </w:rPr>
      </w:pPr>
    </w:p>
    <w:p>
      <w:pPr>
        <w:ind w:right="20" w:firstLine="332"/>
        <w:spacing w:after="0" w:line="272" w:lineRule="auto"/>
        <w:tabs>
          <w:tab w:leader="none" w:pos="549"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2.16. PERSONS DEEMED OWNERS.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w:t>
      </w:r>
    </w:p>
    <w:p>
      <w:pPr>
        <w:spacing w:after="0" w:line="16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3 -</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REDEMPTION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NOTICES TO TRUSTEE.</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SELECTION BY TRUSTEE OF SECURITIES TO BE REDEEMED.</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and, if such Securities are listed on any securities exchange, by a method that complies with the requirements of such exchange.</w:t>
      </w:r>
    </w:p>
    <w:p>
      <w:pPr>
        <w:spacing w:after="0" w:line="18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NOTICE OF REDEMPTION.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The notice shall identify the Securities to be redeemed and shall state:</w:t>
      </w:r>
    </w:p>
    <w:p>
      <w:pPr>
        <w:spacing w:after="0" w:line="187" w:lineRule="exact"/>
        <w:rPr>
          <w:sz w:val="20"/>
          <w:szCs w:val="20"/>
          <w:color w:val="auto"/>
        </w:rPr>
      </w:pPr>
    </w:p>
    <w:p>
      <w:pPr>
        <w:ind w:left="920" w:hanging="264"/>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price, and that such redemption price shall become due and payable on the Redemption Date;</w:t>
      </w:r>
    </w:p>
    <w:p>
      <w:pPr>
        <w:sectPr>
          <w:pgSz w:w="11900" w:h="16838" w:orient="portrait"/>
          <w:cols w:equalWidth="0" w:num="1">
            <w:col w:w="11420"/>
          </w:cols>
          <w:pgMar w:left="240" w:top="368" w:right="239" w:bottom="1440" w:gutter="0" w:footer="0" w:header="0"/>
        </w:sectPr>
      </w:pPr>
    </w:p>
    <w:bookmarkStart w:id="40" w:name="page41"/>
    <w:bookmarkEnd w:id="40"/>
    <w:p>
      <w:pPr>
        <w:ind w:right="120" w:firstLine="656"/>
        <w:spacing w:after="0" w:line="264"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right="120" w:firstLine="656"/>
        <w:spacing w:after="0" w:line="277"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Securities of a Series called for redemption must be surrendered to the Paying Agent to collect the redemption price, and the place or places where each such Security is to be surrendered for such payment;</w:t>
      </w:r>
    </w:p>
    <w:p>
      <w:pPr>
        <w:spacing w:after="0" w:line="170" w:lineRule="exact"/>
        <w:rPr>
          <w:rFonts w:ascii="Arial" w:cs="Arial" w:eastAsia="Arial" w:hAnsi="Arial"/>
          <w:sz w:val="18"/>
          <w:szCs w:val="18"/>
          <w:color w:val="auto"/>
        </w:rPr>
      </w:pPr>
    </w:p>
    <w:p>
      <w:pPr>
        <w:ind w:right="40" w:firstLine="656"/>
        <w:spacing w:after="0" w:line="264"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CUSIP number, if any, printed on the Securities being redeemed;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 Securities.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Company’s request, the Trustee shall give the notice of redemption in the Company’s name and at the Company’s sole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EFFECT OF NOTICE OF REDEMPTION.</w:t>
      </w:r>
    </w:p>
    <w:p>
      <w:pPr>
        <w:spacing w:after="0" w:line="22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Once the notice of redemption described in Section 3.3 is mailed,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DEPOSIT OF REDEMPTION PRICE.</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spacing w:after="0" w:line="18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SECURITIES REDEEMED IN PART.</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Upon surrender of a Security of a Series that is redeemed in part, the Company shall execute, and the Trustee shall authenticate, for a Holder a new Security of the same Series equal in principal amount to the unredeemed portion of the Security surrendered.</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4 -</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PAYMENT OF SECURITIES.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shall pay the principal of, and interest and premium, if any, on, each Series of Securities on the dates and in the manner provided in such Securities and this Indenture.</w:t>
      </w:r>
    </w:p>
    <w:p>
      <w:pPr>
        <w:spacing w:after="0" w:line="170" w:lineRule="exact"/>
        <w:rPr>
          <w:sz w:val="20"/>
          <w:szCs w:val="20"/>
          <w:color w:val="auto"/>
        </w:rPr>
      </w:pPr>
    </w:p>
    <w:p>
      <w:pPr>
        <w:jc w:val="both"/>
        <w:ind w:right="260" w:firstLine="324"/>
        <w:spacing w:after="0" w:line="342" w:lineRule="auto"/>
        <w:rPr>
          <w:sz w:val="20"/>
          <w:szCs w:val="20"/>
          <w:color w:val="auto"/>
        </w:rPr>
      </w:pPr>
      <w:r>
        <w:rPr>
          <w:rFonts w:ascii="Arial" w:cs="Arial" w:eastAsia="Arial" w:hAnsi="Arial"/>
          <w:sz w:val="16"/>
          <w:szCs w:val="16"/>
          <w:color w:val="auto"/>
        </w:rPr>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shall pay interest on overdue principal, and overdue interest, to the extent lawful, at the rate specified in the Series of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SEC REPORTS.</w:t>
      </w:r>
    </w:p>
    <w:p>
      <w:pPr>
        <w:sectPr>
          <w:pgSz w:w="11900" w:h="16838" w:orient="portrait"/>
          <w:cols w:equalWidth="0" w:num="1">
            <w:col w:w="11420"/>
          </w:cols>
          <w:pgMar w:left="240" w:top="584" w:right="239" w:bottom="1440" w:gutter="0" w:footer="0" w:header="0"/>
        </w:sectPr>
      </w:pPr>
    </w:p>
    <w:bookmarkStart w:id="41" w:name="page42"/>
    <w:bookmarkEnd w:id="41"/>
    <w:p>
      <w:pPr>
        <w:ind w:firstLine="324"/>
        <w:spacing w:after="0" w:line="291" w:lineRule="auto"/>
        <w:rPr>
          <w:sz w:val="20"/>
          <w:szCs w:val="20"/>
          <w:color w:val="auto"/>
        </w:rPr>
      </w:pPr>
      <w:r>
        <w:rPr>
          <w:rFonts w:ascii="Arial" w:cs="Arial" w:eastAsia="Arial" w:hAnsi="Arial"/>
          <w:sz w:val="16"/>
          <w:szCs w:val="16"/>
          <w:color w:val="auto"/>
        </w:rPr>
        <w:t>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 required to be filed with the SEC pursuant to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WAIVER OF STAY, EXTENSION OR USURY LAWS.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COMPLIANCE CERTIFICATE.</w:t>
      </w:r>
    </w:p>
    <w:p>
      <w:pPr>
        <w:spacing w:after="0" w:line="229" w:lineRule="exact"/>
        <w:rPr>
          <w:sz w:val="20"/>
          <w:szCs w:val="20"/>
          <w:color w:val="auto"/>
        </w:rPr>
      </w:pPr>
    </w:p>
    <w:p>
      <w:pPr>
        <w:ind w:firstLine="332"/>
        <w:spacing w:after="0" w:line="289" w:lineRule="auto"/>
        <w:tabs>
          <w:tab w:leader="none" w:pos="5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of the Company,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spacing w:after="0" w:line="166" w:lineRule="exact"/>
        <w:rPr>
          <w:rFonts w:ascii="Arial" w:cs="Arial" w:eastAsia="Arial" w:hAnsi="Arial"/>
          <w:sz w:val="16"/>
          <w:szCs w:val="16"/>
          <w:color w:val="auto"/>
        </w:rPr>
      </w:pPr>
    </w:p>
    <w:p>
      <w:pPr>
        <w:ind w:right="120" w:firstLine="332"/>
        <w:spacing w:after="0" w:line="259" w:lineRule="auto"/>
        <w:tabs>
          <w:tab w:leader="none" w:pos="5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If any Default or Event of Default has occurred and is continuing or (ii) if any Holder seeks to exercise any remedy hereunder with respect to a claimed Default under this Indenture or the Securities, within five Business Days after the Company becoming aware of such occurrence the Company shall deliver to the Trustee an Officers’ Certificate specifying such event, notice or other action and what action the Company is taking or proposes to take with respect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CORPORATE EXISTENCE.</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LIMITATION ON CONSOLIDATION, MERGER AND SALE OF ASSETS.</w:t>
      </w:r>
    </w:p>
    <w:p>
      <w:pPr>
        <w:spacing w:after="0" w:line="229" w:lineRule="exact"/>
        <w:rPr>
          <w:sz w:val="20"/>
          <w:szCs w:val="20"/>
          <w:color w:val="auto"/>
        </w:rPr>
      </w:pPr>
    </w:p>
    <w:p>
      <w:pPr>
        <w:ind w:right="20" w:firstLine="332"/>
        <w:spacing w:after="0" w:line="268" w:lineRule="auto"/>
        <w:tabs>
          <w:tab w:leader="none" w:pos="5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organized and existing under the laws of the United States of America, any state thereof or the District of Columbia, or a corporation or comparable legal entity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spacing w:after="0" w:line="187" w:lineRule="exact"/>
        <w:rPr>
          <w:rFonts w:ascii="Arial" w:cs="Arial" w:eastAsia="Arial" w:hAnsi="Arial"/>
          <w:sz w:val="17"/>
          <w:szCs w:val="17"/>
          <w:color w:val="auto"/>
        </w:rPr>
      </w:pPr>
    </w:p>
    <w:p>
      <w:pPr>
        <w:ind w:right="220" w:firstLine="332"/>
        <w:spacing w:after="0" w:line="264" w:lineRule="auto"/>
        <w:tabs>
          <w:tab w:leader="none" w:pos="57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connection with any consolidation, merger or transfer of assets contemplated by this Section 5.1, the Company shall deliver, or cause to be delivered, to the Trustee, in form and substance reasonably satisfactory to the Trustee, an Officers’ Certificate and an Opinion of Counsel, each stating that such consolidation, merger or transfer, and the supplemental</w:t>
      </w:r>
    </w:p>
    <w:p>
      <w:pPr>
        <w:sectPr>
          <w:pgSz w:w="11900" w:h="16838" w:orient="portrait"/>
          <w:cols w:equalWidth="0" w:num="1">
            <w:col w:w="11380"/>
          </w:cols>
          <w:pgMar w:left="240" w:top="368" w:right="279" w:bottom="1440" w:gutter="0" w:footer="0" w:header="0"/>
        </w:sectPr>
      </w:pPr>
    </w:p>
    <w:bookmarkStart w:id="42" w:name="page43"/>
    <w:bookmarkEnd w:id="42"/>
    <w:p>
      <w:pPr>
        <w:ind w:right="260"/>
        <w:spacing w:after="0" w:line="277" w:lineRule="auto"/>
        <w:rPr>
          <w:sz w:val="20"/>
          <w:szCs w:val="20"/>
          <w:color w:val="auto"/>
        </w:rPr>
      </w:pPr>
      <w:r>
        <w:rPr>
          <w:rFonts w:ascii="Arial" w:cs="Arial" w:eastAsia="Arial" w:hAnsi="Arial"/>
          <w:sz w:val="18"/>
          <w:szCs w:val="18"/>
          <w:color w:val="auto"/>
        </w:rPr>
        <w:t>indenture in respect thereto, comply with this Section 5.1, and that all conditions precedent herein provided for relating to such transaction or transactions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SUCCESSOR PERSON SUBSTITUTED.</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DEFAULTS AND REMEDIES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EVENTS OF DEFAULT.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“Events of Default,” wherever used herein with respect to Securities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222" w:lineRule="exact"/>
        <w:rPr>
          <w:sz w:val="20"/>
          <w:szCs w:val="20"/>
          <w:color w:val="auto"/>
        </w:rPr>
      </w:pPr>
    </w:p>
    <w:p>
      <w:pPr>
        <w:ind w:right="100" w:firstLine="656"/>
        <w:spacing w:after="0" w:line="277"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a default in the payment of any principal of, or premium, if any, on, the Securities when the same becomes due and payable at Maturity, upon acceleration, redemption or otherwise;</w:t>
      </w:r>
    </w:p>
    <w:p>
      <w:pPr>
        <w:spacing w:after="0" w:line="170" w:lineRule="exact"/>
        <w:rPr>
          <w:rFonts w:ascii="Arial" w:cs="Arial" w:eastAsia="Arial" w:hAnsi="Arial"/>
          <w:sz w:val="18"/>
          <w:szCs w:val="18"/>
          <w:color w:val="auto"/>
        </w:rPr>
      </w:pPr>
    </w:p>
    <w:p>
      <w:pPr>
        <w:ind w:right="120" w:firstLine="656"/>
        <w:spacing w:after="0" w:line="277"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a default in the payment of any interest on any Security of a Series when the same becomes due and payable, and the Default continues for a period of 30 days;</w:t>
      </w:r>
    </w:p>
    <w:p>
      <w:pPr>
        <w:spacing w:after="0" w:line="170" w:lineRule="exact"/>
        <w:rPr>
          <w:rFonts w:ascii="Arial" w:cs="Arial" w:eastAsia="Arial" w:hAnsi="Arial"/>
          <w:sz w:val="18"/>
          <w:szCs w:val="18"/>
          <w:color w:val="auto"/>
        </w:rPr>
      </w:pPr>
    </w:p>
    <w:p>
      <w:pPr>
        <w:ind w:firstLine="656"/>
        <w:spacing w:after="0" w:line="264"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defaults in the observance or performance of any other covenant in the Securities of a Series or in this Indenture for 60 days after written notice from the Trustee or the Holders of not less than 25% in the aggregate principal amount of the Securities of such Series then outstanding, which notice must specify the Default, demand that it be remedied and state that the notice is a “Notice of Default”;</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225" w:lineRule="exact"/>
        <w:rPr>
          <w:rFonts w:ascii="Arial" w:cs="Arial" w:eastAsia="Arial" w:hAnsi="Arial"/>
          <w:sz w:val="18"/>
          <w:szCs w:val="18"/>
          <w:color w:val="auto"/>
        </w:rPr>
      </w:pPr>
    </w:p>
    <w:p>
      <w:pPr>
        <w:ind w:right="300" w:firstLine="980"/>
        <w:spacing w:after="0" w:line="277" w:lineRule="auto"/>
        <w:tabs>
          <w:tab w:leader="none" w:pos="125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the property of the Company or any Significant Subsidiary; or</w:t>
      </w:r>
    </w:p>
    <w:p>
      <w:pPr>
        <w:spacing w:after="0" w:line="170" w:lineRule="exact"/>
        <w:rPr>
          <w:rFonts w:ascii="Arial" w:cs="Arial" w:eastAsia="Arial" w:hAnsi="Arial"/>
          <w:sz w:val="18"/>
          <w:szCs w:val="18"/>
          <w:color w:val="auto"/>
        </w:rPr>
      </w:pPr>
    </w:p>
    <w:p>
      <w:pPr>
        <w:ind w:right="720" w:firstLine="980"/>
        <w:spacing w:after="0" w:line="277" w:lineRule="auto"/>
        <w:tabs>
          <w:tab w:leader="none" w:pos="1257" w:val="left"/>
        </w:tabs>
        <w:numPr>
          <w:ilvl w:val="1"/>
          <w:numId w:val="41"/>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consecutive days; or</w:t>
      </w:r>
    </w:p>
    <w:p>
      <w:pPr>
        <w:spacing w:after="0" w:line="170" w:lineRule="exact"/>
        <w:rPr>
          <w:rFonts w:ascii="Arial" w:cs="Arial" w:eastAsia="Arial" w:hAnsi="Arial"/>
          <w:sz w:val="18"/>
          <w:szCs w:val="18"/>
          <w:color w:val="auto"/>
        </w:rPr>
      </w:pPr>
    </w:p>
    <w:p>
      <w:pPr>
        <w:ind w:right="60" w:firstLine="656"/>
        <w:spacing w:after="0" w:line="277"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2.2(19).</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Trustee may withhold notice of any Default (except in the payment of the principal of, or interest or premium, if any, on, the Securities) to the Holders of the Securities of any Series in accordance with Section 7.5. When a Default is cured, it ceases to exist.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ACCELERATION.</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an Event of Default with respect to Securities of any Series at the time outstanding (other than an Event of Default arising under Section 6.1(4) or (5)) occurs and is continuing, the Trustee by written notice to the Company, or the Holders of not less than 25% in aggregate principal amount of the Securities of that Series then outstanding by written notice to the Company and the Trustee, may declare that the entire principal amount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interest or premium, if any, that has become due solely because</w:t>
      </w:r>
    </w:p>
    <w:p>
      <w:pPr>
        <w:sectPr>
          <w:pgSz w:w="11900" w:h="16838" w:orient="portrait"/>
          <w:cols w:equalWidth="0" w:num="1">
            <w:col w:w="11340"/>
          </w:cols>
          <w:pgMar w:left="240" w:top="368" w:right="319" w:bottom="742" w:gutter="0" w:footer="0" w:header="0"/>
        </w:sectPr>
      </w:pPr>
    </w:p>
    <w:bookmarkStart w:id="43" w:name="page44"/>
    <w:bookmarkEnd w:id="43"/>
    <w:p>
      <w:pPr>
        <w:spacing w:after="0" w:line="297" w:lineRule="auto"/>
        <w:rPr>
          <w:sz w:val="20"/>
          <w:szCs w:val="20"/>
          <w:color w:val="auto"/>
        </w:rPr>
      </w:pPr>
      <w:r>
        <w:rPr>
          <w:rFonts w:ascii="Arial" w:cs="Arial" w:eastAsia="Arial" w:hAnsi="Arial"/>
          <w:sz w:val="16"/>
          <w:szCs w:val="16"/>
          <w:color w:val="auto"/>
        </w:rPr>
        <w:t>of the acceleration, have been cured or waived, (ii) to the extent the payment of such interest is lawful, interest on overdue installments of interest and overdue principal, which has become due otherwise than by such declaration of acceleration, has been paid and (iii) the rescission would not conflict with any judgment or decree. No such rescission shall affect any subsequent Default or impair any right consequent thereto. In case an Event of Default specified in Section 6.1(4) or (5) 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REMEDIES.</w:t>
      </w:r>
    </w:p>
    <w:p>
      <w:pPr>
        <w:spacing w:after="0" w:line="229"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 Trustee may pursue any available remedy by proceeding at law or in equity to collect the payment of the principal of, or interest and premium, if any, on, the Securities of that Series, or to enforce the performance of any provision of the Securities of that Series or this Indenture.</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WAIVER OF PAST DEFAULTS AND EVENTS OF DEFAULT.</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Subject to Sections 6.2, 6.7 and 8.2, the Holders of a majority in principal amount of the Securities of any Series then outstanding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316(a)(1)(B), and TIA Section 316(a)(1) (B) is hereby expressly excluded from this Indenture and Section as permitted by the TIA.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CONTROL BY MAJORITY.</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may be unduly prejudicial to the rights of another Securityholder,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Section as permitted by the TIA.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LIMITATION ON SUITS.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Subject to Section 6.7, a Securityholder may not institute any proceeding or pursue any remedy with respect to this Indenture or the Securities of a Series unless:</w:t>
      </w:r>
    </w:p>
    <w:p>
      <w:pPr>
        <w:spacing w:after="0" w:line="170" w:lineRule="exact"/>
        <w:rPr>
          <w:sz w:val="20"/>
          <w:szCs w:val="20"/>
          <w:color w:val="auto"/>
        </w:rPr>
      </w:pPr>
    </w:p>
    <w:p>
      <w:pPr>
        <w:ind w:left="920" w:hanging="264"/>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 with respect to the Securities of that Series;</w:t>
      </w:r>
    </w:p>
    <w:p>
      <w:pPr>
        <w:spacing w:after="0" w:line="225" w:lineRule="exact"/>
        <w:rPr>
          <w:rFonts w:ascii="Arial" w:cs="Arial" w:eastAsia="Arial" w:hAnsi="Arial"/>
          <w:sz w:val="18"/>
          <w:szCs w:val="18"/>
          <w:color w:val="auto"/>
        </w:rPr>
      </w:pPr>
    </w:p>
    <w:p>
      <w:pPr>
        <w:ind w:right="120" w:firstLine="656"/>
        <w:spacing w:after="0" w:line="277" w:lineRule="auto"/>
        <w:tabs>
          <w:tab w:leader="none" w:pos="9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Securities of such Series then outstanding make a written request to the Trustee to pursue the remedy;</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Holder or Holders offer to the Trustee indemnity reasonably satisfactory to the Trustee against any loss, liability or expense to be incurred in compliance with such request;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25" w:lineRule="exact"/>
        <w:rPr>
          <w:rFonts w:ascii="Arial" w:cs="Arial" w:eastAsia="Arial" w:hAnsi="Arial"/>
          <w:sz w:val="18"/>
          <w:szCs w:val="18"/>
          <w:color w:val="auto"/>
        </w:rPr>
      </w:pPr>
    </w:p>
    <w:p>
      <w:pPr>
        <w:ind w:right="520" w:firstLine="656"/>
        <w:spacing w:after="0" w:line="277" w:lineRule="auto"/>
        <w:tabs>
          <w:tab w:leader="none" w:pos="9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aggregate principal amount of the Securities of such Series then outstanding.</w:t>
      </w:r>
    </w:p>
    <w:p>
      <w:pPr>
        <w:spacing w:after="0" w:line="170"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A Securityholder may not use this Indenture to prejudice the rights of another Securityholder, or to obtain a preference or priority over another Securityholder.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6.7. RIGHTS OF HOLDERS TO RECEIVE PAYMENT.</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 Security of a Series to receive payment of the principal of, and interest and premium, if any, on,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6.8. COLLECTION SUIT BY TRUSTEE.</w:t>
      </w:r>
    </w:p>
    <w:p>
      <w:pPr>
        <w:sectPr>
          <w:pgSz w:w="11900" w:h="16838" w:orient="portrait"/>
          <w:cols w:equalWidth="0" w:num="1">
            <w:col w:w="11400"/>
          </w:cols>
          <w:pgMar w:left="240" w:top="368" w:right="259" w:bottom="1440" w:gutter="0" w:footer="0" w:header="0"/>
        </w:sectPr>
      </w:pPr>
    </w:p>
    <w:bookmarkStart w:id="44" w:name="page45"/>
    <w:bookmarkEnd w:id="44"/>
    <w:p>
      <w:pPr>
        <w:ind w:firstLine="324"/>
        <w:spacing w:after="0" w:line="293" w:lineRule="auto"/>
        <w:rPr>
          <w:sz w:val="20"/>
          <w:szCs w:val="20"/>
          <w:color w:val="auto"/>
        </w:rPr>
      </w:pPr>
      <w:r>
        <w:rPr>
          <w:rFonts w:ascii="Arial" w:cs="Arial" w:eastAsia="Arial" w:hAnsi="Arial"/>
          <w:sz w:val="16"/>
          <w:szCs w:val="16"/>
          <w:color w:val="auto"/>
        </w:rPr>
        <w:t>If an Event of Default in payment of principal, interest or premium, if any, specified in Section 6.1(1) or (2)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 TRUSTEE MAY FILE PROOFS OF CLAIM.</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w:t>
      </w:r>
    </w:p>
    <w:p>
      <w:pPr>
        <w:spacing w:after="0" w:line="16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6.10. PRIORITIES.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Trustee for amounts due under Section 7.7;</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Trustee may fix a record date and payment date for any payment to Securityholders pursuant to this Section 6.10. At least 15 days before such record date, the Trustee shall mail to each Securityholder a notice that states the record date, the payment date and amount to be paid.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6.11. UNDERTAKING FOR COSTS.</w:t>
      </w:r>
    </w:p>
    <w:p>
      <w:pPr>
        <w:spacing w:after="0" w:line="22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w:t>
      </w:r>
    </w:p>
    <w:p>
      <w:pPr>
        <w:spacing w:after="0" w:line="16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7 -</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DUTIES OF TRUSTEE.</w:t>
      </w:r>
    </w:p>
    <w:p>
      <w:pPr>
        <w:spacing w:after="0" w:line="229" w:lineRule="exact"/>
        <w:rPr>
          <w:sz w:val="20"/>
          <w:szCs w:val="20"/>
          <w:color w:val="auto"/>
        </w:rPr>
      </w:pPr>
    </w:p>
    <w:p>
      <w:pPr>
        <w:ind w:right="160" w:firstLine="332"/>
        <w:spacing w:after="0" w:line="342" w:lineRule="auto"/>
        <w:tabs>
          <w:tab w:leader="none" w:pos="56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such of the rights and powers vested in it by this Indenture and use the same degree of care and skill in their exercise as a prudent Person would exercise or use under the same circumstances in the conduct of his own affairs.</w:t>
      </w:r>
    </w:p>
    <w:p>
      <w:pPr>
        <w:spacing w:after="0" w:line="123" w:lineRule="exact"/>
        <w:rPr>
          <w:rFonts w:ascii="Arial" w:cs="Arial" w:eastAsia="Arial" w:hAnsi="Arial"/>
          <w:sz w:val="16"/>
          <w:szCs w:val="16"/>
          <w:color w:val="auto"/>
        </w:rPr>
      </w:pPr>
    </w:p>
    <w:p>
      <w:pPr>
        <w:ind w:left="580" w:hanging="248"/>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right="280" w:firstLine="656"/>
        <w:spacing w:after="0" w:line="277" w:lineRule="auto"/>
        <w:tabs>
          <w:tab w:leader="none" w:pos="90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covenants or obligations shall be implied in this Indenture against the Trustee.</w:t>
      </w:r>
    </w:p>
    <w:p>
      <w:pPr>
        <w:spacing w:after="0" w:line="170" w:lineRule="exact"/>
        <w:rPr>
          <w:rFonts w:ascii="Arial" w:cs="Arial" w:eastAsia="Arial" w:hAnsi="Arial"/>
          <w:sz w:val="18"/>
          <w:szCs w:val="18"/>
          <w:color w:val="auto"/>
        </w:rPr>
      </w:pPr>
    </w:p>
    <w:p>
      <w:pPr>
        <w:ind w:right="20" w:firstLine="656"/>
        <w:spacing w:after="0" w:line="259" w:lineRule="auto"/>
        <w:tabs>
          <w:tab w:leader="none" w:pos="903"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ectPr>
          <w:pgSz w:w="11900" w:h="16838" w:orient="portrait"/>
          <w:cols w:equalWidth="0" w:num="1">
            <w:col w:w="11400"/>
          </w:cols>
          <w:pgMar w:left="240" w:top="368" w:right="259" w:bottom="1440" w:gutter="0" w:footer="0" w:header="0"/>
        </w:sectPr>
      </w:pPr>
    </w:p>
    <w:bookmarkStart w:id="45" w:name="page46"/>
    <w:bookmarkEnd w:id="45"/>
    <w:p>
      <w:pPr>
        <w:ind w:left="580" w:hanging="248"/>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Trustee may not be relieved from liability for its own negligent action, its own negligent failure to act or its own willful misconduct, except that:</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w:t>
      </w:r>
    </w:p>
    <w:p>
      <w:pPr>
        <w:spacing w:after="0" w:line="225" w:lineRule="exact"/>
        <w:rPr>
          <w:rFonts w:ascii="Arial" w:cs="Arial" w:eastAsia="Arial" w:hAnsi="Arial"/>
          <w:sz w:val="18"/>
          <w:szCs w:val="18"/>
          <w:color w:val="auto"/>
        </w:rPr>
      </w:pPr>
    </w:p>
    <w:p>
      <w:pPr>
        <w:ind w:right="320" w:firstLine="656"/>
        <w:spacing w:after="0" w:line="277" w:lineRule="auto"/>
        <w:tabs>
          <w:tab w:leader="none" w:pos="90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right="480" w:firstLine="656"/>
        <w:spacing w:after="0" w:line="277" w:lineRule="auto"/>
        <w:tabs>
          <w:tab w:leader="none" w:pos="90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Sections 6.2 and 6.5.</w:t>
      </w:r>
    </w:p>
    <w:p>
      <w:pPr>
        <w:spacing w:after="0" w:line="170" w:lineRule="exact"/>
        <w:rPr>
          <w:rFonts w:ascii="Arial" w:cs="Arial" w:eastAsia="Arial" w:hAnsi="Arial"/>
          <w:sz w:val="18"/>
          <w:szCs w:val="18"/>
          <w:color w:val="auto"/>
        </w:rPr>
      </w:pPr>
    </w:p>
    <w:p>
      <w:pPr>
        <w:ind w:right="160" w:firstLine="332"/>
        <w:spacing w:after="0" w:line="264" w:lineRule="auto"/>
        <w:tabs>
          <w:tab w:leader="none" w:pos="5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rights or powers if it shall have reasonable grounds for believing that repayment of such funds or adequate indemnity satisfactory to it against such risk or liability is not reasonably assured to it.</w:t>
      </w:r>
    </w:p>
    <w:p>
      <w:pPr>
        <w:spacing w:after="0" w:line="181" w:lineRule="exact"/>
        <w:rPr>
          <w:rFonts w:ascii="Arial" w:cs="Arial" w:eastAsia="Arial" w:hAnsi="Arial"/>
          <w:sz w:val="18"/>
          <w:szCs w:val="18"/>
          <w:color w:val="auto"/>
        </w:rPr>
      </w:pPr>
    </w:p>
    <w:p>
      <w:pPr>
        <w:ind w:right="120" w:firstLine="332"/>
        <w:spacing w:after="0" w:line="277"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or not therein expressly so provided, paragraphs (a), (b), (c) and (d) of this Section 7.1 shall govern every provision of this Indenture that in any way relates to the Trustee.</w:t>
      </w:r>
    </w:p>
    <w:p>
      <w:pPr>
        <w:spacing w:after="0" w:line="170" w:lineRule="exact"/>
        <w:rPr>
          <w:rFonts w:ascii="Arial" w:cs="Arial" w:eastAsia="Arial" w:hAnsi="Arial"/>
          <w:sz w:val="18"/>
          <w:szCs w:val="18"/>
          <w:color w:val="auto"/>
        </w:rPr>
      </w:pPr>
    </w:p>
    <w:p>
      <w:pPr>
        <w:ind w:right="220" w:firstLine="332"/>
        <w:spacing w:after="0" w:line="342" w:lineRule="auto"/>
        <w:tabs>
          <w:tab w:leader="none" w:pos="5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w:t>
      </w:r>
    </w:p>
    <w:p>
      <w:pPr>
        <w:spacing w:after="0" w:line="123" w:lineRule="exact"/>
        <w:rPr>
          <w:rFonts w:ascii="Arial" w:cs="Arial" w:eastAsia="Arial" w:hAnsi="Arial"/>
          <w:sz w:val="16"/>
          <w:szCs w:val="16"/>
          <w:color w:val="auto"/>
        </w:rPr>
      </w:pPr>
    </w:p>
    <w:p>
      <w:pPr>
        <w:ind w:right="680" w:firstLine="332"/>
        <w:spacing w:after="0" w:line="277" w:lineRule="auto"/>
        <w:tabs>
          <w:tab w:leader="none" w:pos="5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immunities and standard of care set forth in paragraphs (a), (b), (c), (d) and (f) of this Section 7.1 and in Section 7.2 with respect to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RIGHTS OF TRUSTEE.</w:t>
      </w:r>
    </w:p>
    <w:p>
      <w:pPr>
        <w:spacing w:after="0" w:line="229" w:lineRule="exact"/>
        <w:rPr>
          <w:sz w:val="20"/>
          <w:szCs w:val="20"/>
          <w:color w:val="auto"/>
        </w:rPr>
      </w:pPr>
    </w:p>
    <w:p>
      <w:pPr>
        <w:ind w:left="580" w:hanging="248"/>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Section 7.1:</w:t>
      </w:r>
    </w:p>
    <w:p>
      <w:pPr>
        <w:spacing w:after="0" w:line="225" w:lineRule="exact"/>
        <w:rPr>
          <w:rFonts w:ascii="Arial" w:cs="Arial" w:eastAsia="Arial" w:hAnsi="Arial"/>
          <w:sz w:val="18"/>
          <w:szCs w:val="18"/>
          <w:color w:val="auto"/>
        </w:rPr>
      </w:pPr>
    </w:p>
    <w:p>
      <w:pPr>
        <w:ind w:left="340" w:right="180" w:firstLine="316"/>
        <w:spacing w:after="0" w:line="342" w:lineRule="auto"/>
        <w:tabs>
          <w:tab w:leader="none" w:pos="919"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Trustee may rely on, and shall be protected in acting or refraining from acting upon, any document reasonably believed by it to be genuine and to have been signed or presented by the proper Person. The Trustee need not investigate any fact or matter stated in the document.</w:t>
      </w:r>
    </w:p>
    <w:p>
      <w:pPr>
        <w:spacing w:after="0" w:line="123" w:lineRule="exact"/>
        <w:rPr>
          <w:rFonts w:ascii="Arial" w:cs="Arial" w:eastAsia="Arial" w:hAnsi="Arial"/>
          <w:sz w:val="16"/>
          <w:szCs w:val="16"/>
          <w:color w:val="auto"/>
        </w:rPr>
      </w:pPr>
    </w:p>
    <w:p>
      <w:pPr>
        <w:ind w:left="340" w:right="120" w:firstLine="316"/>
        <w:spacing w:after="0" w:line="264" w:lineRule="auto"/>
        <w:tabs>
          <w:tab w:leader="none" w:pos="9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which shall conform to the provisions of Section 10.5. The Trustee shall be protected and shall not be liable for any action it takes or omits to take in good faith in reliance on such certificate or opinion.</w:t>
      </w:r>
    </w:p>
    <w:p>
      <w:pPr>
        <w:spacing w:after="0" w:line="181" w:lineRule="exact"/>
        <w:rPr>
          <w:rFonts w:ascii="Arial" w:cs="Arial" w:eastAsia="Arial" w:hAnsi="Arial"/>
          <w:sz w:val="18"/>
          <w:szCs w:val="18"/>
          <w:color w:val="auto"/>
        </w:rPr>
      </w:pPr>
    </w:p>
    <w:p>
      <w:pPr>
        <w:ind w:left="340" w:right="340" w:firstLine="316"/>
        <w:spacing w:after="0" w:line="277" w:lineRule="auto"/>
        <w:tabs>
          <w:tab w:leader="none" w:pos="9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may act through agents and attorneys, and shall not be responsible for the misconduct or negligence of any agent appointed by it with due care.</w:t>
      </w:r>
    </w:p>
    <w:p>
      <w:pPr>
        <w:spacing w:after="0" w:line="170" w:lineRule="exact"/>
        <w:rPr>
          <w:rFonts w:ascii="Arial" w:cs="Arial" w:eastAsia="Arial" w:hAnsi="Arial"/>
          <w:sz w:val="18"/>
          <w:szCs w:val="18"/>
          <w:color w:val="auto"/>
        </w:rPr>
      </w:pPr>
    </w:p>
    <w:p>
      <w:pPr>
        <w:ind w:left="340" w:right="360" w:firstLine="316"/>
        <w:spacing w:after="0" w:line="277" w:lineRule="auto"/>
        <w:tabs>
          <w:tab w:leader="none" w:pos="9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reasonably believes to be authorized or within its rights or powers.</w:t>
      </w:r>
    </w:p>
    <w:p>
      <w:pPr>
        <w:spacing w:after="0" w:line="170" w:lineRule="exact"/>
        <w:rPr>
          <w:rFonts w:ascii="Arial" w:cs="Arial" w:eastAsia="Arial" w:hAnsi="Arial"/>
          <w:sz w:val="18"/>
          <w:szCs w:val="18"/>
          <w:color w:val="auto"/>
        </w:rPr>
      </w:pPr>
    </w:p>
    <w:p>
      <w:pPr>
        <w:jc w:val="both"/>
        <w:ind w:left="340" w:right="80" w:firstLine="316"/>
        <w:spacing w:after="0" w:line="264" w:lineRule="auto"/>
        <w:tabs>
          <w:tab w:leader="none" w:pos="9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may consult with counsel reasonably acceptable to the Trustee, which may be counsel to the Company,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81" w:lineRule="exact"/>
        <w:rPr>
          <w:rFonts w:ascii="Arial" w:cs="Arial" w:eastAsia="Arial" w:hAnsi="Arial"/>
          <w:sz w:val="18"/>
          <w:szCs w:val="18"/>
          <w:color w:val="auto"/>
        </w:rPr>
      </w:pPr>
    </w:p>
    <w:p>
      <w:pPr>
        <w:ind w:left="340" w:right="120" w:firstLine="316"/>
        <w:spacing w:after="0" w:line="264" w:lineRule="auto"/>
        <w:tabs>
          <w:tab w:leader="none" w:pos="9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against the costs, expenses and liabilities which may be incurred therein or thereby.</w:t>
      </w:r>
    </w:p>
    <w:p>
      <w:pPr>
        <w:spacing w:after="0" w:line="181" w:lineRule="exact"/>
        <w:rPr>
          <w:rFonts w:ascii="Arial" w:cs="Arial" w:eastAsia="Arial" w:hAnsi="Arial"/>
          <w:sz w:val="18"/>
          <w:szCs w:val="18"/>
          <w:color w:val="auto"/>
        </w:rPr>
      </w:pPr>
    </w:p>
    <w:p>
      <w:pPr>
        <w:ind w:left="340" w:right="320" w:firstLine="316"/>
        <w:spacing w:after="0" w:line="277" w:lineRule="auto"/>
        <w:tabs>
          <w:tab w:leader="none" w:pos="9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shall not be deemed to have knowledge of any fact or matter (including, without limitation, a Default or Event of Default) unless such fact or matter is known to a Responsible Officer of the Trustee.</w:t>
      </w:r>
    </w:p>
    <w:p>
      <w:pPr>
        <w:spacing w:after="0" w:line="170" w:lineRule="exact"/>
        <w:rPr>
          <w:rFonts w:ascii="Arial" w:cs="Arial" w:eastAsia="Arial" w:hAnsi="Arial"/>
          <w:sz w:val="18"/>
          <w:szCs w:val="18"/>
          <w:color w:val="auto"/>
        </w:rPr>
      </w:pPr>
    </w:p>
    <w:p>
      <w:pPr>
        <w:ind w:left="340" w:right="20" w:firstLine="316"/>
        <w:spacing w:after="0" w:line="255" w:lineRule="auto"/>
        <w:tabs>
          <w:tab w:leader="none" w:pos="9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INDIVIDUAL RIGHTS OF TRUSTEE.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 Sections 7.10 and 7.11.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TRUSTEE’S DISCLAIMER.</w:t>
      </w:r>
    </w:p>
    <w:p>
      <w:pPr>
        <w:sectPr>
          <w:pgSz w:w="11900" w:h="16838" w:orient="portrait"/>
          <w:cols w:equalWidth="0" w:num="1">
            <w:col w:w="11400"/>
          </w:cols>
          <w:pgMar w:left="240" w:top="368" w:right="259" w:bottom="1440" w:gutter="0" w:footer="0" w:header="0"/>
        </w:sectPr>
      </w:pPr>
    </w:p>
    <w:bookmarkStart w:id="46" w:name="page47"/>
    <w:bookmarkEnd w:id="46"/>
    <w:p>
      <w:pPr>
        <w:ind w:right="80" w:firstLine="324"/>
        <w:spacing w:after="0" w:line="279"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pursuant to the terms of this Indenture, and the Trustee shall not be responsible for any statement in the Securities other than its certificates of authentication.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NOTICE OF DEFAULT.</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a Default or an Event of Default occurs and is continuing with respect to the Securities of any Series, and if it is known to the Trustee, the Trustee shall mail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the Board of Directors of the Trustee, the executive committee or any trust committee of such board and/or its Responsible Officers in good faith determine(s) that withholding the notice is in the interests of the Securityholders of that Series.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 REPORTS BY TRUSTEE TO HOLDERS.</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If and to the extent required by the TIA, within 60 days after April 1 of each year, commencing the April 1 following the date of this Indenture, the Trustee shall mail to each Securityholder a brief report dated as of such April 1 that complies with TIA Section 313(a). The Trustee also shall comply with TIA Sections 313(b) and 313(c).</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 copy of each report at the time of its mailing to Securityholders shall be filed with the SEC and any stock exchange on which the Securities of that Series are listed. The Company shall promptly notify the Trustee when the Securities of any Series are listed on any stock exchange or any delisting thereof, and the Trustee shall comply with TIA Section 313(d).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7.7. COMPENSATION AND INDEMNITY.</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shall pay to the Trustee from time to time reasonable compensation for its services. The Trustee’s compensation shall not be limited by any provision of law on compensation of a trustee of an express trust. The Company shall reimburse the Trustee within 45 days after receipt of request for all reasonable out-of-pocket disbursements and expenses incurred or made by it in connection with its duties under this Indenture, including the reasonable compensation, disbursements and expenses of the Trustee’s agents and counsel.</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shall indemnify the Trustee for, and hold it harmless against, any and all loss or liability incurred by it in connection with the acceptance or performance of its duties under this Indenture including the reasonable costs and expenses of defending itself against any claim or liability in connection with the exercise or performance of any of its powers or duties hereunder. The Trustee shall notify the Company promptly of any claim asserted against the Trustee for which it may seek indemnity.</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failure by the Trustee to so notify the Company shall not however relieve the Company of its obligations. Notwithstanding the foregoing, the Company need not reimburse the Trustee for any expense or indemnify it against any loss or liability incurred by the Trustee through its negligence or bad faith. To secure 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w:t>
      </w:r>
    </w:p>
    <w:p>
      <w:pPr>
        <w:spacing w:after="0" w:line="188"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6.1(4) or (5) occurs, the expenses and the compensation for the services are intended to constitute expenses of administration under any Bankruptcy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Section 7.7, the term “Trustee” shall include any trustee appointed pursuant to this Article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 REPLACEMENT OF TRUSTEE.</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in writing at least 90 days in advance of such resignation.</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spacing w:after="0" w:line="166" w:lineRule="exact"/>
        <w:rPr>
          <w:sz w:val="20"/>
          <w:szCs w:val="20"/>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fails to comply with, or ceases to be eligible under, Section 7.10;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 Bankruptcy Law;</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Custodian or other public officer takes charge of the Trustee or its property;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ectPr>
          <w:pgSz w:w="11900" w:h="16838" w:orient="portrait"/>
          <w:cols w:equalWidth="0" w:num="1">
            <w:col w:w="11420"/>
          </w:cols>
          <w:pgMar w:left="240" w:top="368" w:right="239" w:bottom="1440" w:gutter="0" w:footer="0" w:header="0"/>
        </w:sectPr>
      </w:pPr>
    </w:p>
    <w:bookmarkStart w:id="47" w:name="page48"/>
    <w:bookmarkEnd w:id="47"/>
    <w:p>
      <w:pPr>
        <w:ind w:right="380" w:firstLine="656"/>
        <w:spacing w:after="0" w:line="277" w:lineRule="auto"/>
        <w:tabs>
          <w:tab w:leader="none" w:pos="90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with respect to any Series of Securities for any reason, the Company shall promptly appoint, by Board Resolution, a successor Trustee.</w:t>
      </w:r>
    </w:p>
    <w:p>
      <w:pPr>
        <w:spacing w:after="0" w:line="170"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w:t>
      </w:r>
    </w:p>
    <w:p>
      <w:pPr>
        <w:spacing w:after="0" w:line="181"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If the Trustee with respect to the Securities of one or more Series fails to comply with Section 7.10, any Securityholder of the applicable Series may petition any court of competent jurisdiction for the removal of the Trustee and the appointment of a successor Trustee.</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mail notice of its succession to each Securityholder of such Series.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7.9. SUCCESSOR TRUSTEE BY CONSOLIDATION, MERGER OR CONVERSION.</w:t>
      </w:r>
    </w:p>
    <w:p>
      <w:pPr>
        <w:spacing w:after="0" w:line="229"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If the Trustee, or any Agent, consolidates with, merges or converts into, or transfers all or substantially all of its corporate trust assets to, another corporation, subject to Section 7.10, the successor corporation without any further act shall be the successor Trustee or Agent, as the case may be.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ELIGIBILITY; DISQUALIFICATION.</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 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7.11. PREFERENTIAL COLLECTION OF CLAIMS AGAINST COMPANY.</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 PAYING AGENTS.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shall cause each Paying Agent other than the Trustee to execute and deliver to it and the Trustee an instrument in which such agent shall agree with the Trustee, subject to the provisions of this Section 7.12:</w:t>
      </w:r>
    </w:p>
    <w:p>
      <w:pPr>
        <w:spacing w:after="0" w:line="170" w:lineRule="exact"/>
        <w:rPr>
          <w:sz w:val="20"/>
          <w:szCs w:val="20"/>
          <w:color w:val="auto"/>
        </w:rPr>
      </w:pPr>
    </w:p>
    <w:p>
      <w:pPr>
        <w:ind w:right="300" w:firstLine="656"/>
        <w:spacing w:after="0" w:line="342" w:lineRule="auto"/>
        <w:tabs>
          <w:tab w:leader="none" w:pos="90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w:t>
      </w:r>
    </w:p>
    <w:p>
      <w:pPr>
        <w:spacing w:after="0" w:line="123" w:lineRule="exact"/>
        <w:rPr>
          <w:rFonts w:ascii="Arial" w:cs="Arial" w:eastAsia="Arial" w:hAnsi="Arial"/>
          <w:sz w:val="16"/>
          <w:szCs w:val="16"/>
          <w:color w:val="auto"/>
        </w:rPr>
      </w:pPr>
    </w:p>
    <w:p>
      <w:pPr>
        <w:ind w:right="220" w:firstLine="656"/>
        <w:spacing w:after="0" w:line="277" w:lineRule="auto"/>
        <w:tabs>
          <w:tab w:leader="none" w:pos="9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170" w:lineRule="exact"/>
        <w:rPr>
          <w:rFonts w:ascii="Arial" w:cs="Arial" w:eastAsia="Arial" w:hAnsi="Arial"/>
          <w:sz w:val="18"/>
          <w:szCs w:val="18"/>
          <w:color w:val="auto"/>
        </w:rPr>
      </w:pPr>
    </w:p>
    <w:p>
      <w:pPr>
        <w:ind w:right="20" w:firstLine="656"/>
        <w:spacing w:after="0" w:line="308" w:lineRule="auto"/>
        <w:tabs>
          <w:tab w:leader="none" w:pos="90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8 -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SUPPLEMENTS AND WAIVERS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WITHOUT CONSENT OF HOLDERS.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when authorized by a Board Resolution, and the Trustee may amend or supplement this Indenture or the Securities of one or more Series without notice to or consent of any Securityholder:</w:t>
      </w:r>
    </w:p>
    <w:p>
      <w:pPr>
        <w:spacing w:after="0" w:line="170" w:lineRule="exact"/>
        <w:rPr>
          <w:sz w:val="20"/>
          <w:szCs w:val="20"/>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Section 5.1;</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certificated Securities in addition to uncertificated Securities;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any requirements of the SEC under the TIA;</w:t>
      </w:r>
    </w:p>
    <w:p>
      <w:pPr>
        <w:spacing w:after="0" w:line="225" w:lineRule="exact"/>
        <w:rPr>
          <w:rFonts w:ascii="Arial" w:cs="Arial" w:eastAsia="Arial" w:hAnsi="Arial"/>
          <w:sz w:val="18"/>
          <w:szCs w:val="18"/>
          <w:color w:val="auto"/>
        </w:rPr>
      </w:pPr>
    </w:p>
    <w:p>
      <w:pPr>
        <w:ind w:right="400" w:firstLine="656"/>
        <w:spacing w:after="0" w:line="277"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cure any ambiguity, defect or inconsistency, or to make any other change herein or in the Securities that does not materially and adversely affect the rights of any Securityholder;</w:t>
      </w:r>
    </w:p>
    <w:p>
      <w:pPr>
        <w:sectPr>
          <w:pgSz w:w="11900" w:h="16838" w:orient="portrait"/>
          <w:cols w:equalWidth="0" w:num="1">
            <w:col w:w="11420"/>
          </w:cols>
          <w:pgMar w:left="240" w:top="368" w:right="239" w:bottom="1440" w:gutter="0" w:footer="0" w:header="0"/>
        </w:sectPr>
      </w:pPr>
    </w:p>
    <w:bookmarkStart w:id="48" w:name="page49"/>
    <w:bookmarkEnd w:id="48"/>
    <w:p>
      <w:pPr>
        <w:ind w:left="920" w:hanging="264"/>
        <w:spacing w:after="0"/>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 Indenture; or</w:t>
      </w:r>
    </w:p>
    <w:p>
      <w:pPr>
        <w:spacing w:after="0" w:line="236" w:lineRule="exact"/>
        <w:rPr>
          <w:rFonts w:ascii="Arial" w:cs="Arial" w:eastAsia="Arial" w:hAnsi="Arial"/>
          <w:sz w:val="17"/>
          <w:szCs w:val="17"/>
          <w:color w:val="auto"/>
        </w:rPr>
      </w:pPr>
    </w:p>
    <w:p>
      <w:pPr>
        <w:ind w:right="100" w:firstLine="656"/>
        <w:spacing w:after="0" w:line="264" w:lineRule="auto"/>
        <w:tabs>
          <w:tab w:leader="none" w:pos="9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81"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WITH CONSENT OF HOLDERS.</w:t>
      </w:r>
    </w:p>
    <w:p>
      <w:pPr>
        <w:spacing w:after="0" w:line="229" w:lineRule="exact"/>
        <w:rPr>
          <w:sz w:val="20"/>
          <w:szCs w:val="20"/>
          <w:color w:val="auto"/>
        </w:rPr>
      </w:pPr>
    </w:p>
    <w:p>
      <w:pPr>
        <w:ind w:right="220" w:firstLine="332"/>
        <w:spacing w:after="0" w:line="273" w:lineRule="auto"/>
        <w:tabs>
          <w:tab w:leader="none" w:pos="56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 when authorized by a Board Resolution, and the Trustee may amend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supplement or waiver may not:</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reduce the amount of Securities whose Holders must consent to an amendment, supplement or waiver to this Indenture or the Securities;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ind w:right="200" w:firstLine="656"/>
        <w:spacing w:after="0" w:line="277" w:lineRule="auto"/>
        <w:tabs>
          <w:tab w:leader="none" w:pos="903"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make any Security payable in money other than that stated in the Security;</w:t>
      </w:r>
    </w:p>
    <w:p>
      <w:pPr>
        <w:spacing w:after="0" w:line="225" w:lineRule="exact"/>
        <w:rPr>
          <w:rFonts w:ascii="Arial" w:cs="Arial" w:eastAsia="Arial" w:hAnsi="Arial"/>
          <w:sz w:val="18"/>
          <w:szCs w:val="18"/>
          <w:color w:val="auto"/>
        </w:rPr>
      </w:pPr>
    </w:p>
    <w:p>
      <w:pPr>
        <w:ind w:right="180" w:firstLine="656"/>
        <w:spacing w:after="0" w:line="277" w:lineRule="auto"/>
        <w:tabs>
          <w:tab w:leader="none" w:pos="903"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change the amount or time of any payment required by the Securities, or reduce the premium payable upon any redemption of the Securities, or change the time before which no such redemption may be made;</w:t>
      </w:r>
    </w:p>
    <w:p>
      <w:pPr>
        <w:spacing w:after="0" w:line="170" w:lineRule="exact"/>
        <w:rPr>
          <w:rFonts w:ascii="Arial" w:cs="Arial" w:eastAsia="Arial" w:hAnsi="Arial"/>
          <w:sz w:val="18"/>
          <w:szCs w:val="18"/>
          <w:color w:val="auto"/>
        </w:rPr>
      </w:pPr>
    </w:p>
    <w:p>
      <w:pPr>
        <w:ind w:right="140" w:firstLine="656"/>
        <w:spacing w:after="0" w:line="264" w:lineRule="auto"/>
        <w:tabs>
          <w:tab w:leader="none" w:pos="903" w:val="left"/>
        </w:tabs>
        <w:numPr>
          <w:ilvl w:val="1"/>
          <w:numId w:val="5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waive a redemption payment with respect to any Security, or change any of the provisions with respect to the redemption of any Securities;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make any changes in Section 6.6 or this Section 8.2, except to increase any percentage of Securities the Holders of which must consent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matter; or</w:t>
      </w:r>
    </w:p>
    <w:p>
      <w:pPr>
        <w:spacing w:after="0" w:line="210" w:lineRule="exact"/>
        <w:rPr>
          <w:rFonts w:ascii="Arial" w:cs="Arial" w:eastAsia="Arial" w:hAnsi="Arial"/>
          <w:sz w:val="16"/>
          <w:szCs w:val="16"/>
          <w:color w:val="auto"/>
        </w:rPr>
      </w:pPr>
    </w:p>
    <w:p>
      <w:pPr>
        <w:ind w:left="920" w:hanging="264"/>
        <w:spacing w:after="0"/>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take any other action otherwise prohibited by this Indenture to be taken without the consent of each Holder affected thereby.</w:t>
      </w:r>
    </w:p>
    <w:p>
      <w:pPr>
        <w:spacing w:after="0" w:line="225" w:lineRule="exact"/>
        <w:rPr>
          <w:rFonts w:ascii="Arial" w:cs="Arial" w:eastAsia="Arial" w:hAnsi="Arial"/>
          <w:sz w:val="18"/>
          <w:szCs w:val="18"/>
          <w:color w:val="auto"/>
        </w:rPr>
      </w:pPr>
    </w:p>
    <w:p>
      <w:pPr>
        <w:ind w:firstLine="332"/>
        <w:spacing w:after="0" w:line="257" w:lineRule="auto"/>
        <w:tabs>
          <w:tab w:leader="none" w:pos="5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spacing w:after="0" w:line="188" w:lineRule="exact"/>
        <w:rPr>
          <w:rFonts w:ascii="Arial" w:cs="Arial" w:eastAsia="Arial" w:hAnsi="Arial"/>
          <w:sz w:val="18"/>
          <w:szCs w:val="18"/>
          <w:color w:val="auto"/>
        </w:rPr>
      </w:pPr>
    </w:p>
    <w:p>
      <w:pPr>
        <w:ind w:right="200" w:firstLine="332"/>
        <w:spacing w:after="0" w:line="277" w:lineRule="auto"/>
        <w:tabs>
          <w:tab w:leader="none" w:pos="5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w:t>
      </w:r>
    </w:p>
    <w:p>
      <w:pPr>
        <w:spacing w:after="0" w:line="170"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After an amendment or supplement under this Section becomes effective, the Company shall mail to Securityholders a notice briefly describing the amendment or supplement. Any failure of the Company to mail any such notice, or any defect therein, shall not, however, in any way impair or affect the validity of any supplemental indenture.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COMPLIANCE WITH TRUST INDENTURE ACT.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Every amendment to, or supplement of, this Indenture or the Securities shall comply with the TIA as then in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8.4. REVOCATION AND EFFECT OF CONSENTS.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Until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supplement, waiver or other action becomes effective.</w:t>
      </w:r>
    </w:p>
    <w:p>
      <w:pPr>
        <w:sectPr>
          <w:pgSz w:w="11900" w:h="16838" w:orient="portrait"/>
          <w:cols w:equalWidth="0" w:num="1">
            <w:col w:w="11420"/>
          </w:cols>
          <w:pgMar w:left="240" w:top="368" w:right="239" w:bottom="1440" w:gutter="0" w:footer="0" w:header="0"/>
        </w:sectPr>
      </w:pPr>
    </w:p>
    <w:bookmarkStart w:id="49" w:name="page50"/>
    <w:bookmarkEnd w:id="49"/>
    <w:p>
      <w:pPr>
        <w:ind w:right="120" w:firstLine="324"/>
        <w:spacing w:after="0" w:line="257" w:lineRule="auto"/>
        <w:rPr>
          <w:sz w:val="20"/>
          <w:szCs w:val="20"/>
          <w:color w:val="auto"/>
        </w:rPr>
      </w:pPr>
      <w:r>
        <w:rPr>
          <w:rFonts w:ascii="Arial" w:cs="Arial" w:eastAsia="Arial" w:hAnsi="Arial"/>
          <w:sz w:val="18"/>
          <w:szCs w:val="18"/>
          <w:color w:val="auto"/>
        </w:rPr>
        <w:t>The Company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After an amendment, supplement, waiver or other action becomes effective, it shall bind every Securityholder, unless it makes a change described in any of clauses (1) through (9) of Section 8.2. In that case, the amendment,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the principal of, and interest and premium, if any, on, a Security, on or after the respective due dates expressed in such Security, or to bring suit for the enforcement of any such payment on or after such respective dates without the consent of such 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NOTATION ON OR EXCHANGE OF SECURITIES.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If an amendment,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 the changed terms. Failure to make the appropriate notation or issue a new Security shall not affect the validity and effect of such amendment, supplement or waiver.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8.6. TRUSTEE TO SIGN AMENDMENTS, ETC.</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Trustee shall sign any amendment, supplement or waiver authorized pursuant to this Article 8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subject to Section 7.1, shall be fully protected in relying upon an Officers’ Certificate and an Opinion of Counsel stating that such amendment, supplement or waiver is authorized or permitted by this Indenture. The Company may not sign an amendment or supplement until the Board of Directors of the Company approves it.</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9 -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DISCHARGE OF INDENTURE; DEFEASANCE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DISCHARGE OF INDENTURE.</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w:t>
      </w:r>
    </w:p>
    <w:p>
      <w:pPr>
        <w:spacing w:after="0" w:line="18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satisfaction and discharge of this Indenture, the obligations of the Company in Sections 7.7, 9.5 and 9.6 shall survive.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LEGAL DEFEASANCE.</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 (C) the rights, powers, trusts, duties 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COVENANT DEFEASANCE.</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w:t>
      </w:r>
    </w:p>
    <w:p>
      <w:pPr>
        <w:sectPr>
          <w:pgSz w:w="11900" w:h="16838" w:orient="portrait"/>
          <w:cols w:equalWidth="0" w:num="1">
            <w:col w:w="11420"/>
          </w:cols>
          <w:pgMar w:left="240" w:top="368" w:right="239" w:bottom="1440" w:gutter="0" w:footer="0" w:header="0"/>
        </w:sectPr>
      </w:pPr>
    </w:p>
    <w:bookmarkStart w:id="50" w:name="page51"/>
    <w:bookmarkEnd w:id="50"/>
    <w:p>
      <w:pPr>
        <w:ind w:right="180"/>
        <w:spacing w:after="0" w:line="264" w:lineRule="auto"/>
        <w:rPr>
          <w:sz w:val="20"/>
          <w:szCs w:val="20"/>
          <w:color w:val="auto"/>
        </w:rPr>
      </w:pPr>
      <w:r>
        <w:rPr>
          <w:rFonts w:ascii="Arial" w:cs="Arial" w:eastAsia="Arial" w:hAnsi="Arial"/>
          <w:sz w:val="18"/>
          <w:szCs w:val="18"/>
          <w:color w:val="auto"/>
        </w:rPr>
        <w:t>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9.4. CONDITIONS TO LEGAL DEFEASANCE OR COVENANT DEFEASANCE.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shall be the conditions to application of Section 9.2 or Section 9.3 to the outstanding Securities of a Series:</w:t>
      </w:r>
    </w:p>
    <w:p>
      <w:pPr>
        <w:spacing w:after="0" w:line="225" w:lineRule="exact"/>
        <w:rPr>
          <w:sz w:val="20"/>
          <w:szCs w:val="20"/>
          <w:color w:val="auto"/>
        </w:rPr>
      </w:pPr>
    </w:p>
    <w:p>
      <w:pPr>
        <w:ind w:right="120" w:firstLine="656"/>
        <w:spacing w:after="0" w:line="289" w:lineRule="auto"/>
        <w:tabs>
          <w:tab w:leader="none" w:pos="9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satisfying the requirements of Section 7.10 who shall agree to comply with the provisions of this Article 9 applicable to it) as funds in trust for the purpose 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w:t>
      </w:r>
    </w:p>
    <w:p>
      <w:pPr>
        <w:spacing w:after="0" w:line="166" w:lineRule="exact"/>
        <w:rPr>
          <w:rFonts w:ascii="Arial" w:cs="Arial" w:eastAsia="Arial" w:hAnsi="Arial"/>
          <w:sz w:val="16"/>
          <w:szCs w:val="16"/>
          <w:color w:val="auto"/>
        </w:rPr>
      </w:pPr>
    </w:p>
    <w:p>
      <w:pPr>
        <w:ind w:firstLine="656"/>
        <w:spacing w:after="0" w:line="302" w:lineRule="auto"/>
        <w:tabs>
          <w:tab w:leader="none" w:pos="9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Event of Default or Default with respect to the Securities of such Series shall have occurred and be continuing on the date of such deposit, or shall have occurred and be continuing at any time during the period ending on the 91st day after the date of such deposit or, if longer, ending on the day following the expiration of the longest preference period under any Bankruptcy Law applicable to the Company in respect of such deposit as specified in the Opinion of Counsel identified in paragraph (8) below (it being understood that this condition shall not be deemed satisfied until the expiration of such period);</w:t>
      </w:r>
    </w:p>
    <w:p>
      <w:pPr>
        <w:spacing w:after="0" w:line="154" w:lineRule="exact"/>
        <w:rPr>
          <w:rFonts w:ascii="Arial" w:cs="Arial" w:eastAsia="Arial" w:hAnsi="Arial"/>
          <w:sz w:val="16"/>
          <w:szCs w:val="16"/>
          <w:color w:val="auto"/>
        </w:rPr>
      </w:pPr>
    </w:p>
    <w:p>
      <w:pPr>
        <w:ind w:right="160" w:firstLine="656"/>
        <w:spacing w:after="0" w:line="277"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cause the Trustee to have a conflicting interest for purposes of the TIA with respect to any securities of the Company;</w:t>
      </w:r>
    </w:p>
    <w:p>
      <w:pPr>
        <w:spacing w:after="0" w:line="170" w:lineRule="exact"/>
        <w:rPr>
          <w:rFonts w:ascii="Arial" w:cs="Arial" w:eastAsia="Arial" w:hAnsi="Arial"/>
          <w:sz w:val="18"/>
          <w:szCs w:val="18"/>
          <w:color w:val="auto"/>
        </w:rPr>
      </w:pPr>
    </w:p>
    <w:p>
      <w:pPr>
        <w:ind w:right="300" w:firstLine="656"/>
        <w:spacing w:after="0" w:line="277"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default under,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140" w:firstLine="656"/>
        <w:spacing w:after="0" w:line="342" w:lineRule="auto"/>
        <w:tabs>
          <w:tab w:leader="none" w:pos="9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spacing w:after="0" w:line="123" w:lineRule="exact"/>
        <w:rPr>
          <w:rFonts w:ascii="Arial" w:cs="Arial" w:eastAsia="Arial" w:hAnsi="Arial"/>
          <w:sz w:val="16"/>
          <w:szCs w:val="16"/>
          <w:color w:val="auto"/>
        </w:rPr>
      </w:pPr>
    </w:p>
    <w:p>
      <w:pPr>
        <w:ind w:right="100" w:firstLine="656"/>
        <w:spacing w:after="0" w:line="255"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an election under Section 9.2,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w:t>
      </w:r>
    </w:p>
    <w:p>
      <w:pPr>
        <w:spacing w:after="0" w:line="193" w:lineRule="exact"/>
        <w:rPr>
          <w:rFonts w:ascii="Arial" w:cs="Arial" w:eastAsia="Arial" w:hAnsi="Arial"/>
          <w:sz w:val="18"/>
          <w:szCs w:val="18"/>
          <w:color w:val="auto"/>
        </w:rPr>
      </w:pPr>
    </w:p>
    <w:p>
      <w:pPr>
        <w:jc w:val="both"/>
        <w:ind w:right="80" w:firstLine="656"/>
        <w:spacing w:after="0" w:line="259"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right="320" w:firstLine="656"/>
        <w:spacing w:after="0" w:line="264"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w:t>
      </w:r>
    </w:p>
    <w:p>
      <w:pPr>
        <w:spacing w:after="0" w:line="181" w:lineRule="exact"/>
        <w:rPr>
          <w:rFonts w:ascii="Arial" w:cs="Arial" w:eastAsia="Arial" w:hAnsi="Arial"/>
          <w:sz w:val="18"/>
          <w:szCs w:val="18"/>
          <w:color w:val="auto"/>
        </w:rPr>
      </w:pPr>
    </w:p>
    <w:p>
      <w:pPr>
        <w:ind w:right="180" w:firstLine="656"/>
        <w:spacing w:after="0" w:line="277"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under clause (1) was not made by the Company with the intent of defeating, hindering, delaying or defrauding any creditors of the Company or others; and</w:t>
      </w:r>
    </w:p>
    <w:p>
      <w:pPr>
        <w:spacing w:after="0" w:line="170" w:lineRule="exact"/>
        <w:rPr>
          <w:rFonts w:ascii="Arial" w:cs="Arial" w:eastAsia="Arial" w:hAnsi="Arial"/>
          <w:sz w:val="18"/>
          <w:szCs w:val="18"/>
          <w:color w:val="auto"/>
        </w:rPr>
      </w:pPr>
    </w:p>
    <w:p>
      <w:pPr>
        <w:ind w:right="40" w:firstLine="656"/>
        <w:spacing w:after="0" w:line="277" w:lineRule="auto"/>
        <w:tabs>
          <w:tab w:leader="none" w:pos="9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have paid, or duly provided for payment under terms mutually satisfactory to the Company and the Trustee, all amounts then due to the Trustee pursuant to Section 7.7.</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9.5. DEPOSITED MONEY AND U.S. AND FOREIGN GOVERNMENT OBLIGATIONS TO BE HELD IN TRUST; OTHER MISCELLANEOUS PROVISIONS.</w:t>
      </w:r>
    </w:p>
    <w:p>
      <w:pPr>
        <w:spacing w:after="0" w:line="166" w:lineRule="exact"/>
        <w:rPr>
          <w:sz w:val="20"/>
          <w:szCs w:val="20"/>
          <w:color w:val="auto"/>
        </w:rPr>
      </w:pPr>
    </w:p>
    <w:p>
      <w:pPr>
        <w:jc w:val="both"/>
        <w:ind w:right="180" w:firstLine="324"/>
        <w:spacing w:after="0" w:line="257" w:lineRule="auto"/>
        <w:rPr>
          <w:sz w:val="20"/>
          <w:szCs w:val="20"/>
          <w:color w:val="auto"/>
        </w:rPr>
      </w:pPr>
      <w:r>
        <w:rPr>
          <w:rFonts w:ascii="Arial" w:cs="Arial" w:eastAsia="Arial" w:hAnsi="Arial"/>
          <w:sz w:val="18"/>
          <w:szCs w:val="18"/>
          <w:color w:val="auto"/>
        </w:rPr>
        <w:t>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w:t>
      </w:r>
    </w:p>
    <w:p>
      <w:pPr>
        <w:sectPr>
          <w:pgSz w:w="11900" w:h="16838" w:orient="portrait"/>
          <w:cols w:equalWidth="0" w:num="1">
            <w:col w:w="11420"/>
          </w:cols>
          <w:pgMar w:left="240" w:top="368" w:right="239" w:bottom="1440" w:gutter="0" w:footer="0" w:header="0"/>
        </w:sectPr>
      </w:pPr>
    </w:p>
    <w:bookmarkStart w:id="51" w:name="page52"/>
    <w:bookmarkEnd w:id="51"/>
    <w:p>
      <w:pPr>
        <w:ind w:right="120" w:firstLine="324"/>
        <w:spacing w:after="0" w:line="286" w:lineRule="auto"/>
        <w:rPr>
          <w:sz w:val="20"/>
          <w:szCs w:val="20"/>
          <w:color w:val="auto"/>
        </w:rPr>
      </w:pPr>
      <w:r>
        <w:rPr>
          <w:rFonts w:ascii="Arial" w:cs="Arial" w:eastAsia="Arial" w:hAnsi="Arial"/>
          <w:sz w:val="17"/>
          <w:szCs w:val="17"/>
          <w:color w:val="auto"/>
        </w:rPr>
        <w:t>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9.6. REINSTATEMENT.</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PROVIDED, HOWEVER, that if the Company has made any payment of principal of, or accrued interest or premium, if any, on, any Securities because of the reinstatement of its obligations, the Company shall be subrogated to the rights of the Holders of such Securities to receive such payment from the money, U.S. Government Obligations or Foreign Government Obligations held by the Trustee or Paying Agent.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9.7. MONEYS HELD BY PAYING AGENT.</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then held by any Paying Agent under the provisions of this Indenture shall, upon demand of the Company, be paid to the Trustee, or, if sufficient moneys have been deposited pursuant to Section 9.1, to the Company, and thereupon such Paying Agent shall be released from all further liability with respect to such moneys.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9.8. MONEYS HELD BY TRUSTEE.</w:t>
      </w:r>
    </w:p>
    <w:p>
      <w:pPr>
        <w:spacing w:after="0" w:line="243" w:lineRule="exact"/>
        <w:rPr>
          <w:sz w:val="20"/>
          <w:szCs w:val="20"/>
          <w:color w:val="auto"/>
        </w:rPr>
      </w:pPr>
    </w:p>
    <w:p>
      <w:pPr>
        <w:ind w:right="20" w:firstLine="324"/>
        <w:spacing w:after="0" w:line="285" w:lineRule="auto"/>
        <w:rPr>
          <w:sz w:val="20"/>
          <w:szCs w:val="20"/>
          <w:color w:val="auto"/>
        </w:rPr>
      </w:pPr>
      <w:r>
        <w:rPr>
          <w:rFonts w:ascii="Arial" w:cs="Arial" w:eastAsia="Arial" w:hAnsi="Arial"/>
          <w:sz w:val="17"/>
          <w:szCs w:val="17"/>
          <w:color w:val="auto"/>
        </w:rPr>
        <w:t>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10 -</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TRUST INDENTURE ACT CONTROLS.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NOTICES.</w:t>
      </w:r>
    </w:p>
    <w:p>
      <w:pPr>
        <w:spacing w:after="0" w:line="229"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Any notice or communication shall be given in writing and delivered in Person, sent by facsimile (and receipt confirmed by telephone or electronic transmission report), delivered by commercial courier service or mailed by first-class mail, postage prepaid, addressed as follows: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Copy to:</w:t>
      </w:r>
    </w:p>
    <w:p>
      <w:pPr>
        <w:sectPr>
          <w:pgSz w:w="11900" w:h="16838" w:orient="portrait"/>
          <w:cols w:equalWidth="0" w:num="1">
            <w:col w:w="11400"/>
          </w:cols>
          <w:pgMar w:left="240" w:top="368" w:right="259" w:bottom="1440" w:gutter="0" w:footer="0" w:header="0"/>
        </w:sectPr>
      </w:pPr>
    </w:p>
    <w:bookmarkStart w:id="52" w:name="page53"/>
    <w:bookmarkEnd w:id="52"/>
    <w:p>
      <w:pPr>
        <w:ind w:left="260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Fax: </w:t>
      </w:r>
      <w:r>
        <w:rPr>
          <w:rFonts w:ascii="Arial" w:cs="Arial" w:eastAsia="Arial" w:hAnsi="Arial"/>
          <w:sz w:val="18"/>
          <w:szCs w:val="18"/>
          <w:color w:val="333333"/>
        </w:rPr>
        <w:t>(415) 281-1350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Effie Toshav,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when receipt is confirmed by telephone or electronic transmission report, if sent by facsimile; and three Business Days after mailing if sent by registered or certified mail, postage prepaid (except that a notice of change of address shall not be deemed to have been given until actually received by the addressee).</w:t>
      </w:r>
    </w:p>
    <w:p>
      <w:pPr>
        <w:spacing w:after="0" w:line="154"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Any notice or communication mailed to a Securityholder shall be mailed to such Securityholder by first-class mail, postage prepaid, at such Securityholder’s address shown on the register kept by the Registrar.</w:t>
      </w:r>
    </w:p>
    <w:p>
      <w:pPr>
        <w:spacing w:after="0" w:line="17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spacing w:after="0" w:line="18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2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the case of Global Securities, notices or communications to be given to Securityholders shall be given to the Depository, in accordance with its applicable policies as in effect from time to time.</w:t>
      </w:r>
    </w:p>
    <w:p>
      <w:pPr>
        <w:spacing w:after="0" w:line="1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addition to the manner provided for in the foregoing provisions, notices or communications to Securityholders shall be given by the Company by release made to Reuters Economic Services and Bloomberg Business News.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COMMUNICATIONS BY HOLDERS WITH OTHER 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CERTIFICATE AND OPINION AS TO CONDITIONS PRECEDENT.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any request or application by the Company to the Trustee to take any action under this Indenture, the Company shall furnish to the Trustee:</w:t>
      </w:r>
    </w:p>
    <w:p>
      <w:pPr>
        <w:spacing w:after="0" w:line="237" w:lineRule="exact"/>
        <w:rPr>
          <w:sz w:val="20"/>
          <w:szCs w:val="20"/>
          <w:color w:val="auto"/>
        </w:rPr>
      </w:pPr>
    </w:p>
    <w:p>
      <w:pPr>
        <w:ind w:right="740" w:firstLine="656"/>
        <w:spacing w:after="0" w:line="277"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Officers’ Certificate (which shall include the statements set forth in Section 10.5 below)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right="240" w:firstLine="656"/>
        <w:spacing w:after="0" w:line="277"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10.5 below) stating that, in the opinion of such counsel, all such conditions precedent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STATEMENT REQUIRED IN CERTIFICATE AND OPINION.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certificate and opinion with respect to compliance with a condition or covenant provided for in this Indenture (other than pursuant to Section 4.4)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include:</w:t>
      </w:r>
    </w:p>
    <w:p>
      <w:pPr>
        <w:spacing w:after="0" w:line="211" w:lineRule="exact"/>
        <w:rPr>
          <w:sz w:val="20"/>
          <w:szCs w:val="20"/>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720" w:firstLine="656"/>
        <w:spacing w:after="0" w:line="277" w:lineRule="auto"/>
        <w:tabs>
          <w:tab w:leader="none" w:pos="9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140" w:firstLine="656"/>
        <w:spacing w:after="0" w:line="277" w:lineRule="auto"/>
        <w:tabs>
          <w:tab w:leader="none" w:pos="9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covenant or condition has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RULES BY TRUSTEE AND AGENTS.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Trustee may make reasonable rules for action by or at meetings of Securityholders. The Registrar and Paying Agent may make reasonable rules for their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 BUSINESS DAYS; LEGAL HOLIDAYS; PLACE OF PAYMENT.</w:t>
      </w:r>
    </w:p>
    <w:p>
      <w:pPr>
        <w:sectPr>
          <w:pgSz w:w="11900" w:h="16838" w:orient="portrait"/>
          <w:cols w:equalWidth="0" w:num="1">
            <w:col w:w="11420"/>
          </w:cols>
          <w:pgMar w:left="240" w:top="368" w:right="239" w:bottom="1440" w:gutter="0" w:footer="0" w:header="0"/>
        </w:sectPr>
      </w:pPr>
    </w:p>
    <w:bookmarkStart w:id="53" w:name="page54"/>
    <w:bookmarkEnd w:id="53"/>
    <w:p>
      <w:pPr>
        <w:ind w:right="440" w:firstLine="324"/>
        <w:spacing w:after="0" w:line="277" w:lineRule="auto"/>
        <w:rPr>
          <w:sz w:val="20"/>
          <w:szCs w:val="20"/>
          <w:color w:val="auto"/>
        </w:rPr>
      </w:pPr>
      <w:r>
        <w:rPr>
          <w:rFonts w:ascii="Arial" w:cs="Arial" w:eastAsia="Arial" w:hAnsi="Arial"/>
          <w:sz w:val="18"/>
          <w:szCs w:val="18"/>
          <w:color w:val="auto"/>
        </w:rPr>
        <w:t>A “Business Day” is a day that is not a Legal Holiday. A “Legal Holiday” is a Saturday, a Sunday, a federally-recognized holiday or a day on which banking institutions are not authorized or required by law, regulation or executive order to be open in the State of New York.</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 2.2. If the regular record date is a Legal Holiday, the record date shall not be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10.8. GOVERNING LAW.</w:t>
      </w:r>
    </w:p>
    <w:p>
      <w:pPr>
        <w:spacing w:after="0" w:line="225" w:lineRule="exact"/>
        <w:rPr>
          <w:sz w:val="20"/>
          <w:szCs w:val="20"/>
          <w:color w:val="auto"/>
        </w:rPr>
      </w:pPr>
    </w:p>
    <w:p>
      <w:pPr>
        <w:jc w:val="both"/>
        <w:ind w:right="120" w:firstLine="324"/>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 AS APPLIED TO CONTRACTS MADE AND PERFORMED WITHIN THE STATE OF NEW YORK WITHOUT REGARD TO PRINCIPLES OF CONFLICTS OF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10.9. NO ADVERSE INTERPRETATION OF OTHER AGREEMENTS.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This Indenture may not be used to interpret another indenture, loan, security or debt agreement of the Company or any Subsidiary thereof. No such indenture, loan, security or debt agreement may be used to interpret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10.10. NO RECOURSE AGAINST OTHERS.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10.11. SUCCESSORS.</w:t>
      </w:r>
    </w:p>
    <w:p>
      <w:pPr>
        <w:spacing w:after="0" w:line="229"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10.12. MULTIPLE COUNTERPARTS.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parties may sign multiple counterparts of this Indenture. Each signed counterpart shall be deemed an original, but all of them together represent one and the same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10.13. TABLE OF CONTENTS, HEADINGS, ETC.</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10.14. SEVERABILITY.</w:t>
      </w:r>
    </w:p>
    <w:p>
      <w:pPr>
        <w:spacing w:after="0" w:line="229"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SECURITIES IN A FOREIGN CURRENCY OR IN EUROS.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ectPr>
          <w:pgSz w:w="11900" w:h="16838" w:orient="portrait"/>
          <w:cols w:equalWidth="0" w:num="1">
            <w:col w:w="11420"/>
          </w:cols>
          <w:pgMar w:left="240" w:top="368" w:right="239" w:bottom="1440" w:gutter="0" w:footer="0" w:header="0"/>
        </w:sectPr>
      </w:pPr>
    </w:p>
    <w:bookmarkStart w:id="54" w:name="page55"/>
    <w:bookmarkEnd w:id="54"/>
    <w:p>
      <w:pPr>
        <w:ind w:firstLine="324"/>
        <w:spacing w:after="0" w:line="264"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10.16. JUDGMENT CURRENCY.</w:t>
      </w:r>
    </w:p>
    <w:p>
      <w:pPr>
        <w:spacing w:after="0" w:line="22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THIS PAGE INTENTIONALLY LEFT BLANK]</w:t>
      </w:r>
    </w:p>
    <w:p>
      <w:pPr>
        <w:sectPr>
          <w:pgSz w:w="11900" w:h="16838" w:orient="portrait"/>
          <w:cols w:equalWidth="0" w:num="1">
            <w:col w:w="11400"/>
          </w:cols>
          <w:pgMar w:left="240" w:top="368" w:right="259" w:bottom="1440" w:gutter="0" w:footer="0" w:header="0"/>
        </w:sectPr>
      </w:pPr>
    </w:p>
    <w:bookmarkStart w:id="55" w:name="page56"/>
    <w:bookmarkEnd w:id="55"/>
    <w:p>
      <w:pPr>
        <w:ind w:firstLine="324"/>
        <w:spacing w:after="0" w:line="277" w:lineRule="auto"/>
        <w:rPr>
          <w:sz w:val="20"/>
          <w:szCs w:val="20"/>
          <w:color w:val="auto"/>
        </w:rPr>
      </w:pPr>
      <w:r>
        <w:rPr>
          <w:rFonts w:ascii="Arial" w:cs="Arial" w:eastAsia="Arial" w:hAnsi="Arial"/>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32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177800</wp:posOffset>
            </wp:positionV>
            <wp:extent cx="3310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8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177800</wp:posOffset>
            </wp:positionV>
            <wp:extent cx="2521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7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177800</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[Name of Trustee]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177800</wp:posOffset>
            </wp:positionV>
            <wp:extent cx="3310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8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177800</wp:posOffset>
            </wp:positionV>
            <wp:extent cx="2521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7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177800</wp:posOffset>
            </wp:positionV>
            <wp:extent cx="2521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177800</wp:posOffset>
            </wp:positionV>
            <wp:extent cx="3310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8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177800</wp:posOffset>
            </wp:positionV>
            <wp:extent cx="2521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7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177800</wp:posOffset>
            </wp:positionV>
            <wp:extent cx="2521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56" w:name="page57"/>
    <w:bookmarkEnd w:id="56"/>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243205</wp:posOffset>
            </wp:positionV>
            <wp:extent cx="2898775" cy="909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898775" cy="9093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5.01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5,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10421 Pacific Center Court</w:t>
      </w:r>
    </w:p>
    <w:p>
      <w:pPr>
        <w:spacing w:after="0"/>
        <w:rPr>
          <w:sz w:val="20"/>
          <w:szCs w:val="20"/>
          <w:color w:val="auto"/>
        </w:rPr>
      </w:pPr>
      <w:r>
        <w:rPr>
          <w:rFonts w:ascii="Arial" w:cs="Arial" w:eastAsia="Arial" w:hAnsi="Arial"/>
          <w:sz w:val="20"/>
          <w:szCs w:val="20"/>
          <w:color w:val="auto"/>
        </w:rPr>
        <w:t>Suite 200</w:t>
      </w:r>
    </w:p>
    <w:p>
      <w:pPr>
        <w:spacing w:after="0"/>
        <w:rPr>
          <w:sz w:val="20"/>
          <w:szCs w:val="20"/>
          <w:color w:val="auto"/>
        </w:rPr>
      </w:pPr>
      <w:r>
        <w:rPr>
          <w:rFonts w:ascii="Arial" w:cs="Arial" w:eastAsia="Arial" w:hAnsi="Arial"/>
          <w:sz w:val="20"/>
          <w:szCs w:val="20"/>
          <w:color w:val="auto"/>
        </w:rPr>
        <w:t>San Diego, CA 92121</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At your request, we have examined the Registration Statement on Form S-3 filed by AnaptysBio,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February 5, 2018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the offering and sale from time to time of (i) one or more series of debt securities (the “</w:t>
      </w:r>
      <w:r>
        <w:rPr>
          <w:rFonts w:ascii="Arial" w:cs="Arial" w:eastAsia="Arial" w:hAnsi="Arial"/>
          <w:sz w:val="19"/>
          <w:szCs w:val="19"/>
          <w:b w:val="1"/>
          <w:bCs w:val="1"/>
          <w:i w:val="1"/>
          <w:iCs w:val="1"/>
          <w:color w:val="auto"/>
        </w:rPr>
        <w:t>Debt Securities</w:t>
      </w:r>
      <w:r>
        <w:rPr>
          <w:rFonts w:ascii="Arial" w:cs="Arial" w:eastAsia="Arial" w:hAnsi="Arial"/>
          <w:sz w:val="19"/>
          <w:szCs w:val="19"/>
          <w:color w:val="auto"/>
        </w:rPr>
        <w:t>”) issuable pursuant to an indenture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by and between the Company and a financial institution to be identified therein as trustee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(ii) shares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(iii) shares of the Company’s preferred stock, $0.001 par value per share (the “</w:t>
      </w:r>
      <w:r>
        <w:rPr>
          <w:rFonts w:ascii="Arial" w:cs="Arial" w:eastAsia="Arial" w:hAnsi="Arial"/>
          <w:sz w:val="19"/>
          <w:szCs w:val="19"/>
          <w:b w:val="1"/>
          <w:bCs w:val="1"/>
          <w:i w:val="1"/>
          <w:iCs w:val="1"/>
          <w:color w:val="auto"/>
        </w:rPr>
        <w:t>Preferred Stock</w:t>
      </w:r>
      <w:r>
        <w:rPr>
          <w:rFonts w:ascii="Arial" w:cs="Arial" w:eastAsia="Arial" w:hAnsi="Arial"/>
          <w:sz w:val="19"/>
          <w:szCs w:val="19"/>
          <w:color w:val="auto"/>
        </w:rPr>
        <w:t>”), (iv) warrants to purchase shares of Common Stock and/or Preferred Stock (the “</w:t>
      </w:r>
      <w:r>
        <w:rPr>
          <w:rFonts w:ascii="Arial" w:cs="Arial" w:eastAsia="Arial" w:hAnsi="Arial"/>
          <w:sz w:val="19"/>
          <w:szCs w:val="19"/>
          <w:b w:val="1"/>
          <w:bCs w:val="1"/>
          <w:i w:val="1"/>
          <w:iCs w:val="1"/>
          <w:color w:val="auto"/>
        </w:rPr>
        <w:t>Warrants</w:t>
      </w:r>
      <w:r>
        <w:rPr>
          <w:rFonts w:ascii="Arial" w:cs="Arial" w:eastAsia="Arial" w:hAnsi="Arial"/>
          <w:sz w:val="19"/>
          <w:szCs w:val="19"/>
          <w:color w:val="auto"/>
        </w:rPr>
        <w:t>”), (v) subscription rights to purchase shares of Common Stock, shares of Preferred Stock or Debt Securities (the “</w:t>
      </w:r>
      <w:r>
        <w:rPr>
          <w:rFonts w:ascii="Arial" w:cs="Arial" w:eastAsia="Arial" w:hAnsi="Arial"/>
          <w:sz w:val="19"/>
          <w:szCs w:val="19"/>
          <w:b w:val="1"/>
          <w:bCs w:val="1"/>
          <w:i w:val="1"/>
          <w:iCs w:val="1"/>
          <w:color w:val="auto"/>
        </w:rPr>
        <w:t>Subscription Rights</w:t>
      </w:r>
      <w:r>
        <w:rPr>
          <w:rFonts w:ascii="Arial" w:cs="Arial" w:eastAsia="Arial" w:hAnsi="Arial"/>
          <w:sz w:val="19"/>
          <w:szCs w:val="19"/>
          <w:color w:val="auto"/>
        </w:rPr>
        <w:t>”), and/or (vi) units consisting of any combination of such foregoing securities described in clauses (i) through (v) above (the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The Debt Securities, the Common Stock, the Preferred Stock, the Warrants, the Subscription Rights and the Units are collectively referred to herein as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The Securities may be sold from time to time by the Company as set forth in the Registration Statement, the prospectus contained within the Registration Statement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and supplements to the Prospectus.</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connection with our opinion, we have examined such matters of fact as we have deemed necessary, which included examination of originals or copies of: the Company’s current Certificate of Incorporation and Bylaws, as amended (collectively, the “</w:t>
      </w:r>
      <w:r>
        <w:rPr>
          <w:rFonts w:ascii="Arial" w:cs="Arial" w:eastAsia="Arial" w:hAnsi="Arial"/>
          <w:sz w:val="19"/>
          <w:szCs w:val="19"/>
          <w:b w:val="1"/>
          <w:bCs w:val="1"/>
          <w:i w:val="1"/>
          <w:iCs w:val="1"/>
          <w:color w:val="auto"/>
        </w:rPr>
        <w:t>Charter Documents</w:t>
      </w:r>
      <w:r>
        <w:rPr>
          <w:rFonts w:ascii="Arial" w:cs="Arial" w:eastAsia="Arial" w:hAnsi="Arial"/>
          <w:sz w:val="19"/>
          <w:szCs w:val="19"/>
          <w:color w:val="auto"/>
        </w:rPr>
        <w:t>”), the Registration Statement and the exhibits thereto; the Prospectus; certain corporate proceedings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the committee or the committees of the Board and the Company’s stockholders relating to adoption or approval of the Company Charter Documents, the reservation of the Securities for sale and issuance, the filing of the Registration Statement and the registration of the Securities under the Securities Act and documents (including a certificate from the Company’s transfer agent) regarding the Company’s outstanding and reserved capital stock and other securities and such other documents as we have deemed advisable, and we have examined such questions of law as we have considered necessary.</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our examination of documents for purposes of this opinion, we have assumed, and express no opinion as to, the authenticity and completeness of all documents submitted to us as originals, the genuineness</w:t>
      </w:r>
    </w:p>
    <w:p>
      <w:pPr>
        <w:sectPr>
          <w:pgSz w:w="11900" w:h="16838" w:orient="portrait"/>
          <w:cols w:equalWidth="0" w:num="1">
            <w:col w:w="11420"/>
          </w:cols>
          <w:pgMar w:left="240" w:top="1440" w:right="239" w:bottom="1440" w:gutter="0" w:footer="0" w:header="0"/>
        </w:sectPr>
      </w:pPr>
    </w:p>
    <w:bookmarkStart w:id="57" w:name="page58"/>
    <w:bookmarkEnd w:id="57"/>
    <w:p>
      <w:pPr>
        <w:jc w:val="both"/>
        <w:spacing w:after="0" w:line="258" w:lineRule="auto"/>
        <w:rPr>
          <w:sz w:val="20"/>
          <w:szCs w:val="20"/>
          <w:color w:val="auto"/>
        </w:rPr>
      </w:pPr>
      <w:r>
        <w:rPr>
          <w:rFonts w:ascii="Arial" w:cs="Arial" w:eastAsia="Arial" w:hAnsi="Arial"/>
          <w:sz w:val="19"/>
          <w:szCs w:val="19"/>
          <w:color w:val="auto"/>
        </w:rPr>
        <w:t>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In rendering our opinion, we have also relied upon a Certificate of Good Standing dated February 5, 2018 issued by the Delaware Secretary of State with respect to the Company and representations and certifications made to us by the Company, including without limitation representations in a Management Certificate addressed to us of even date herewith.</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also have assumed that any certificates or instruments representing the Securities will be, when issued, properly signed by authorized officers of the Company or their agents, and, in the case of Debt Securities, properly authenticated in accordance with the terms of the Indenture and delivered to the intended recipients with the intent that the Company be bound thereby. Furthermore, with respect to the Company’s uncertificated capital stock, we assume that issued Common Stock will not be reissued by the Company in uncertificated form until any previously issued stock 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Trustee.</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render this opinion only with respect to, and express no opinion herein concerning the application or effect of the laws of any jurisdiction other than (i) the existing federal laws of the United States of America, (ii) the existing laws of the State of California, (iii) the Delaware General Corporation Law and reported judicial decisions relating thereto, and (iv) solely with respect to whether or not the Debt Securities are the valid and binding obligations of the Company, the existing laws of the state of New York. To the extent that any Warrant Agreement, Subscription Rights Agreement or Unit Agreement (each as defined below) is governed by the laws of any jurisdiction other than the State of California, our opinion expressed below assumes that California law will apply, without regard to any interpretation or construction that might be indicated by the laws stated as governing any such Warrant Agreement, Subscription Rights Agreement or Unit Agreement.</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connection with our opinions expressed below, we have assumed that, (i) at or prior to the time of the delivery of any of the Securities, there will not have occurred any change in the law or the facts affecting the validity or enforceability of the Securities, (ii) if any Debt Securities are issued, such Debt Securities will only be issued pursuant to the Indenture in the form filed with the Registration Statement as an exhibit and that there will not have occurred any change in law affecting the enforceability of the Debt Securities, (iii) all applicable Company covenants restricting the issuance of Debt Securities will have been waived, (iv) the Registration Statement and any amendments (including any necessary post-effective amendments) will have been declared effective under the Securities Act, and (v) at the at the time of the offer, issuance and sale of any Securities, no stop order suspending the Registration Statement’s effectiveness will have been issued and remain in effect. We also have assumed that the terms of any Debt Securities to be established subsequent to the date hereof, the issuance and delivery of Securities subsequent to the date hereof and the compliance by the Company with the terms of such Securities will not violate any applicable law (including, without limitation, any law relating to usury) or result in a violation of any provision of any instrument or agreement then binding upon the Company or any restriction imposed by any court or governmental body having jurisdiction over the Company.</w:t>
      </w:r>
    </w:p>
    <w:p>
      <w:pPr>
        <w:sectPr>
          <w:pgSz w:w="11900" w:h="16838" w:orient="portrait"/>
          <w:cols w:equalWidth="0" w:num="1">
            <w:col w:w="11420"/>
          </w:cols>
          <w:pgMar w:left="240" w:top="366" w:right="239" w:bottom="1440" w:gutter="0" w:footer="0" w:header="0"/>
        </w:sectPr>
      </w:pPr>
    </w:p>
    <w:bookmarkStart w:id="58" w:name="page59"/>
    <w:bookmarkEnd w:id="58"/>
    <w:p>
      <w:pPr>
        <w:ind w:firstLine="648"/>
        <w:spacing w:after="0" w:line="260" w:lineRule="auto"/>
        <w:rPr>
          <w:sz w:val="20"/>
          <w:szCs w:val="20"/>
          <w:color w:val="auto"/>
        </w:rPr>
      </w:pPr>
      <w:r>
        <w:rPr>
          <w:rFonts w:ascii="Arial" w:cs="Arial" w:eastAsia="Arial" w:hAnsi="Arial"/>
          <w:sz w:val="20"/>
          <w:szCs w:val="20"/>
          <w:color w:val="auto"/>
        </w:rPr>
        <w:t>This opinion is qualified by, and is subject to, and we render no opinion with respect to, the following limitations and exceptions to the enforceability of the Debt Securities:</w:t>
      </w:r>
    </w:p>
    <w:p>
      <w:pPr>
        <w:spacing w:after="0" w:line="190" w:lineRule="exact"/>
        <w:rPr>
          <w:sz w:val="20"/>
          <w:szCs w:val="20"/>
          <w:color w:val="auto"/>
        </w:rPr>
      </w:pPr>
    </w:p>
    <w:p>
      <w:pPr>
        <w:jc w:val="both"/>
        <w:ind w:left="980" w:hanging="324"/>
        <w:spacing w:after="0" w:line="291"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165" w:lineRule="exact"/>
        <w:rPr>
          <w:rFonts w:ascii="Arial" w:cs="Arial" w:eastAsia="Arial" w:hAnsi="Arial"/>
          <w:sz w:val="18"/>
          <w:szCs w:val="18"/>
          <w:color w:val="auto"/>
        </w:rPr>
      </w:pPr>
    </w:p>
    <w:p>
      <w:pPr>
        <w:jc w:val="both"/>
        <w:ind w:left="980" w:hanging="324"/>
        <w:spacing w:after="0" w:line="291"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16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effect of laws relating to usury or permissible rates of interest for loans, forbearances or the use of money.</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express no opinion regarding the effectiveness of any waiver or stay, extension or usury laws, or of unknown future rights. Further, we express no opinion regarding the effect of provisions relating to indemnification, exculpation or contribution to the extent such provisions may be held unenforceable as contrary to federal or state securities laws.</w:t>
      </w:r>
    </w:p>
    <w:p>
      <w:pPr>
        <w:spacing w:after="0" w:line="20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The Company has informed us that the Company intends to issue the Securities from time to time on a delayed or continuous basis. This opinion is limited to the laws, including the rules and regulations, as in effect on the date hereof. We are basing this opinion on our understanding that, prior to issuing any Securities in connection with the Registration Statement, the Company will advise us in writing of the terms thereof and other information material thereto, will afford us an opportunity to review the operative documents pursuant to which such Securities are to be issued (including the Registration Statement, the Prospectus and the applicable supplement to the Prospectus, as then in effect) and will file such supplement or amendment to this opinion (if any) as we may reasonably consider necessary or appropriate with respect to such Securities. However, we undertake no responsibility to monitor the Company’s future compliance with applicable laws, rules or regulations of the Commission or other governmental body. In particular, we assume that the Company will obtain the requisite approval of the Board and the requisite approval of its stockholders if required by the laws of the state of Delaware, or if necessary because the Company does not have a sufficient number of authorized but unissued and unreserved shares of capital stock at the time of issuance. We also assume the Company will timely file any and all supplements to the Registration Statement and Prospectus as are necessary to comply with applicable laws in effect from time to time and duly amend its Restated Certificate to increase the authorized number of shares of its capital stock if the number of such shares to be sold pursuant to the Registration Statement would cause the Company to issue more shares than it has authorized.</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Based upon the foregoing, we are of the following opinion:</w:t>
      </w:r>
    </w:p>
    <w:p>
      <w:pPr>
        <w:spacing w:after="0" w:line="229" w:lineRule="exact"/>
        <w:rPr>
          <w:sz w:val="20"/>
          <w:szCs w:val="20"/>
          <w:color w:val="auto"/>
        </w:rPr>
      </w:pPr>
    </w:p>
    <w:p>
      <w:pPr>
        <w:jc w:val="both"/>
        <w:ind w:left="660" w:hanging="328"/>
        <w:spacing w:after="0" w:line="243"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With respect to any Debt Securities registered pursuant to the Registration Statement, when (i) the issuance of the Debt Securities has been duly authorized by appropriate corporate action of the Board and, if required, the stockholders of the Company, (ii) an Indenture relating to such Debt Securities in the form filed with the Registration Statement as an exhibit has been duly authorized and validly executed and delivered by each of the Company and the Trustee, (iii) the form and terms of the Debt Securities have been duly established in accordance with the Indenture pursuant to resolutions duly adopted by the Board and as set forth in an officer’s certificate or supplemental indenture duly</w:t>
      </w:r>
    </w:p>
    <w:p>
      <w:pPr>
        <w:sectPr>
          <w:pgSz w:w="11900" w:h="16838" w:orient="portrait"/>
          <w:cols w:equalWidth="0" w:num="1">
            <w:col w:w="11420"/>
          </w:cols>
          <w:pgMar w:left="240" w:top="366" w:right="239" w:bottom="1440" w:gutter="0" w:footer="0" w:header="0"/>
        </w:sectPr>
      </w:pPr>
    </w:p>
    <w:bookmarkStart w:id="59" w:name="page60"/>
    <w:bookmarkEnd w:id="59"/>
    <w:p>
      <w:pPr>
        <w:jc w:val="both"/>
        <w:ind w:left="328"/>
        <w:spacing w:after="0" w:line="307" w:lineRule="auto"/>
        <w:rPr>
          <w:sz w:val="20"/>
          <w:szCs w:val="20"/>
          <w:color w:val="auto"/>
        </w:rPr>
      </w:pPr>
      <w:r>
        <w:rPr>
          <w:rFonts w:ascii="Arial" w:cs="Arial" w:eastAsia="Arial" w:hAnsi="Arial"/>
          <w:sz w:val="18"/>
          <w:szCs w:val="18"/>
          <w:color w:val="auto"/>
        </w:rPr>
        <w:t>authorized by the Board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and stated in the Registration Statement, the Prospectus and any prospectus supplement relating thereto (as amended as of the date of such issuance, sale and delivery) and any applicable definitive purchase, underwriting or similar agreement, then the Debt Securities will be validly issued and will constitute valid and binding obligations of the Company enforceable against the Company in accordance with their terms.</w:t>
      </w:r>
    </w:p>
    <w:p>
      <w:pPr>
        <w:spacing w:after="0" w:line="167" w:lineRule="exact"/>
        <w:rPr>
          <w:sz w:val="20"/>
          <w:szCs w:val="20"/>
          <w:color w:val="auto"/>
        </w:rPr>
      </w:pPr>
    </w:p>
    <w:p>
      <w:pPr>
        <w:jc w:val="both"/>
        <w:ind w:left="328" w:hanging="328"/>
        <w:spacing w:after="0" w:line="272" w:lineRule="auto"/>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the shares of Common Stock registered pursuant to the Registration Statement, when (i) the issuance of and the terms of the offering of the shares of Common Stock and related matters have been duly authorized by appropriate corporate action of the Board and, if required, the stockholders of the Company and (ii) if required, certificates representing the shares of Common Stock have been duly executed, countersigned, registered and delivered either (a)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(b) upon conversion or exercise of any other security of the Company, in accordance with the terms of such security or the instrument governing such security providing for such conversion or exercise as approved by the Board, for the consideration approved by the Board (not less than the par value of the Common Stock), then such shares of Common Stock will be validly issued, fully paid and nonassessable.</w:t>
      </w:r>
    </w:p>
    <w:p>
      <w:pPr>
        <w:spacing w:after="0" w:line="184" w:lineRule="exact"/>
        <w:rPr>
          <w:rFonts w:ascii="Arial" w:cs="Arial" w:eastAsia="Arial" w:hAnsi="Arial"/>
          <w:sz w:val="18"/>
          <w:szCs w:val="18"/>
          <w:color w:val="auto"/>
        </w:rPr>
      </w:pPr>
    </w:p>
    <w:p>
      <w:pPr>
        <w:jc w:val="both"/>
        <w:ind w:left="328" w:hanging="328"/>
        <w:spacing w:after="0" w:line="255" w:lineRule="auto"/>
        <w:tabs>
          <w:tab w:leader="none" w:pos="328" w:val="left"/>
        </w:tabs>
        <w:numPr>
          <w:ilvl w:val="0"/>
          <w:numId w:val="57"/>
        </w:numPr>
        <w:rPr>
          <w:rFonts w:ascii="Arial" w:cs="Arial" w:eastAsia="Arial" w:hAnsi="Arial"/>
          <w:sz w:val="19"/>
          <w:szCs w:val="19"/>
          <w:color w:val="auto"/>
        </w:rPr>
      </w:pPr>
      <w:r>
        <w:rPr>
          <w:rFonts w:ascii="Arial" w:cs="Arial" w:eastAsia="Arial" w:hAnsi="Arial"/>
          <w:sz w:val="19"/>
          <w:szCs w:val="19"/>
          <w:color w:val="auto"/>
        </w:rPr>
        <w:t>With respect to any particular series of shares of Preferred Stock registered pursuant to the Registration Statement, when (i) the issuance and terms of the shares of Preferred Stock, the terms of the offering thereof and related matters, including the adoption of a certificate of designation relating to such Preferred Stock conforming to the Company’s Restated Certificate and Bylaws and the Delaware General Corporation Law (a “</w:t>
      </w:r>
      <w:r>
        <w:rPr>
          <w:rFonts w:ascii="Arial" w:cs="Arial" w:eastAsia="Arial" w:hAnsi="Arial"/>
          <w:sz w:val="19"/>
          <w:szCs w:val="19"/>
          <w:b w:val="1"/>
          <w:bCs w:val="1"/>
          <w:i w:val="1"/>
          <w:iCs w:val="1"/>
          <w:color w:val="auto"/>
        </w:rPr>
        <w:t>Certificate</w:t>
      </w:r>
      <w:r>
        <w:rPr>
          <w:rFonts w:ascii="Arial" w:cs="Arial" w:eastAsia="Arial" w:hAnsi="Arial"/>
          <w:sz w:val="19"/>
          <w:szCs w:val="19"/>
          <w:color w:val="auto"/>
        </w:rPr>
        <w:t>”) and the filing of the Certificate with the Delaware Secretary of State, have been duly authorized by appropriate corporate action of the Board and, if required, the stockholders of the Company and (ii) if required, certificates representing the shares of Preferred Stock have been duly executed, countersigned, registered and delivered either (a)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(b) upon conversion or exercise of any other security of the Company, in accordance with the terms of such security or the instrument governing such security providing for such conversion or exercise as approved by the Board, for the consideration approved by the Board (not less than the par value of the Preferred Stock), then such shares of Preferred Stock will be validly issued, fully paid and nonassessable.</w:t>
      </w:r>
    </w:p>
    <w:p>
      <w:pPr>
        <w:spacing w:after="0" w:line="198" w:lineRule="exact"/>
        <w:rPr>
          <w:rFonts w:ascii="Arial" w:cs="Arial" w:eastAsia="Arial" w:hAnsi="Arial"/>
          <w:sz w:val="19"/>
          <w:szCs w:val="19"/>
          <w:color w:val="auto"/>
        </w:rPr>
      </w:pPr>
    </w:p>
    <w:p>
      <w:pPr>
        <w:jc w:val="both"/>
        <w:ind w:left="328" w:hanging="328"/>
        <w:spacing w:after="0" w:line="274" w:lineRule="auto"/>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any Warrants registered pursuant to the Registration Statement, when (i) the issuance and terms of such Warrants, the terms, execution and delivery of the warrant agreement relating to the Warrants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the terms of the offering thereof and related matters have been duly authorized by appropriate corporate action of the Board and, if required, the stockholders of the Company, (ii) the Warrant Agreement has been duly authorized and validly executed and delivered, and (iii) such Warrants have been duly executed, issued and delivered by duly authorized officers of the Company in accordance with the provisions of the applicable Warrant Agreement and the applicable definitive purchase, underwriting or similar agreement approved by the Board, upon payment of the consideration therefor provided for therein, such Warrants will constitute valid and binding obligations of the Company.</w:t>
      </w:r>
    </w:p>
    <w:p>
      <w:pPr>
        <w:sectPr>
          <w:pgSz w:w="11900" w:h="16838" w:orient="portrait"/>
          <w:cols w:equalWidth="0" w:num="1">
            <w:col w:w="11088"/>
          </w:cols>
          <w:pgMar w:left="572" w:top="379" w:right="239" w:bottom="1440" w:gutter="0" w:footer="0" w:header="0"/>
        </w:sectPr>
      </w:pPr>
    </w:p>
    <w:bookmarkStart w:id="60" w:name="page61"/>
    <w:bookmarkEnd w:id="60"/>
    <w:p>
      <w:pPr>
        <w:jc w:val="both"/>
        <w:ind w:left="660" w:hanging="328"/>
        <w:spacing w:after="0" w:line="27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any Subscription Rights registered pursuant to the Registration Statement, when (i) the issuance and terms of such Subscription Rights, the terms, execution and delivery of the subscription rights agreement relating to the Subscription Rights (“</w:t>
      </w:r>
      <w:r>
        <w:rPr>
          <w:rFonts w:ascii="Arial" w:cs="Arial" w:eastAsia="Arial" w:hAnsi="Arial"/>
          <w:sz w:val="18"/>
          <w:szCs w:val="18"/>
          <w:b w:val="1"/>
          <w:bCs w:val="1"/>
          <w:i w:val="1"/>
          <w:iCs w:val="1"/>
          <w:color w:val="auto"/>
        </w:rPr>
        <w:t>Subscription Rights Agreement</w:t>
      </w:r>
      <w:r>
        <w:rPr>
          <w:rFonts w:ascii="Arial" w:cs="Arial" w:eastAsia="Arial" w:hAnsi="Arial"/>
          <w:sz w:val="18"/>
          <w:szCs w:val="18"/>
          <w:color w:val="auto"/>
        </w:rPr>
        <w:t>”), the terms of the offering thereof and related matters have been duly authorized by appropriate corporate action of the Board and, if required, the stockholders of the Company, (ii) the Subscription Rights Agreement has been duly authorized and validly executed and delivered, and (iii) such Subscription Rights have been duly executed, issued and delivered by duly authorized officers of the Company in accordance with the provisions of the applicable Subscription Rights Agreement and the applicable definitive purchase, underwriting or similar agreement approved by the Board, upon payment of the consideration therefor provided for therein, such Subscription Rights will constitute valid and binding obligations of the Company.</w:t>
      </w:r>
    </w:p>
    <w:p>
      <w:pPr>
        <w:spacing w:after="0" w:line="18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any Units registered pursuant to the Registration Statement, when (i) the conditions outlined in the immediately preceding paragraphs (2) through (6) that apply to the Securities that make up such Units are all met, (ii) the issuance and terms of such Units, the terms, execution and delivery of the unit agreement relating to the Units (“</w:t>
      </w:r>
      <w:r>
        <w:rPr>
          <w:rFonts w:ascii="Arial" w:cs="Arial" w:eastAsia="Arial" w:hAnsi="Arial"/>
          <w:sz w:val="18"/>
          <w:szCs w:val="18"/>
          <w:b w:val="1"/>
          <w:bCs w:val="1"/>
          <w:i w:val="1"/>
          <w:iCs w:val="1"/>
          <w:color w:val="auto"/>
        </w:rPr>
        <w:t>Unit Agreement</w:t>
      </w:r>
      <w:r>
        <w:rPr>
          <w:rFonts w:ascii="Arial" w:cs="Arial" w:eastAsia="Arial" w:hAnsi="Arial"/>
          <w:sz w:val="18"/>
          <w:szCs w:val="18"/>
          <w:color w:val="auto"/>
        </w:rPr>
        <w:t>”), the terms of the offering thereof and related matters have been duly authorized by appropriate corporate action of the Board and, if required, the stockholders of the Company, (iii) the Unit Agreement has been duly authorized and validly executed and delivered, and (iv) such Units have been duly executed, issued and delivered by duly authorized officers of the Company in accordance with the provisions of the applicable Unit Agreement and the applicable definitive purchase, underwriting or similar agreement approved by the Board, upon payment of the consideration therefor provided for therein, such Units will constitute valid and binding obligations of the Company.</w:t>
      </w:r>
    </w:p>
    <w:p>
      <w:pPr>
        <w:spacing w:after="0" w:line="183"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We consent to the use of this opinion as an exhibit to the Registration Statement and further consent to all references to us, if any, in the Registration Statement, the prospectus constituting a part thereof and any amendments thereto.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[Concluding Paragraph Follows on Next Page]</w:t>
      </w:r>
    </w:p>
    <w:p>
      <w:pPr>
        <w:sectPr>
          <w:pgSz w:w="11900" w:h="16838" w:orient="portrait"/>
          <w:cols w:equalWidth="0" w:num="1">
            <w:col w:w="11420"/>
          </w:cols>
          <w:pgMar w:left="240" w:top="595" w:right="239" w:bottom="1440" w:gutter="0" w:footer="0" w:header="0"/>
        </w:sectPr>
      </w:pPr>
    </w:p>
    <w:bookmarkStart w:id="61" w:name="page62"/>
    <w:bookmarkEnd w:id="61"/>
    <w:p>
      <w:pPr>
        <w:jc w:val="both"/>
        <w:ind w:firstLine="648"/>
        <w:spacing w:after="0" w:line="244" w:lineRule="auto"/>
        <w:rPr>
          <w:sz w:val="20"/>
          <w:szCs w:val="20"/>
          <w:color w:val="auto"/>
        </w:rPr>
      </w:pPr>
      <w:r>
        <w:rPr>
          <w:rFonts w:ascii="Arial" w:cs="Arial" w:eastAsia="Arial" w:hAnsi="Arial"/>
          <w:sz w:val="20"/>
          <w:szCs w:val="20"/>
          <w:color w:val="auto"/>
        </w:rPr>
        <w:t>This opinion is intended solely for use in connection with the issuance and sale of the Securities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FENWICK &amp; WEST LLP</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Fenwick &amp; West LLP</w:t>
      </w:r>
    </w:p>
    <w:p>
      <w:pPr>
        <w:sectPr>
          <w:pgSz w:w="11900" w:h="16838" w:orient="portrait"/>
          <w:cols w:equalWidth="0" w:num="1">
            <w:col w:w="11420"/>
          </w:cols>
          <w:pgMar w:left="240" w:top="595" w:right="239" w:bottom="1440" w:gutter="0" w:footer="0" w:header="0"/>
        </w:sectPr>
      </w:pPr>
    </w:p>
    <w:bookmarkStart w:id="62" w:name="page63"/>
    <w:bookmarkEnd w:id="62"/>
    <w:tbl>
      <w:tblPr>
        <w:tblLayout w:type="fixed"/>
        <w:tblInd w:w="4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7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ANAPTYSBIO, INC.</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w w:val="92"/>
              </w:rPr>
              <w:t>Exhibit 12.1</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gridSpan w:val="6"/>
          </w:tcPr>
          <w:p>
            <w:pPr>
              <w:ind w:left="3880"/>
              <w:spacing w:after="0"/>
              <w:rPr>
                <w:sz w:val="20"/>
                <w:szCs w:val="20"/>
                <w:color w:val="auto"/>
              </w:rPr>
            </w:pPr>
            <w:r>
              <w:rPr>
                <w:rFonts w:ascii="Arial" w:cs="Arial" w:eastAsia="Arial" w:hAnsi="Arial"/>
                <w:sz w:val="16"/>
                <w:szCs w:val="16"/>
                <w:b w:val="1"/>
                <w:bCs w:val="1"/>
                <w:color w:val="auto"/>
                <w:w w:val="98"/>
              </w:rPr>
              <w:t>Computation of Ratio of Earnings to Fixed Charges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4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88"/>
              </w:rPr>
              <w:t>Year Ended December 31,</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92"/>
              </w:rPr>
              <w:t>Nine Months Ended</w:t>
            </w:r>
          </w:p>
        </w:tc>
        <w:tc>
          <w:tcPr>
            <w:tcW w:w="0" w:type="dxa"/>
            <w:vAlign w:val="bottom"/>
          </w:tcPr>
          <w:p>
            <w:pPr>
              <w:spacing w:after="0"/>
              <w:rPr>
                <w:sz w:val="1"/>
                <w:szCs w:val="1"/>
                <w:color w:val="auto"/>
              </w:rPr>
            </w:pPr>
          </w:p>
        </w:tc>
      </w:tr>
      <w:tr>
        <w:trPr>
          <w:trHeight w:val="90"/>
        </w:trPr>
        <w:tc>
          <w:tcPr>
            <w:tcW w:w="4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421"/>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1"/>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21"/>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2"/>
              </w:rPr>
              <w:t>September 30, 2017</w:t>
            </w: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Fixed charges: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17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1,281</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20"/>
                <w:szCs w:val="20"/>
                <w:color w:val="auto"/>
              </w:rPr>
            </w:pPr>
          </w:p>
        </w:tc>
        <w:tc>
          <w:tcPr>
            <w:tcW w:w="26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5"/>
              </w:rPr>
              <w:t>Estimated portion of rental expense which represents interest factor</w:t>
            </w:r>
          </w:p>
        </w:tc>
        <w:tc>
          <w:tcPr>
            <w:tcW w:w="1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fixed charges</w:t>
            </w:r>
          </w:p>
        </w:tc>
        <w:tc>
          <w:tcPr>
            <w:tcW w:w="13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1,311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fixed charges:</w:t>
            </w:r>
          </w:p>
        </w:tc>
        <w:tc>
          <w:tcPr>
            <w:tcW w:w="13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60"/>
              <w:spacing w:after="0"/>
              <w:rPr>
                <w:sz w:val="20"/>
                <w:szCs w:val="20"/>
                <w:color w:val="auto"/>
              </w:rPr>
            </w:pPr>
            <w:r>
              <w:rPr>
                <w:rFonts w:ascii="Arial" w:cs="Arial" w:eastAsia="Arial" w:hAnsi="Arial"/>
                <w:sz w:val="16"/>
                <w:szCs w:val="16"/>
                <w:color w:val="auto"/>
              </w:rPr>
              <w:t>Net loss</w:t>
            </w:r>
          </w:p>
        </w:tc>
        <w:tc>
          <w:tcPr>
            <w:tcW w:w="17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(5,405)</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3,532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(5,545)</w:t>
            </w:r>
          </w:p>
        </w:tc>
        <w:tc>
          <w:tcPr>
            <w:tcW w:w="100" w:type="dxa"/>
            <w:vAlign w:val="bottom"/>
          </w:tcPr>
          <w:p>
            <w:pPr>
              <w:spacing w:after="0"/>
              <w:rPr>
                <w:sz w:val="20"/>
                <w:szCs w:val="20"/>
                <w:color w:val="auto"/>
              </w:rPr>
            </w:pPr>
          </w:p>
        </w:tc>
        <w:tc>
          <w:tcPr>
            <w:tcW w:w="26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Fixed charges</w:t>
            </w:r>
          </w:p>
        </w:tc>
        <w:tc>
          <w:tcPr>
            <w:tcW w:w="1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earnings available for fixed charges</w:t>
            </w:r>
          </w:p>
        </w:tc>
        <w:tc>
          <w:tcPr>
            <w:tcW w:w="13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4,026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13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Earnings were inadequate to cover fixed charges for all periods presented.</w:t>
      </w:r>
    </w:p>
    <w:p>
      <w:pPr>
        <w:sectPr>
          <w:pgSz w:w="11900" w:h="16838" w:orient="portrait"/>
          <w:cols w:equalWidth="0" w:num="1">
            <w:col w:w="11420"/>
          </w:cols>
          <w:pgMar w:left="240" w:top="58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line="3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We consent to the use of our report incorporated by reference herein and to the reference to our firm under the heading “Experts” in the prospectus.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5, 2018</w:t>
      </w:r>
    </w:p>
    <w:sectPr>
      <w:pgSz w:w="11900" w:h="16838" w:orient="portrait"/>
      <w:cols w:equalWidth="0" w:num="1">
        <w:col w:w="11420"/>
      </w:cols>
      <w:pgMar w:left="240" w:top="8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lvl w:ilvl="1">
      <w:lvlJc w:val="left"/>
      <w:lvlText w:val="%2."/>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2A487CB0"/>
    <w:multiLevelType w:val="hybridMultilevel"/>
    <w:lvl w:ilvl="0">
      <w:lvlJc w:val="left"/>
      <w:lvlText w:val="(%1)"/>
      <w:numFmt w:val="lowerRoman"/>
      <w:start w:val="3"/>
    </w:lvl>
  </w:abstractNum>
  <w:abstractNum w:abstractNumId="28">
    <w:nsid w:val="1D4ED43B"/>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29">
    <w:nsid w:val="725A06F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0">
    <w:nsid w:val="2CD89A32"/>
    <w:multiLevelType w:val="hybridMultilevel"/>
    <w:lvl w:ilvl="0">
      <w:lvlJc w:val="left"/>
      <w:lvlText w:val="(%1)"/>
      <w:numFmt w:val="lowerLetter"/>
      <w:start w:val="3"/>
    </w:lvl>
    <w:lvl w:ilvl="1">
      <w:lvlJc w:val="left"/>
      <w:lvlText w:val="(%2)"/>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9"/>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4"/>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3"/>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decimal"/>
      <w:start w:val="1"/>
    </w:lvl>
    <w:lvl w:ilvl="1">
      <w:lvlJc w:val="left"/>
      <w:lvlText w:val="(%2)"/>
      <w:numFmt w:val="upperLetter"/>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lowerLetter"/>
      <w:start w:val="1"/>
    </w:lvl>
    <w:lvl w:ilvl="1">
      <w:lvlJc w:val="left"/>
      <w:lvlText w:val="(%2)"/>
      <w:numFmt w:val="decimal"/>
      <w:start w:val="1"/>
    </w:lvl>
  </w:abstractNum>
  <w:abstractNum w:abstractNumId="43">
    <w:nsid w:val="1BA026FA"/>
    <w:multiLevelType w:val="hybridMultilevel"/>
    <w:lvl w:ilvl="0">
      <w:lvlJc w:val="left"/>
      <w:lvlText w:val="(%1)"/>
      <w:numFmt w:val="lowerLetter"/>
      <w:start w:val="3"/>
    </w:lvl>
    <w:lvl w:ilvl="1">
      <w:lvlJc w:val="left"/>
      <w:lvlText w:val="(%2)"/>
      <w:numFmt w:val="decimal"/>
      <w:start w:val="1"/>
    </w:lvl>
  </w:abstractNum>
  <w:abstractNum w:abstractNumId="44">
    <w:nsid w:val="79A1DEAA"/>
    <w:multiLevelType w:val="hybridMultilevel"/>
    <w:lvl w:ilvl="0">
      <w:lvlJc w:val="left"/>
      <w:lvlText w:val="(%1)"/>
      <w:numFmt w:val="lowerLetter"/>
      <w:start w:val="1"/>
    </w:lvl>
    <w:lvl w:ilvl="1">
      <w:lvlJc w:val="left"/>
      <w:lvlText w:val="(%2)"/>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5"/>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5"/>
    </w:lvl>
  </w:abstractNum>
  <w:abstractNum w:abstractNumId="50">
    <w:nsid w:val="4F4EF005"/>
    <w:multiLevelType w:val="hybridMultilevel"/>
    <w:lvl w:ilvl="0">
      <w:lvlJc w:val="left"/>
      <w:lvlText w:val="(%1)"/>
      <w:numFmt w:val="lowerLetter"/>
      <w:start w:val="1"/>
    </w:lvl>
    <w:lvl w:ilvl="1">
      <w:lvlJc w:val="left"/>
      <w:lvlText w:val="(%2)"/>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2"/>
    </w:lvl>
  </w:abstractNum>
  <w:abstractNum w:abstractNumId="57">
    <w:nsid w:val="235BA86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eg"/><Relationship Id="rId17" Type="http://schemas.openxmlformats.org/officeDocument/2006/relationships/hyperlink" Target="http://www.sec.gov/Archives/edgar/data/1370053/000137005317000005/anab-033117x10qxexx31.htm" TargetMode="External"/><Relationship Id="rId18" Type="http://schemas.openxmlformats.org/officeDocument/2006/relationships/hyperlink" Target="http://www.sec.gov/Archives/edgar/data/1370053/000119312515315918/d942137dex34.htm" TargetMode="External"/><Relationship Id="rId19" Type="http://schemas.openxmlformats.org/officeDocument/2006/relationships/hyperlink" Target="http://www.sec.gov/Archives/edgar/data/1370053/000119312515315918/d9421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2019-12-07T05:10:07Z</dcterms:created>
  <dcterms:modified xsi:type="dcterms:W3CDTF">2019-12-07T05:10:07Z</dcterms:modified>
</cp:coreProperties>
</file>