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257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578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Suria Hamza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CEO</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Arial" w:cs="Arial" w:eastAsia="Arial" w:hAnsi="Arial"/>
                <w:sz w:val="17"/>
                <w:szCs w:val="17"/>
                <w:color w:val="0000FF"/>
              </w:rPr>
              <w:t>10/26/2021</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2"/>
              <w:spacing w:after="0"/>
              <w:rPr>
                <w:sz w:val="20"/>
                <w:szCs w:val="20"/>
                <w:color w:val="auto"/>
              </w:rPr>
            </w:pPr>
            <w:r>
              <w:rPr>
                <w:rFonts w:ascii="Arial" w:cs="Arial" w:eastAsia="Arial" w:hAnsi="Arial"/>
                <w:sz w:val="13"/>
                <w:szCs w:val="13"/>
                <w:color w:val="0000FF"/>
                <w:w w:val="91"/>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w w:val="92"/>
              </w:rPr>
              <w:t>15,993</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1.12</w:t>
            </w: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83,629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10/26/2021</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2"/>
              </w:rPr>
              <w:t>15,993</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67,636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15,993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73,291</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1.12</w:t>
            </w:r>
          </w:p>
        </w:tc>
        <w:tc>
          <w:tcPr>
            <w:tcW w:w="1040" w:type="dxa"/>
            <w:vAlign w:val="bottom"/>
          </w:tcPr>
          <w:p>
            <w:pPr>
              <w:jc w:val="right"/>
              <w:ind w:right="140"/>
              <w:spacing w:after="0" w:line="138" w:lineRule="exact"/>
              <w:rPr>
                <w:sz w:val="20"/>
                <w:szCs w:val="20"/>
                <w:color w:val="auto"/>
              </w:rPr>
            </w:pPr>
            <w:r>
              <w:rPr>
                <w:rFonts w:ascii="Arial" w:cs="Arial" w:eastAsia="Arial" w:hAnsi="Arial"/>
                <w:sz w:val="13"/>
                <w:szCs w:val="13"/>
                <w:color w:val="0000FF"/>
              </w:rPr>
              <w:t>10/26/2021</w:t>
            </w:r>
          </w:p>
        </w:tc>
        <w:tc>
          <w:tcPr>
            <w:tcW w:w="1140" w:type="dxa"/>
            <w:vAlign w:val="bottom"/>
          </w:tcPr>
          <w:p>
            <w:pPr>
              <w:spacing w:after="0"/>
              <w:rPr>
                <w:sz w:val="11"/>
                <w:szCs w:val="11"/>
                <w:color w:val="auto"/>
              </w:rPr>
            </w:pPr>
          </w:p>
        </w:tc>
        <w:tc>
          <w:tcPr>
            <w:tcW w:w="74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900" w:type="dxa"/>
            <w:vAlign w:val="bottom"/>
          </w:tcPr>
          <w:p>
            <w:pPr>
              <w:ind w:left="420"/>
              <w:spacing w:after="0" w:line="138" w:lineRule="exact"/>
              <w:rPr>
                <w:sz w:val="20"/>
                <w:szCs w:val="20"/>
                <w:color w:val="auto"/>
              </w:rPr>
            </w:pPr>
            <w:r>
              <w:rPr>
                <w:rFonts w:ascii="Arial" w:cs="Arial" w:eastAsia="Arial" w:hAnsi="Arial"/>
                <w:sz w:val="13"/>
                <w:szCs w:val="13"/>
                <w:color w:val="0000FF"/>
              </w:rPr>
              <w:t>15,993</w:t>
            </w: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38" w:lineRule="exact"/>
              <w:rPr>
                <w:sz w:val="20"/>
                <w:szCs w:val="20"/>
                <w:color w:val="auto"/>
              </w:rPr>
            </w:pPr>
            <w:r>
              <w:rPr>
                <w:rFonts w:ascii="Arial" w:cs="Arial" w:eastAsia="Arial" w:hAnsi="Arial"/>
                <w:sz w:val="13"/>
                <w:szCs w:val="13"/>
                <w:color w:val="0000FF"/>
                <w:w w:val="98"/>
              </w:rPr>
              <w:t>01/31/2022</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continue"/>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10b5-1 trading plan adopted by the reporting person.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grant was issued on January 31, 2012 and became fully vested as of January 31, 2016, and is exercisable until its expiration date of January 31, 2022.</w:t>
      </w:r>
    </w:p>
    <w:p>
      <w:pPr>
        <w:spacing w:after="0" w:line="43" w:lineRule="exact"/>
        <w:rPr>
          <w:rFonts w:ascii="Arial" w:cs="Arial" w:eastAsia="Arial" w:hAnsi="Arial"/>
          <w:sz w:val="13"/>
          <w:szCs w:val="13"/>
          <w:color w:val="008000"/>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73,291 shares of common stock as set forth in Table II above, the Reporting Person also holds (i) additional options to purchase up to an aggregate of 1,139,254 shares of common stock, which options vest according to their terms, and (ii) 67,636 shares of common stock held 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Eric Loumeau, Attorney-in-  </w:t>
      </w:r>
      <w:r>
        <w:rPr>
          <w:rFonts w:ascii="Arial" w:cs="Arial" w:eastAsia="Arial" w:hAnsi="Arial"/>
          <w:sz w:val="33"/>
          <w:szCs w:val="33"/>
          <w:color w:val="0000FF"/>
          <w:vertAlign w:val="subscript"/>
        </w:rPr>
        <w:t>10/28/2021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2021-10-28T18:56:22Z</dcterms:created>
  <dcterms:modified xsi:type="dcterms:W3CDTF">2021-10-28T18:56:22Z</dcterms:modified>
</cp:coreProperties>
</file>