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left"/>
        <w:tblInd w:w="0" w:type="dxa"/>
        <w:tblLayout w:type="fixed"/>
        <w:tblCellMar>
          <w:top w:w="28" w:type="dxa"/>
          <w:left w:w="28" w:type="dxa"/>
          <w:bottom w:w="28" w:type="dxa"/>
          <w:right w:w="28" w:type="dxa"/>
        </w:tblCellMar>
      </w:tblPr>
      <w:tblGrid>
        <w:gridCol w:w="124"/>
        <w:gridCol w:w="109"/>
        <w:gridCol w:w="109"/>
        <w:gridCol w:w="2659"/>
        <w:gridCol w:w="2659"/>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w:t>
      </w:r>
      <w:r>
        <w:rPr>
          <w:rFonts w:ascii="Times New Roman;sans-serif" w:hAnsi="Times New Roman;sans-serif"/>
          <w:b/>
          <w:color w:val="000000"/>
          <w:sz w:val="20"/>
        </w:rPr>
        <w:t>to </w:t>
      </w:r>
      <w:r>
        <w:rPr>
          <w:color w:val="000000"/>
          <w:u w:val="single"/>
        </w:rPr>
        <w:t>                     </w:t>
      </w:r>
      <w:r>
        <w:rPr>
          <w:rFonts w:ascii="Times New Roman;sans-serif" w:hAnsi="Times New Roman;sans-serif"/>
          <w:b/>
          <w:color w:val="000000"/>
          <w:sz w:val="2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001-37985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6"/>
        </w:rPr>
        <w:t>ANAPTYSBIO,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20-3828755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10770 Wateridge Circle, Suite 210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Diego, CA 92121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and zip code)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(858) 362-6295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04" w:type="dxa"/>
        <w:jc w:val="center"/>
        <w:tblInd w:w="0" w:type="dxa"/>
        <w:tblLayout w:type="fixed"/>
        <w:tblCellMar>
          <w:top w:w="28" w:type="dxa"/>
          <w:left w:w="28" w:type="dxa"/>
          <w:bottom w:w="28" w:type="dxa"/>
          <w:right w:w="28" w:type="dxa"/>
        </w:tblCellMar>
      </w:tblPr>
      <w:tblGrid>
        <w:gridCol w:w="1043"/>
        <w:gridCol w:w="913"/>
        <w:gridCol w:w="924"/>
        <w:gridCol w:w="539"/>
        <w:gridCol w:w="539"/>
        <w:gridCol w:w="541"/>
        <w:gridCol w:w="1085"/>
        <w:gridCol w:w="1085"/>
        <w:gridCol w:w="153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20"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w:t>
      </w:r>
      <w:r>
        <w:rPr>
          <w:rFonts w:ascii="Times New Roman;sans-serif" w:hAnsi="Times New Roman;sans-serif"/>
          <w:b w:val="false"/>
          <w:color w:val="000000"/>
          <w:sz w:val="20"/>
        </w:rPr>
        <w:t>No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9, 2023, there were 26,487,240 shares of the Registrant’s Common Stock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AnaptysBio, Inc.</w:t>
      </w:r>
    </w:p>
    <w:p>
      <w:pPr>
        <w:pStyle w:val="TextBody"/>
        <w:bidi w:val="0"/>
        <w:spacing w:lineRule="auto" w:line="288" w:before="0" w:after="0"/>
        <w:jc w:val="center"/>
        <w:rPr/>
      </w:pPr>
      <w:r>
        <w:rPr>
          <w:rFonts w:ascii="Times New Roman;sans-serif" w:hAnsi="Times New Roman;sans-serif"/>
          <w:b/>
          <w:color w:val="000000"/>
          <w:sz w:val="24"/>
        </w:rPr>
        <w:t>Table of Contents</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2"/>
        <w:gridCol w:w="230"/>
        <w:gridCol w:w="230"/>
        <w:gridCol w:w="2775"/>
        <w:gridCol w:w="2775"/>
        <w:gridCol w:w="2779"/>
        <w:gridCol w:w="336"/>
        <w:gridCol w:w="336"/>
        <w:gridCol w:w="482"/>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Number</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13">
              <w:r>
                <w:rPr>
                  <w:rStyle w:val="InternetLink"/>
                  <w:rFonts w:ascii="Times New Roman;sans-serif" w:hAnsi="Times New Roman;sans-serif"/>
                  <w:b w:val="false"/>
                  <w:strike w:val="false"/>
                  <w:dstrike w:val="false"/>
                  <w:color w:val="0000FF"/>
                  <w:sz w:val="20"/>
                  <w:u w:val="none"/>
                  <w:effect w:val="none"/>
                </w:rPr>
                <w:t>Item 1.</w:t>
              </w:r>
            </w:hyperlink>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13">
              <w:r>
                <w:rPr>
                  <w:rStyle w:val="InternetLink"/>
                  <w:rFonts w:ascii="Times New Roman;sans-serif" w:hAnsi="Times New Roman;sans-serif"/>
                  <w:b w:val="false"/>
                  <w:color w:val="0000FF"/>
                  <w:sz w:val="20"/>
                  <w:u w:val="single"/>
                </w:rPr>
                <w:t>Consolidated Financial Statements (unaudited)</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13">
              <w:r>
                <w:rPr>
                  <w:rStyle w:val="InternetLink"/>
                  <w:rFonts w:ascii="Times New Roman;sans-serif" w:hAnsi="Times New Roman;sans-serif"/>
                  <w:b w:val="false"/>
                  <w:strike w:val="false"/>
                  <w:dstrike w:val="false"/>
                  <w:color w:val="0000FF"/>
                  <w:sz w:val="20"/>
                  <w:u w:val="none"/>
                  <w:effect w:val="none"/>
                </w:rPr>
                <w:t>1</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16">
              <w:r>
                <w:rPr>
                  <w:rStyle w:val="InternetLink"/>
                  <w:rFonts w:ascii="Times New Roman;sans-serif" w:hAnsi="Times New Roman;sans-serif"/>
                  <w:b w:val="false"/>
                  <w:color w:val="000080"/>
                  <w:sz w:val="20"/>
                  <w:u w:val="single"/>
                </w:rPr>
                <w:t xml:space="preserve">Consolidated Balance Sheets as of </w:t>
              </w:r>
            </w:hyperlink>
            <w:hyperlink w:anchor="i62f05ec4de4c468b95e612cf0596c008_16">
              <w:r>
                <w:rPr>
                  <w:rStyle w:val="InternetLink"/>
                  <w:rFonts w:ascii="Times New Roman;sans-serif" w:hAnsi="Times New Roman;sans-serif"/>
                  <w:b w:val="false"/>
                  <w:color w:val="000080"/>
                  <w:sz w:val="20"/>
                  <w:u w:val="single"/>
                </w:rPr>
                <w:t>March</w:t>
              </w:r>
            </w:hyperlink>
            <w:hyperlink w:anchor="i62f05ec4de4c468b95e612cf0596c008_16">
              <w:r>
                <w:rPr>
                  <w:rStyle w:val="InternetLink"/>
                  <w:rFonts w:ascii="Times New Roman;sans-serif" w:hAnsi="Times New Roman;sans-serif"/>
                  <w:b w:val="false"/>
                  <w:color w:val="000080"/>
                  <w:sz w:val="20"/>
                  <w:u w:val="single"/>
                </w:rPr>
                <w:t xml:space="preserve"> 3</w:t>
              </w:r>
            </w:hyperlink>
            <w:hyperlink w:anchor="i62f05ec4de4c468b95e612cf0596c008_16">
              <w:r>
                <w:rPr>
                  <w:rStyle w:val="InternetLink"/>
                  <w:rFonts w:ascii="Times New Roman;sans-serif" w:hAnsi="Times New Roman;sans-serif"/>
                  <w:b w:val="false"/>
                  <w:color w:val="000080"/>
                  <w:sz w:val="20"/>
                  <w:u w:val="single"/>
                </w:rPr>
                <w:t>1</w:t>
              </w:r>
            </w:hyperlink>
            <w:hyperlink w:anchor="i62f05ec4de4c468b95e612cf0596c008_16">
              <w:r>
                <w:rPr>
                  <w:rStyle w:val="InternetLink"/>
                  <w:rFonts w:ascii="Times New Roman;sans-serif" w:hAnsi="Times New Roman;sans-serif"/>
                  <w:b w:val="false"/>
                  <w:color w:val="000080"/>
                  <w:sz w:val="20"/>
                  <w:u w:val="single"/>
                </w:rPr>
                <w:t>, 202</w:t>
              </w:r>
            </w:hyperlink>
            <w:hyperlink w:anchor="i62f05ec4de4c468b95e612cf0596c008_16">
              <w:r>
                <w:rPr>
                  <w:rStyle w:val="InternetLink"/>
                  <w:rFonts w:ascii="Times New Roman;sans-serif" w:hAnsi="Times New Roman;sans-serif"/>
                  <w:b w:val="false"/>
                  <w:color w:val="000080"/>
                  <w:sz w:val="20"/>
                  <w:u w:val="single"/>
                </w:rPr>
                <w:t>3</w:t>
              </w:r>
            </w:hyperlink>
            <w:hyperlink w:anchor="i62f05ec4de4c468b95e612cf0596c008_16">
              <w:r>
                <w:rPr>
                  <w:rStyle w:val="InternetLink"/>
                  <w:rFonts w:ascii="Times New Roman;sans-serif" w:hAnsi="Times New Roman;sans-serif"/>
                  <w:b w:val="false"/>
                  <w:color w:val="000080"/>
                  <w:sz w:val="20"/>
                  <w:u w:val="single"/>
                </w:rPr>
                <w:t xml:space="preserve"> and December 31, 20</w:t>
              </w:r>
            </w:hyperlink>
            <w:hyperlink w:anchor="i62f05ec4de4c468b95e612cf0596c008_16">
              <w:r>
                <w:rPr>
                  <w:rStyle w:val="InternetLink"/>
                  <w:rFonts w:ascii="Times New Roman;sans-serif" w:hAnsi="Times New Roman;sans-serif"/>
                  <w:b w:val="false"/>
                  <w:color w:val="000080"/>
                  <w:sz w:val="20"/>
                  <w:u w:val="single"/>
                </w:rPr>
                <w:t>2</w:t>
              </w:r>
            </w:hyperlink>
            <w:hyperlink w:anchor="i62f05ec4de4c468b95e612cf0596c008_16">
              <w:r>
                <w:rPr>
                  <w:rStyle w:val="InternetLink"/>
                  <w:rFonts w:ascii="Times New Roman;sans-serif" w:hAnsi="Times New Roman;sans-serif"/>
                  <w:b w:val="false"/>
                  <w:color w:val="000080"/>
                  <w:sz w:val="20"/>
                  <w:u w:val="single"/>
                </w:rPr>
                <w:t>2</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16">
              <w:r>
                <w:rPr>
                  <w:rStyle w:val="InternetLink"/>
                  <w:rFonts w:ascii="Times New Roman;sans-serif" w:hAnsi="Times New Roman;sans-serif"/>
                  <w:b w:val="false"/>
                  <w:strike w:val="false"/>
                  <w:dstrike w:val="false"/>
                  <w:color w:val="0000FF"/>
                  <w:sz w:val="20"/>
                  <w:u w:val="none"/>
                  <w:effect w:val="none"/>
                </w:rPr>
                <w:t>1</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19">
              <w:r>
                <w:rPr>
                  <w:rStyle w:val="InternetLink"/>
                  <w:rFonts w:ascii="Times New Roman;sans-serif" w:hAnsi="Times New Roman;sans-serif"/>
                  <w:b w:val="false"/>
                  <w:color w:val="000080"/>
                  <w:sz w:val="20"/>
                  <w:u w:val="single"/>
                </w:rPr>
                <w:t>Consolidated Statements of Operations and Comprehensive Loss for the Three</w:t>
              </w:r>
            </w:hyperlink>
            <w:hyperlink w:anchor="i62f05ec4de4c468b95e612cf0596c008_19">
              <w:r>
                <w:rPr>
                  <w:rStyle w:val="InternetLink"/>
                  <w:rFonts w:ascii="Times New Roman;sans-serif" w:hAnsi="Times New Roman;sans-serif"/>
                  <w:b w:val="false"/>
                  <w:color w:val="000080"/>
                  <w:sz w:val="20"/>
                  <w:u w:val="single"/>
                </w:rPr>
                <w:t xml:space="preserve"> Months Ended </w:t>
              </w:r>
            </w:hyperlink>
            <w:hyperlink w:anchor="i62f05ec4de4c468b95e612cf0596c008_19">
              <w:r>
                <w:rPr>
                  <w:rStyle w:val="InternetLink"/>
                  <w:rFonts w:ascii="Times New Roman;sans-serif" w:hAnsi="Times New Roman;sans-serif"/>
                  <w:b w:val="false"/>
                  <w:color w:val="000080"/>
                  <w:sz w:val="20"/>
                  <w:u w:val="single"/>
                </w:rPr>
                <w:t>March</w:t>
              </w:r>
            </w:hyperlink>
            <w:hyperlink w:anchor="i62f05ec4de4c468b95e612cf0596c008_19">
              <w:r>
                <w:rPr>
                  <w:rStyle w:val="InternetLink"/>
                  <w:rFonts w:ascii="Times New Roman;sans-serif" w:hAnsi="Times New Roman;sans-serif"/>
                  <w:b w:val="false"/>
                  <w:color w:val="000080"/>
                  <w:sz w:val="20"/>
                  <w:u w:val="single"/>
                </w:rPr>
                <w:t xml:space="preserve"> 3</w:t>
              </w:r>
            </w:hyperlink>
            <w:hyperlink w:anchor="i62f05ec4de4c468b95e612cf0596c008_19">
              <w:r>
                <w:rPr>
                  <w:rStyle w:val="InternetLink"/>
                  <w:rFonts w:ascii="Times New Roman;sans-serif" w:hAnsi="Times New Roman;sans-serif"/>
                  <w:b w:val="false"/>
                  <w:color w:val="000080"/>
                  <w:sz w:val="20"/>
                  <w:u w:val="single"/>
                </w:rPr>
                <w:t>1</w:t>
              </w:r>
            </w:hyperlink>
            <w:hyperlink w:anchor="i62f05ec4de4c468b95e612cf0596c008_19">
              <w:r>
                <w:rPr>
                  <w:rStyle w:val="InternetLink"/>
                  <w:rFonts w:ascii="Times New Roman;sans-serif" w:hAnsi="Times New Roman;sans-serif"/>
                  <w:b w:val="false"/>
                  <w:color w:val="000080"/>
                  <w:sz w:val="20"/>
                  <w:u w:val="single"/>
                </w:rPr>
                <w:t>, 202</w:t>
              </w:r>
            </w:hyperlink>
            <w:hyperlink w:anchor="i62f05ec4de4c468b95e612cf0596c008_19">
              <w:r>
                <w:rPr>
                  <w:rStyle w:val="InternetLink"/>
                  <w:rFonts w:ascii="Times New Roman;sans-serif" w:hAnsi="Times New Roman;sans-serif"/>
                  <w:b w:val="false"/>
                  <w:color w:val="000080"/>
                  <w:sz w:val="20"/>
                  <w:u w:val="single"/>
                </w:rPr>
                <w:t>3</w:t>
              </w:r>
            </w:hyperlink>
            <w:hyperlink w:anchor="i62f05ec4de4c468b95e612cf0596c008_19">
              <w:r>
                <w:rPr>
                  <w:rStyle w:val="InternetLink"/>
                  <w:rFonts w:ascii="Times New Roman;sans-serif" w:hAnsi="Times New Roman;sans-serif"/>
                  <w:b w:val="false"/>
                  <w:color w:val="000080"/>
                  <w:sz w:val="20"/>
                  <w:u w:val="single"/>
                </w:rPr>
                <w:t xml:space="preserve"> and 202</w:t>
              </w:r>
            </w:hyperlink>
            <w:hyperlink w:anchor="i62f05ec4de4c468b95e612cf0596c008_19">
              <w:r>
                <w:rPr>
                  <w:rStyle w:val="InternetLink"/>
                  <w:rFonts w:ascii="Times New Roman;sans-serif" w:hAnsi="Times New Roman;sans-serif"/>
                  <w:b w:val="false"/>
                  <w:color w:val="000080"/>
                  <w:sz w:val="20"/>
                  <w:u w:val="single"/>
                </w:rPr>
                <w:t>2</w:t>
              </w:r>
            </w:hyperlink>
            <w:hyperlink w:anchor="i62f05ec4de4c468b95e612cf0596c008_19">
              <w:r>
                <w:rPr>
                  <w:rStyle w:val="InternetLink"/>
                  <w:rFonts w:ascii="Times New Roman;sans-serif" w:hAnsi="Times New Roman;sans-serif"/>
                  <w:b w:val="false"/>
                  <w:color w:val="000080"/>
                  <w:sz w:val="20"/>
                  <w:u w:val="single"/>
                </w:rPr>
                <w:t xml:space="preserve"> </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19">
              <w:r>
                <w:rPr>
                  <w:rStyle w:val="InternetLink"/>
                  <w:rFonts w:ascii="Times New Roman;sans-serif" w:hAnsi="Times New Roman;sans-serif"/>
                  <w:b w:val="false"/>
                  <w:strike w:val="false"/>
                  <w:dstrike w:val="false"/>
                  <w:color w:val="0000FF"/>
                  <w:sz w:val="20"/>
                  <w:u w:val="none"/>
                  <w:effect w:val="none"/>
                </w:rPr>
                <w:t>2</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22">
              <w:r>
                <w:rPr>
                  <w:rStyle w:val="InternetLink"/>
                  <w:rFonts w:ascii="Times New Roman;sans-serif" w:hAnsi="Times New Roman;sans-serif"/>
                  <w:b w:val="false"/>
                  <w:color w:val="000080"/>
                  <w:sz w:val="20"/>
                  <w:u w:val="single"/>
                </w:rPr>
                <w:t>Consolidated Statements of Stockholders' Equity for the Three</w:t>
              </w:r>
            </w:hyperlink>
            <w:hyperlink w:anchor="i62f05ec4de4c468b95e612cf0596c008_22">
              <w:r>
                <w:rPr>
                  <w:rStyle w:val="InternetLink"/>
                  <w:rFonts w:ascii="Times New Roman;sans-serif" w:hAnsi="Times New Roman;sans-serif"/>
                  <w:b w:val="false"/>
                  <w:color w:val="000080"/>
                  <w:sz w:val="20"/>
                  <w:u w:val="single"/>
                </w:rPr>
                <w:t xml:space="preserve"> Months Ended </w:t>
              </w:r>
            </w:hyperlink>
            <w:hyperlink w:anchor="i62f05ec4de4c468b95e612cf0596c008_22">
              <w:r>
                <w:rPr>
                  <w:rStyle w:val="InternetLink"/>
                  <w:rFonts w:ascii="Times New Roman;sans-serif" w:hAnsi="Times New Roman;sans-serif"/>
                  <w:b w:val="false"/>
                  <w:color w:val="000080"/>
                  <w:sz w:val="20"/>
                  <w:u w:val="single"/>
                </w:rPr>
                <w:t>March</w:t>
              </w:r>
            </w:hyperlink>
            <w:hyperlink w:anchor="i62f05ec4de4c468b95e612cf0596c008_22">
              <w:r>
                <w:rPr>
                  <w:rStyle w:val="InternetLink"/>
                  <w:rFonts w:ascii="Times New Roman;sans-serif" w:hAnsi="Times New Roman;sans-serif"/>
                  <w:b w:val="false"/>
                  <w:color w:val="000080"/>
                  <w:sz w:val="20"/>
                  <w:u w:val="single"/>
                </w:rPr>
                <w:t xml:space="preserve"> 3</w:t>
              </w:r>
            </w:hyperlink>
            <w:hyperlink w:anchor="i62f05ec4de4c468b95e612cf0596c008_22">
              <w:r>
                <w:rPr>
                  <w:rStyle w:val="InternetLink"/>
                  <w:rFonts w:ascii="Times New Roman;sans-serif" w:hAnsi="Times New Roman;sans-serif"/>
                  <w:b w:val="false"/>
                  <w:color w:val="000080"/>
                  <w:sz w:val="20"/>
                  <w:u w:val="single"/>
                </w:rPr>
                <w:t>1</w:t>
              </w:r>
            </w:hyperlink>
            <w:hyperlink w:anchor="i62f05ec4de4c468b95e612cf0596c008_22">
              <w:r>
                <w:rPr>
                  <w:rStyle w:val="InternetLink"/>
                  <w:rFonts w:ascii="Times New Roman;sans-serif" w:hAnsi="Times New Roman;sans-serif"/>
                  <w:b w:val="false"/>
                  <w:color w:val="000080"/>
                  <w:sz w:val="20"/>
                  <w:u w:val="single"/>
                </w:rPr>
                <w:t>, 20</w:t>
              </w:r>
            </w:hyperlink>
            <w:hyperlink w:anchor="i62f05ec4de4c468b95e612cf0596c008_22">
              <w:r>
                <w:rPr>
                  <w:rStyle w:val="InternetLink"/>
                  <w:rFonts w:ascii="Times New Roman;sans-serif" w:hAnsi="Times New Roman;sans-serif"/>
                  <w:b w:val="false"/>
                  <w:color w:val="000080"/>
                  <w:sz w:val="20"/>
                  <w:u w:val="single"/>
                </w:rPr>
                <w:t>2</w:t>
              </w:r>
            </w:hyperlink>
            <w:hyperlink w:anchor="i62f05ec4de4c468b95e612cf0596c008_22">
              <w:r>
                <w:rPr>
                  <w:rStyle w:val="InternetLink"/>
                  <w:rFonts w:ascii="Times New Roman;sans-serif" w:hAnsi="Times New Roman;sans-serif"/>
                  <w:b w:val="false"/>
                  <w:color w:val="000080"/>
                  <w:sz w:val="20"/>
                  <w:u w:val="single"/>
                </w:rPr>
                <w:t>3</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22">
              <w:r>
                <w:rPr>
                  <w:rStyle w:val="InternetLink"/>
                  <w:rFonts w:ascii="Times New Roman;sans-serif" w:hAnsi="Times New Roman;sans-serif"/>
                  <w:b w:val="false"/>
                  <w:strike w:val="false"/>
                  <w:dstrike w:val="false"/>
                  <w:color w:val="0000FF"/>
                  <w:sz w:val="20"/>
                  <w:u w:val="none"/>
                  <w:effect w:val="none"/>
                </w:rPr>
                <w:t>3</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25">
              <w:r>
                <w:rPr>
                  <w:rStyle w:val="InternetLink"/>
                  <w:rFonts w:ascii="Times New Roman;sans-serif" w:hAnsi="Times New Roman;sans-serif"/>
                  <w:b w:val="false"/>
                  <w:color w:val="000080"/>
                  <w:sz w:val="20"/>
                  <w:u w:val="single"/>
                </w:rPr>
                <w:t>Consolidated Statements of Stockholders’ Equity for the Three</w:t>
              </w:r>
            </w:hyperlink>
            <w:hyperlink w:anchor="i62f05ec4de4c468b95e612cf0596c008_25">
              <w:r>
                <w:rPr>
                  <w:rStyle w:val="InternetLink"/>
                  <w:rFonts w:ascii="Times New Roman;sans-serif" w:hAnsi="Times New Roman;sans-serif"/>
                  <w:b w:val="false"/>
                  <w:color w:val="000080"/>
                  <w:sz w:val="20"/>
                  <w:u w:val="single"/>
                </w:rPr>
                <w:t xml:space="preserve"> Months</w:t>
              </w:r>
            </w:hyperlink>
            <w:hyperlink w:anchor="i62f05ec4de4c468b95e612cf0596c008_25">
              <w:r>
                <w:rPr>
                  <w:rStyle w:val="InternetLink"/>
                  <w:rFonts w:ascii="Times New Roman;sans-serif" w:hAnsi="Times New Roman;sans-serif"/>
                  <w:b w:val="false"/>
                  <w:color w:val="000080"/>
                  <w:sz w:val="20"/>
                  <w:u w:val="single"/>
                </w:rPr>
                <w:t xml:space="preserve"> Ended </w:t>
              </w:r>
            </w:hyperlink>
            <w:hyperlink w:anchor="i62f05ec4de4c468b95e612cf0596c008_25">
              <w:r>
                <w:rPr>
                  <w:rStyle w:val="InternetLink"/>
                  <w:rFonts w:ascii="Times New Roman;sans-serif" w:hAnsi="Times New Roman;sans-serif"/>
                  <w:b w:val="false"/>
                  <w:color w:val="000080"/>
                  <w:sz w:val="20"/>
                  <w:u w:val="single"/>
                </w:rPr>
                <w:t>March</w:t>
              </w:r>
            </w:hyperlink>
            <w:hyperlink w:anchor="i62f05ec4de4c468b95e612cf0596c008_25">
              <w:r>
                <w:rPr>
                  <w:rStyle w:val="InternetLink"/>
                  <w:rFonts w:ascii="Times New Roman;sans-serif" w:hAnsi="Times New Roman;sans-serif"/>
                  <w:b w:val="false"/>
                  <w:color w:val="000080"/>
                  <w:sz w:val="20"/>
                  <w:u w:val="single"/>
                </w:rPr>
                <w:t xml:space="preserve"> 3</w:t>
              </w:r>
            </w:hyperlink>
            <w:hyperlink w:anchor="i62f05ec4de4c468b95e612cf0596c008_25">
              <w:r>
                <w:rPr>
                  <w:rStyle w:val="InternetLink"/>
                  <w:rFonts w:ascii="Times New Roman;sans-serif" w:hAnsi="Times New Roman;sans-serif"/>
                  <w:b w:val="false"/>
                  <w:color w:val="000080"/>
                  <w:sz w:val="20"/>
                  <w:u w:val="single"/>
                </w:rPr>
                <w:t>1</w:t>
              </w:r>
            </w:hyperlink>
            <w:hyperlink w:anchor="i62f05ec4de4c468b95e612cf0596c008_25">
              <w:r>
                <w:rPr>
                  <w:rStyle w:val="InternetLink"/>
                  <w:rFonts w:ascii="Times New Roman;sans-serif" w:hAnsi="Times New Roman;sans-serif"/>
                  <w:b w:val="false"/>
                  <w:color w:val="000080"/>
                  <w:sz w:val="20"/>
                  <w:u w:val="single"/>
                </w:rPr>
                <w:t>, 202</w:t>
              </w:r>
            </w:hyperlink>
            <w:hyperlink w:anchor="i62f05ec4de4c468b95e612cf0596c008_25">
              <w:r>
                <w:rPr>
                  <w:rStyle w:val="InternetLink"/>
                  <w:rFonts w:ascii="Times New Roman;sans-serif" w:hAnsi="Times New Roman;sans-serif"/>
                  <w:b w:val="false"/>
                  <w:color w:val="000080"/>
                  <w:sz w:val="20"/>
                  <w:u w:val="single"/>
                </w:rPr>
                <w:t>2</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25">
              <w:r>
                <w:rPr>
                  <w:rStyle w:val="InternetLink"/>
                  <w:rFonts w:ascii="Times New Roman;sans-serif" w:hAnsi="Times New Roman;sans-serif"/>
                  <w:b w:val="false"/>
                  <w:strike w:val="false"/>
                  <w:dstrike w:val="false"/>
                  <w:color w:val="0000FF"/>
                  <w:sz w:val="20"/>
                  <w:u w:val="none"/>
                  <w:effect w:val="none"/>
                </w:rPr>
                <w:t>4</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28">
              <w:r>
                <w:rPr>
                  <w:rStyle w:val="InternetLink"/>
                  <w:rFonts w:ascii="Times New Roman;sans-serif" w:hAnsi="Times New Roman;sans-serif"/>
                  <w:b w:val="false"/>
                  <w:color w:val="000080"/>
                  <w:sz w:val="20"/>
                  <w:u w:val="single"/>
                </w:rPr>
                <w:t xml:space="preserve">Consolidated Statements of Cash Flows for the </w:t>
              </w:r>
            </w:hyperlink>
            <w:hyperlink w:anchor="i62f05ec4de4c468b95e612cf0596c008_28">
              <w:r>
                <w:rPr>
                  <w:rStyle w:val="InternetLink"/>
                  <w:rFonts w:ascii="Times New Roman;sans-serif" w:hAnsi="Times New Roman;sans-serif"/>
                  <w:b w:val="false"/>
                  <w:color w:val="000080"/>
                  <w:sz w:val="20"/>
                  <w:u w:val="single"/>
                </w:rPr>
                <w:t>Three</w:t>
              </w:r>
            </w:hyperlink>
            <w:hyperlink w:anchor="i62f05ec4de4c468b95e612cf0596c008_28">
              <w:r>
                <w:rPr>
                  <w:rStyle w:val="InternetLink"/>
                  <w:rFonts w:ascii="Times New Roman;sans-serif" w:hAnsi="Times New Roman;sans-serif"/>
                  <w:b w:val="false"/>
                  <w:color w:val="000080"/>
                  <w:sz w:val="20"/>
                  <w:u w:val="single"/>
                </w:rPr>
                <w:t xml:space="preserve"> Months Ended </w:t>
              </w:r>
            </w:hyperlink>
            <w:hyperlink w:anchor="i62f05ec4de4c468b95e612cf0596c008_28">
              <w:r>
                <w:rPr>
                  <w:rStyle w:val="InternetLink"/>
                  <w:rFonts w:ascii="Times New Roman;sans-serif" w:hAnsi="Times New Roman;sans-serif"/>
                  <w:b w:val="false"/>
                  <w:color w:val="000080"/>
                  <w:sz w:val="20"/>
                  <w:u w:val="single"/>
                </w:rPr>
                <w:t>March</w:t>
              </w:r>
            </w:hyperlink>
            <w:hyperlink w:anchor="i62f05ec4de4c468b95e612cf0596c008_28">
              <w:r>
                <w:rPr>
                  <w:rStyle w:val="InternetLink"/>
                  <w:rFonts w:ascii="Times New Roman;sans-serif" w:hAnsi="Times New Roman;sans-serif"/>
                  <w:b w:val="false"/>
                  <w:color w:val="000080"/>
                  <w:sz w:val="20"/>
                  <w:u w:val="single"/>
                </w:rPr>
                <w:t xml:space="preserve"> 3</w:t>
              </w:r>
            </w:hyperlink>
            <w:hyperlink w:anchor="i62f05ec4de4c468b95e612cf0596c008_28">
              <w:r>
                <w:rPr>
                  <w:rStyle w:val="InternetLink"/>
                  <w:rFonts w:ascii="Times New Roman;sans-serif" w:hAnsi="Times New Roman;sans-serif"/>
                  <w:b w:val="false"/>
                  <w:color w:val="000080"/>
                  <w:sz w:val="20"/>
                  <w:u w:val="single"/>
                </w:rPr>
                <w:t>1</w:t>
              </w:r>
            </w:hyperlink>
            <w:hyperlink w:anchor="i62f05ec4de4c468b95e612cf0596c008_28">
              <w:r>
                <w:rPr>
                  <w:rStyle w:val="InternetLink"/>
                  <w:rFonts w:ascii="Times New Roman;sans-serif" w:hAnsi="Times New Roman;sans-serif"/>
                  <w:b w:val="false"/>
                  <w:color w:val="000080"/>
                  <w:sz w:val="20"/>
                  <w:u w:val="single"/>
                </w:rPr>
                <w:t>, 202</w:t>
              </w:r>
            </w:hyperlink>
            <w:hyperlink w:anchor="i62f05ec4de4c468b95e612cf0596c008_28">
              <w:r>
                <w:rPr>
                  <w:rStyle w:val="InternetLink"/>
                  <w:rFonts w:ascii="Times New Roman;sans-serif" w:hAnsi="Times New Roman;sans-serif"/>
                  <w:b w:val="false"/>
                  <w:color w:val="000080"/>
                  <w:sz w:val="20"/>
                  <w:u w:val="single"/>
                </w:rPr>
                <w:t>3</w:t>
              </w:r>
            </w:hyperlink>
            <w:hyperlink w:anchor="i62f05ec4de4c468b95e612cf0596c008_28">
              <w:r>
                <w:rPr>
                  <w:rStyle w:val="InternetLink"/>
                  <w:rFonts w:ascii="Times New Roman;sans-serif" w:hAnsi="Times New Roman;sans-serif"/>
                  <w:b w:val="false"/>
                  <w:color w:val="000080"/>
                  <w:sz w:val="20"/>
                  <w:u w:val="single"/>
                </w:rPr>
                <w:t xml:space="preserve"> and 202</w:t>
              </w:r>
            </w:hyperlink>
            <w:hyperlink w:anchor="i62f05ec4de4c468b95e612cf0596c008_28">
              <w:r>
                <w:rPr>
                  <w:rStyle w:val="InternetLink"/>
                  <w:rFonts w:ascii="Times New Roman;sans-serif" w:hAnsi="Times New Roman;sans-serif"/>
                  <w:b w:val="false"/>
                  <w:color w:val="000080"/>
                  <w:sz w:val="20"/>
                  <w:u w:val="single"/>
                </w:rPr>
                <w:t>2</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28">
              <w:r>
                <w:rPr>
                  <w:rStyle w:val="InternetLink"/>
                  <w:rFonts w:ascii="Times New Roman;sans-serif" w:hAnsi="Times New Roman;sans-serif"/>
                  <w:b w:val="false"/>
                  <w:strike w:val="false"/>
                  <w:dstrike w:val="false"/>
                  <w:color w:val="0000FF"/>
                  <w:sz w:val="20"/>
                  <w:u w:val="none"/>
                  <w:effect w:val="none"/>
                </w:rPr>
                <w:t>5</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31">
              <w:r>
                <w:rPr>
                  <w:rStyle w:val="InternetLink"/>
                  <w:rFonts w:ascii="Times New Roman;sans-serif" w:hAnsi="Times New Roman;sans-serif"/>
                  <w:b w:val="false"/>
                  <w:color w:val="0000FF"/>
                  <w:sz w:val="20"/>
                  <w:u w:val="single"/>
                </w:rPr>
                <w:t>Notes to the Unaudited Consolidated Financial Statements</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31">
              <w:r>
                <w:rPr>
                  <w:rStyle w:val="InternetLink"/>
                  <w:rFonts w:ascii="Times New Roman;sans-serif" w:hAnsi="Times New Roman;sans-serif"/>
                  <w:b w:val="false"/>
                  <w:strike w:val="false"/>
                  <w:dstrike w:val="false"/>
                  <w:color w:val="0000FF"/>
                  <w:sz w:val="20"/>
                  <w:u w:val="none"/>
                  <w:effect w:val="none"/>
                </w:rPr>
                <w:t>6</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67">
              <w:r>
                <w:rPr>
                  <w:rStyle w:val="InternetLink"/>
                  <w:rFonts w:ascii="Times New Roman;sans-serif" w:hAnsi="Times New Roman;sans-serif"/>
                  <w:b w:val="false"/>
                  <w:strike w:val="false"/>
                  <w:dstrike w:val="false"/>
                  <w:color w:val="0000FF"/>
                  <w:sz w:val="20"/>
                  <w:u w:val="none"/>
                  <w:effect w:val="none"/>
                </w:rPr>
                <w:t>Item 2.</w:t>
              </w:r>
            </w:hyperlink>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67">
              <w:r>
                <w:rPr>
                  <w:rStyle w:val="InternetLink"/>
                  <w:rFonts w:ascii="Times New Roman;sans-serif" w:hAnsi="Times New Roman;sans-serif"/>
                  <w:b w:val="false"/>
                  <w:strike w:val="false"/>
                  <w:dstrike w:val="false"/>
                  <w:color w:val="0000FF"/>
                  <w:sz w:val="20"/>
                  <w:u w:val="none"/>
                  <w:effect w:val="none"/>
                </w:rPr>
                <w:t>22</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70">
              <w:r>
                <w:rPr>
                  <w:rStyle w:val="InternetLink"/>
                  <w:rFonts w:ascii="Times New Roman;sans-serif" w:hAnsi="Times New Roman;sans-serif"/>
                  <w:b w:val="false"/>
                  <w:strike w:val="false"/>
                  <w:dstrike w:val="false"/>
                  <w:color w:val="0000FF"/>
                  <w:sz w:val="20"/>
                  <w:u w:val="none"/>
                  <w:effect w:val="none"/>
                </w:rPr>
                <w:t>Item 3.</w:t>
              </w:r>
            </w:hyperlink>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70">
              <w:r>
                <w:rPr>
                  <w:rStyle w:val="InternetLink"/>
                  <w:rFonts w:ascii="Times New Roman;sans-serif" w:hAnsi="Times New Roman;sans-serif"/>
                  <w:b w:val="false"/>
                  <w:color w:val="0000FF"/>
                  <w:sz w:val="20"/>
                  <w:u w:val="single"/>
                </w:rPr>
                <w:t>Quantitative and Qualitative Disclosures About Market Risk</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70">
              <w:r>
                <w:rPr>
                  <w:rStyle w:val="InternetLink"/>
                  <w:rFonts w:ascii="Times New Roman;sans-serif" w:hAnsi="Times New Roman;sans-serif"/>
                  <w:b w:val="false"/>
                  <w:strike w:val="false"/>
                  <w:dstrike w:val="false"/>
                  <w:color w:val="0000FF"/>
                  <w:sz w:val="20"/>
                  <w:u w:val="none"/>
                  <w:effect w:val="none"/>
                </w:rPr>
                <w:t>31</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73">
              <w:r>
                <w:rPr>
                  <w:rStyle w:val="InternetLink"/>
                  <w:rFonts w:ascii="Times New Roman;sans-serif" w:hAnsi="Times New Roman;sans-serif"/>
                  <w:b w:val="false"/>
                  <w:strike w:val="false"/>
                  <w:dstrike w:val="false"/>
                  <w:color w:val="0000FF"/>
                  <w:sz w:val="20"/>
                  <w:u w:val="none"/>
                  <w:effect w:val="none"/>
                </w:rPr>
                <w:t>Item 4.</w:t>
              </w:r>
            </w:hyperlink>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73">
              <w:r>
                <w:rPr>
                  <w:rStyle w:val="InternetLink"/>
                  <w:rFonts w:ascii="Times New Roman;sans-serif" w:hAnsi="Times New Roman;sans-serif"/>
                  <w:b w:val="false"/>
                  <w:color w:val="0000FF"/>
                  <w:sz w:val="20"/>
                  <w:u w:val="single"/>
                </w:rPr>
                <w:t>Controls and Procedures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73">
              <w:r>
                <w:rPr>
                  <w:rStyle w:val="InternetLink"/>
                  <w:rFonts w:ascii="Times New Roman;sans-serif" w:hAnsi="Times New Roman;sans-serif"/>
                  <w:b w:val="false"/>
                  <w:strike w:val="false"/>
                  <w:dstrike w:val="false"/>
                  <w:color w:val="0000FF"/>
                  <w:sz w:val="20"/>
                  <w:u w:val="none"/>
                  <w:effect w:val="none"/>
                </w:rPr>
                <w:t>31</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79">
              <w:r>
                <w:rPr>
                  <w:rStyle w:val="InternetLink"/>
                  <w:rFonts w:ascii="Times New Roman;sans-serif" w:hAnsi="Times New Roman;sans-serif"/>
                  <w:b w:val="false"/>
                  <w:strike w:val="false"/>
                  <w:dstrike w:val="false"/>
                  <w:color w:val="0000FF"/>
                  <w:sz w:val="20"/>
                  <w:u w:val="none"/>
                  <w:effect w:val="none"/>
                </w:rPr>
                <w:t>Item 1.</w:t>
              </w:r>
            </w:hyperlink>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79">
              <w:r>
                <w:rPr>
                  <w:rStyle w:val="InternetLink"/>
                  <w:rFonts w:ascii="Times New Roman;sans-serif" w:hAnsi="Times New Roman;sans-serif"/>
                  <w:b w:val="false"/>
                  <w:color w:val="0000FF"/>
                  <w:sz w:val="20"/>
                  <w:u w:val="single"/>
                </w:rPr>
                <w:t>Legal Proceedings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79">
              <w:r>
                <w:rPr>
                  <w:rStyle w:val="InternetLink"/>
                  <w:rFonts w:ascii="Times New Roman;sans-serif" w:hAnsi="Times New Roman;sans-serif"/>
                  <w:b w:val="false"/>
                  <w:strike w:val="false"/>
                  <w:dstrike w:val="false"/>
                  <w:color w:val="0000FF"/>
                  <w:sz w:val="20"/>
                  <w:u w:val="none"/>
                  <w:effect w:val="none"/>
                </w:rPr>
                <w:t>32</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82">
              <w:r>
                <w:rPr>
                  <w:rStyle w:val="InternetLink"/>
                  <w:rFonts w:ascii="Times New Roman;sans-serif" w:hAnsi="Times New Roman;sans-serif"/>
                  <w:b w:val="false"/>
                  <w:strike w:val="false"/>
                  <w:dstrike w:val="false"/>
                  <w:color w:val="0000FF"/>
                  <w:sz w:val="20"/>
                  <w:u w:val="none"/>
                  <w:effect w:val="none"/>
                </w:rPr>
                <w:t>Item 1A.</w:t>
              </w:r>
            </w:hyperlink>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82">
              <w:r>
                <w:rPr>
                  <w:rStyle w:val="InternetLink"/>
                  <w:rFonts w:ascii="Times New Roman;sans-serif" w:hAnsi="Times New Roman;sans-serif"/>
                  <w:b w:val="false"/>
                  <w:color w:val="0000FF"/>
                  <w:sz w:val="20"/>
                  <w:u w:val="single"/>
                </w:rPr>
                <w:t>Risk Factors</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82">
              <w:r>
                <w:rPr>
                  <w:rStyle w:val="InternetLink"/>
                  <w:rFonts w:ascii="Times New Roman;sans-serif" w:hAnsi="Times New Roman;sans-serif"/>
                  <w:b w:val="false"/>
                  <w:strike w:val="false"/>
                  <w:dstrike w:val="false"/>
                  <w:color w:val="0000FF"/>
                  <w:sz w:val="20"/>
                  <w:u w:val="none"/>
                  <w:effect w:val="none"/>
                </w:rPr>
                <w:t>32</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85">
              <w:r>
                <w:rPr>
                  <w:rStyle w:val="InternetLink"/>
                  <w:rFonts w:ascii="Times New Roman;sans-serif" w:hAnsi="Times New Roman;sans-serif"/>
                  <w:b w:val="false"/>
                  <w:strike w:val="false"/>
                  <w:dstrike w:val="false"/>
                  <w:color w:val="0000FF"/>
                  <w:sz w:val="20"/>
                  <w:u w:val="none"/>
                  <w:effect w:val="none"/>
                </w:rPr>
                <w:t>Item 2.</w:t>
              </w:r>
            </w:hyperlink>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85">
              <w:r>
                <w:rPr>
                  <w:rStyle w:val="InternetLink"/>
                  <w:rFonts w:ascii="Times New Roman;sans-serif" w:hAnsi="Times New Roman;sans-serif"/>
                  <w:b w:val="false"/>
                  <w:color w:val="0000FF"/>
                  <w:sz w:val="20"/>
                  <w:u w:val="single"/>
                </w:rPr>
                <w:t>Unregistered Sales of Equity Securities and Use of Proceeds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85">
              <w:r>
                <w:rPr>
                  <w:rStyle w:val="InternetLink"/>
                  <w:rFonts w:ascii="Times New Roman;sans-serif" w:hAnsi="Times New Roman;sans-serif"/>
                  <w:b w:val="false"/>
                  <w:strike w:val="false"/>
                  <w:dstrike w:val="false"/>
                  <w:color w:val="0000FF"/>
                  <w:sz w:val="20"/>
                  <w:u w:val="none"/>
                  <w:effect w:val="none"/>
                </w:rPr>
                <w:t>65</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88">
              <w:r>
                <w:rPr>
                  <w:rStyle w:val="InternetLink"/>
                  <w:rFonts w:ascii="Times New Roman;sans-serif" w:hAnsi="Times New Roman;sans-serif"/>
                  <w:b w:val="false"/>
                  <w:strike w:val="false"/>
                  <w:dstrike w:val="false"/>
                  <w:color w:val="0000FF"/>
                  <w:sz w:val="20"/>
                  <w:u w:val="none"/>
                  <w:effect w:val="none"/>
                </w:rPr>
                <w:t>Item 3.</w:t>
              </w:r>
            </w:hyperlink>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88">
              <w:r>
                <w:rPr>
                  <w:rStyle w:val="InternetLink"/>
                  <w:rFonts w:ascii="Times New Roman;sans-serif" w:hAnsi="Times New Roman;sans-serif"/>
                  <w:b w:val="false"/>
                  <w:color w:val="0000FF"/>
                  <w:sz w:val="20"/>
                  <w:u w:val="single"/>
                </w:rPr>
                <w:t>Defaults Upon Senior Securities</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88">
              <w:r>
                <w:rPr>
                  <w:rStyle w:val="InternetLink"/>
                  <w:rFonts w:ascii="Times New Roman;sans-serif" w:hAnsi="Times New Roman;sans-serif"/>
                  <w:b w:val="false"/>
                  <w:strike w:val="false"/>
                  <w:dstrike w:val="false"/>
                  <w:color w:val="0000FF"/>
                  <w:sz w:val="20"/>
                  <w:u w:val="none"/>
                  <w:effect w:val="none"/>
                </w:rPr>
                <w:t>66</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91">
              <w:r>
                <w:rPr>
                  <w:rStyle w:val="InternetLink"/>
                  <w:rFonts w:ascii="Times New Roman;sans-serif" w:hAnsi="Times New Roman;sans-serif"/>
                  <w:b w:val="false"/>
                  <w:strike w:val="false"/>
                  <w:dstrike w:val="false"/>
                  <w:color w:val="0000FF"/>
                  <w:sz w:val="20"/>
                  <w:u w:val="none"/>
                  <w:effect w:val="none"/>
                </w:rPr>
                <w:t>Item 4.</w:t>
              </w:r>
            </w:hyperlink>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91">
              <w:r>
                <w:rPr>
                  <w:rStyle w:val="InternetLink"/>
                  <w:rFonts w:ascii="Times New Roman;sans-serif" w:hAnsi="Times New Roman;sans-serif"/>
                  <w:b w:val="false"/>
                  <w:color w:val="0000FF"/>
                  <w:sz w:val="20"/>
                  <w:u w:val="single"/>
                </w:rPr>
                <w:t>Mine Safety Disclosures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91">
              <w:r>
                <w:rPr>
                  <w:rStyle w:val="InternetLink"/>
                  <w:rFonts w:ascii="Times New Roman;sans-serif" w:hAnsi="Times New Roman;sans-serif"/>
                  <w:b w:val="false"/>
                  <w:strike w:val="false"/>
                  <w:dstrike w:val="false"/>
                  <w:color w:val="0000FF"/>
                  <w:sz w:val="20"/>
                  <w:u w:val="none"/>
                  <w:effect w:val="none"/>
                </w:rPr>
                <w:t>67</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94">
              <w:r>
                <w:rPr>
                  <w:rStyle w:val="InternetLink"/>
                  <w:rFonts w:ascii="Times New Roman;sans-serif" w:hAnsi="Times New Roman;sans-serif"/>
                  <w:b w:val="false"/>
                  <w:strike w:val="false"/>
                  <w:dstrike w:val="false"/>
                  <w:color w:val="0000FF"/>
                  <w:sz w:val="20"/>
                  <w:u w:val="none"/>
                  <w:effect w:val="none"/>
                </w:rPr>
                <w:t>Item 5.</w:t>
              </w:r>
            </w:hyperlink>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94">
              <w:r>
                <w:rPr>
                  <w:rStyle w:val="InternetLink"/>
                  <w:rFonts w:ascii="Times New Roman;sans-serif" w:hAnsi="Times New Roman;sans-serif"/>
                  <w:b w:val="false"/>
                  <w:color w:val="0000FF"/>
                  <w:sz w:val="20"/>
                  <w:u w:val="single"/>
                </w:rPr>
                <w:t>Other Information</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94">
              <w:r>
                <w:rPr>
                  <w:rStyle w:val="InternetLink"/>
                  <w:rFonts w:ascii="Times New Roman;sans-serif" w:hAnsi="Times New Roman;sans-serif"/>
                  <w:b w:val="false"/>
                  <w:strike w:val="false"/>
                  <w:dstrike w:val="false"/>
                  <w:color w:val="0000FF"/>
                  <w:sz w:val="20"/>
                  <w:u w:val="none"/>
                  <w:effect w:val="none"/>
                </w:rPr>
                <w:t>67</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62f05ec4de4c468b95e612cf0596c008_97">
              <w:r>
                <w:rPr>
                  <w:rStyle w:val="InternetLink"/>
                  <w:rFonts w:ascii="Times New Roman;sans-serif" w:hAnsi="Times New Roman;sans-serif"/>
                  <w:b w:val="false"/>
                  <w:strike w:val="false"/>
                  <w:dstrike w:val="false"/>
                  <w:color w:val="0000FF"/>
                  <w:sz w:val="20"/>
                  <w:u w:val="none"/>
                  <w:effect w:val="none"/>
                </w:rPr>
                <w:t>Item 6.</w:t>
              </w:r>
            </w:hyperlink>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97">
              <w:r>
                <w:rPr>
                  <w:rStyle w:val="InternetLink"/>
                  <w:rFonts w:ascii="Times New Roman;sans-serif" w:hAnsi="Times New Roman;sans-serif"/>
                  <w:b w:val="false"/>
                  <w:color w:val="0000FF"/>
                  <w:sz w:val="20"/>
                  <w:u w:val="single"/>
                </w:rPr>
                <w:t>Exhibits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97">
              <w:r>
                <w:rPr>
                  <w:rStyle w:val="InternetLink"/>
                  <w:rFonts w:ascii="Times New Roman;sans-serif" w:hAnsi="Times New Roman;sans-serif"/>
                  <w:b w:val="false"/>
                  <w:strike w:val="false"/>
                  <w:dstrike w:val="false"/>
                  <w:color w:val="0000FF"/>
                  <w:sz w:val="20"/>
                  <w:u w:val="none"/>
                  <w:effect w:val="none"/>
                </w:rPr>
                <w:t>67</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100">
              <w:r>
                <w:rPr>
                  <w:rStyle w:val="InternetLink"/>
                  <w:rFonts w:ascii="Times New Roman;sans-serif" w:hAnsi="Times New Roman;sans-serif"/>
                  <w:b w:val="false"/>
                  <w:color w:val="0000FF"/>
                  <w:sz w:val="20"/>
                  <w:u w:val="single"/>
                </w:rPr>
                <w:t>Exhibit Index</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100">
              <w:r>
                <w:rPr>
                  <w:rStyle w:val="InternetLink"/>
                  <w:rFonts w:ascii="Times New Roman;sans-serif" w:hAnsi="Times New Roman;sans-serif"/>
                  <w:b w:val="false"/>
                  <w:strike w:val="false"/>
                  <w:dstrike w:val="false"/>
                  <w:color w:val="0000FF"/>
                  <w:sz w:val="20"/>
                  <w:u w:val="none"/>
                  <w:effect w:val="none"/>
                </w:rPr>
                <w:t>67</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9"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62f05ec4de4c468b95e612cf0596c008_103">
              <w:r>
                <w:rPr>
                  <w:rStyle w:val="InternetLink"/>
                  <w:rFonts w:ascii="Times New Roman;sans-serif" w:hAnsi="Times New Roman;sans-serif"/>
                  <w:b w:val="false"/>
                  <w:color w:val="0000FF"/>
                  <w:sz w:val="20"/>
                  <w:u w:val="single"/>
                </w:rPr>
                <w:t>Signatures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2f05ec4de4c468b95e612cf0596c008_103">
              <w:r>
                <w:rPr>
                  <w:rStyle w:val="InternetLink"/>
                  <w:rFonts w:ascii="Times New Roman;sans-serif" w:hAnsi="Times New Roman;sans-serif"/>
                  <w:b w:val="false"/>
                  <w:strike w:val="false"/>
                  <w:dstrike w:val="false"/>
                  <w:color w:val="0000FF"/>
                  <w:sz w:val="20"/>
                  <w:u w:val="none"/>
                  <w:effect w:val="none"/>
                </w:rPr>
                <w:t>68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790"/>
        <w:gridCol w:w="2301"/>
        <w:gridCol w:w="2288"/>
        <w:gridCol w:w="218"/>
        <w:gridCol w:w="820"/>
        <w:gridCol w:w="121"/>
        <w:gridCol w:w="109"/>
        <w:gridCol w:w="109"/>
        <w:gridCol w:w="109"/>
        <w:gridCol w:w="241"/>
        <w:gridCol w:w="905"/>
        <w:gridCol w:w="194"/>
      </w:tblGrid>
      <w:tr>
        <w:trPr/>
        <w:tc>
          <w:tcPr>
            <w:tcW w:w="279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667"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369,933 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437,154 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447,205 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304,413 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March 31, 2023 and December 31, 2022, respectively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27,018 shares and 28,513 shares issued and outstanding at March 31, 2023 and December 31, 2022, respectively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689,065 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717,797 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(494,732)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(450,477)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191,093 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262,103 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610,383 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ans-serif" w:hAnsi="Times New Roman;sans-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29" w:type="dxa"/>
        <w:jc w:val="left"/>
        <w:tblInd w:w="0" w:type="dxa"/>
        <w:tblLayout w:type="fixed"/>
        <w:tblCellMar>
          <w:top w:w="28" w:type="dxa"/>
          <w:left w:w="28" w:type="dxa"/>
          <w:bottom w:w="28" w:type="dxa"/>
          <w:right w:w="28" w:type="dxa"/>
        </w:tblCellMar>
      </w:tblPr>
      <w:tblGrid>
        <w:gridCol w:w="1488"/>
        <w:gridCol w:w="1307"/>
        <w:gridCol w:w="1315"/>
        <w:gridCol w:w="109"/>
        <w:gridCol w:w="109"/>
        <w:gridCol w:w="140"/>
        <w:gridCol w:w="140"/>
        <w:gridCol w:w="253"/>
        <w:gridCol w:w="930"/>
        <w:gridCol w:w="140"/>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34,957 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45,775 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32,719 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(4,506)</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27,953 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ans-serif" w:hAnsi="Times New Roman;sans-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0"/>
        <w:gridCol w:w="859"/>
        <w:gridCol w:w="866"/>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326"/>
        <w:gridCol w:w="867"/>
        <w:gridCol w:w="197"/>
        <w:gridCol w:w="109"/>
        <w:gridCol w:w="109"/>
        <w:gridCol w:w="109"/>
        <w:gridCol w:w="181"/>
        <w:gridCol w:w="647"/>
        <w:gridCol w:w="109"/>
        <w:gridCol w:w="109"/>
        <w:gridCol w:w="109"/>
        <w:gridCol w:w="109"/>
        <w:gridCol w:w="181"/>
        <w:gridCol w:w="616"/>
        <w:gridCol w:w="157"/>
      </w:tblGrid>
      <w:tr>
        <w:trPr/>
        <w:tc>
          <w:tcPr>
            <w:tcW w:w="139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r>
      <w:tr>
        <w:trPr/>
        <w:tc>
          <w:tcPr>
            <w:tcW w:w="3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28,513 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717,797 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9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(450,477)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262,103 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and retirements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8,860 </w:t>
            </w:r>
          </w:p>
        </w:tc>
        <w:tc>
          <w:tcPr>
            <w:tcW w:w="157"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(44,255)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27,018 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689,065 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(3,267)</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(494,732)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191,093 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1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60"/>
        <w:gridCol w:w="870"/>
        <w:gridCol w:w="877"/>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328"/>
        <w:gridCol w:w="872"/>
        <w:gridCol w:w="198"/>
        <w:gridCol w:w="109"/>
        <w:gridCol w:w="109"/>
        <w:gridCol w:w="109"/>
        <w:gridCol w:w="181"/>
        <w:gridCol w:w="647"/>
        <w:gridCol w:w="109"/>
        <w:gridCol w:w="109"/>
        <w:gridCol w:w="109"/>
        <w:gridCol w:w="109"/>
        <w:gridCol w:w="181"/>
        <w:gridCol w:w="616"/>
        <w:gridCol w:w="157"/>
      </w:tblGrid>
      <w:tr>
        <w:trPr/>
        <w:tc>
          <w:tcPr>
            <w:tcW w:w="136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27,647 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678,575 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(422)</w:t>
            </w:r>
          </w:p>
        </w:tc>
        <w:tc>
          <w:tcPr>
            <w:tcW w:w="19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(321,753)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356,428 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7,742 </w:t>
            </w:r>
          </w:p>
        </w:tc>
        <w:tc>
          <w:tcPr>
            <w:tcW w:w="157"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Comprehensive loss,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(36,255)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(36,255)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28,178 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691,161 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(2,434)</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330,747 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310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84" w:type="dxa"/>
        <w:jc w:val="center"/>
        <w:tblInd w:w="0" w:type="dxa"/>
        <w:tblLayout w:type="fixed"/>
        <w:tblCellMar>
          <w:top w:w="28" w:type="dxa"/>
          <w:left w:w="28" w:type="dxa"/>
          <w:bottom w:w="28" w:type="dxa"/>
          <w:right w:w="28" w:type="dxa"/>
        </w:tblCellMar>
      </w:tblPr>
      <w:tblGrid>
        <w:gridCol w:w="2079"/>
        <w:gridCol w:w="1828"/>
        <w:gridCol w:w="1838"/>
        <w:gridCol w:w="196"/>
        <w:gridCol w:w="721"/>
        <w:gridCol w:w="109"/>
        <w:gridCol w:w="109"/>
        <w:gridCol w:w="109"/>
        <w:gridCol w:w="109"/>
        <w:gridCol w:w="196"/>
        <w:gridCol w:w="736"/>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Accretion/amortization of investments,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 – operating</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85,396 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(312,912)</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retirements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liability for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(37,574)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495,729 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property and equipment</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issuance costs related to the sale of future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repurchases of common stock</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 related to issuance of common stock, upon exercise of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 (“we,” “us,” “our,” or the “Company”) was incorporated in the state of Delaware in November 2005. 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currently in a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developed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(JEMPERLI (dostarlimab-gxly)), an anti-TIM-3 antagonist antibody (cobolimab, GSK4069889) and an anti-LAG-3 antagonist antibody (GSK4074386). We currently recognize revenue from milestones and royalties achieved under our immuno-oncology collaboration with GSK.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2023 are not necessarily indicative of the results that may be expected for the year ending December 31, 2023. The financial statements should be read in conjunction with our audited financial statements for the year ended December 31, 2022 included in our Annual Report on Form 10-K.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Common Share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The following table sets forth </w:t>
      </w:r>
      <w:r>
        <w:rPr>
          <w:rFonts w:ascii="Times New Roman;sans-serif" w:hAnsi="Times New Roman;sans-serif"/>
          <w:b w:val="false"/>
          <w:color w:val="000000"/>
          <w:sz w:val="20"/>
        </w:rPr>
        <w:t>the weighted-average o</w:t>
      </w:r>
      <w:r>
        <w:rPr>
          <w:rFonts w:ascii="Times New Roman;sans-serif" w:hAnsi="Times New Roman;sans-serif"/>
          <w:b w:val="false"/>
          <w:color w:val="000000"/>
          <w:sz w:val="20"/>
          <w:shd w:fill="FFFFFF" w:val="clear"/>
        </w:rPr>
        <w:t>utstanding potentially dilutive securities that have been excluded in the calculation of diluted net loss per share because to do so would be anti-dilutive (in common stock equivalent shares):</w:t>
      </w:r>
    </w:p>
    <w:tbl>
      <w:tblPr>
        <w:tblW w:w="5946" w:type="dxa"/>
        <w:jc w:val="left"/>
        <w:tblInd w:w="0" w:type="dxa"/>
        <w:tblLayout w:type="fixed"/>
        <w:tblCellMar>
          <w:top w:w="28" w:type="dxa"/>
          <w:left w:w="28" w:type="dxa"/>
          <w:bottom w:w="28" w:type="dxa"/>
          <w:right w:w="28" w:type="dxa"/>
        </w:tblCellMar>
      </w:tblPr>
      <w:tblGrid>
        <w:gridCol w:w="1074"/>
        <w:gridCol w:w="946"/>
        <w:gridCol w:w="949"/>
        <w:gridCol w:w="109"/>
        <w:gridCol w:w="109"/>
        <w:gridCol w:w="320"/>
        <w:gridCol w:w="320"/>
        <w:gridCol w:w="320"/>
        <w:gridCol w:w="320"/>
        <w:gridCol w:w="323"/>
        <w:gridCol w:w="109"/>
        <w:gridCol w:w="109"/>
        <w:gridCol w:w="109"/>
        <w:gridCol w:w="308"/>
        <w:gridCol w:w="308"/>
        <w:gridCol w:w="213"/>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4,003 </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Balance Sheet Accounts and Supplemental Disclosures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 of the following: </w:t>
      </w:r>
    </w:p>
    <w:tbl>
      <w:tblPr>
        <w:tblW w:w="7239" w:type="dxa"/>
        <w:jc w:val="left"/>
        <w:tblInd w:w="0" w:type="dxa"/>
        <w:tblLayout w:type="fixed"/>
        <w:tblCellMar>
          <w:top w:w="28" w:type="dxa"/>
          <w:left w:w="28" w:type="dxa"/>
          <w:bottom w:w="28" w:type="dxa"/>
          <w:right w:w="28" w:type="dxa"/>
        </w:tblCellMar>
      </w:tblPr>
      <w:tblGrid>
        <w:gridCol w:w="1486"/>
        <w:gridCol w:w="1311"/>
        <w:gridCol w:w="1312"/>
        <w:gridCol w:w="284"/>
        <w:gridCol w:w="829"/>
        <w:gridCol w:w="146"/>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4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 of the following: </w:t>
      </w:r>
    </w:p>
    <w:tbl>
      <w:tblPr>
        <w:tblW w:w="8142" w:type="dxa"/>
        <w:jc w:val="left"/>
        <w:tblInd w:w="0" w:type="dxa"/>
        <w:tblLayout w:type="fixed"/>
        <w:tblCellMar>
          <w:top w:w="28" w:type="dxa"/>
          <w:left w:w="28" w:type="dxa"/>
          <w:bottom w:w="28" w:type="dxa"/>
          <w:right w:w="28" w:type="dxa"/>
        </w:tblCellMar>
      </w:tblPr>
      <w:tblGrid>
        <w:gridCol w:w="1808"/>
        <w:gridCol w:w="1593"/>
        <w:gridCol w:w="1609"/>
        <w:gridCol w:w="255"/>
        <w:gridCol w:w="873"/>
        <w:gridCol w:w="132"/>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3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development and manufacturing expenses</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25,768 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15,351 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for repurchases of common stock</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Collaborative Research and Development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GlaxoSmithKline Collaboration</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additional antibody discovery program for an upfront license fee of $2.0 million. Currently, under the GSK Agreement, GSK is developing JEMPERLI (dostarlimab), an anti-PD-1 antagonist antibody, as a monotherapy for various solid tumor indications. In addition, GSK is developing dostarlimab in combination with additional therapies under the collaboration, including with two other development programs from the GSK Agreement: cobolimab, an anti-TIM-3 antibody, and GSK40974386, an anti-LAG antibody, for various solid tumor indications.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each development program, we are eligible to receive milestone payments of up to $18.0 million if certain preclinical and clinical trial events are achieved by GSK,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4-8% royalties related to worldwide net sales of products developed under the collaboration.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 Prior to the adoption of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we determined that the upfront license fees and research funding under the GSK Agreement, as amended, should be accounted for as a single unit of accounting and that the upfront license fees should be deferred and recognized as revenue over the same period that the research and development services are performed. In February 2016, Amendment No. 2 to the GSK Agreement was agreed by both parties to define the effective dates of the development programs of the GSK Agreement. We determined that the research and development services would be extended through December 31, 2016. As a result, the period over which the unrecognized license fees and discovery milestones were recognized was extended through December 31, 2016 and have since been recognized in full.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JEMPERLI, equal to 8% of Net Sales (as defined in the GSK Agreement) below $1.0 billion and from 12% up to 25% of Net Sales above $1.0 billion. The Amendment also provided for a one-time, non-refundable cash payment of $60.0 million that we received and recognized as revenue in the fourth quarter of 2020. The $1.1 billion in cash milestone payments due under the GSK Agreement remain unchanged.</w:t>
      </w:r>
      <w:r>
        <w:rPr>
          <w:color w:val="000000"/>
        </w:rPr>
        <w:t xml:space="preserve"> </w:t>
      </w:r>
      <w:r>
        <w:rPr>
          <w:rFonts w:ascii="Times New Roman;sans-serif" w:hAnsi="Times New Roman;sans-serif"/>
          <w:b w:val="false"/>
          <w:color w:val="000000"/>
          <w:sz w:val="20"/>
        </w:rPr>
        <w:t>Additionally, under the terms of the Amendment, GSK has agreed to certain diligence commitments with respect to the future development of JEMPERLI, and the parties have agreed to review such commitments under regular joint review committee meetings going forward.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transaction price for the GSK Agreement and Amendment includes the upfront payment, research reimbursement revenue, one-time payment associated with the Amendment, and milestones and royalties earned to date, which are allocated in their entirety to the single performance obligation.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$1.4 million in royalty revenue during the three months ended March 31, 2023 related to GSK’s net sales of Zejula and JEMPERLI during the period which we estimate based on GSK’s prior sales experience. Of the royalty revenue recognized during the three months ended March 31, 2023, $0.6 million is JEMPERLI non-cash revenue related to the JEMPERLI Royalty Monetization Agreement and $0.8 million is Zejula non-cash revenue related to the Zejula Royalty Monetization Agreement, each of such agreements as described in Note 5. We recognized $1.0 million in royalty revenue during the three months ended March 31, 2022, related to GSK’s net sales of Zejula and JEMPERLI during the period based on GSK’s prior sales experience. Of the royalty revenue recognized, $0.3 million is JEMPERLI non-cash revenue related to the JEMPERLI Royalty Monetization Agreement and $0.7 million is Zejula revenue prior to the Zejula Royalty Monetization Agreement. GSK reports sales information to us on a one quarter lag and differences between actual and estimated royalty revenues will be adjusted in the following quarter. All royalty revenue related to Zejula global net sales starting July 2022 are paid directly to a wholly owned subsidiary of DRI Healthcare Trust pursuant to the Zejula Royalty Monetization Agreement, as described in Note 5.</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 clinical milestones were recognized during the three months ended March 31, 2023 and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tbl>
      <w:tblPr>
        <w:tblW w:w="10205" w:type="dxa"/>
        <w:jc w:val="center"/>
        <w:tblInd w:w="0" w:type="dxa"/>
        <w:tblLayout w:type="fixed"/>
        <w:tblCellMar>
          <w:top w:w="28" w:type="dxa"/>
          <w:left w:w="28" w:type="dxa"/>
          <w:bottom w:w="28" w:type="dxa"/>
          <w:right w:w="28" w:type="dxa"/>
        </w:tblCellMar>
      </w:tblPr>
      <w:tblGrid>
        <w:gridCol w:w="1189"/>
        <w:gridCol w:w="991"/>
        <w:gridCol w:w="996"/>
        <w:gridCol w:w="334"/>
        <w:gridCol w:w="288"/>
        <w:gridCol w:w="256"/>
        <w:gridCol w:w="430"/>
        <w:gridCol w:w="430"/>
        <w:gridCol w:w="397"/>
        <w:gridCol w:w="109"/>
        <w:gridCol w:w="109"/>
        <w:gridCol w:w="109"/>
        <w:gridCol w:w="336"/>
        <w:gridCol w:w="292"/>
        <w:gridCol w:w="292"/>
        <w:gridCol w:w="444"/>
        <w:gridCol w:w="437"/>
        <w:gridCol w:w="376"/>
        <w:gridCol w:w="109"/>
        <w:gridCol w:w="109"/>
        <w:gridCol w:w="109"/>
        <w:gridCol w:w="249"/>
        <w:gridCol w:w="249"/>
        <w:gridCol w:w="253"/>
        <w:gridCol w:w="380"/>
        <w:gridCol w:w="380"/>
        <w:gridCol w:w="552"/>
      </w:tblGrid>
      <w:tr>
        <w:trPr/>
        <w:tc>
          <w:tcPr>
            <w:tcW w:w="11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3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Anti-PD-1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(JEMPERLI/Dostarlimab)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Anti-TIM-3 </w:t>
              <w:br/>
              <w:t>(GSK4069889A/Cobolimab)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Anti-LAG-3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(GSK40974386)</w:t>
            </w:r>
          </w:p>
        </w:tc>
      </w:tr>
      <w:tr>
        <w:trPr/>
        <w:tc>
          <w:tcPr>
            <w:tcW w:w="3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 xml:space="preserve">toxicology studies using good laboratory practices (GLPs) </w:t>
            </w:r>
          </w:p>
        </w:tc>
        <w:tc>
          <w:tcPr>
            <w:tcW w:w="8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31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Q3'16</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31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Q4'19</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7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Fourth commercial sales milestone</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6"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March 31, 2023</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$93.0M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$8.0M</w:t>
            </w:r>
          </w:p>
        </w:tc>
        <w:tc>
          <w:tcPr>
            <w:tcW w:w="1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$265.0M</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For JEMPERLI, the filing and approval of the first MAA for a second indication and first three commercial sales milestones are included as part of the royalty monetization agreement with Sagard, see Note 5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Sale of Future Royalties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JEMPERLI Royalty Monetization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 below $1.0 billion starting in October 2021. The aggregate JEMPERLI royalties and milestones to be received by Sagard under the JEMPERLI Royalty Monetization Agreement is capped at certain fixed multiples of the upfront payment based on time. Once Sagard receives an aggregate amount of either $312.5 million (125% of the upfront) by the end of 2026, or $337.5 million (135% of the upfront) during 2027, or $412.5 million (165% of the upfront) at any time after 2027, the JEMPERLI Royalty Monetization Agreement will expire resulting in us regaining all subsequent JEMPERLI royalties and milestones. As of March 31, 2023, Sagard has received a total of $2.3 million in royalties and milestones.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JEMPERLI Royalty Monetization Agreement includes a call option pursuant to which at any time after December 1, 2024, we may reacquire our interest in the specified royalties by paying Sagard (in cash) a specified amount as described in the JEMPERLI Royalty Monetization Agreement. The exercise of this call option is at our sole discretion, which we currently do not anticipate exercising.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Sagard of $250.0 million were recorded as a liability, net of transaction costs of $0.4 million, which will be amortized over the estimated life of the arrangement using the effective interest rate method. The aggregate future estimated payments, less the $249.6 million, net of proceeds, will be recognized as non-cash interest expense over the life of the agreement. Royalty and milestone revenue will be recognized as earned on net sales of JEMPERLI, and we will record the royalty payments to Sagard as a reduction of the liability when paid. As such payments are made to Sagard, the balance of the liability will be effectively repaid over the life of the JEMPERLI Royalty Monetization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effective interest rate used to record non-cash interest expense under the JEMPERLI Royalty Monetization Agreement based on the estimate of future royalty payments to be received by Sagard. As of March 31, 2023, the estimated effective rate under the agreement was 6.1%.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JEMPERLI non-cash royalty revenue of approximately $0.6 million and $0.3 million for the three months ended March 31, 2023 and three months ended March 31, 2022, respectively, and non-cash interest expense of approximately $4.0 million and $4.9 million for the three months ended March 31, 2023 and three months ended March 31, 2022,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three months ended March 31, 2023:</w:t>
      </w:r>
    </w:p>
    <w:tbl>
      <w:tblPr>
        <w:tblW w:w="9325" w:type="dxa"/>
        <w:jc w:val="left"/>
        <w:tblInd w:w="0" w:type="dxa"/>
        <w:tblLayout w:type="fixed"/>
        <w:tblCellMar>
          <w:top w:w="28" w:type="dxa"/>
          <w:left w:w="28" w:type="dxa"/>
          <w:bottom w:w="28" w:type="dxa"/>
          <w:right w:w="28" w:type="dxa"/>
        </w:tblCellMar>
      </w:tblPr>
      <w:tblGrid>
        <w:gridCol w:w="2783"/>
        <w:gridCol w:w="2452"/>
        <w:gridCol w:w="2459"/>
        <w:gridCol w:w="109"/>
        <w:gridCol w:w="109"/>
        <w:gridCol w:w="109"/>
        <w:gridCol w:w="231"/>
        <w:gridCol w:w="905"/>
        <w:gridCol w:w="168"/>
      </w:tblGrid>
      <w:tr>
        <w:trPr/>
        <w:tc>
          <w:tcPr>
            <w:tcW w:w="2783"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JEMPERLI royalties and milestones - balance at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costs related to the sale of future 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Sagard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273,011 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Zejula Royalty Monetization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a purchase and sale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we will record the royalty payments to DRI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effective interest rate used to record non-cash interest expense under the Zejula Royalty Monetization Agreement based on the estimate of future royalty payments to be received by DRI. As of March 31, 2023, the estimated effective rate under the agreement was 2.5%.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Zejula non-cash royalty revenue of approximately $0.8 million and $0.0 million for the three months ended March 31, 2023 and three months ended March 31, 2022, respectively, and non-cash interest expense of approximately $0.4 million and $0.0 million for the three months ended March 31, 2023 and three months ended March 31, 2022, respectively.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three months ended March 31, 2023:</w:t>
      </w:r>
    </w:p>
    <w:tbl>
      <w:tblPr>
        <w:tblW w:w="8936" w:type="dxa"/>
        <w:jc w:val="left"/>
        <w:tblInd w:w="0" w:type="dxa"/>
        <w:tblLayout w:type="fixed"/>
        <w:tblCellMar>
          <w:top w:w="28" w:type="dxa"/>
          <w:left w:w="28" w:type="dxa"/>
          <w:bottom w:w="28" w:type="dxa"/>
          <w:right w:w="28" w:type="dxa"/>
        </w:tblCellMar>
      </w:tblPr>
      <w:tblGrid>
        <w:gridCol w:w="2642"/>
        <w:gridCol w:w="2328"/>
        <w:gridCol w:w="2334"/>
        <w:gridCol w:w="109"/>
        <w:gridCol w:w="109"/>
        <w:gridCol w:w="109"/>
        <w:gridCol w:w="253"/>
        <w:gridCol w:w="867"/>
        <w:gridCol w:w="185"/>
      </w:tblGrid>
      <w:tr>
        <w:trPr/>
        <w:tc>
          <w:tcPr>
            <w:tcW w:w="2642"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Zejula royalties and milestones - balance at 12/31/2022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34,505 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 and Available for Sale Investments</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supported by little or no market activities,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ind w:left="0" w:right="0" w:firstLine="90"/>
        <w:jc w:val="left"/>
        <w:rPr/>
      </w:pPr>
      <w:r>
        <w:rPr>
          <w:rFonts w:ascii="Times New Roman;sans-serif" w:hAnsi="Times New Roman;sans-serif"/>
          <w:b/>
          <w:i/>
          <w:color w:val="000000"/>
          <w:sz w:val="20"/>
        </w:rPr>
        <w:t>Assets and Liabilities Measured at Fair Value on a Recurring Basis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that require fair value measurements on a recurring basis and their respective input levels based on the fair value hierarchy:</w:t>
      </w:r>
    </w:p>
    <w:tbl>
      <w:tblPr>
        <w:tblW w:w="9210" w:type="dxa"/>
        <w:jc w:val="left"/>
        <w:tblInd w:w="0" w:type="dxa"/>
        <w:tblLayout w:type="fixed"/>
        <w:tblCellMar>
          <w:top w:w="28" w:type="dxa"/>
          <w:left w:w="28" w:type="dxa"/>
          <w:bottom w:w="28" w:type="dxa"/>
          <w:right w:w="28" w:type="dxa"/>
        </w:tblCellMar>
      </w:tblPr>
      <w:tblGrid>
        <w:gridCol w:w="1232"/>
        <w:gridCol w:w="1085"/>
        <w:gridCol w:w="1088"/>
        <w:gridCol w:w="211"/>
        <w:gridCol w:w="721"/>
        <w:gridCol w:w="109"/>
        <w:gridCol w:w="109"/>
        <w:gridCol w:w="109"/>
        <w:gridCol w:w="109"/>
        <w:gridCol w:w="249"/>
        <w:gridCol w:w="852"/>
        <w:gridCol w:w="130"/>
        <w:gridCol w:w="109"/>
        <w:gridCol w:w="109"/>
        <w:gridCol w:w="109"/>
        <w:gridCol w:w="410"/>
        <w:gridCol w:w="789"/>
        <w:gridCol w:w="212"/>
        <w:gridCol w:w="109"/>
        <w:gridCol w:w="109"/>
        <w:gridCol w:w="109"/>
        <w:gridCol w:w="312"/>
        <w:gridCol w:w="600"/>
        <w:gridCol w:w="229"/>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End of Period Using:</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Quoted Market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Prices for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Identical Assets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Other Observable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Unobservable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March 31, 2023</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78,767 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57,864 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Included in short-term or long-term investments in the accompanying consolidated balance sheets depending on the respective maturity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to estimate the fair value of our financial instruments for which it is practicable to estimate that value: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Marketable Securities.</w:t>
      </w:r>
      <w:r>
        <w:rPr>
          <w:color w:val="000000"/>
        </w:rPr>
        <w:t xml:space="preserve"> </w:t>
      </w:r>
      <w:r>
        <w:rPr>
          <w:rFonts w:ascii="Times New Roman;sans-serif" w:hAnsi="Times New Roman;sans-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288" w:before="240" w:after="283"/>
        <w:ind w:left="0" w:right="0" w:firstLine="90"/>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Other Financial Instruments </w:t>
      </w:r>
    </w:p>
    <w:p>
      <w:pPr>
        <w:pStyle w:val="TextBody"/>
        <w:bidi w:val="0"/>
        <w:spacing w:lineRule="auto" w:line="288" w:before="120" w:after="283"/>
        <w:ind w:left="0" w:right="0" w:firstLine="540"/>
        <w:jc w:val="left"/>
        <w:rPr>
          <w:color w:val="000000"/>
        </w:rPr>
      </w:pPr>
      <w:r>
        <w:rPr>
          <w:color w:val="000000"/>
        </w:rPr>
        <w:t> </w:t>
      </w:r>
      <w:r>
        <w:rPr>
          <w:rFonts w:ascii="Times New Roman;sans-serif" w:hAnsi="Times New Roman;sans-serif"/>
          <w:b w:val="false"/>
          <w:color w:val="000000"/>
          <w:sz w:val="20"/>
        </w:rPr>
        <w:t xml:space="preserve">The carrying amounts of certain of our financial instruments, including cash and cash equivalents, accounts payable, and accrued expenses approximate fair value due to their short-term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ind w:left="0" w:right="0" w:firstLine="270"/>
        <w:jc w:val="both"/>
        <w:rPr/>
      </w:pPr>
      <w:r>
        <w:rPr>
          <w:rFonts w:ascii="Times New Roman;sans-serif" w:hAnsi="Times New Roman;sans-serif"/>
          <w:b/>
          <w:i/>
          <w:color w:val="000000"/>
          <w:sz w:val="20"/>
        </w:rPr>
        <w:t>Available for Sale</w:t>
      </w:r>
      <w:r>
        <w:rPr>
          <w:color w:val="000000"/>
        </w:rPr>
        <w:t xml:space="preserve"> </w:t>
      </w:r>
      <w:r>
        <w:rPr>
          <w:rFonts w:ascii="Times New Roman;sans-serif" w:hAnsi="Times New Roman;sans-serif"/>
          <w:b/>
          <w:i/>
          <w:color w:val="000000"/>
          <w:sz w:val="20"/>
        </w:rPr>
        <w:t>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agency securities, debt instruments of financial institutions and corporations, commercial obligations, and U.S. Treasury securities, which we classify as available for sale investments. These investments are carried at fair value and are included in the tables above. The aggregate market value, cost basis, and gross unrealized gains and losses of available for sale investments by security type, classified in cash equivalents, short-term and long-term investments as of March 31, 2023 are as follows:</w:t>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417"/>
        <w:gridCol w:w="715"/>
        <w:gridCol w:w="218"/>
        <w:gridCol w:w="109"/>
        <w:gridCol w:w="109"/>
        <w:gridCol w:w="109"/>
        <w:gridCol w:w="288"/>
        <w:gridCol w:w="943"/>
        <w:gridCol w:w="14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 for sale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Of our outstanding agency securities, $62.8 million have maturity dates of less than one year and $7.0 million have maturity dates between one to two years as of March 31, 2023.</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Of our outstanding certificates of deposit, $1.9 million have maturity dates of less than one year and $0.2 million have a maturity date of between one to two years as of March 31, 2023.</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(3)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 xml:space="preserve">obligations, $48.0 million have maturity dates of less than one year and $9.9 million have a maturity date of between one to two years as of March 31, 2023. </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(4)</w:t>
      </w:r>
      <w:r>
        <w:rPr>
          <w:color w:val="000000"/>
        </w:rPr>
        <w:t>    </w:t>
      </w:r>
      <w:r>
        <w:rPr>
          <w:rFonts w:ascii="Times New Roman;sans-serif" w:hAnsi="Times New Roman;sans-serif"/>
          <w:b w:val="false"/>
          <w:color w:val="000000"/>
          <w:sz w:val="20"/>
        </w:rPr>
        <w:t>Of our outstanding U.S. Treasury securities, $223.9 million have maturity dates of less than one year and $77.8 million have a maturity date of between one to two years as of March 31, 2023.</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cost basis, and gross unrealized gains and losses of available for sale investments by security type, classified in short-term and long-term investments as of December 31, 2022 are as follows:</w:t>
      </w:r>
    </w:p>
    <w:tbl>
      <w:tblPr>
        <w:tblW w:w="9451"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417"/>
        <w:gridCol w:w="715"/>
        <w:gridCol w:w="218"/>
        <w:gridCol w:w="109"/>
        <w:gridCol w:w="109"/>
        <w:gridCol w:w="109"/>
        <w:gridCol w:w="288"/>
        <w:gridCol w:w="943"/>
        <w:gridCol w:w="14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74,602 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Certificates of deposit</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(3)</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CFF0FC"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 for sale investments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517,907 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w:t>
            </w:r>
          </w:p>
        </w:tc>
        <w:tc>
          <w:tcPr>
            <w:tcW w:w="1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512,868 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Of our outstanding agency securities, $57.1 million have maturity dates of less than one year and $17.5 million have a maturity date of between one to two years as of December 31, 2022.</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Of our outstanding certificates of deposit, $2.6 million have a maturity date of less than one year and $0.3 million have a maturity date of between one to two years as of December 31, 2022.</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obligations, $44.0 million have maturity dates of less than one year and $16.9 million have a maturity date of between one to two years as of December 31, 2022.</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Of our outstanding U.S. Treasury securities, $266.2 million have maturity dates of less than one year and $108.3 million have a maturity date of between one to two years as of December 31, 2022.</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gross unrealized losses and fair values for those investments that were in an unrealized loss position as of March 31, 2023 and December 31, 2022, aggregated by investment category and the length of time that individual securities have been in a continuous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64"/>
        <w:gridCol w:w="526"/>
        <w:gridCol w:w="521"/>
        <w:gridCol w:w="211"/>
        <w:gridCol w:w="826"/>
        <w:gridCol w:w="109"/>
        <w:gridCol w:w="109"/>
        <w:gridCol w:w="109"/>
        <w:gridCol w:w="109"/>
        <w:gridCol w:w="236"/>
        <w:gridCol w:w="733"/>
        <w:gridCol w:w="121"/>
        <w:gridCol w:w="109"/>
        <w:gridCol w:w="109"/>
        <w:gridCol w:w="109"/>
        <w:gridCol w:w="211"/>
        <w:gridCol w:w="826"/>
        <w:gridCol w:w="109"/>
        <w:gridCol w:w="109"/>
        <w:gridCol w:w="109"/>
        <w:gridCol w:w="109"/>
        <w:gridCol w:w="236"/>
        <w:gridCol w:w="733"/>
        <w:gridCol w:w="121"/>
        <w:gridCol w:w="109"/>
        <w:gridCol w:w="109"/>
        <w:gridCol w:w="109"/>
        <w:gridCol w:w="211"/>
        <w:gridCol w:w="826"/>
        <w:gridCol w:w="109"/>
        <w:gridCol w:w="109"/>
        <w:gridCol w:w="109"/>
        <w:gridCol w:w="109"/>
        <w:gridCol w:w="235"/>
        <w:gridCol w:w="730"/>
        <w:gridCol w:w="176"/>
      </w:tblGrid>
      <w:tr>
        <w:trPr/>
        <w:tc>
          <w:tcPr>
            <w:tcW w:w="7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96"/>
        <w:gridCol w:w="552"/>
        <w:gridCol w:w="553"/>
        <w:gridCol w:w="211"/>
        <w:gridCol w:w="826"/>
        <w:gridCol w:w="109"/>
        <w:gridCol w:w="109"/>
        <w:gridCol w:w="109"/>
        <w:gridCol w:w="109"/>
        <w:gridCol w:w="239"/>
        <w:gridCol w:w="746"/>
        <w:gridCol w:w="123"/>
        <w:gridCol w:w="109"/>
        <w:gridCol w:w="109"/>
        <w:gridCol w:w="109"/>
        <w:gridCol w:w="211"/>
        <w:gridCol w:w="721"/>
        <w:gridCol w:w="109"/>
        <w:gridCol w:w="109"/>
        <w:gridCol w:w="109"/>
        <w:gridCol w:w="109"/>
        <w:gridCol w:w="279"/>
        <w:gridCol w:w="644"/>
        <w:gridCol w:w="145"/>
        <w:gridCol w:w="109"/>
        <w:gridCol w:w="109"/>
        <w:gridCol w:w="109"/>
        <w:gridCol w:w="211"/>
        <w:gridCol w:w="826"/>
        <w:gridCol w:w="109"/>
        <w:gridCol w:w="109"/>
        <w:gridCol w:w="109"/>
        <w:gridCol w:w="109"/>
        <w:gridCol w:w="238"/>
        <w:gridCol w:w="743"/>
        <w:gridCol w:w="179"/>
      </w:tblGrid>
      <w:tr>
        <w:trPr/>
        <w:tc>
          <w:tcPr>
            <w:tcW w:w="79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unrealized losses on available-for-sale investments were $3.1 million and $5.1 million, respectively, with unrealized losses of $1.5 million, on available for sale investments that were in an unrealized loss position for greater than 12 months as of March 31, 2023. We do not intend to sell the investments and it is not more likely than not that we will be required to sell the investments before recovery of their amortized cost basis, accordingly, no allowance for credit losses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Of the 500,000,000 shares of common stock authorized</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27,018,197</w:t>
      </w:r>
      <w:r>
        <w:rPr>
          <w:color w:val="000000"/>
          <w:shd w:fill="FFFFFF" w:val="clear"/>
        </w:rPr>
        <w:t xml:space="preserve"> </w:t>
      </w:r>
      <w:r>
        <w:rPr>
          <w:rFonts w:ascii="Times New Roman;sans-serif" w:hAnsi="Times New Roman;sans-serif"/>
          <w:b w:val="false"/>
          <w:color w:val="000000"/>
          <w:sz w:val="20"/>
        </w:rPr>
        <w:t>shares were issued and outstanding as of March 31, 2023.</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our Board of Directors authorized a stock repurchase program (the “Repurchase Program”) to repurchase up to $50.0 million of our outstanding common stock, par value $0.001 per share.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shares of common stock may be repurchased from time to time, in open market transactions, or other means in accordance with Rule 10b5-1 of the Securities Exchange Act of 1934, as amended (the “Exchange Act”), and Rule 10b-18 of the Exchange Act. The timing, number of shares repurchased, and prices paid for the stock under this program will depend on general business and market conditions as well as corporate and regulatory limitations, prevailing stock prices, and other considerations. The Repurchase Program will expire on December 31, 2023, may be suspended or discontinued at any time, and does not obligate us to acquire any amount of common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repurchase activity through March 31,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58"/>
        <w:gridCol w:w="490"/>
        <w:gridCol w:w="494"/>
        <w:gridCol w:w="845"/>
        <w:gridCol w:w="824"/>
        <w:gridCol w:w="827"/>
        <w:gridCol w:w="109"/>
        <w:gridCol w:w="109"/>
        <w:gridCol w:w="109"/>
        <w:gridCol w:w="482"/>
        <w:gridCol w:w="1407"/>
        <w:gridCol w:w="248"/>
        <w:gridCol w:w="109"/>
        <w:gridCol w:w="109"/>
        <w:gridCol w:w="109"/>
        <w:gridCol w:w="652"/>
        <w:gridCol w:w="2237"/>
        <w:gridCol w:w="487"/>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w:t>
            </w:r>
          </w:p>
        </w:tc>
        <w:tc>
          <w:tcPr>
            <w:tcW w:w="1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1,589,424 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38,456 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repurchased common stock was subsequently retired after the repurchase and the par value of the shares was charged to common stock. The excess of the repurchase price over the par value was applied against additional paid in capital. As of March 31, 2023, $11.5 million remained available for future shares of common stock to be repurchased under the Repurchase Program.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completed the Repurchase Program, and the second quarter activity is presented in Subsequent Events - Note 10.</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entered into the Cowen Sales Agreement with Cowen and Company, LLC, through which we may offer and sell shares of our common stock, having an aggregate offering of up to $150.0 million through Cowen and Company, LLC as our sales agent. As of March 31, 2023, we had sold no shares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Equity Incentive Plans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1,140,527 shares as of January 1, 2023. As of March 31, 2023, 2,392,572 shares were available for future issuance.</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January 2017, our board of directors and stockholders approved and adopted the 2017 Employee Stock Purchase Plan or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w:t>
      </w:r>
      <w:r>
        <w:rPr>
          <w:color w:val="000000"/>
          <w:shd w:fill="FFFFFF" w:val="clear"/>
        </w:rPr>
        <w:t xml:space="preserve"> </w:t>
      </w:r>
      <w:r>
        <w:rPr>
          <w:rFonts w:ascii="Times New Roman;sans-serif" w:hAnsi="Times New Roman;sans-serif"/>
          <w:b w:val="false"/>
          <w:color w:val="000000"/>
          <w:sz w:val="20"/>
        </w:rPr>
        <w:t>285,131 shares as of January 1, 2023. As of March 31, 2023, 49,967 shares have been issued under the ESPP. As of March 31, 2023, 1,782,873 shares were available for future issuance under the ESPP.</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three months ended March 31, 2023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color w:val="000000"/>
        </w:rPr>
      </w:pPr>
      <w:r>
        <w:rPr>
          <w:color w:val="000000"/>
        </w:rPr>
        <w:t> </w:t>
      </w:r>
    </w:p>
    <w:tbl>
      <w:tblPr>
        <w:tblW w:w="8921" w:type="dxa"/>
        <w:jc w:val="left"/>
        <w:tblInd w:w="0" w:type="dxa"/>
        <w:tblLayout w:type="fixed"/>
        <w:tblCellMar>
          <w:top w:w="28" w:type="dxa"/>
          <w:left w:w="28" w:type="dxa"/>
          <w:bottom w:w="28" w:type="dxa"/>
          <w:right w:w="28" w:type="dxa"/>
        </w:tblCellMar>
      </w:tblPr>
      <w:tblGrid>
        <w:gridCol w:w="962"/>
        <w:gridCol w:w="844"/>
        <w:gridCol w:w="849"/>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Subject to</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Price per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Value (in</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3,673,208 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1,091,455 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(55,158)</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(424,238)</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4,285,267 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2,000,802 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received from the exercise of stock options was approximately $1.3 million during the three months ended March 31, 2023.</w:t>
      </w:r>
    </w:p>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Time-based Restricted Stock Units</w:t>
      </w:r>
    </w:p>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877"/>
        <w:gridCol w:w="738"/>
        <w:gridCol w:w="743"/>
        <w:gridCol w:w="774"/>
        <w:gridCol w:w="578"/>
        <w:gridCol w:w="580"/>
        <w:gridCol w:w="109"/>
        <w:gridCol w:w="109"/>
        <w:gridCol w:w="109"/>
        <w:gridCol w:w="534"/>
        <w:gridCol w:w="1563"/>
        <w:gridCol w:w="277"/>
        <w:gridCol w:w="109"/>
        <w:gridCol w:w="109"/>
        <w:gridCol w:w="109"/>
        <w:gridCol w:w="490"/>
        <w:gridCol w:w="490"/>
        <w:gridCol w:w="491"/>
        <w:gridCol w:w="109"/>
        <w:gridCol w:w="109"/>
        <w:gridCol w:w="109"/>
        <w:gridCol w:w="211"/>
        <w:gridCol w:w="721"/>
        <w:gridCol w:w="157"/>
      </w:tblGrid>
      <w:tr>
        <w:trPr/>
        <w:tc>
          <w:tcPr>
            <w:tcW w:w="87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2023</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1,028,843 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394,825 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(39,300)</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(16,845)</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1,367,523 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expected to vest at March 31, 2023</w:t>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1,367,523 </w:t>
            </w:r>
          </w:p>
        </w:tc>
        <w:tc>
          <w:tcPr>
            <w:tcW w:w="5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stock option awards granted to employees were determined on the date of grant using the Black-Scholes option valuation model with the following weighted-average assumptions:</w:t>
      </w:r>
    </w:p>
    <w:tbl>
      <w:tblPr>
        <w:tblW w:w="7292" w:type="dxa"/>
        <w:jc w:val="left"/>
        <w:tblInd w:w="0" w:type="dxa"/>
        <w:tblLayout w:type="fixed"/>
        <w:tblCellMar>
          <w:top w:w="28" w:type="dxa"/>
          <w:left w:w="28" w:type="dxa"/>
          <w:bottom w:w="28" w:type="dxa"/>
          <w:right w:w="28" w:type="dxa"/>
        </w:tblCellMar>
      </w:tblPr>
      <w:tblGrid>
        <w:gridCol w:w="1461"/>
        <w:gridCol w:w="1283"/>
        <w:gridCol w:w="1290"/>
        <w:gridCol w:w="109"/>
        <w:gridCol w:w="109"/>
        <w:gridCol w:w="109"/>
        <w:gridCol w:w="205"/>
        <w:gridCol w:w="205"/>
        <w:gridCol w:w="161"/>
        <w:gridCol w:w="109"/>
        <w:gridCol w:w="109"/>
        <w:gridCol w:w="109"/>
        <w:gridCol w:w="109"/>
        <w:gridCol w:w="109"/>
        <w:gridCol w:w="109"/>
        <w:gridCol w:w="109"/>
        <w:gridCol w:w="109"/>
        <w:gridCol w:w="109"/>
        <w:gridCol w:w="205"/>
        <w:gridCol w:w="205"/>
        <w:gridCol w:w="161"/>
        <w:gridCol w:w="109"/>
        <w:gridCol w:w="109"/>
        <w:gridCol w:w="109"/>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per share</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for 2023 and the simplified life method for 2022, which defines the life as the average of the contractual term of the options and the weighted-average vesting period for all option tranches.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stock-based compensation expense for all stock awards that was recognized in the consolidated statements of operations and comprehensive loss is as follows:</w:t>
      </w:r>
    </w:p>
    <w:tbl>
      <w:tblPr>
        <w:tblW w:w="5438" w:type="dxa"/>
        <w:jc w:val="left"/>
        <w:tblInd w:w="0" w:type="dxa"/>
        <w:tblLayout w:type="fixed"/>
        <w:tblCellMar>
          <w:top w:w="28" w:type="dxa"/>
          <w:left w:w="28" w:type="dxa"/>
          <w:bottom w:w="28" w:type="dxa"/>
          <w:right w:w="28" w:type="dxa"/>
        </w:tblCellMar>
      </w:tblPr>
      <w:tblGrid>
        <w:gridCol w:w="833"/>
        <w:gridCol w:w="734"/>
        <w:gridCol w:w="742"/>
        <w:gridCol w:w="109"/>
        <w:gridCol w:w="109"/>
        <w:gridCol w:w="151"/>
        <w:gridCol w:w="151"/>
        <w:gridCol w:w="293"/>
        <w:gridCol w:w="857"/>
        <w:gridCol w:w="151"/>
        <w:gridCol w:w="109"/>
        <w:gridCol w:w="109"/>
        <w:gridCol w:w="109"/>
        <w:gridCol w:w="211"/>
        <w:gridCol w:w="616"/>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8,860 </w:t>
            </w:r>
          </w:p>
        </w:tc>
        <w:tc>
          <w:tcPr>
            <w:tcW w:w="1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three months ended March 31, 2023 and 2022, we recognized $2.9 million and $0.3 million, respectively, of non-cash stock-based compensation cost related to the award.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$39.2 million of unrecognized compensation cost related to unvested stock option awards, which is expected to be recognized over a remaining weighted-average vesting period of 2.82 years, $21.7 million of unrecognized cost related to unvested RSU awards, which is expected to be recognized over a period of 1.72 years and $0.1 million of unrecognized compensation cost related to the ESPP, which is expected to be recognized over a remaining weighted-average vesting period of 0.12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March 31, 2023,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8.4 years.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836"/>
        <w:gridCol w:w="1574"/>
        <w:gridCol w:w="1600"/>
        <w:gridCol w:w="109"/>
        <w:gridCol w:w="109"/>
        <w:gridCol w:w="109"/>
        <w:gridCol w:w="719"/>
        <w:gridCol w:w="719"/>
        <w:gridCol w:w="721"/>
        <w:gridCol w:w="109"/>
        <w:gridCol w:w="109"/>
        <w:gridCol w:w="109"/>
        <w:gridCol w:w="211"/>
        <w:gridCol w:w="466"/>
        <w:gridCol w:w="109"/>
        <w:gridCol w:w="109"/>
        <w:gridCol w:w="109"/>
        <w:gridCol w:w="109"/>
        <w:gridCol w:w="211"/>
        <w:gridCol w:w="466"/>
        <w:gridCol w:w="109"/>
        <w:gridCol w:w="109"/>
        <w:gridCol w:w="109"/>
        <w:gridCol w:w="109"/>
        <w:gridCol w:w="156"/>
      </w:tblGrid>
      <w:tr>
        <w:trPr/>
        <w:tc>
          <w:tcPr>
            <w:tcW w:w="183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2023, the future minimum annual obligations for the Company’s operating lease liabilities are as follows (in thousands):</w:t>
      </w:r>
    </w:p>
    <w:tbl>
      <w:tblPr>
        <w:tblW w:w="4010" w:type="dxa"/>
        <w:jc w:val="left"/>
        <w:tblInd w:w="0" w:type="dxa"/>
        <w:tblLayout w:type="fixed"/>
        <w:tblCellMar>
          <w:top w:w="28" w:type="dxa"/>
          <w:left w:w="28" w:type="dxa"/>
          <w:bottom w:w="28" w:type="dxa"/>
          <w:right w:w="28" w:type="dxa"/>
        </w:tblCellMar>
      </w:tblPr>
      <w:tblGrid>
        <w:gridCol w:w="1057"/>
        <w:gridCol w:w="932"/>
        <w:gridCol w:w="935"/>
        <w:gridCol w:w="211"/>
        <w:gridCol w:w="7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 required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Subsequent Events</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completed the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repurchase activity subsequent to March 31, 2023 and through May 5, 2023.</w:t>
      </w:r>
    </w:p>
    <w:tbl>
      <w:tblPr>
        <w:tblW w:w="10205" w:type="dxa"/>
        <w:jc w:val="left"/>
        <w:tblInd w:w="0" w:type="dxa"/>
        <w:tblLayout w:type="fixed"/>
        <w:tblCellMar>
          <w:top w:w="28" w:type="dxa"/>
          <w:left w:w="28" w:type="dxa"/>
          <w:bottom w:w="28" w:type="dxa"/>
          <w:right w:w="28" w:type="dxa"/>
        </w:tblCellMar>
      </w:tblPr>
      <w:tblGrid>
        <w:gridCol w:w="627"/>
        <w:gridCol w:w="550"/>
        <w:gridCol w:w="555"/>
        <w:gridCol w:w="827"/>
        <w:gridCol w:w="803"/>
        <w:gridCol w:w="806"/>
        <w:gridCol w:w="109"/>
        <w:gridCol w:w="109"/>
        <w:gridCol w:w="109"/>
        <w:gridCol w:w="472"/>
        <w:gridCol w:w="1378"/>
        <w:gridCol w:w="243"/>
        <w:gridCol w:w="109"/>
        <w:gridCol w:w="109"/>
        <w:gridCol w:w="109"/>
        <w:gridCol w:w="635"/>
        <w:gridCol w:w="2181"/>
        <w:gridCol w:w="474"/>
      </w:tblGrid>
      <w:tr>
        <w:trPr/>
        <w:tc>
          <w:tcPr>
            <w:tcW w:w="6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0"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Quarter 2023</w:t>
            </w:r>
          </w:p>
        </w:tc>
        <w:tc>
          <w:tcPr>
            <w:tcW w:w="1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534,790 </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2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to develop and commercialize antibodies, including our two checkpoint agonists in clinical-stage development: rosnilimab and ANB032;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political, economic or public health events, such as the coronavirus (“COVID-19”) pandemic on our business and the United States (“U.S.”) and global economies;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ans-serif" w:hAnsi="Times New Roman;sans-serif"/>
          <w:b w:val="false"/>
          <w:color w:val="231F20"/>
          <w:sz w:val="20"/>
        </w:rPr>
        <w:t>U.S. Food and Drug Administration (“FDA”)</w:t>
      </w:r>
      <w:r>
        <w:rPr>
          <w:color w:val="000000"/>
        </w:rPr>
        <w:t xml:space="preserve"> </w:t>
      </w:r>
      <w:r>
        <w:rPr>
          <w:rFonts w:ascii="Times New Roman;sans-serif" w:hAnsi="Times New Roman;sans-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find a licensing partner for imsidolimab and etokimab;</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macro-economic factors, including volatility in equity markets, and fluctuations in interest rates and foreign exchange rates;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develop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commercialization, marketing, and manufacturing capabilities and strategy;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regarding our ability to obtain and maintain intellectual property protection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developments in the U.S. and foreign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use of the net proceeds from our public offerings and other financing transactions;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generate potentially best-in-class antibodies through our antibody research platform that are consistent with our commercial objectives;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consolidated financial statements and related notes for the three months ended March 31, 2023, included in Part I, Item 1 of this report and with our audited consolidated financial statements and related notes thereto for the year ended December 31, 2022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focused on delivering innovative immunology therapeutics. We are developing immune cell modulating antibodies, including two wholly owned checkpoint agonists in clinical-stage development, for autoimmune and inflammatory disease: rosnilimab, our PD-1 agonist, previously referred to as ANB030, in a planned Phase 2b trial for the treatment of moderate-to-severe rheumatoid arthritis (“RA”); and ANB032, our BTLA agonist, currently in a Phase 2b trial for the treatment of moderate-to-severe atopic dermatitis (“AD”). We also have other preclinical immune cell modulator candidates in our portfolio, including ANB033, an anti-CD122 antagonist antibody for the treatment of autoimmune and inflammatory diseases. In addition, we have developed two cytokine antagonists that we are exploring options for out-licensing: imsidolimab, our anti-IL-36R antibody, in a Phase 3 trial for the treatment of generalized pustular psoriasis (“GPP”), and etokimab, our anti-IL-33 antagonist that is Phase 2/3 ready. We have also discovered multiple therapeutic antibodies licensed to GlaxoSmithKline, Inc. (“GSK”) in a financial collaboration for immune-oncology, including an anti-PD-1 antagonist antibody (JEMPERLI (dostarlimab-gxly)), an anti-TIM-3 antagonist antibody (cobolimab, GSK4069889) and an anti-LAG-3 antagonist antibody (GSK4074386). We currently recognize revenue from milestones and royalties achieved under our immuno-oncology collaboration with GSK.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including anti-inflammatory checkpoint agonists for PD-1 and BTLA, treat inflammatory disorders by down regulating immune responses mediated by multiple immune cell types including T cells, B cells, and dendritic cells. We believe these molecules have potential applicability across a broad range of autoimmune and inflammatory disorders including dermatology, rheumatology, gastroenterology, respiratory, and neurology therapeutic areas.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Rosnilimab is designed to suppress aberrant T cell driven inflammation by augmenting signaling through PD-1 or targeted depletion of PD-1+ T cells.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Rosnilimab binds to PD-1 on a membrane proximal epitope that is on the opposite side of the receptor to that utilized by PD-L1 for binding, and thus preserves the ability of PD-L1 to agonize PD-1. In the setting of T cell activation, rosnilimab binding has been shown to induce agonistic signaling and the recruitment of SHP2 to PD-1, in a manner similar to that by PD-L1. In preclinical assays, rosnilimab prevented T cell expansion in antigen-specific response assays to numerous antigens, demonstrating prevention of T cell expansion and reduction in the secretion of inflammatory cytokines associated with multiple T cell types implicated in inflammatory pathology when dysregulated. In addition to direct agonistic activity, rosnilimab is an IgG1k antibody with effector function that can drive targeted depletion of PD-1+ T cells via the induction of antibody-dependent cellular cytotoxicity (ADCC). We believe this component of the mechanism of rosnilimab may provide more durable immune modulation by effectively eliminating the most pathogenic antigen-specific T cells in the setting of autoimmunity and inflammation. Genetic mutations in the PD-1 pathway are known to be associated with increased susceptibility to human inflammatory diseases, and hence we believe that rosnilimab is applicable to diseases where PD-1 checkpoint receptor function may be insufficient to maintain immune homeostasis.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announced positive top-line data from a healthy volunteer Phase 1 trial of rosnilimab in November 2021. A total of 144 subjects were enrolled in the randomized, double-blind, placebo-controlled healthy volunteer Phase 1 trial, where single ascending dose (SAD) cohorts were administered single subcutaneous or intravenous (“IV”) doses of rosnilimab up to 600mg or placebo, while multiple ascending dose (MAD) cohorts received four weekly subcutaneous doses of rosnilimab ranging up to 400mg or placebo. Rosnilimab was generally well-tolerated and no dose limiting toxicities were observed. Two serious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r>
        <w:rPr>
          <w:rFonts w:ascii="Times New Roman;sans-serif" w:hAnsi="Times New Roman;sans-serif"/>
          <w:b w:val="false"/>
          <w:color w:val="000000"/>
          <w:sz w:val="20"/>
        </w:rPr>
        <w:t>events were reported in single dose cohorts, including obstructive pancreatitis in a placebo-dosed subject and COVID-19 infection in a rosnilimab-dosed subject leading to discontinuation. The COVID-19 infection was deemed unrelated to treatment. No serious adverse events were reported in subjects receiving multiple doses of rosnilimab or placebo</w:t>
      </w:r>
      <w:r>
        <w:rPr>
          <w:rFonts w:ascii="Times New Roman;sans-serif" w:hAnsi="Times New Roman;sans-serif"/>
          <w:b w:val="false"/>
          <w:color w:val="008080"/>
          <w:sz w:val="24"/>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Rosnilimab demonstrated a favorable pharmacokinetic profile with an estimated two-week half-life for subcutaneous and IV routes of administration. Full PD-1 receptor occupancy was observed rapidly and was maintained for at least 30 days at or above 200mg following single subcutaneous rosnilimab doses. Rosnilimab pharmacodynamic activity demonstrated rapid and sustained reduction in the quantity and functional activity of PD-1+ T cells, which are known to be pathogenic drivers of inflammatory diseases. Conventional T (Tcon) cells (CD3+, CD25 low) PD-1+, which represented approximately 25% of peripheral T cells at baseline, were reduced by 50%, including in both CD4+ and CD8+ subsets, in a dose-dependent manner and in correlation with receptor occupancy. This effect was maximized on high-PD-1+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consistent ratio of PD-1+ Tcon cells to total Treg cells post-treatment in healthy volunteers. No effect (&lt;5% reduction from baseline) was observed on any of the aforementioned cell types in placebo-dosed subjects.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conduct a randomized placebo-controlled multi-hundred patient global Phase 2b trial assessing three dose levels of subcutaneously administrated rosnilimab in moderate-to-severe RA for up to six months on well-established endpoints including ACR 20/50/70 and DAS28. We expect to initiate this trial in the third quarter of 2023 with top-line interim data anticipated by mid-year 2025. We also plan to conduct a second global Phase 2 trial, in an indication to be announced, with trial initiation anticipated by the end of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2021, we initiated AZURE, a randomized placebo-controlled 45-patient Phase 2 trial of rosnilimab in moderate-to-severe alopecia areata patients. We conducted an interim review of blinded data in December 2022 which demonstrated robust reductions in peripheral PD-1+ T cells, including PD-1 high T cells reduction of &gt;80%, across blinded pooled rosnilimab patients and placebo patients, which is consistent with observations in the healthy volunteer Phase 1 trial of &gt;90% in rosnilimab treated patients. The blinded data suggests rosnilimab administration was generally safe and well tolerated. Interim results suggest that target improvement in severity of alopecia tool (SALT) was not achieved potentially due to an inadequate tested dose level, limited duration of treatment, and/or complexity of disease biology including the hair growth cycle. Further development in alopecia areata will not be pursued. The unblinded final results will be available in the second half of 2023.</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ANB032 is designed to augment BTLA signaling, which is broadly applicable to human inflammatory diseases associated with lymphoid and myeloid immune cell dysregulation. Genetic studies have demonstrated that BTLA pathway mutations increase human susceptibility to multiple autoimmune diseases, and insufficient BTLA signaling can lead to dysregulated T or B cell responses and changes in the function of dendritic cells. BTLA modulates signaling of HVEM, governing HVEM’s interaction with its natural ligands, including LIGHT. Polymorphisms in BTLA or molecules in the BTLA pathway such as HVEM are associated with inflammatory diseases, including aberrant T cell activity, B cell activity and dysregulation of downstream humoral immune responses (IgE, IgG secretion). Similarly, BTLA knockout animals have spontaneous or enhanced severity of inflammatory disease, demonstrating aberrant T cell activity, B cell activity and dysregulation of pathogenic antibody responses upon immunization. ANB032 is anticipated to down-modulate the activity of T cells, B cells and dendritic cells via several potential mechanisms: BTLA agonistic activity, stabilization of the interaction of BTLA and HVEM in cis which prevents pro-inflammatory signaling mediated by HVEM ligands such as LIGHT, and abrogation of pro-inflammatory HVEM signaling mediated by BTLA in trans.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ANB032, under a CTN, in April 2022. A total of 96 subjects were enrolled in the randomized, double-blind, placebo-controlled healthy volunteer Phase 1 trial, where single ascending dose (SAD) cohorts received subcutaneous or IV single doses of ANB032 or placebo, while multiple ascending dose (MAD) cohorts received four weekly subcutaneous doses of ANB032 or placebo. ANB032 was generally well-tolerated and no dose limiting toxicities were observed. No serious adverse events were reported. ANB032 demonstrated a favorable pharmacokinetic profile with an estimated two-week half-life for subcutaneous and IV routes of administration. Full BTLA receptor occupancy was observed rapidly and was maintained for at least 30 days.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in vitro studies, ANB032 pharmacodynamic activity demonstrated inhibition of T cell proliferation and reduction in inflammatory cytokine secretion (Th1, Th2, Th17). While Th2 targeted therapies provide benefit to patients with chronic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moderate-to-severe atopic dermatitis (AD), there is compelling evidence that AD is broader than a Th2 driven disease, as Th1, Th17 and other cell types, including dendritic cells, contribute significantly to the pathogenesis. ANB032 inhibition of inflammatory Th1, Th2 and Th17 activity, and modulation of additional cell types such as B cells and dendritic cells, creates the potential for broader, deeper and more durable responses than more narrowly targeted interventions.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 a randomized placebo-controlled 160 patient Phase 2b trial assessing three dose levels of subcutaneously administrated ANB032 in moderate-to-severe AD for 12 weeks on well-established endpoints including EASI75 and IGA 0/1. We anticipate reporting top-line interim data from this trial by the end of 2024.</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ANB033</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ANB033 targets CD122, the common beta subunit shared by the IL-15 and IL-2 receptors. IL-15 signaling mediates the survival and maintenance of tissue resident memory T cells (T</w:t>
      </w:r>
      <w:r>
        <w:rPr>
          <w:rFonts w:ascii="Times New Roman;sans-serif" w:hAnsi="Times New Roman;sans-serif"/>
          <w:b w:val="false"/>
          <w:color w:val="000000"/>
          <w:sz w:val="13"/>
        </w:rPr>
        <w:t>RM</w:t>
      </w:r>
      <w:r>
        <w:rPr>
          <w:rFonts w:ascii="Times New Roman;sans-serif" w:hAnsi="Times New Roman;sans-serif"/>
          <w:b w:val="false"/>
          <w:color w:val="000000"/>
          <w:sz w:val="20"/>
        </w:rPr>
        <w:t>). The presence of long-lived and persistent T</w:t>
      </w:r>
      <w:r>
        <w:rPr>
          <w:rFonts w:ascii="Times New Roman;sans-serif" w:hAnsi="Times New Roman;sans-serif"/>
          <w:b w:val="false"/>
          <w:color w:val="000000"/>
          <w:sz w:val="13"/>
        </w:rPr>
        <w:t>RM</w:t>
      </w:r>
      <w:r>
        <w:rPr>
          <w:color w:val="000000"/>
        </w:rPr>
        <w:t xml:space="preserve"> </w:t>
      </w:r>
      <w:r>
        <w:rPr>
          <w:rFonts w:ascii="Times New Roman;sans-serif" w:hAnsi="Times New Roman;sans-serif"/>
          <w:b w:val="false"/>
          <w:color w:val="000000"/>
          <w:sz w:val="20"/>
        </w:rPr>
        <w:t>has been shown to drive tissue-specific immune-mediated inflammation. T</w:t>
      </w:r>
      <w:r>
        <w:rPr>
          <w:rFonts w:ascii="Times New Roman;sans-serif" w:hAnsi="Times New Roman;sans-serif"/>
          <w:b w:val="false"/>
          <w:color w:val="000000"/>
          <w:sz w:val="13"/>
        </w:rPr>
        <w:t>RM</w:t>
      </w:r>
      <w:r>
        <w:rPr>
          <w:color w:val="000000"/>
        </w:rPr>
        <w:t xml:space="preserve"> </w:t>
      </w:r>
      <w:r>
        <w:rPr>
          <w:rFonts w:ascii="Times New Roman;sans-serif" w:hAnsi="Times New Roman;sans-serif"/>
          <w:b w:val="false"/>
          <w:color w:val="000000"/>
          <w:sz w:val="20"/>
        </w:rPr>
        <w:t>are present in the skin in dermatologic diseases, where defined borders of inflammation often recur. T</w:t>
      </w:r>
      <w:r>
        <w:rPr>
          <w:rFonts w:ascii="Times New Roman;sans-serif" w:hAnsi="Times New Roman;sans-serif"/>
          <w:b w:val="false"/>
          <w:color w:val="000000"/>
          <w:sz w:val="13"/>
        </w:rPr>
        <w:t>RM</w:t>
      </w:r>
      <w:r>
        <w:rPr>
          <w:color w:val="000000"/>
        </w:rPr>
        <w:t xml:space="preserve"> </w:t>
      </w:r>
      <w:r>
        <w:rPr>
          <w:rFonts w:ascii="Times New Roman;sans-serif" w:hAnsi="Times New Roman;sans-serif"/>
          <w:b w:val="false"/>
          <w:color w:val="000000"/>
          <w:sz w:val="20"/>
        </w:rPr>
        <w:t>are also observed in other tissue-specific inflammatory disorders including gastroenterology, rheumatology and respiratory. ANB033 is designed with an affinity to CD122 that inhibits IL-15 signaling, leading to death of pathogenic T</w:t>
      </w:r>
      <w:r>
        <w:rPr>
          <w:rFonts w:ascii="Times New Roman;sans-serif" w:hAnsi="Times New Roman;sans-serif"/>
          <w:b w:val="false"/>
          <w:color w:val="000000"/>
          <w:sz w:val="13"/>
        </w:rPr>
        <w:t>RM</w:t>
      </w:r>
      <w:r>
        <w:rPr>
          <w:color w:val="000000"/>
        </w:rPr>
        <w:t xml:space="preserve"> </w:t>
      </w:r>
      <w:r>
        <w:rPr>
          <w:rFonts w:ascii="Times New Roman;sans-serif" w:hAnsi="Times New Roman;sans-serif"/>
          <w:b w:val="false"/>
          <w:color w:val="000000"/>
          <w:sz w:val="20"/>
        </w:rPr>
        <w:t>cells in diseased tissue, with the potential to achieve and maintain remission of inflammation through the elimination of these disease-causing cells. In addition, ANB033 inhibits IL-2 signaling through the low affinity IL-2 receptor (comprised of CD122 and the common gamma subunit, CD132) expressed on T cells, while sparing regulatory T cells which express the high affinity IL-2 receptor (comprised of CD122, CD132 and the alpha receptor subunit for IL-2, CD25). This drives reduction of pathogenic T cell numbers while sparing or potentially enhancing regulatory T cell numbers. We anticipate submitting an IND for a Phase 1 clinical trial with ANB033 during the first half of 2024.</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Imsidolimab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Imsidolimab inhibits the interleukin-36 receptor (IL-36R) and is being developed for the treatment of GPP. We completed a Phase 1 clinical trial in healthy volunteers, which was presented at the European Academy of Allergy and Clinical Immunology in 2018, where imsidolimab was well-tolerated, no dose-limiting toxicities were observed, and no serious adverse events were reported. In July 2020,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in October 2021.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initiated two Phase 3 trials for imsidolimab for GPP. The first, called GEMINI-1, will enroll approximately 45 moderate-to-severe GPP patients, each undergoing an active flare at baseline, which will be randomized equally to receive a single dose of 750mg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3 years of monthly dosing. Top-line data from an interim analysis of GEMINI-1 is anticipated in the fourth quarter of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in August 2022 that we intend to complete execution of our Phase 3 program in GPP and out-license imsidolimab prior to potential FDA approval.</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Etokimab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Etokimab inhibits IL-33 function and acts upstream of key cell types involved in atopy and the subsequent release of Th2 cytokines. IL-33 is a pro-inflammatory cytokine that signals through the ST2 receptor, which multiple studies suggest serves as a central mediator of various immune responses leading to Th2-type inflammatory disorders, including asthma, COPD, atopic and epithelial diseases.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Th2 effector cells and Innate Lymphoid Cell Type 2 (ILC2), two types of white blood cells that initiate and orchestrate atopic responses. We have no ongoing clinical trials of etokimab and announced in January 2023 that etokimab is available to out-license.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key information about our wholly owned product candidates:</w:t>
      </w:r>
    </w:p>
    <w:p>
      <w:pPr>
        <w:pStyle w:val="TextBody"/>
        <w:bidi w:val="0"/>
        <w:spacing w:before="120" w:after="60"/>
        <w:ind w:left="0" w:right="0" w:firstLine="540"/>
        <w:jc w:val="center"/>
        <w:rPr/>
      </w:pPr>
      <w:r>
        <w:rPr/>
        <w:drawing>
          <wp:inline distT="0" distB="0" distL="0" distR="0">
            <wp:extent cx="6172200" cy="340995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172200" cy="3409950"/>
                    </a:xfrm>
                    <a:prstGeom prst="rect">
                      <a:avLst/>
                    </a:prstGeom>
                  </pic:spPr>
                </pic:pic>
              </a:graphicData>
            </a:graphic>
          </wp:inline>
        </w:drawing>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JEMPERLI is currently in Phase 3 trials for various solid tumor indications, including a trial in first-line advanced/recurrent endometrial cancer, which reported positive Phase 3 data and has resulted in an MAA filing with the EMA, and a trial in first-line ovarian cancer.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collaboration, GSK is developing dostarlimab in combination with two other development programs from the GSK Agreement: cobolimab, an anti-TIM-3 antibody, and GSK40974386, an anti-LAG-3 antibody for multiple solid tumor indications.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2021, GSK estimated potential peak annual global JEMPERLI sales on a non-risk adjusted basis of £1-£2 billion for currently approved indications and first-line use in endometrial and ovarian cancer only. For more information about these collaborations, see Note 4 — Collaborative Research and Development Agreements in the accompanying notes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29"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Operating Results </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Collaboration Revenue</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March 31, 2023, we have recognized $239.5 million in revenue from our collaborators.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costs associated with our research and development activities, including drug discovery efforts, preclinical and clinical development of our programs, and manufacturing. Our research and development expenses include: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Employee-related expenses, including salaries, benefits, travel, and stock-based compensation;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License and sub-license fees.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toxicology and pharmacology studies, drug product manufacturing, and clinical trials.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be higher for the foreseeable future as we continue to advance our product candidates.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earned on our short-term and long-term investments and is recognized when earned.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30"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March 1, 2023.</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 Comparison of the Three Months Ended March 31, 2023 and 2022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consists of both milestone payments under the collaborations, and royalty payments. We recognized $0 in milestone revenue during each of the three months ended March 31, 2023 and 2022. We expect that any collaboration revenue we generate will continue to fluctuate from period to period as a result of the timing and amount of milestones from our existing collaborations.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 is a function of our partners' product sales and the applicable royalty rate. During the three months ended March 31, 2023 and 2022, we recognized $1.4 million and $1.0 million, respectively, related to the net sales of GSK’s Zejula and JEMPERLI, which we estimate based on GSK’s prior sales experience. All royalty revenue related to Zejula global net sales starting July 2022 are paid directly to a wholly owned subsidiary of DRI Healthcare Trust pursuant to the Zejula Royalty Monetization Agreement. For more information see Note 5 — Sale of Future Royalties in the accompanying notes to the consolidated financial statements.</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$35.0 million during the three months ended March 31, 2023 compared to $22.5 million during the three months ended March 31, 2022 for an increase of $12.5 million, primarily due to a $8.5 million increase in outside services for manufacturing expenses, $1.7 million increase in clinical expenses, $1.5 million increase in salaries and related expenses, including stock compensation expense, and $0.8 million increase in other research and development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31"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tbl>
      <w:tblPr>
        <w:tblW w:w="8550" w:type="dxa"/>
        <w:jc w:val="left"/>
        <w:tblInd w:w="0" w:type="dxa"/>
        <w:tblLayout w:type="fixed"/>
        <w:tblCellMar>
          <w:top w:w="28" w:type="dxa"/>
          <w:left w:w="28" w:type="dxa"/>
          <w:bottom w:w="28" w:type="dxa"/>
          <w:right w:w="28" w:type="dxa"/>
        </w:tblCellMar>
      </w:tblPr>
      <w:tblGrid>
        <w:gridCol w:w="1177"/>
        <w:gridCol w:w="1037"/>
        <w:gridCol w:w="1040"/>
        <w:gridCol w:w="109"/>
        <w:gridCol w:w="109"/>
        <w:gridCol w:w="109"/>
        <w:gridCol w:w="109"/>
        <w:gridCol w:w="139"/>
        <w:gridCol w:w="139"/>
        <w:gridCol w:w="269"/>
        <w:gridCol w:w="919"/>
        <w:gridCol w:w="139"/>
        <w:gridCol w:w="109"/>
        <w:gridCol w:w="109"/>
        <w:gridCol w:w="109"/>
        <w:gridCol w:w="211"/>
        <w:gridCol w:w="721"/>
        <w:gridCol w:w="109"/>
        <w:gridCol w:w="109"/>
        <w:gridCol w:w="109"/>
        <w:gridCol w:w="109"/>
        <w:gridCol w:w="303"/>
        <w:gridCol w:w="1036"/>
        <w:gridCol w:w="221"/>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Imsidolimab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Rosnilimab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and other unallocated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External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$10.8 million during the three months ended March 31, 2023 compared to $10.2 million during the three months ended March 31, 2022 for an increase of $0.6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expense was $4.3 million and $4.9 million during the three months ended March 31, 2023 and 2022, respectively. The decrease in non-cash interest expense is due to a change in the expected timing for Sagard to be paid per the JEMPERLI Royalty Monetization Agreement, partially offset by interest recognized on the liability related to Zejula Royalty Monetization Agreement that was completed in September 2022.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was $4.5 million and $0.3 million during the three months ended March 31, 2023 and 2022, respectively, which primarily related to our short-term and long-term investments. The increase in interest income is due to higher interest rates earned on investments during the three months ended March 31, 2023.</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Other (Expense) Income, Net</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 was less than $0.1 million for the three months ended March 31, 2023 and other income, net was less than $0.1 million for the three months ended March 31, 2022, which primarily related to foreign exchange transactions with our foreign CROs and CMOs.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our inception through March 31, 2023, we have received an aggregate of $1.2 billion to fund our operations, which included $635.9 million from the sale of equity securities, $285.0 million from the sale of future royalties, and $234.2 million from our collaboration agreements. As of March 31, 2023, we had $526.1 million in cash, cash equivalents and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2022, we entered into the Cowen Sales Agreement with Cowen and Company, LLC, through which we may offer and sell shares of our common stock, having an aggregate offering of up to $150.0 million through Cowen and Company, LLC as our sales agent.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Funding Requirements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on January 13, 2023, our board of directors authorized a stock repurchase program (the “Repurchase Program”), whereby we may purchase up to $50.0 million in shares of our common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repurchase activity through March 31, 2023: </w:t>
      </w:r>
    </w:p>
    <w:tbl>
      <w:tblPr>
        <w:tblW w:w="10205" w:type="dxa"/>
        <w:jc w:val="left"/>
        <w:tblInd w:w="0" w:type="dxa"/>
        <w:tblLayout w:type="fixed"/>
        <w:tblCellMar>
          <w:top w:w="28" w:type="dxa"/>
          <w:left w:w="28" w:type="dxa"/>
          <w:bottom w:w="28" w:type="dxa"/>
          <w:right w:w="28" w:type="dxa"/>
        </w:tblCellMar>
      </w:tblPr>
      <w:tblGrid>
        <w:gridCol w:w="558"/>
        <w:gridCol w:w="490"/>
        <w:gridCol w:w="494"/>
        <w:gridCol w:w="845"/>
        <w:gridCol w:w="824"/>
        <w:gridCol w:w="827"/>
        <w:gridCol w:w="109"/>
        <w:gridCol w:w="109"/>
        <w:gridCol w:w="109"/>
        <w:gridCol w:w="482"/>
        <w:gridCol w:w="1407"/>
        <w:gridCol w:w="248"/>
        <w:gridCol w:w="109"/>
        <w:gridCol w:w="109"/>
        <w:gridCol w:w="109"/>
        <w:gridCol w:w="652"/>
        <w:gridCol w:w="2237"/>
        <w:gridCol w:w="487"/>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2023</w:t>
            </w:r>
          </w:p>
        </w:tc>
        <w:tc>
          <w:tcPr>
            <w:tcW w:w="1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1,589,424 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38,456 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r>
        <w:trPr/>
        <w:tc>
          <w:tcPr>
            <w:tcW w:w="1542" w:type="dxa"/>
            <w:gridSpan w:val="3"/>
            <w:tcBorders/>
            <w:vAlign w:val="center"/>
          </w:tcPr>
          <w:p>
            <w:pPr>
              <w:pStyle w:val="TableContents"/>
              <w:bidi w:val="0"/>
              <w:spacing w:before="0" w:after="283"/>
              <w:jc w:val="left"/>
              <w:rPr>
                <w:sz w:val="4"/>
                <w:szCs w:val="4"/>
              </w:rPr>
            </w:pPr>
            <w:r>
              <w:rPr>
                <w:sz w:val="4"/>
                <w:szCs w:val="4"/>
              </w:rPr>
            </w:r>
          </w:p>
        </w:tc>
        <w:tc>
          <w:tcPr>
            <w:tcW w:w="2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we completed the Repurchase Program, and the second quarter activity is presented in Subsequent Events — Note 10 in the accompanying notes to the consolidated financial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totaled $526.1 million as of March 31, 2023, compared to $584.2 million as of December 31, 2022.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three months ended March 31, 2023 and 2022: </w:t>
      </w:r>
    </w:p>
    <w:tbl>
      <w:tblPr>
        <w:tblW w:w="7355" w:type="dxa"/>
        <w:jc w:val="left"/>
        <w:tblInd w:w="0" w:type="dxa"/>
        <w:tblLayout w:type="fixed"/>
        <w:tblCellMar>
          <w:top w:w="28" w:type="dxa"/>
          <w:left w:w="28" w:type="dxa"/>
          <w:bottom w:w="28" w:type="dxa"/>
          <w:right w:w="28" w:type="dxa"/>
        </w:tblCellMar>
      </w:tblPr>
      <w:tblGrid>
        <w:gridCol w:w="1562"/>
        <w:gridCol w:w="1377"/>
        <w:gridCol w:w="1380"/>
        <w:gridCol w:w="211"/>
        <w:gridCol w:w="796"/>
        <w:gridCol w:w="109"/>
        <w:gridCol w:w="109"/>
        <w:gridCol w:w="109"/>
        <w:gridCol w:w="109"/>
        <w:gridCol w:w="211"/>
        <w:gridCol w:w="901"/>
        <w:gridCol w:w="109"/>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(312,912)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(329,317)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three months ended March 31, 2023 of $24.6 million was primarily due to our net loss of $44.3 million, adjusted for addbacks for non-cash expenses of $11.2 million, which includes stock-based compensation, amortization of operating right-of-use assets and liabilities, non-cash interest expense, and income from marketable securities and increases in working capital of $8.5 million. Net cash used in operating activities during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months ended March 31, 2022 of $21.0 million was primarily due to our net loss of $36.3 million, adjusted for addbacks for non-cash expenses of $13.0 million, which includes stock-based compensation, amortization of operating right-of-use assets and liabilities, non-cash interest expense, and income from marketable securities and increases in working capital of $2.3 million.</w:t>
      </w:r>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 during the three months ended March 31, 2023 and 2022 of $85.4 million and $(312.9) million, respectively, primarily relates to the timing of sales, maturities and purchases of our investments.</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Financing Activities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cash (used in) provided by financing activities during the three months ended March 31, 2023 of $(37.6) million was primarily related to $37.5 million paid for repurchases and retirements of common stock, $1.3 million for repayments of the liability for the sale of future royalties, offset by $1.3 million of cash received for the issuance of common stock. The net cash provided by financing activities during the three months ended March 31, 2022 of $4.6 million primarily related to the issuance of common stock.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related to our operating lease and future minimum annual obligations, see Note 9 — Commitments and Contingencies in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2023,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Rules 13a-15(f) and 15d-15(f) of the Exchange Act that occurred during the quarter ended March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w:t>
      </w:r>
    </w:p>
    <w:p>
      <w:pPr>
        <w:pStyle w:val="TextBody"/>
        <w:bidi w:val="0"/>
        <w:spacing w:lineRule="auto" w:line="288" w:before="240" w:after="283"/>
        <w:ind w:left="0" w:right="0" w:firstLine="63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 of Risk Factors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recently commenced clinical development of rosnilimab and ANB032, and have no history of commercializing biotechnology products, which may make it difficult to evaluate the prospects for our future viability.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We have limited operating revenue and a history of operational losses and may not achieve or sustain profitability.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existing collaboration with GSK is important to our business, and future collaborations may also be important to us. If we are unable to maintain this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able to protect our intellectual property rights throughout the world.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market price of our stock has been and may continue to be volatile, and you could lose all or part of your investment.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Discovery and Development of Our Product Candidates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 and we do not currently plan to conduct further development of imsidolimab in indications other than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our other ongoing or future clinical trials of any of our product candidates, including rosnilimab, ANB032, imsidolimab or ANB033, are unsuccessful, whether for one of the reasons mentioned above or otherwise, our product candidates may be delayed in development or fail entirely, which would have a material adverse impact on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establishing commercial manufacturing capabilities and/or making arrangements with third-party manufacturers;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our product candidates, if and when approved, by patients, the medical community and third-party payors;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conducted various preclinical studies of our product candidates, but we do not know the predictive value of these studies for humans, and we cannot guarantee that any positive results in preclinical studies will successfully translate to human patients. Phase 2 and Phase 3 clinical trials with rosnilimab, ANB032 and imsidolimab are ongoing or planned.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labeling, approval, selling, marketing and distribution of drug and biologic products are subject to extensive regulation by the FDA and foreign regulatory authorities.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non-clinical or clinical sites becoming unavailable due to political, economic, or public health events, such as the COVID-19 pandemic;</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outcomes or financial constraints.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 candidates may not be effective, may be only moderately effective, or may prove to have undesirable or unintended side effects, toxicities or other characteristics that may preclude our obtaining marketing approval or prevent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recently commenced clinical development of rosnilimab and ANB032, and have no history of commercializing biotechnology products, which may make it difficult to evaluate the prospects for our future viability.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candidates can be successfully commercialized. Clinical trials and commercializing our wholly 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submitting INDs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poor effectiveness or unacceptable side effects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serious and unexpected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varying interpretations of data by the FDA and foreign regulatory authorities.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42"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anti-PD-1 agonist antibody program, our competitors include other anti-PD-1 agonist antibodies peresolimab (Eli Lilly) in Phase 2b development for the treatment of rheumatoid arthritis, JNJ-67484703 (Janssen) in Phase 2 development for the treatment of atopic dermatitis, a PD-1 agonist antibody (Boehringer Ingelheim) in Phase 1 development, PT627 and PT001 (Pandion Therapeutics, which has been acquired by Merck) in preclinical development, and MB151 (MiroBio, which has been acquired by Gilead) in preclinical development. Our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in Phase 1 development which has been acquired by Gilead). Our competitors in moderate-to-severe atopic dermatitis include topical and oral corticosteroids, calcineurin inhibitors (Protopic; LEO Pharma and Elidel; Bausch Health), monoclonal antibodies targeting IL-4/13 (Dupixent; Regeneron/Sanofi), IL-13 (Adbry; LEO Pharma and lebrikizumab; Eli Lilly), IL-31 (nemolizumab; Galderma), OX-40L (amlitelimab; Sanofi), and janus kinase inhibitors (Rinvoq; AbbVie and abrocitinib; Pfizer).</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competitors include one other anti-CD122 antagonist antibody, auremolimab (Villaris Therapeutics, which has been acquired by Incyte), currently in preclinical development, and an anti-IL-15 monoclonal antibody, AMG 714 (Amgen), currently in Phase 2 development for the treatment of vitiligo.</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imsidolimab in the treatment of GPP, our competitors include one other anti-IL-36 receptor antibody called SPEVIGO or spesolimab (Boehringer Ingelheim), recently approved for GPP flares in adults.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efficacy and safety profile as demonstrated in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clinical indications for which the product candidate is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43"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the product candidate as a safe and effective treatment by physicians, clinics and patients;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potential and perceived advantages of product candidates over alternative treatments, including any similar generic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ans-serif" w:hAnsi="Times New Roman;sans-serif"/>
          <w:b w:val="false"/>
          <w:color w:val="000000"/>
          <w:sz w:val="20"/>
        </w:rPr>
        <w:t>unfavorable publicity relating to the product candidate.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all of our therapeutic antibodies are manufactured by starting with cells which are stored in a cell bank. We have one master cell bank for each antibody manufactured in accordance with cGMP and create multiple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such as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44"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20"/>
        <w:jc w:val="left"/>
        <w:rPr/>
      </w:pPr>
      <w:r>
        <w:rPr>
          <w:rFonts w:ascii="Times New Roman;sans-serif" w:hAnsi="Times New Roman;sans-serif"/>
          <w:b w:val="false"/>
          <w:color w:val="000000"/>
          <w:sz w:val="20"/>
        </w:rPr>
        <w:t>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r>
        <w:rPr>
          <w:color w:val="000000"/>
        </w:rPr>
        <w:t xml:space="preser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88" w:before="240" w:after="283"/>
        <w:jc w:val="left"/>
        <w:rPr>
          <w:rFonts w:ascii="Times New Roman;sans-serif" w:hAnsi="Times New Roman;sans-serif"/>
          <w:b/>
          <w:color w:val="212529"/>
          <w:sz w:val="20"/>
        </w:rPr>
      </w:pPr>
      <w:r>
        <w:rPr>
          <w:rFonts w:ascii="Times New Roman;sans-serif" w:hAnsi="Times New Roman;sans-serif"/>
          <w:b/>
          <w:color w:val="212529"/>
          <w:sz w:val="20"/>
        </w:rPr>
        <w:t xml:space="preserve">Political, economic or public health events, such as the COVID-19 pandemic, may have a material impact on the U.S. and global economies and could have a material adverse impact on our employees, contractors and patients, which could adversely and materially impact our business, financial condition and results of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Political, economic, or public health events, such as the COVID-19 pandemic and related mitigation measures or actual or perceived instability in the U.S. and global banking systems, have had, and may continue to have, an adverse impact on global economic conditions, which could have an adverse effect on our business and financial condition, including impairing our ability to raise capital when needed. The extent to which any political, economic or public health event impacts our business and operations will depend on future developments that are highly uncertain and cannot be predicted, including new information that may emerge concerning the severity of the virus and the actions to contain its impact.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early-stage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in every year except fiscal year 2014. For the three months ended March 31, 2023, we had $1.4 million in collaboration revenue and a net loss of $44.3 million. For the three months ended March 31, 2022, we had $1.0 million in collaboration revenue and a net loss of $36.3 million. As of March 31, 2023, we had an accumulated deficit of $494.7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through our initial public offering of common stock in January 2017, our follow-on public offerings of common stock in October 2017 and September 2018, our JEMPERLI Royalty Monetization Agreement, and our Zejula Royalty Monetization Agreement. We have devoted substantially all of our efforts to research and development. We have only recently initiated clinical development for three of our product candidates and expect that it will be several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 research and preclinical development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45"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approvals for the product candidates we develop or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coverage and adequate product reimbursement from third-party payors, including government payors;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achieve market acceptance for our or our collaborators’ products, if 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46"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staff to conserve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 and future product candidates we may develop;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commercial success or failure of products sold by our collaborators, such as JEMPERLI by GSK, and the timing thereof;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recruiting and retaining key employees, including any search for a permanent replacement President and Chief Executive Officer, if applicable;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and fees associated with any delays or cancellations of forecasted manufacturing batches;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47"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Growth, Operations and Macroeconomic Conditions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must attract and retain highly skilled employees in order to succeed.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Interim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In March 2022, Daniel Faga, a Class I director of our Board, was appointed as our Interim President and Chief Executive Officer. We may in the future conduct a search to identify a permanent replacement to serve as our President and Chief Executive Officer. The competition for qualified personnel in the biotechnology field is intense and, as a result, we may be unable to continue to attract and retain qualified personnel necessary for the development of our business or to recruit suitable replacement personnel, permanent replacement to serve as our President and Chief Executive Officer.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48"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vulnerable to disruption, damage and financial obligation as a result of system failures.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49"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existing collaboration with GSK is important to our business, and future collaborations may also be important to us. If we are unable to maintain this collaboration, or if this collaboration is not successful, our business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Our operational obligations under each of our collaborations has ended.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 subsequently settled this matter in October 2020, but</w:t>
      </w:r>
      <w:r>
        <w:rPr>
          <w:color w:val="000000"/>
        </w:rPr>
        <w:t xml:space="preserve"> </w:t>
      </w:r>
      <w:r>
        <w:rPr>
          <w:rFonts w:ascii="Times New Roman;sans-serif" w:hAnsi="Times New Roman;sans-serif"/>
          <w:b w:val="false"/>
          <w:color w:val="000000"/>
          <w:sz w:val="24"/>
        </w:rPr>
        <w:t>t</w:t>
      </w:r>
      <w:r>
        <w:rPr>
          <w:rFonts w:ascii="Times New Roman;sans-serif" w:hAnsi="Times New Roman;sans-serif"/>
          <w:b w:val="false"/>
          <w:color w:val="000000"/>
          <w:sz w:val="20"/>
        </w:rPr>
        <w:t>here can be no assurance that we will not encounter such issues under our collaborations with GSK or other parties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succeed in establishing and maintaining additional development and commercialization collaborations, including the development or out-licensing of our legacy product candidates, which could adversely affect our ability to develop and commercialize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including our plans to develop and out-license our legacy product candidates, imsidolimab and etokimab.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bear all of the risk related to the development and commercialization of any such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50"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51"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political, economic or public health events, such as the COVID-19 pandemic, it could limit our ability to manufacture our product candidates for our preclinical or clinical studies.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Regulatory Approval of Our Product Candidates and Other Legal Compliance Matters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refusal to approve pending BLAs or supplements to approved BLAs.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52"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drugs we develop may become subject to unfavorable third-party reimbursement practices and pricing regulations.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53"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 will need to implement a coverage and reimbursement strategy for any approved product candidate that accounts for the smaller potential market size.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54"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ACA was enacted in 2010 with a goal, among others, of reducing the cost of healthcare and substantially changing the way healthcare is financed by both government and private insurers. The ACA, among other things, 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Biden Administration has indicated an intent to address prescription drug pricing and recent Congressional hearings have brought increased public attention to the costs of prescription drugs.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IRA, in August 2022, which will, among other things, allow the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 cannot predict the reform initiatives that may be adopted in the future or whether initiatives that have been adopted will be repealed or modified.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55"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COVID-19 pandemic and whether such action will adversely affect our or our collaborators’ ability to obtain marketing approval for or successfully commercialize our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federal Physician Payments Sunshine Act requires applicable manufacturers of covered drugs, devices, biologics, and medical supplies for which payment is available under Medicare, Medicaid, or the Children’s Health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56"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Following the UK’s exit from the European Union, the UK government transposed the General Data Protection Regulation into UK national law, thereby creating the “UK GDPR.” The UK made a number of technical changes to GDPR under the Data Protection, Privacy and Electronic Communications Regulation 2019. The UK Data Protection Act 2018 (“Data Protection Act”) also remains in place as a national data protection law that supplements UK GDPR. Additionally, California enacted the California Consumer Privacy Act (“CCPA”), which became effective on January 1, 2020, and the California Privacy Rights Act (“CPRA”), which expands upon the CCPA is now in effect as of January 1, 2023 with enforcement beginning on July 1, 2023, subject to regulations promulgated through a newly created enforcement agency called the California Privacy Protection Agency (“CPPA”). The CCPA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The CCPA and CPRA provide California residents expanded rights to access and delete their personal information, opt out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57"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personal information sharing and receive detailed information about how their personal information is used, and provides for civil penalties for violations, as well as a private right of action for data breaches that is expected to increase data breach litigation. Comparable consumer privacy laws are set to take effect in 2023 in several other states.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protect our intellectual property rights throughout the world.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Times New Roman;sans-serif" w:hAnsi="Times New Roman;sans-serif"/>
          <w:b w:val="false"/>
          <w:i/>
          <w:color w:val="000000"/>
          <w:sz w:val="20"/>
        </w:rPr>
        <w:t>Association for Molecular Pathology v. Myriad Genetics, Inc.</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BRCA1- &amp; BRCA2-Based Hereditary Cancer Test Patent Litig</w:t>
      </w:r>
      <w:r>
        <w:rPr>
          <w:rFonts w:ascii="Times New Roman;sans-serif" w:hAnsi="Times New Roman;sans-serif"/>
          <w:b w:val="false"/>
          <w:color w:val="000000"/>
          <w:sz w:val="20"/>
        </w:rPr>
        <w:t>.,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by any of our third-party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upon our ability, and the ability of our licensors, licensees and collaborators, to develop, manufacture, market and sell our product candidates and use our and our licensors’, licensees’ or collaborators’ wholly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inability to protect our confidential information and trade secrets would harm our business and competitive position.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The market price of our stock has been and may continue to be volatile,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preclinical studies and clinical trials of our product candidates or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disputes, breaches and terminations of our manufacturing agreements, collaborations agreements or other important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purchases of our common stock by us pursuant to our ongoing stock repurchase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uncertainty and capital markets disruptions, which have been substantially impacted by geopolitical instability due to the ongoing military conflict in Ukraine, actual or perceived instability in the U.S. and global banking systems, and rising interest rates and inflation.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securities litigation, which is expensive and could divert management attention.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 entered into the Cowen Sales Agreement with Cowen and Company, LLC, through which we may offer and sell shares of our common stock, having an aggregate offering of up to $150.0 million through Cowen and Company, LLC as our sales agent.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disclosure controls and procedures may not prevent or detect all errors or acts of fraud.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are elected at one time;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or for proposing matters that can be acted upon by stockholders at annual stockholder meetings.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plan to use our federal and state net operating loss (“NOL”) carryforwards to offset current year taxable income from revenue generated from operations or corporate collaborations. However, our ability to use NOL carryforwards to offset taxable income in future years could be limited by the provisions of Section 382 of the US Internal Revenue Code of 1986, as amended (the “Code”), in the event a cumulative change in ownership of more than 50% over a three-year period occurs.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Our significant state NOLs were generated in the state of California, which provides a 20 year carry forward. State NOL carryforwards may be similarly limited by cumulative ownership changes. Any such disallowances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we have federal NOLs of approximately $287.4 million. Of this, $53.1 million expire beginning December 31, 2029 through December 31, 2037, if not used to reduce income taxes payable in the future and $234.3 million carry forward indefinitely.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13, 2023, our board of directors approved a Repurchase Program to repurchase up to $50.0 million of shares of our outstanding common stock, par value $0.001 per share. The Repurchase Program was completed in May 2023. The following table contains information with respect to repurchases made by us during the five months ended May 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44"/>
        <w:gridCol w:w="415"/>
        <w:gridCol w:w="420"/>
        <w:gridCol w:w="109"/>
        <w:gridCol w:w="109"/>
        <w:gridCol w:w="109"/>
        <w:gridCol w:w="744"/>
        <w:gridCol w:w="410"/>
        <w:gridCol w:w="412"/>
        <w:gridCol w:w="109"/>
        <w:gridCol w:w="109"/>
        <w:gridCol w:w="109"/>
        <w:gridCol w:w="279"/>
        <w:gridCol w:w="815"/>
        <w:gridCol w:w="144"/>
        <w:gridCol w:w="109"/>
        <w:gridCol w:w="109"/>
        <w:gridCol w:w="109"/>
        <w:gridCol w:w="966"/>
        <w:gridCol w:w="657"/>
        <w:gridCol w:w="659"/>
        <w:gridCol w:w="109"/>
        <w:gridCol w:w="109"/>
        <w:gridCol w:w="109"/>
        <w:gridCol w:w="471"/>
        <w:gridCol w:w="1611"/>
        <w:gridCol w:w="350"/>
      </w:tblGrid>
      <w:tr>
        <w:trPr/>
        <w:tc>
          <w:tcPr>
            <w:tcW w:w="54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 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 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 Maximum approximate dollar value of shares that may yet be purchased under the plans or programs </w:t>
              <w:b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13, 2023 - January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191,106 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191,106 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702,655 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702,655 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695,663 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695,663 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2023 - April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386,963 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386,963 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2023 - May 5,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147,827 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147,827 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2,124,214 </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2,124,214 </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Eric Loumeau Amended and Restated Employment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Effective May 8, 2023 the Compensation Committee of the Board of Directors agreed to amend and restate Eric Loumeau’s employment agreement with the Company (the “A&amp;R Employment Agreement”), dated July 15, 2020, as amended and restated on April 25, 2022. Pursuant to the A&amp;R Employment Agreement (i) Mr. Loumeau’s title changed from Chief Operating Officer and General Counsel to Chief Legal Officer and (ii) his target annual bonus percentage was set at 40%. Mr. Loumeau’s compensation terms were otherwise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filed or furnished as part of this Quarterly Report on Form 10-Q are set forth on the Exhibit Index,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2"/>
        <w:gridCol w:w="249"/>
        <w:gridCol w:w="250"/>
        <w:gridCol w:w="109"/>
        <w:gridCol w:w="109"/>
        <w:gridCol w:w="109"/>
        <w:gridCol w:w="2792"/>
        <w:gridCol w:w="2687"/>
        <w:gridCol w:w="2698"/>
        <w:gridCol w:w="109"/>
        <w:gridCol w:w="109"/>
        <w:gridCol w:w="109"/>
        <w:gridCol w:w="109"/>
        <w:gridCol w:w="109"/>
        <w:gridCol w:w="109"/>
        <w:gridCol w:w="109"/>
        <w:gridCol w:w="157"/>
      </w:tblGrid>
      <w:tr>
        <w:trPr/>
        <w:tc>
          <w:tcPr>
            <w:tcW w:w="2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oumeauthirdamemployment.htm">
              <w:r>
                <w:rPr>
                  <w:rStyle w:val="InternetLink"/>
                  <w:rFonts w:ascii="Times New Roman;sans-serif" w:hAnsi="Times New Roman;sans-serif"/>
                  <w:b w:val="false"/>
                  <w:color w:val="0000FF"/>
                  <w:sz w:val="18"/>
                  <w:u w:val="single"/>
                </w:rPr>
                <w:t>Loumeau Amended and Restated Employment Agreement</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3x10qxexx311.htm">
              <w:r>
                <w:rPr>
                  <w:rStyle w:val="InternetLink"/>
                  <w:rFonts w:ascii="Times New Roman;sans-serif" w:hAnsi="Times New Roman;sans-serif"/>
                  <w:b w:val="false"/>
                  <w:color w:val="0000FF"/>
                  <w:sz w:val="18"/>
                  <w:u w:val="single"/>
                </w:rPr>
                <w:t>Certification of Principal Executive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3x10qxexx312.htm">
              <w:r>
                <w:rPr>
                  <w:rStyle w:val="InternetLink"/>
                  <w:rFonts w:ascii="Times New Roman;sans-serif" w:hAnsi="Times New Roman;sans-serif"/>
                  <w:b w:val="false"/>
                  <w:color w:val="0000FF"/>
                  <w:sz w:val="18"/>
                  <w:u w:val="single"/>
                </w:rPr>
                <w:t>Certification of Principal Financial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3x10qxex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3x10qxex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Report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(formatted in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6344" w:type="dxa"/>
        <w:jc w:val="left"/>
        <w:tblInd w:w="0" w:type="dxa"/>
        <w:tblLayout w:type="fixed"/>
        <w:tblCellMar>
          <w:top w:w="28" w:type="dxa"/>
          <w:left w:w="28" w:type="dxa"/>
          <w:bottom w:w="28" w:type="dxa"/>
          <w:right w:w="28" w:type="dxa"/>
        </w:tblCellMar>
      </w:tblPr>
      <w:tblGrid>
        <w:gridCol w:w="200"/>
        <w:gridCol w:w="177"/>
        <w:gridCol w:w="178"/>
        <w:gridCol w:w="414"/>
        <w:gridCol w:w="414"/>
        <w:gridCol w:w="417"/>
        <w:gridCol w:w="235"/>
        <w:gridCol w:w="235"/>
        <w:gridCol w:w="235"/>
        <w:gridCol w:w="1117"/>
        <w:gridCol w:w="1117"/>
        <w:gridCol w:w="160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11, 2023</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center"/>
        <w:rPr/>
      </w:pPr>
      <w:bookmarkStart w:id="0" w:name="loumeauthirdamemployment.htm"/>
      <w:bookmarkStart w:id="1" w:name="ksloumeauthirdamemployment"/>
      <w:bookmarkEnd w:id="0"/>
      <w:bookmarkEnd w:id="1"/>
      <w:r>
        <w:rPr/>
        <w:drawing>
          <wp:inline distT="0" distB="0" distL="0" distR="0">
            <wp:extent cx="10048875" cy="13001625"/>
            <wp:effectExtent l="0" t="0" r="0" b="0"/>
            <wp:docPr id="7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73"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jc w:val="center"/>
        <w:rPr>
          <w:color w:val="FFFFFF"/>
          <w:sz w:val="2"/>
        </w:rPr>
      </w:pPr>
      <w:r>
        <w:rPr>
          <w:color w:val="FFFFFF"/>
          <w:sz w:val="2"/>
        </w:rPr>
        <w:t xml:space="preserve">ANAPTYSBIO, INC. AMENDED AND RESTATED EMPLOYMENT AGREEMENT This Amended and Restated Employment Agreement (this “Agreement”) is made effective from May 8, 2023 (the “Effective Date”) by and among AnaptysBio, Inc. (the “Company”) and Eric Loumeau (“Executive”). The Company and Executive are hereinafter collectively referred to as the “Parties,” and individually referred to as a “Party.” This Agreement amends and restates in its entirety that certain Amended and Restated Employment Agreement between Executive and the Company dated April 25, 2022 (the “Prior Agreement”). RECITAL The Company desires to continue to employ Executive, and Executive is willing to accept such employment by Company, on the terms and subject to the conditions set forth in this Agreement. AGREEMENT In consideration of the foregoing Recitals and the mutual promises and covenants herein contained, and for other good and valuable consideration, the Parties, intending to be legally bound, agree as follows: 1. EMPLOYMENT. 1.1 Title. Effective as of the Effective Date, Executive’s position shall be Chief Legal Officer of the Company, subject to the terms and conditions set forth in this Agreement. 1.2 Term. The term of this Agreement shall begin on the Effective Date and shall continue until it is terminated pursuant to Section 4 herein (the “Term”). 1.3 Duties. Executive shall do and perform all services, acts or things necessary or advisable to manage and conduct the business of the Company and that are normally associated with the positions of the Chief Legal Officer of the Company. Executive shall also do and perform all services, acts or things necessary or advisable to manage and conduct the business of the Company and that are normally associated with the positions of Secretary and Chief Compliance Officer of the Company. Executive shall report to the Chief Executive Officer. 1.4 Policies and Practices. The employment relationship between the Parties shall be governed by this Agreement and by the policies and practices established by the Company and/or the Company’s Board of Directors (the “Board”), or any designated committee thereof. In the event that the terms of this Agreement differ from or are in conflict with the Company’s policies or practices or the Company’s Employee Handbook, this Agreement shall control. 1.5 Location. Unless the Parties otherwise agree in writing, and except as provided in this Section 1.5, during the Term Executive shall perform the services Executive is required to perform pursuant to this Agreement at the Company’s offices in San Diego, California; provided, however, that the Company may from time to time require Executive to travel temporarily to other locations in connection with the Company’s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LOYALTY; NONCOMPETITION; NONSOLICITATION. 2.1 Loyalty. During Executive’s employment with the Company, Executive shall devote Executive’s full business energies, interest, abilities and productive time to the proper and efficient performance of Executive’s duties under this Agreement. 2.2 Agreement not to Participate in Company’s Competitors. During Executive’s employment with the Company, Executive agrees not to 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 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 2.3 Covenant not to Compete. During Executive’s employment with the Company, Executive shall not engage in competition with the Company and/or any of its Affiliates in any manner or capacity, as adviser, principal, agent, affiliate, promoter, partner, officer, director, employee, owner, co- owner, consultant, in any phase of the business of developing, manufacturing and marketing of products or services that directly compete with the products or services of the Company, except with the prior written consent of the CEO. Executive shall be entitled to request written consent of the CEO with respect to potential advisory and/or director opportunities presented to Executive by a third party, which Executive believes in good faith will not interfere or compete with the on-going business of the Company. 3. COMPENSATION OF EXECUTIVE. 3.1 Base Salary. The Company shall pay Executive a base salary at the annualized rate of $493,828.28 (the “Base Salary”), less payroll deductions and all required withholdings, payable in regular periodic installments in accordance with the Company’s normal payroll practices. The Base Salary shall be prorated for any partial year of employment on the basis of a 365-day fiscal year. 3.2 Discretionary Bonus. At the sole discretion of the Board and Chief Executive Officer, promptly following each calendar year of employment Executive shall be eligible to receive a discretionary cash bonus of up to 40% of Executive’s then-current Base Salary (the “Bonus”), based on Executive’s achievement relative to certain performance goals (“Performance Goals”) to be established by the Chief Executive Officer and/or the Board or the Compensation Committee of the Board (the “Committee”) in writing in a manner reasonably consistent with the Company’s priorities. The determination of whether Executive has met the Performance Goals for any given year, and if so, the amount of any Bonus that will be paid for such year (if any), shall be determined by the Board or the Committee and Chief Executive Officer in their sole and absolute discretion. In order to be eligible to earn or receive any Bonus, Executive must remain employed by the Company through and including the date of payment of such Bonus. For the first calendar year of Executive’s employment with the Company, the Bonus payable shall be pro-rated in accordance with the percentage of the calendar year that the Executive is an employee of the Company. 3.3 Expense Reimbursements. The Company will reimburse Executive for all reasonable business expenses Executive incurs in conducting his duties hereunder, pursuant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Company’s usual expense reimbursement policies; provided that Executive supplies the appropriate substantiation for such expenses no later than the end of the calendar month following the month in which such expenses were incurred by Executive. 3.4 Changes to Compensation. Executive’s compensation will be reviewed annually and may be changed from time to time in the Company’s sole discretion. 3.5 Employment Taxes. All of Executive’s compensation shall be subject to customary withholding taxes and any other employment taxes as are commonly required to be collected or withheld by the Company, as determined by the Company. 3.6 Benefits. Executive shall, in accordance with Company policy and the terms of the applicable plan documents, be eligible to participate in benefits under any benefit plan or arrangement that may be in effect from time to time and made available to the Company’s senior management employees. 3.7 Holidays and Vacation. Executive shall be eligible for paid holiday and vacation time in accordance with Company policy as in effect from time to time. 4. TERMINATION. 4.1 Termination by the Company. Executive’s employment with the Company is at will and may be terminated by the Company at any time and for any reason, or for no reason, including, but not limited to, under the following conditions: 4.1.1 Termination by the Company for Cause. The Company may terminate Executive’s employment under this Agreement for Cause (as defined below) by delivery of written notice to Executive. Any notice of termination given pursuant to this section shall effect termination as of the date of the notice, or as of such other date specified in the notice. 4.1.2 Termination by the Company without Cause. The Company may terminate Executive’s employment under this Agreement without Cause at any time and for any reason, or for no reason. Such termination shall be effective on the date Executive is so informed, or as otherwise specified by the Company. 4.2 Termination by Executive. Executive may terminate his employment with the Company at any time and for any reason, or for no reason, upon thirty (30) days written notice to the Company. 4.3 Termination for Death or Disability. Executive’s employment with the Company shall automatically terminate effective upon the date of Executive’s death or Disability (as defined in the Company’s 2017 Equity Incentive Plan, as amended from time to time (the “Plan”))). 4.4 Termination by Mutual Agreement of the Parties. Executive’s employment with the Company may be terminated at any time upon a mutual agreement in writing of the Parties. Any such termination of employment shall have the consequences specified in such agreement. 4.5 Compensation upon Termination. 4.5.1 Death or Disability. If Executive’s employment is terminated by death or Disability, the Company shall pay to Executive, or to Executive’s heirs, Executive’s accrued and unpaid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 4.5.2 Termination for Cause. If the Company terminates Executive’s employment for Cause, then the Company shall pay Executive’s accrued and unpaid 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 4.5.3 Termination by Company without Cause or by Executive for Good Reason Not In Connection with a Change in Control. If the Company terminates Executive’s employment without Cause or if Executive resigns his employment for Good Reason (as defined below), in either case at any time other than upon the occurrence of, or within the 13 months immediately following, the effective date of a Change in Control, the Company shall pay Executive’s accrued and unpaid Base Salary and accrued and unused vacation benefits earned through the date of termination, at the rate in effect at the time of termination, less standard deductions and withholdings. In addition to the above, if Executive furnishes to the Company an executed waiver and release of claims in the form attached hereto as Exhibit A (or in such other form as may be specified by the Company) (the “Release”) within the time period specified therein, but in no event later than 45 days following Executive’s termination, and if Executive allows such Release to become effective in accordance with its terms, then (i) Executive shall be entitled to severance in the form of continuation of his Base Salary, at the Base Salary rate equal to the greater of the rate in effect at the time of termination or the rate immediately prior to the event giving rise to Good Reason (the “Severance Payments”), for a period of nine (9) months following the termination date (the “Severance Period”), and (ii) if Executive timely elects COBRA coverage, the Company will pay directly to the insurance provider the premium for COBRA continuation coverage for Executive and Executive’s family during the Severance Period or until he obtains new employment, whichever comes first (the “COBRA Coverage”);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Executive, in lieu thereof, taxable, continued installment payments equal to the COBRA premium, payable on the last day of a given month, for 9 months (measured from the termination date), which payments will be made regardless of whether Executive elects COBRA continuation coverage (the “COBRA Bonus”).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provided, further, that if the 45 day period to execute the Release spans two calendar years, no Severance Payments will be made until the later calendar year. The Company shall thereafter have no further obligations to Executive under this Agreement, except as otherwise provided by law. 4.5.4 Termination by Company without Cause or by Executive for Good Reason In Connection with a Change in Control. If the Company terminates Executive’s employment without Cause or if Executive resigns his employment for Good Reason, in either case upon the occurrence of, or within the 13 months immediately following, the effective date of a Change in Control, the Company shall pay Executive’s accrued and unpaid Base Salary and accrued and unused vacation benefits earned through the date of termination, at the rate in effect at the time of termination, less standard deductions and withholdings. In addition, if Executive furnishes to the Company an executed Release within the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period specified therein, but in no event later than 45 days following Executive’s termination, and if Executive allows such Release to become effective in accordance with its terms, then Executive shall be entitled to: (1) the Severance Payments and COBRA payments described in Section 4.5.3 above; provided, however, that the Severance Payments and COBRA payments shall be increased from 9 months to 12 months, (2) a lump-sum cash amount equal to the Bonus plus an amount equal to the product of (A) the Bonus, calculated based upon actual achievement of Performance Goals as determined by the Board, multiplied by (B) the quotient of (i) the number of days elapsed in such fiscal year through the effective date of Executive’s termination divided by (ii) 365, and (3) accelerated vesting of all of Executive’s unvested Company equity awards, such that Executive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Executive under this Agreement, except as otherwise provided by law. 4.6 Definitions. For purposes of this Agreement, the following terms shall have the following meanings: 4.6.1 “Cause” shall mean the occurrence of any one or more of the following: (i) Executive’s commission of any crime involving 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provided, however, that the action or conduct described in clauses (iii) and (iv) above will constitute “Cause” only if such action or conduct continues after the Company has provided Executive with written notice thereof and thirty (30) days to cure, or otherwise remedy to the extent possible under direct control of the Executive, the same. An occurrence of “Cause” as set forth in the preceding sentence shall be based upon a good faith determination by the Board. Executive’s Disability shall not constitute Cause as set forth herein. The determination that a termination is for Cause shall be by the Board in its sole and exclusive judgment and discretion. 4.6.2 “Change in Control” shall have the meaning set forth in the Plan. 4.6.3 “Good Reason” shall mean any of the following actions: (i) the assignment to Executive of any duties or responsibilities that results in a material diminution in Executive’s function as in effect immediately prior to the effective date of the Change in Control; provided, however, that it will be considered a material diminution in Executive’s function if, following a Change in Control, the Executive is not reporting directly to the Chief Executive Officer who is in turn reporting to the Company’s (or if applicable ultimate parent entity’s) corporate board of directors; (ii) a reduction by the Company in Executive’s annual Base Salary as in effect on the effective date of the Change in Control; provided, however,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Reason to occur, the Executive must provide the Company with written notice of the condition constituting Good Reason within 90 days of the initial occurrence of such condition, and allow the Company a 30-day cure period in which to cure such condition, and the Executive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 4.7 Survival of Certain Sections. Sections 3.4, 3.6 and 4 through 18 of this Agreement will survive the termination of this Agreement. 4.8 Parachute Payment. If any payment or benefit Executive would receive pursuant to this Agreement (“Payment”) would (i) constitute a “Parachute Payment” within the meaning of Section 280G of the Internal Revenue Code of 1986, as amended (the “Code”), and (ii) but for this sentence, be subject to the excise tax imposed by Section 4999 of the Code (the “Excise Tax”), then such Payment shall be equal to the Reduced Amount. The “Reduced Amount”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Executive. If more than one method of reduction will result in the same economic benefit, the items so reduced will be reduced pro rata. In the event it is subsequently determined by the Internal Revenue Service that some portion of the Reduced Amount (as determined pursuant to clause (x) 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 (y) in the preceding paragraph, Executive will have no obligation to return any portion of the Payment pursuant to the preceding sentence. 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 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 that time by Executive or the Company) or such other time as requested by Executive or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4.9 Application of Internal Revenue Code Section 409A. Notwithstanding anything to the contrary set forth herein, any payments and benefits provided under this Agreement (the “Severance Benefits”) that constitute “deferred compensation” within the meaning of Section 409A of the Code and the regulations and other guidance thereunder and any state law of similar effect (collectively “Section 409A”) shall not commence in connection with Executive’s termination of employment unless and until Executive has also incurred a “separation from service” (as such term is defined in Treasury Regulation Section 1.409A-1(h)) (“Separation From Service”), unless the Company reasonably determines that such amounts may be provided to Executive without causing Executive to incur the additional 20% tax under Section 409A. 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“Specified Employee Initial Payment Date”), the Company (or the successor entity thereto, as applicable) shall (A) pay to Executive a lump sum amount equal to the sum of the Severance Benefit payments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 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 5. CONFIDENTIAL AND PROPRIETARY INFORMATION. Executive has already executed, as a condition of Executive’s employment with the Company, the Company’s standard form of Proprietary Information and Inventions Agreement (the “PIIA”). The PIIA remains in full force and effect. 6. ASSIGNMENT AND BINDING EFFECT. This Agreement shall be binding upon and inure to the benefit of Executive and Executive’s heirs, executors, personal representatives, assigns, administrators and legal representatives. Because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7. NOTICES. 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 If to the Company: 10770 Wateridge Circle, Suite 210 San Diego, CA 92121 Attention: Chief Executive Officer If to Executive: Eric Loumeau 15024 Huntington Gate Drive Poway, CA 92064 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 8. CHOICE OF LAW. This Agreement shall be construed and interpreted in accordance with the internal laws of the State of California without regard to its conflict of laws principles. 9. INTEGRATION. This Agreement, including Exhibit A and the PIIA, contains the complete, final and exclusive agreement of the Parties relating to the terms and conditions of Executive’s employment and the termination of Executive’s employment, and supersedes any and all prior and/or contemporaneous oral and written employment agreements or arrangements between the Parties, including the Prior Agreement, which is hereby terminated. By signing below, Executive acknowledges that he has been paid all compensation and benefits owed to him by the Company and that the Company has fully performed all of its obligations under the Prior Agreement. 10. AMENDMENT. This Agreement cannot be amended or modified except by a written agreement signed by Executive and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11. WAIVER. 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 12. SEVERABILITY. 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 13. INTERPRETATION; CONSTRUCTION. 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 14. REPRESENTATIONS AND WARRANTIES. 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 15. COUNTERPARTS. This Agreement may be executed in two counterparts, each of which shall be deemed an original, all of which together shall contribute one and the same instrument. 16. ARBITRATION. 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(“JAMS”),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be entitled to pursue in a 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 17. TRADE SECRETS OF OTHERS. 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 Executive shall not provide to the Company and/or its Affiliates, and the Company and/or its Affiliates shall not request, any documents or copies of documents containing such information. 18. ADVERTISING WAIVER. 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 services to the Company appear. Executive hereby waives and releases any claim or right Executive may otherwise have arising out of such use, publication or distribution. [REMAINDER OF THIS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EMPLOYMENT AGREEMENT] IN WITNESS WHEREOF, the Parties have executed the Agreement as of the date below. ANAPTYSBIO, INC. By: /s/Daniel Faga Name: Dan Faga Title: Interim President &amp; CEO Dated: 05/08/2023 Executive: /s/ Eric Loumeau ERIC LOUMEAU Dated: 05/08/2023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RELEASE AND WAIVER OF CLAIMS TO BE SIGNED ON OR FOLLOWING THE SEPARATION DATE ONLY In consideration of the payments and other benefits set forth in the Amended and Restated Employment Agreement effective May ___, 2023, to which this form is attached, I, Eric Loumeau, hereby furnish ANAPTYSBIO, INC. (the “Company”), with the following release and waiver (“Release and Waiver”). In exchange for the consideration provided to me by the Amended and Restated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“Released Parties”) from any and all claims, liabilities and obligations, both known and unknown, that arise out of or are in any way related to events, acts, conduct, or omissions occurring prior to or on the date that I sign this Agreement (collectively, the “Released Claims”).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“ADEA”), the California Labor Code, and the California Fair Employment and Housing Act (as amended). Notwithstanding the foregoing, the following are not included in the Released Claims (the “Excluded Claims”):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 I also acknowledge that I have read and understand Section 1542 of the California Civil Code which reads as follows: “A general release does not extend to claims which the creditor does not know or suspect to exist in his or her favor at the time of executing the release, which if known by him or her must have materially affected his or her settlement with the debtor.” I hereby expressly waive and relinquish all rights and benefits under that Section and any law of any jurisdiction, including New York, of similar effect with respect to any claims I may have against the Company. 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 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 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 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 Date: By: ERIC LOUMEAU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Daniel Faga,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11, 2023 </w:t>
      </w:r>
    </w:p>
    <w:p>
      <w:pPr>
        <w:pStyle w:val="TextBody"/>
        <w:bidi w:val="0"/>
        <w:spacing w:lineRule="auto" w:line="288" w:before="0" w:after="0"/>
        <w:jc w:val="left"/>
        <w:rPr>
          <w:color w:val="000000"/>
        </w:rPr>
      </w:pPr>
      <w:r>
        <w:rPr>
          <w:color w:val="000000"/>
        </w:rPr>
        <w:t> </w:t>
      </w:r>
    </w:p>
    <w:tbl>
      <w:tblPr>
        <w:tblW w:w="3884" w:type="dxa"/>
        <w:jc w:val="right"/>
        <w:tblInd w:w="0" w:type="dxa"/>
        <w:tblLayout w:type="fixed"/>
        <w:tblCellMar>
          <w:top w:w="28" w:type="dxa"/>
          <w:left w:w="28" w:type="dxa"/>
          <w:bottom w:w="28" w:type="dxa"/>
          <w:right w:w="28" w:type="dxa"/>
        </w:tblCellMar>
      </w:tblPr>
      <w:tblGrid>
        <w:gridCol w:w="1244"/>
        <w:gridCol w:w="1089"/>
        <w:gridCol w:w="1551"/>
      </w:tblGrid>
      <w:tr>
        <w:trPr/>
        <w:tc>
          <w:tcPr>
            <w:tcW w:w="12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President and Chief Executive Officer</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Dennis Mulroy, certify that:</w:t>
      </w:r>
    </w:p>
    <w:p>
      <w:pPr>
        <w:pStyle w:val="TextBody"/>
        <w:bidi w:val="0"/>
        <w:spacing w:lineRule="auto" w:line="417"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11, 2023 </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Quarterly Report on Form 10-Q of the Company for the quarter ended March 31, 2023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p>
      <w:pPr>
        <w:pStyle w:val="TextBody"/>
        <w:bidi w:val="0"/>
        <w:spacing w:lineRule="auto" w:line="288" w:before="0" w:after="0"/>
        <w:jc w:val="left"/>
        <w:rPr>
          <w:color w:val="000000"/>
        </w:rPr>
      </w:pPr>
      <w:r>
        <w:rPr>
          <w:color w:val="000000"/>
        </w:rPr>
        <w:t> </w:t>
      </w:r>
    </w:p>
    <w:tbl>
      <w:tblPr>
        <w:tblW w:w="3884" w:type="dxa"/>
        <w:jc w:val="right"/>
        <w:tblInd w:w="0" w:type="dxa"/>
        <w:tblLayout w:type="fixed"/>
        <w:tblCellMar>
          <w:top w:w="28" w:type="dxa"/>
          <w:left w:w="28" w:type="dxa"/>
          <w:bottom w:w="28" w:type="dxa"/>
          <w:right w:w="28" w:type="dxa"/>
        </w:tblCellMar>
      </w:tblPr>
      <w:tblGrid>
        <w:gridCol w:w="1244"/>
        <w:gridCol w:w="1089"/>
        <w:gridCol w:w="1551"/>
      </w:tblGrid>
      <w:tr>
        <w:trPr/>
        <w:tc>
          <w:tcPr>
            <w:tcW w:w="12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Interim President and Chief Executive Officer</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Quarterly Report on Form 10-Q of the Company for the quarter ended March 31, 2023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49444</Words>
  <Characters>278363</Characters>
  <CharactersWithSpaces>326503</CharactersWithSpaces>
  <Paragraphs>2194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loumeauthirdamemployment</dc:title>
</cp:coreProperties>
</file>