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53828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38289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Lizzul Paul F.</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060" w:type="dxa"/>
            <w:vAlign w:val="bottom"/>
          </w:tcPr>
          <w:p>
            <w:pPr>
              <w:ind w:left="160"/>
              <w:spacing w:after="0"/>
              <w:rPr>
                <w:sz w:val="20"/>
                <w:szCs w:val="20"/>
                <w:color w:val="auto"/>
              </w:rPr>
            </w:pPr>
            <w:r>
              <w:rPr>
                <w:rFonts w:ascii="Arial" w:cs="Arial" w:eastAsia="Arial" w:hAnsi="Arial"/>
                <w:sz w:val="13"/>
                <w:szCs w:val="13"/>
                <w:color w:val="auto"/>
              </w:rPr>
              <w:t>(First)</w:t>
            </w:r>
          </w:p>
        </w:tc>
        <w:tc>
          <w:tcPr>
            <w:tcW w:w="1500" w:type="dxa"/>
            <w:vAlign w:val="bottom"/>
          </w:tcPr>
          <w:p>
            <w:pPr>
              <w:ind w:left="3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 ANAPTYSBIO, INC.</w:t>
            </w:r>
          </w:p>
        </w:tc>
        <w:tc>
          <w:tcPr>
            <w:tcW w:w="1500" w:type="dxa"/>
            <w:vAlign w:val="bottom"/>
          </w:tcPr>
          <w:p>
            <w:pPr>
              <w:spacing w:after="0"/>
              <w:rPr>
                <w:sz w:val="23"/>
                <w:szCs w:val="23"/>
                <w:color w:val="auto"/>
              </w:rPr>
            </w:pPr>
          </w:p>
        </w:tc>
      </w:tr>
      <w:tr>
        <w:trPr>
          <w:trHeight w:val="260"/>
        </w:trPr>
        <w:tc>
          <w:tcPr>
            <w:tcW w:w="20" w:type="dxa"/>
            <w:vAlign w:val="bottom"/>
          </w:tcPr>
          <w:p>
            <w:pPr>
              <w:spacing w:after="0"/>
              <w:rPr>
                <w:sz w:val="22"/>
                <w:szCs w:val="22"/>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10770 WATERIDGE CIRCLE, SUITE 210</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r>
      <w:tr>
        <w:trPr>
          <w:trHeight w:val="263"/>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10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92121</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160"/>
              <w:spacing w:after="0"/>
              <w:rPr>
                <w:sz w:val="20"/>
                <w:szCs w:val="20"/>
                <w:color w:val="auto"/>
              </w:rPr>
            </w:pPr>
            <w:r>
              <w:rPr>
                <w:rFonts w:ascii="Arial" w:cs="Arial" w:eastAsia="Arial" w:hAnsi="Arial"/>
                <w:sz w:val="13"/>
                <w:szCs w:val="13"/>
                <w:color w:val="auto"/>
              </w:rPr>
              <w:t>(State)</w:t>
            </w:r>
          </w:p>
        </w:tc>
        <w:tc>
          <w:tcPr>
            <w:tcW w:w="1500" w:type="dxa"/>
            <w:vAlign w:val="bottom"/>
          </w:tcPr>
          <w:p>
            <w:pPr>
              <w:ind w:left="3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ANAPTYSBIO,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ANAB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1640" w:type="dxa"/>
            <w:vAlign w:val="bottom"/>
            <w:tcBorders>
              <w:top w:val="single" w:sz="8" w:color="0000EE"/>
            </w:tcBorders>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18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01/06/2024</w:t>
            </w:r>
          </w:p>
        </w:tc>
        <w:tc>
          <w:tcPr>
            <w:tcW w:w="1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7"/>
                <w:szCs w:val="17"/>
                <w:color w:val="0000FF"/>
              </w:rPr>
              <w:t>Chief Medical Officer</w:t>
            </w:r>
          </w:p>
        </w:tc>
        <w:tc>
          <w:tcPr>
            <w:tcW w:w="0" w:type="dxa"/>
            <w:vAlign w:val="bottom"/>
          </w:tcPr>
          <w:p>
            <w:pPr>
              <w:spacing w:after="0"/>
              <w:rPr>
                <w:sz w:val="1"/>
                <w:szCs w:val="1"/>
                <w:color w:val="auto"/>
              </w:rPr>
            </w:pPr>
          </w:p>
        </w:tc>
      </w:tr>
      <w:tr>
        <w:trPr>
          <w:trHeight w:val="73"/>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9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19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60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01/06/2024</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3"/>
              </w:rPr>
              <w:t>6,145</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r>
              <w:rPr>
                <w:rFonts w:ascii="Times New Roman" w:cs="Times New Roman" w:eastAsia="Times New Roman" w:hAnsi="Times New Roman"/>
                <w:sz w:val="21"/>
                <w:szCs w:val="21"/>
                <w:color w:val="008000"/>
                <w:vertAlign w:val="superscript"/>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12,672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01/08/2024</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3"/>
              </w:rPr>
              <w:t>2,554</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21.81</w:t>
            </w:r>
          </w:p>
        </w:tc>
        <w:tc>
          <w:tcPr>
            <w:tcW w:w="120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7"/>
                <w:szCs w:val="17"/>
                <w:color w:val="0000FF"/>
              </w:rPr>
              <w:t>10,118</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01/06/2024</w:t>
            </w:r>
          </w:p>
        </w:tc>
        <w:tc>
          <w:tcPr>
            <w:tcW w:w="1100" w:type="dxa"/>
            <w:vAlign w:val="bottom"/>
          </w:tcPr>
          <w:p>
            <w:pPr>
              <w:spacing w:after="0"/>
              <w:rPr>
                <w:sz w:val="15"/>
                <w:szCs w:val="15"/>
                <w:color w:val="auto"/>
              </w:rPr>
            </w:pP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5"/>
                <w:szCs w:val="1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6,145</w:t>
            </w:r>
          </w:p>
        </w:tc>
        <w:tc>
          <w:tcPr>
            <w:tcW w:w="76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1"/>
                <w:szCs w:val="11"/>
                <w:color w:val="008000"/>
                <w:w w:val="93"/>
              </w:rPr>
              <w:t>(3)</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6,145</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rPr>
              <w:t>18,435</w:t>
            </w:r>
          </w:p>
        </w:tc>
        <w:tc>
          <w:tcPr>
            <w:tcW w:w="26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-2018030</wp:posOffset>
            </wp:positionV>
            <wp:extent cx="29210" cy="20231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231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award ("RSU") represents a contingent right to receive 1 share of the Issuer's Common Stock upon settlement for no consideration.</w:t>
      </w:r>
    </w:p>
    <w:p>
      <w:pPr>
        <w:spacing w:after="0" w:line="45" w:lineRule="exact"/>
        <w:rPr>
          <w:rFonts w:ascii="Times New Roman" w:cs="Times New Roman" w:eastAsia="Times New Roman" w:hAnsi="Times New Roman"/>
          <w:sz w:val="13"/>
          <w:szCs w:val="13"/>
          <w:color w:val="008000"/>
        </w:rPr>
      </w:pPr>
    </w:p>
    <w:p>
      <w:pPr>
        <w:ind w:left="40" w:right="54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vests as to 25% of the total RSUs annually commencing on January 6, 2024 until fully vested, subject to the Reporting Person's provision of service to the Issuer on each vesting 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7"/>
          <w:szCs w:val="17"/>
          <w:color w:val="0000FF"/>
        </w:rPr>
        <w:t xml:space="preserve">/s/ Eric Loumeau, Attorney-in- </w:t>
      </w:r>
      <w:r>
        <w:rPr>
          <w:rFonts w:ascii="Times New Roman" w:cs="Times New Roman" w:eastAsia="Times New Roman" w:hAnsi="Times New Roman"/>
          <w:sz w:val="33"/>
          <w:szCs w:val="33"/>
          <w:color w:val="0000FF"/>
          <w:vertAlign w:val="subscript"/>
        </w:rPr>
        <w:t>01/09/2024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290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11462" TargetMode="External"/><Relationship Id="rId13"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2024-01-09T18:13:01Z</dcterms:created>
  <dcterms:modified xsi:type="dcterms:W3CDTF">2024-01-09T18:13:01Z</dcterms:modified>
</cp:coreProperties>
</file>