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3"/>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839470</wp:posOffset>
            </wp:positionH>
            <wp:positionV relativeFrom="page">
              <wp:posOffset>153670</wp:posOffset>
            </wp:positionV>
            <wp:extent cx="588962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89625" cy="6985"/>
                    </a:xfrm>
                    <a:prstGeom prst="rect">
                      <a:avLst/>
                    </a:prstGeom>
                    <a:noFill/>
                  </pic:spPr>
                </pic:pic>
              </a:graphicData>
            </a:graphic>
          </wp:anchor>
        </w:drawing>
        <w:drawing>
          <wp:anchor simplePos="0" relativeHeight="251657728" behindDoc="1" locked="0" layoutInCell="0" allowOverlap="1">
            <wp:simplePos x="0" y="0"/>
            <wp:positionH relativeFrom="page">
              <wp:posOffset>839470</wp:posOffset>
            </wp:positionH>
            <wp:positionV relativeFrom="page">
              <wp:posOffset>189865</wp:posOffset>
            </wp:positionV>
            <wp:extent cx="58896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89625" cy="6985"/>
                    </a:xfrm>
                    <a:prstGeom prst="rect">
                      <a:avLst/>
                    </a:prstGeom>
                    <a:noFill/>
                  </pic:spPr>
                </pic:pic>
              </a:graphicData>
            </a:graphic>
          </wp:anchor>
        </w:drawing>
        <w:t>UNITED STATES</w:t>
      </w:r>
    </w:p>
    <w:p>
      <w:pPr>
        <w:spacing w:after="0" w:line="24" w:lineRule="exact"/>
        <w:rPr>
          <w:sz w:val="24"/>
          <w:szCs w:val="24"/>
          <w:color w:val="auto"/>
        </w:rPr>
      </w:pPr>
    </w:p>
    <w:p>
      <w:pPr>
        <w:jc w:val="center"/>
        <w:ind w:right="-123"/>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2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2327910</wp:posOffset>
            </wp:positionH>
            <wp:positionV relativeFrom="paragraph">
              <wp:posOffset>194945</wp:posOffset>
            </wp:positionV>
            <wp:extent cx="123444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698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23"/>
        <w:spacing w:after="0"/>
        <w:rPr>
          <w:sz w:val="20"/>
          <w:szCs w:val="20"/>
          <w:color w:val="auto"/>
        </w:rPr>
      </w:pPr>
      <w:r>
        <w:rPr>
          <w:rFonts w:ascii="Arial" w:cs="Arial" w:eastAsia="Arial" w:hAnsi="Arial"/>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2327910</wp:posOffset>
            </wp:positionH>
            <wp:positionV relativeFrom="paragraph">
              <wp:posOffset>207010</wp:posOffset>
            </wp:positionV>
            <wp:extent cx="123444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698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CURRENT REPORT PURSUANT TO</w:t>
      </w:r>
    </w:p>
    <w:p>
      <w:pPr>
        <w:spacing w:after="0" w:line="15"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SECTION 13 OR 15(d) OF THE</w:t>
      </w:r>
    </w:p>
    <w:p>
      <w:pPr>
        <w:jc w:val="center"/>
        <w:ind w:right="-123"/>
        <w:spacing w:after="0"/>
        <w:rPr>
          <w:sz w:val="20"/>
          <w:szCs w:val="20"/>
          <w:color w:val="auto"/>
        </w:rPr>
      </w:pPr>
      <w:r>
        <w:rPr>
          <w:rFonts w:ascii="Arial" w:cs="Arial" w:eastAsia="Arial" w:hAnsi="Arial"/>
          <w:sz w:val="18"/>
          <w:szCs w:val="18"/>
          <w:b w:val="1"/>
          <w:bCs w:val="1"/>
          <w:color w:val="auto"/>
        </w:rPr>
        <w:t>SECURITIES EXCHANGE ACT OF 1934</w:t>
      </w:r>
    </w:p>
    <w:p>
      <w:pPr>
        <w:spacing w:after="0" w:line="159"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Date of Report: September 24, 2018</w:t>
      </w:r>
    </w:p>
    <w:p>
      <w:pPr>
        <w:spacing w:after="0" w:line="18"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2327910</wp:posOffset>
            </wp:positionH>
            <wp:positionV relativeFrom="paragraph">
              <wp:posOffset>187960</wp:posOffset>
            </wp:positionV>
            <wp:extent cx="123444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698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123"/>
        <w:spacing w:after="0"/>
        <w:rPr>
          <w:sz w:val="20"/>
          <w:szCs w:val="20"/>
          <w:color w:val="auto"/>
        </w:rPr>
      </w:pPr>
      <w:r>
        <w:rPr>
          <w:rFonts w:ascii="Arial" w:cs="Arial" w:eastAsia="Arial" w:hAnsi="Arial"/>
          <w:sz w:val="36"/>
          <w:szCs w:val="36"/>
          <w:b w:val="1"/>
          <w:bCs w:val="1"/>
          <w:color w:val="auto"/>
        </w:rPr>
        <w:t>ANAPTYSBIO, INC.</w:t>
      </w:r>
    </w:p>
    <w:p>
      <w:pPr>
        <w:spacing w:after="0" w:line="44" w:lineRule="exact"/>
        <w:rPr>
          <w:sz w:val="24"/>
          <w:szCs w:val="24"/>
          <w:color w:val="auto"/>
        </w:rPr>
      </w:pPr>
    </w:p>
    <w:p>
      <w:pPr>
        <w:jc w:val="center"/>
        <w:ind w:right="-123"/>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2327910</wp:posOffset>
            </wp:positionH>
            <wp:positionV relativeFrom="paragraph">
              <wp:posOffset>200025</wp:posOffset>
            </wp:positionV>
            <wp:extent cx="123444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698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1124" w:type="dxa"/>
        <w:tblCellMar>
          <w:top w:w="0" w:type="dxa"/>
          <w:left w:w="0" w:type="dxa"/>
          <w:bottom w:w="0" w:type="dxa"/>
          <w:right w:w="0" w:type="dxa"/>
        </w:tblCellMar>
      </w:tblPr>
      <w:tr>
        <w:trPr>
          <w:trHeight w:val="177"/>
        </w:trPr>
        <w:tc>
          <w:tcPr>
            <w:tcW w:w="5280" w:type="dxa"/>
            <w:vAlign w:val="bottom"/>
          </w:tcPr>
          <w:p>
            <w:pPr>
              <w:jc w:val="center"/>
              <w:ind w:left="1672"/>
              <w:spacing w:after="0"/>
              <w:rPr>
                <w:sz w:val="20"/>
                <w:szCs w:val="20"/>
                <w:color w:val="auto"/>
              </w:rPr>
            </w:pPr>
            <w:r>
              <w:rPr>
                <w:rFonts w:ascii="Arial" w:cs="Arial" w:eastAsia="Arial" w:hAnsi="Arial"/>
                <w:sz w:val="15"/>
                <w:szCs w:val="15"/>
                <w:b w:val="1"/>
                <w:bCs w:val="1"/>
                <w:color w:val="auto"/>
                <w:w w:val="94"/>
              </w:rPr>
              <w:t>Delaware</w:t>
            </w:r>
          </w:p>
        </w:tc>
        <w:tc>
          <w:tcPr>
            <w:tcW w:w="1100" w:type="dxa"/>
            <w:vAlign w:val="bottom"/>
          </w:tcPr>
          <w:p>
            <w:pPr>
              <w:spacing w:after="0"/>
              <w:rPr>
                <w:sz w:val="15"/>
                <w:szCs w:val="15"/>
                <w:color w:val="auto"/>
              </w:rPr>
            </w:pPr>
          </w:p>
        </w:tc>
      </w:tr>
      <w:tr>
        <w:trPr>
          <w:trHeight w:val="158"/>
        </w:trPr>
        <w:tc>
          <w:tcPr>
            <w:tcW w:w="5280" w:type="dxa"/>
            <w:vAlign w:val="bottom"/>
          </w:tcPr>
          <w:p>
            <w:pPr>
              <w:jc w:val="center"/>
              <w:ind w:left="1692"/>
              <w:spacing w:after="0"/>
              <w:rPr>
                <w:sz w:val="20"/>
                <w:szCs w:val="20"/>
                <w:color w:val="auto"/>
              </w:rPr>
            </w:pPr>
            <w:r>
              <w:rPr>
                <w:rFonts w:ascii="Arial" w:cs="Arial" w:eastAsia="Arial" w:hAnsi="Arial"/>
                <w:sz w:val="12"/>
                <w:szCs w:val="12"/>
                <w:b w:val="1"/>
                <w:bCs w:val="1"/>
                <w:color w:val="auto"/>
                <w:w w:val="92"/>
              </w:rPr>
              <w:t>(State or Other Jurisdiction of Incorporation)</w:t>
            </w:r>
          </w:p>
        </w:tc>
        <w:tc>
          <w:tcPr>
            <w:tcW w:w="1100" w:type="dxa"/>
            <w:vAlign w:val="bottom"/>
          </w:tcPr>
          <w:p>
            <w:pPr>
              <w:spacing w:after="0"/>
              <w:rPr>
                <w:sz w:val="13"/>
                <w:szCs w:val="13"/>
                <w:color w:val="auto"/>
              </w:rPr>
            </w:pPr>
          </w:p>
        </w:tc>
      </w:tr>
      <w:tr>
        <w:trPr>
          <w:trHeight w:val="354"/>
        </w:trPr>
        <w:tc>
          <w:tcPr>
            <w:tcW w:w="5280" w:type="dxa"/>
            <w:vAlign w:val="bottom"/>
          </w:tcPr>
          <w:p>
            <w:pPr>
              <w:jc w:val="center"/>
              <w:ind w:right="2792"/>
              <w:spacing w:after="0"/>
              <w:rPr>
                <w:sz w:val="20"/>
                <w:szCs w:val="20"/>
                <w:color w:val="auto"/>
              </w:rPr>
            </w:pPr>
            <w:r>
              <w:rPr>
                <w:rFonts w:ascii="Arial" w:cs="Arial" w:eastAsia="Arial" w:hAnsi="Arial"/>
                <w:sz w:val="15"/>
                <w:szCs w:val="15"/>
                <w:b w:val="1"/>
                <w:bCs w:val="1"/>
                <w:color w:val="auto"/>
                <w:w w:val="91"/>
              </w:rPr>
              <w:t>001-37985</w:t>
            </w:r>
          </w:p>
        </w:tc>
        <w:tc>
          <w:tcPr>
            <w:tcW w:w="1100" w:type="dxa"/>
            <w:vAlign w:val="bottom"/>
          </w:tcPr>
          <w:p>
            <w:pPr>
              <w:jc w:val="right"/>
              <w:ind w:right="53"/>
              <w:spacing w:after="0"/>
              <w:rPr>
                <w:sz w:val="20"/>
                <w:szCs w:val="20"/>
                <w:color w:val="auto"/>
              </w:rPr>
            </w:pPr>
            <w:r>
              <w:rPr>
                <w:rFonts w:ascii="Arial" w:cs="Arial" w:eastAsia="Arial" w:hAnsi="Arial"/>
                <w:sz w:val="15"/>
                <w:szCs w:val="15"/>
                <w:b w:val="1"/>
                <w:bCs w:val="1"/>
                <w:color w:val="auto"/>
              </w:rPr>
              <w:t>20-3828755</w:t>
            </w:r>
          </w:p>
        </w:tc>
      </w:tr>
      <w:tr>
        <w:trPr>
          <w:trHeight w:val="125"/>
        </w:trPr>
        <w:tc>
          <w:tcPr>
            <w:tcW w:w="5280" w:type="dxa"/>
            <w:vAlign w:val="bottom"/>
          </w:tcPr>
          <w:p>
            <w:pPr>
              <w:jc w:val="center"/>
              <w:ind w:right="2772"/>
              <w:spacing w:after="0" w:line="125" w:lineRule="exact"/>
              <w:rPr>
                <w:sz w:val="20"/>
                <w:szCs w:val="20"/>
                <w:color w:val="auto"/>
              </w:rPr>
            </w:pPr>
            <w:r>
              <w:rPr>
                <w:rFonts w:ascii="Arial" w:cs="Arial" w:eastAsia="Arial" w:hAnsi="Arial"/>
                <w:sz w:val="12"/>
                <w:szCs w:val="12"/>
                <w:b w:val="1"/>
                <w:bCs w:val="1"/>
                <w:color w:val="auto"/>
                <w:w w:val="89"/>
              </w:rPr>
              <w:t>(Commission</w:t>
            </w:r>
          </w:p>
        </w:tc>
        <w:tc>
          <w:tcPr>
            <w:tcW w:w="1100" w:type="dxa"/>
            <w:vAlign w:val="bottom"/>
          </w:tcPr>
          <w:p>
            <w:pPr>
              <w:jc w:val="center"/>
              <w:ind w:left="73"/>
              <w:spacing w:after="0" w:line="125" w:lineRule="exact"/>
              <w:rPr>
                <w:sz w:val="20"/>
                <w:szCs w:val="20"/>
                <w:color w:val="auto"/>
              </w:rPr>
            </w:pPr>
            <w:r>
              <w:rPr>
                <w:rFonts w:ascii="Arial" w:cs="Arial" w:eastAsia="Arial" w:hAnsi="Arial"/>
                <w:sz w:val="12"/>
                <w:szCs w:val="12"/>
                <w:b w:val="1"/>
                <w:bCs w:val="1"/>
                <w:color w:val="auto"/>
                <w:w w:val="97"/>
              </w:rPr>
              <w:t>(IRS Employer</w:t>
            </w:r>
          </w:p>
        </w:tc>
      </w:tr>
      <w:tr>
        <w:trPr>
          <w:trHeight w:val="158"/>
        </w:trPr>
        <w:tc>
          <w:tcPr>
            <w:tcW w:w="5280" w:type="dxa"/>
            <w:vAlign w:val="bottom"/>
          </w:tcPr>
          <w:p>
            <w:pPr>
              <w:jc w:val="center"/>
              <w:ind w:right="2792"/>
              <w:spacing w:after="0"/>
              <w:rPr>
                <w:sz w:val="20"/>
                <w:szCs w:val="20"/>
                <w:color w:val="auto"/>
              </w:rPr>
            </w:pPr>
            <w:r>
              <w:rPr>
                <w:rFonts w:ascii="Arial" w:cs="Arial" w:eastAsia="Arial" w:hAnsi="Arial"/>
                <w:sz w:val="12"/>
                <w:szCs w:val="12"/>
                <w:b w:val="1"/>
                <w:bCs w:val="1"/>
                <w:color w:val="auto"/>
                <w:w w:val="95"/>
              </w:rPr>
              <w:t>File Number)</w:t>
            </w:r>
          </w:p>
        </w:tc>
        <w:tc>
          <w:tcPr>
            <w:tcW w:w="1100" w:type="dxa"/>
            <w:vAlign w:val="bottom"/>
          </w:tcPr>
          <w:p>
            <w:pPr>
              <w:jc w:val="center"/>
              <w:ind w:left="73"/>
              <w:spacing w:after="0"/>
              <w:rPr>
                <w:sz w:val="20"/>
                <w:szCs w:val="20"/>
                <w:color w:val="auto"/>
              </w:rPr>
            </w:pPr>
            <w:r>
              <w:rPr>
                <w:rFonts w:ascii="Arial" w:cs="Arial" w:eastAsia="Arial" w:hAnsi="Arial"/>
                <w:sz w:val="12"/>
                <w:szCs w:val="12"/>
                <w:b w:val="1"/>
                <w:bCs w:val="1"/>
                <w:color w:val="auto"/>
                <w:w w:val="94"/>
              </w:rPr>
              <w:t>Identification No.)</w:t>
            </w:r>
          </w:p>
        </w:tc>
      </w:tr>
      <w:tr>
        <w:trPr>
          <w:trHeight w:val="370"/>
        </w:trPr>
        <w:tc>
          <w:tcPr>
            <w:tcW w:w="5280" w:type="dxa"/>
            <w:vAlign w:val="bottom"/>
          </w:tcPr>
          <w:p>
            <w:pPr>
              <w:jc w:val="center"/>
              <w:ind w:right="2772"/>
              <w:spacing w:after="0"/>
              <w:rPr>
                <w:sz w:val="20"/>
                <w:szCs w:val="20"/>
                <w:color w:val="auto"/>
              </w:rPr>
            </w:pPr>
            <w:r>
              <w:rPr>
                <w:rFonts w:ascii="Arial" w:cs="Arial" w:eastAsia="Arial" w:hAnsi="Arial"/>
                <w:sz w:val="15"/>
                <w:szCs w:val="15"/>
                <w:b w:val="1"/>
                <w:bCs w:val="1"/>
                <w:color w:val="auto"/>
                <w:w w:val="92"/>
              </w:rPr>
              <w:t>10421 Pacific Center Court, Suite 200</w:t>
            </w:r>
          </w:p>
        </w:tc>
        <w:tc>
          <w:tcPr>
            <w:tcW w:w="1100" w:type="dxa"/>
            <w:vAlign w:val="bottom"/>
          </w:tcPr>
          <w:p>
            <w:pPr>
              <w:spacing w:after="0"/>
              <w:rPr>
                <w:sz w:val="24"/>
                <w:szCs w:val="24"/>
                <w:color w:val="auto"/>
              </w:rPr>
            </w:pPr>
          </w:p>
        </w:tc>
      </w:tr>
      <w:tr>
        <w:trPr>
          <w:trHeight w:val="188"/>
        </w:trPr>
        <w:tc>
          <w:tcPr>
            <w:tcW w:w="5280" w:type="dxa"/>
            <w:vAlign w:val="bottom"/>
          </w:tcPr>
          <w:p>
            <w:pPr>
              <w:jc w:val="center"/>
              <w:ind w:right="2772"/>
              <w:spacing w:after="0"/>
              <w:rPr>
                <w:sz w:val="20"/>
                <w:szCs w:val="20"/>
                <w:color w:val="auto"/>
              </w:rPr>
            </w:pPr>
            <w:r>
              <w:rPr>
                <w:rFonts w:ascii="Arial" w:cs="Arial" w:eastAsia="Arial" w:hAnsi="Arial"/>
                <w:sz w:val="15"/>
                <w:szCs w:val="15"/>
                <w:b w:val="1"/>
                <w:bCs w:val="1"/>
                <w:color w:val="auto"/>
                <w:w w:val="92"/>
              </w:rPr>
              <w:t>San Diego, CA</w:t>
            </w:r>
          </w:p>
        </w:tc>
        <w:tc>
          <w:tcPr>
            <w:tcW w:w="1100" w:type="dxa"/>
            <w:vAlign w:val="bottom"/>
          </w:tcPr>
          <w:p>
            <w:pPr>
              <w:jc w:val="right"/>
              <w:ind w:right="213"/>
              <w:spacing w:after="0"/>
              <w:rPr>
                <w:sz w:val="20"/>
                <w:szCs w:val="20"/>
                <w:color w:val="auto"/>
              </w:rPr>
            </w:pPr>
            <w:r>
              <w:rPr>
                <w:rFonts w:ascii="Arial" w:cs="Arial" w:eastAsia="Arial" w:hAnsi="Arial"/>
                <w:sz w:val="15"/>
                <w:szCs w:val="15"/>
                <w:b w:val="1"/>
                <w:bCs w:val="1"/>
                <w:color w:val="auto"/>
              </w:rPr>
              <w:t>92121</w:t>
            </w:r>
          </w:p>
        </w:tc>
      </w:tr>
      <w:tr>
        <w:trPr>
          <w:trHeight w:val="158"/>
        </w:trPr>
        <w:tc>
          <w:tcPr>
            <w:tcW w:w="5280" w:type="dxa"/>
            <w:vAlign w:val="bottom"/>
          </w:tcPr>
          <w:p>
            <w:pPr>
              <w:jc w:val="center"/>
              <w:ind w:right="2772"/>
              <w:spacing w:after="0"/>
              <w:rPr>
                <w:sz w:val="20"/>
                <w:szCs w:val="20"/>
                <w:color w:val="auto"/>
              </w:rPr>
            </w:pPr>
            <w:r>
              <w:rPr>
                <w:rFonts w:ascii="Arial" w:cs="Arial" w:eastAsia="Arial" w:hAnsi="Arial"/>
                <w:sz w:val="12"/>
                <w:szCs w:val="12"/>
                <w:b w:val="1"/>
                <w:bCs w:val="1"/>
                <w:color w:val="auto"/>
                <w:w w:val="91"/>
              </w:rPr>
              <w:t>(Address of Principal Executive Offices)</w:t>
            </w:r>
          </w:p>
        </w:tc>
        <w:tc>
          <w:tcPr>
            <w:tcW w:w="1100" w:type="dxa"/>
            <w:vAlign w:val="bottom"/>
          </w:tcPr>
          <w:p>
            <w:pPr>
              <w:jc w:val="center"/>
              <w:ind w:left="73"/>
              <w:spacing w:after="0"/>
              <w:rPr>
                <w:sz w:val="20"/>
                <w:szCs w:val="20"/>
                <w:color w:val="auto"/>
              </w:rPr>
            </w:pPr>
            <w:r>
              <w:rPr>
                <w:rFonts w:ascii="Arial" w:cs="Arial" w:eastAsia="Arial" w:hAnsi="Arial"/>
                <w:sz w:val="12"/>
                <w:szCs w:val="12"/>
                <w:b w:val="1"/>
                <w:bCs w:val="1"/>
                <w:color w:val="auto"/>
                <w:w w:val="94"/>
              </w:rPr>
              <w:t>(Zip Code)</w:t>
            </w:r>
          </w:p>
        </w:tc>
      </w:tr>
      <w:tr>
        <w:trPr>
          <w:trHeight w:val="331"/>
        </w:trPr>
        <w:tc>
          <w:tcPr>
            <w:tcW w:w="5280" w:type="dxa"/>
            <w:vAlign w:val="bottom"/>
          </w:tcPr>
          <w:p>
            <w:pPr>
              <w:jc w:val="center"/>
              <w:ind w:left="1672"/>
              <w:spacing w:after="0"/>
              <w:rPr>
                <w:sz w:val="20"/>
                <w:szCs w:val="20"/>
                <w:color w:val="auto"/>
              </w:rPr>
            </w:pPr>
            <w:r>
              <w:rPr>
                <w:rFonts w:ascii="Arial" w:cs="Arial" w:eastAsia="Arial" w:hAnsi="Arial"/>
                <w:sz w:val="15"/>
                <w:szCs w:val="15"/>
                <w:b w:val="1"/>
                <w:bCs w:val="1"/>
                <w:color w:val="auto"/>
                <w:w w:val="91"/>
              </w:rPr>
              <w:t>(858) 362-6295</w:t>
            </w:r>
          </w:p>
        </w:tc>
        <w:tc>
          <w:tcPr>
            <w:tcW w:w="1100" w:type="dxa"/>
            <w:vAlign w:val="bottom"/>
          </w:tcPr>
          <w:p>
            <w:pPr>
              <w:spacing w:after="0"/>
              <w:rPr>
                <w:sz w:val="24"/>
                <w:szCs w:val="24"/>
                <w:color w:val="auto"/>
              </w:rPr>
            </w:pPr>
          </w:p>
        </w:tc>
      </w:tr>
      <w:tr>
        <w:trPr>
          <w:trHeight w:val="158"/>
        </w:trPr>
        <w:tc>
          <w:tcPr>
            <w:tcW w:w="5280" w:type="dxa"/>
            <w:vAlign w:val="bottom"/>
          </w:tcPr>
          <w:p>
            <w:pPr>
              <w:jc w:val="center"/>
              <w:ind w:left="1672"/>
              <w:spacing w:after="0"/>
              <w:rPr>
                <w:sz w:val="20"/>
                <w:szCs w:val="20"/>
                <w:color w:val="auto"/>
              </w:rPr>
            </w:pPr>
            <w:r>
              <w:rPr>
                <w:rFonts w:ascii="Arial" w:cs="Arial" w:eastAsia="Arial" w:hAnsi="Arial"/>
                <w:sz w:val="12"/>
                <w:szCs w:val="12"/>
                <w:b w:val="1"/>
                <w:bCs w:val="1"/>
                <w:color w:val="auto"/>
                <w:w w:val="91"/>
              </w:rPr>
              <w:t>(Registrant’s Telephone Number, Including Area Code)</w:t>
            </w:r>
          </w:p>
        </w:tc>
        <w:tc>
          <w:tcPr>
            <w:tcW w:w="1100" w:type="dxa"/>
            <w:vAlign w:val="bottom"/>
          </w:tcPr>
          <w:p>
            <w:pPr>
              <w:spacing w:after="0"/>
              <w:rPr>
                <w:sz w:val="13"/>
                <w:szCs w:val="13"/>
                <w:color w:val="auto"/>
              </w:rPr>
            </w:pPr>
          </w:p>
        </w:tc>
      </w:tr>
      <w:tr>
        <w:trPr>
          <w:trHeight w:val="331"/>
        </w:trPr>
        <w:tc>
          <w:tcPr>
            <w:tcW w:w="5280" w:type="dxa"/>
            <w:vAlign w:val="bottom"/>
          </w:tcPr>
          <w:p>
            <w:pPr>
              <w:jc w:val="center"/>
              <w:ind w:left="1672"/>
              <w:spacing w:after="0"/>
              <w:rPr>
                <w:sz w:val="20"/>
                <w:szCs w:val="20"/>
                <w:color w:val="auto"/>
              </w:rPr>
            </w:pPr>
            <w:r>
              <w:rPr>
                <w:rFonts w:ascii="Arial" w:cs="Arial" w:eastAsia="Arial" w:hAnsi="Arial"/>
                <w:sz w:val="15"/>
                <w:szCs w:val="15"/>
                <w:b w:val="1"/>
                <w:bCs w:val="1"/>
                <w:color w:val="auto"/>
                <w:w w:val="93"/>
              </w:rPr>
              <w:t>Not Applicable</w:t>
            </w:r>
          </w:p>
        </w:tc>
        <w:tc>
          <w:tcPr>
            <w:tcW w:w="1100" w:type="dxa"/>
            <w:vAlign w:val="bottom"/>
          </w:tcPr>
          <w:p>
            <w:pPr>
              <w:spacing w:after="0"/>
              <w:rPr>
                <w:sz w:val="24"/>
                <w:szCs w:val="24"/>
                <w:color w:val="auto"/>
              </w:rPr>
            </w:pPr>
          </w:p>
        </w:tc>
      </w:tr>
      <w:tr>
        <w:trPr>
          <w:trHeight w:val="158"/>
        </w:trPr>
        <w:tc>
          <w:tcPr>
            <w:tcW w:w="5280" w:type="dxa"/>
            <w:vAlign w:val="bottom"/>
          </w:tcPr>
          <w:p>
            <w:pPr>
              <w:jc w:val="center"/>
              <w:ind w:left="1672"/>
              <w:spacing w:after="0"/>
              <w:rPr>
                <w:sz w:val="20"/>
                <w:szCs w:val="20"/>
                <w:color w:val="auto"/>
              </w:rPr>
            </w:pPr>
            <w:r>
              <w:rPr>
                <w:rFonts w:ascii="Arial" w:cs="Arial" w:eastAsia="Arial" w:hAnsi="Arial"/>
                <w:sz w:val="12"/>
                <w:szCs w:val="12"/>
                <w:b w:val="1"/>
                <w:bCs w:val="1"/>
                <w:color w:val="auto"/>
                <w:w w:val="90"/>
              </w:rPr>
              <w:t>(Former name or former address, if changed since last report.)</w:t>
            </w:r>
          </w:p>
        </w:tc>
        <w:tc>
          <w:tcPr>
            <w:tcW w:w="110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2327910</wp:posOffset>
            </wp:positionH>
            <wp:positionV relativeFrom="paragraph">
              <wp:posOffset>179070</wp:posOffset>
            </wp:positionV>
            <wp:extent cx="123444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698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left="4" w:right="259"/>
        <w:spacing w:after="0" w:line="278"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66" w:lineRule="exact"/>
        <w:rPr>
          <w:sz w:val="24"/>
          <w:szCs w:val="24"/>
          <w:color w:val="auto"/>
        </w:rPr>
      </w:pPr>
    </w:p>
    <w:p>
      <w:pPr>
        <w:ind w:left="364" w:hanging="364"/>
        <w:spacing w:after="0"/>
        <w:tabs>
          <w:tab w:leader="none" w:pos="364"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11" w:lineRule="exact"/>
        <w:rPr>
          <w:rFonts w:ascii="MS PGothic" w:cs="MS PGothic" w:eastAsia="MS PGothic" w:hAnsi="MS PGothic"/>
          <w:sz w:val="15"/>
          <w:szCs w:val="15"/>
          <w:color w:val="auto"/>
        </w:rPr>
      </w:pPr>
    </w:p>
    <w:p>
      <w:pPr>
        <w:ind w:left="364" w:hanging="364"/>
        <w:spacing w:after="0"/>
        <w:tabs>
          <w:tab w:leader="none" w:pos="364"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11" w:lineRule="exact"/>
        <w:rPr>
          <w:rFonts w:ascii="MS PGothic" w:cs="MS PGothic" w:eastAsia="MS PGothic" w:hAnsi="MS PGothic"/>
          <w:sz w:val="15"/>
          <w:szCs w:val="15"/>
          <w:color w:val="auto"/>
        </w:rPr>
      </w:pPr>
    </w:p>
    <w:p>
      <w:pPr>
        <w:ind w:left="364" w:hanging="364"/>
        <w:spacing w:after="0"/>
        <w:tabs>
          <w:tab w:leader="none" w:pos="364"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11" w:lineRule="exact"/>
        <w:rPr>
          <w:rFonts w:ascii="MS PGothic" w:cs="MS PGothic" w:eastAsia="MS PGothic" w:hAnsi="MS PGothic"/>
          <w:sz w:val="15"/>
          <w:szCs w:val="15"/>
          <w:color w:val="auto"/>
        </w:rPr>
      </w:pPr>
    </w:p>
    <w:p>
      <w:pPr>
        <w:ind w:left="364" w:hanging="364"/>
        <w:spacing w:after="0"/>
        <w:tabs>
          <w:tab w:leader="none" w:pos="364"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191" w:lineRule="exact"/>
        <w:rPr>
          <w:sz w:val="24"/>
          <w:szCs w:val="24"/>
          <w:color w:val="auto"/>
        </w:rPr>
      </w:pPr>
    </w:p>
    <w:p>
      <w:pPr>
        <w:ind w:left="4" w:right="119"/>
        <w:spacing w:after="0" w:line="27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4"/>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21" w:lineRule="exact"/>
        <w:rPr>
          <w:sz w:val="24"/>
          <w:szCs w:val="24"/>
          <w:color w:val="auto"/>
        </w:rPr>
      </w:pPr>
    </w:p>
    <w:p>
      <w:pPr>
        <w:ind w:left="4" w:right="119"/>
        <w:spacing w:after="0" w:line="19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588962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8962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149225</wp:posOffset>
            </wp:positionV>
            <wp:extent cx="588962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89625" cy="6985"/>
                    </a:xfrm>
                    <a:prstGeom prst="rect">
                      <a:avLst/>
                    </a:prstGeom>
                    <a:noFill/>
                  </pic:spPr>
                </pic:pic>
              </a:graphicData>
            </a:graphic>
          </wp:anchor>
        </w:drawing>
      </w:r>
    </w:p>
    <w:p>
      <w:pPr>
        <w:sectPr>
          <w:pgSz w:w="11900" w:h="16838" w:orient="portrait"/>
          <w:cols w:equalWidth="0" w:num="1">
            <w:col w:w="9143"/>
          </w:cols>
          <w:pgMar w:left="1316" w:top="332" w:right="1440"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133985</wp:posOffset>
            </wp:positionH>
            <wp:positionV relativeFrom="page">
              <wp:posOffset>88900</wp:posOffset>
            </wp:positionV>
            <wp:extent cx="7308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8215" cy="34290"/>
                    </a:xfrm>
                    <a:prstGeom prst="rect">
                      <a:avLst/>
                    </a:prstGeom>
                    <a:noFill/>
                  </pic:spPr>
                </pic:pic>
              </a:graphicData>
            </a:graphic>
          </wp:anchor>
        </w:drawing>
        <w:t>Item 7.01 Regulation FD.</w:t>
      </w:r>
    </w:p>
    <w:p>
      <w:pPr>
        <w:spacing w:after="0" w:line="104" w:lineRule="exact"/>
        <w:rPr>
          <w:sz w:val="20"/>
          <w:szCs w:val="20"/>
          <w:color w:val="auto"/>
        </w:rPr>
      </w:pPr>
    </w:p>
    <w:p>
      <w:pPr>
        <w:jc w:val="both"/>
        <w:ind w:right="120"/>
        <w:spacing w:after="0" w:line="265" w:lineRule="auto"/>
        <w:rPr>
          <w:sz w:val="20"/>
          <w:szCs w:val="20"/>
          <w:color w:val="auto"/>
        </w:rPr>
      </w:pPr>
      <w:r>
        <w:rPr>
          <w:rFonts w:ascii="Arial" w:cs="Arial" w:eastAsia="Arial" w:hAnsi="Arial"/>
          <w:sz w:val="15"/>
          <w:szCs w:val="15"/>
          <w:color w:val="auto"/>
        </w:rPr>
        <w:t>On September 24, 2018, AnaptysBio, Inc. (“AnaptysBio”) issued a press release announcing top line proof of concept data from an interim analysis of AnaptysBio’s ongoing etokimab Phase 2a trial in severe eosinophilic asthma. A copy of the press release is furnished as Exhibit 99.1 to this report and incorporated herein by reference.</w:t>
      </w:r>
    </w:p>
    <w:p>
      <w:pPr>
        <w:spacing w:after="0" w:line="156"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On September 24, 2018, AnaptysBio held an investor conference call. A copy of the slides presented during the investor conference call are furnished as Exhibit 99.2 to this report and incorporated herein by reference.</w:t>
      </w:r>
    </w:p>
    <w:p>
      <w:pPr>
        <w:spacing w:after="0" w:line="146" w:lineRule="exact"/>
        <w:rPr>
          <w:sz w:val="20"/>
          <w:szCs w:val="20"/>
          <w:color w:val="auto"/>
        </w:rPr>
      </w:pPr>
    </w:p>
    <w:p>
      <w:pPr>
        <w:ind w:right="360"/>
        <w:spacing w:after="0" w:line="261" w:lineRule="auto"/>
        <w:rPr>
          <w:sz w:val="20"/>
          <w:szCs w:val="20"/>
          <w:color w:val="auto"/>
        </w:rPr>
      </w:pPr>
      <w:r>
        <w:rPr>
          <w:rFonts w:ascii="Arial" w:cs="Arial" w:eastAsia="Arial" w:hAnsi="Arial"/>
          <w:sz w:val="15"/>
          <w:szCs w:val="15"/>
          <w:color w:val="auto"/>
        </w:rPr>
        <w:t>The information furnished with this report, including Exhibit 99.1 and Exhibit 99.2, shall not be deemed “filed” for purposes of Section 18 of the Securities Exchange Act of 1934, as amended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(d) Exhibits.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0" w:type="dxa"/>
            <w:vAlign w:val="bottom"/>
          </w:tcPr>
          <w:p>
            <w:pPr>
              <w:ind w:left="20"/>
              <w:spacing w:after="0"/>
              <w:rPr>
                <w:sz w:val="20"/>
                <w:szCs w:val="20"/>
                <w:color w:val="auto"/>
              </w:rPr>
            </w:pPr>
            <w:r>
              <w:rPr>
                <w:rFonts w:ascii="Arial" w:cs="Arial" w:eastAsia="Arial" w:hAnsi="Arial"/>
                <w:sz w:val="12"/>
                <w:szCs w:val="12"/>
                <w:b w:val="1"/>
                <w:bCs w:val="1"/>
                <w:color w:val="auto"/>
                <w:w w:val="99"/>
              </w:rPr>
              <w:t>Exhibit</w:t>
            </w:r>
          </w:p>
        </w:tc>
        <w:tc>
          <w:tcPr>
            <w:tcW w:w="440" w:type="dxa"/>
            <w:vAlign w:val="bottom"/>
          </w:tcPr>
          <w:p>
            <w:pPr>
              <w:spacing w:after="0"/>
              <w:rPr>
                <w:sz w:val="12"/>
                <w:szCs w:val="12"/>
                <w:color w:val="auto"/>
              </w:rPr>
            </w:pPr>
          </w:p>
        </w:tc>
        <w:tc>
          <w:tcPr>
            <w:tcW w:w="1140" w:type="dxa"/>
            <w:vAlign w:val="bottom"/>
            <w:vMerge w:val="restart"/>
          </w:tcPr>
          <w:p>
            <w:pPr>
              <w:spacing w:after="0"/>
              <w:rPr>
                <w:sz w:val="20"/>
                <w:szCs w:val="20"/>
                <w:color w:val="auto"/>
              </w:rPr>
            </w:pPr>
            <w:r>
              <w:rPr>
                <w:rFonts w:ascii="Arial" w:cs="Arial" w:eastAsia="Arial" w:hAnsi="Arial"/>
                <w:sz w:val="12"/>
                <w:szCs w:val="12"/>
                <w:b w:val="1"/>
                <w:bCs w:val="1"/>
                <w:color w:val="auto"/>
                <w:w w:val="90"/>
              </w:rPr>
              <w:t>Description of Exhibit</w:t>
            </w:r>
          </w:p>
        </w:tc>
        <w:tc>
          <w:tcPr>
            <w:tcW w:w="22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2"/>
              </w:rPr>
              <w:t>Number</w:t>
            </w:r>
          </w:p>
        </w:tc>
        <w:tc>
          <w:tcPr>
            <w:tcW w:w="440" w:type="dxa"/>
            <w:vAlign w:val="bottom"/>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5"/>
                <w:szCs w:val="15"/>
                <w:color w:val="auto"/>
              </w:rPr>
              <w:t>99.1</w:t>
            </w:r>
          </w:p>
        </w:tc>
        <w:tc>
          <w:tcPr>
            <w:tcW w:w="440" w:type="dxa"/>
            <w:vAlign w:val="bottom"/>
          </w:tcPr>
          <w:p>
            <w:pPr>
              <w:spacing w:after="0"/>
              <w:rPr>
                <w:sz w:val="20"/>
                <w:szCs w:val="20"/>
                <w:color w:val="auto"/>
              </w:rPr>
            </w:pPr>
          </w:p>
        </w:tc>
        <w:tc>
          <w:tcPr>
            <w:tcW w:w="3420" w:type="dxa"/>
            <w:vAlign w:val="bottom"/>
            <w:gridSpan w:val="3"/>
          </w:tcPr>
          <w:p>
            <w:pPr>
              <w:spacing w:after="0"/>
              <w:rPr>
                <w:rFonts w:ascii="Arial" w:cs="Arial" w:eastAsia="Arial" w:hAnsi="Arial"/>
                <w:sz w:val="15"/>
                <w:szCs w:val="15"/>
                <w:color w:val="0000EE"/>
              </w:rPr>
            </w:pPr>
            <w:hyperlink w:anchor="page4">
              <w:r>
                <w:rPr>
                  <w:rFonts w:ascii="Arial" w:cs="Arial" w:eastAsia="Arial" w:hAnsi="Arial"/>
                  <w:sz w:val="15"/>
                  <w:szCs w:val="15"/>
                  <w:color w:val="0000EE"/>
                </w:rPr>
                <w:t>Press release dated September 24, 2018.</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40" w:type="dxa"/>
            <w:vAlign w:val="bottom"/>
          </w:tcPr>
          <w:p>
            <w:pPr>
              <w:spacing w:after="0"/>
              <w:rPr>
                <w:sz w:val="20"/>
                <w:szCs w:val="20"/>
                <w:color w:val="auto"/>
              </w:rPr>
            </w:pPr>
            <w:r>
              <w:rPr>
                <w:rFonts w:ascii="Arial" w:cs="Arial" w:eastAsia="Arial" w:hAnsi="Arial"/>
                <w:sz w:val="15"/>
                <w:szCs w:val="15"/>
                <w:color w:val="auto"/>
              </w:rPr>
              <w:t>99.2</w:t>
            </w:r>
          </w:p>
        </w:tc>
        <w:tc>
          <w:tcPr>
            <w:tcW w:w="440" w:type="dxa"/>
            <w:vAlign w:val="bottom"/>
          </w:tcPr>
          <w:p>
            <w:pPr>
              <w:spacing w:after="0"/>
              <w:rPr>
                <w:sz w:val="21"/>
                <w:szCs w:val="21"/>
                <w:color w:val="auto"/>
              </w:rPr>
            </w:pPr>
          </w:p>
        </w:tc>
        <w:tc>
          <w:tcPr>
            <w:tcW w:w="3420" w:type="dxa"/>
            <w:vAlign w:val="bottom"/>
            <w:tcBorders>
              <w:bottom w:val="single" w:sz="8" w:color="0000EE"/>
            </w:tcBorders>
            <w:gridSpan w:val="3"/>
          </w:tcPr>
          <w:p>
            <w:pPr>
              <w:spacing w:after="0"/>
              <w:rPr>
                <w:rFonts w:ascii="Arial" w:cs="Arial" w:eastAsia="Arial" w:hAnsi="Arial"/>
                <w:sz w:val="15"/>
                <w:szCs w:val="15"/>
                <w:color w:val="0000EE"/>
                <w:w w:val="90"/>
              </w:rPr>
            </w:pPr>
            <w:hyperlink w:anchor="page9">
              <w:r>
                <w:rPr>
                  <w:rFonts w:ascii="Arial" w:cs="Arial" w:eastAsia="Arial" w:hAnsi="Arial"/>
                  <w:sz w:val="15"/>
                  <w:szCs w:val="15"/>
                  <w:color w:val="0000EE"/>
                  <w:w w:val="90"/>
                </w:rPr>
                <w:t>Slides presented by AnaptysBio on September 24, 2018.</w:t>
              </w:r>
            </w:hyperlink>
          </w:p>
        </w:tc>
        <w:tc>
          <w:tcPr>
            <w:tcW w:w="0" w:type="dxa"/>
            <w:vAlign w:val="bottom"/>
          </w:tcPr>
          <w:p>
            <w:pPr>
              <w:spacing w:after="0"/>
              <w:rPr>
                <w:sz w:val="1"/>
                <w:szCs w:val="1"/>
                <w:color w:val="auto"/>
              </w:rPr>
            </w:pPr>
          </w:p>
        </w:tc>
      </w:tr>
    </w:tbl>
    <w:p>
      <w:pPr>
        <w:sectPr>
          <w:pgSz w:w="11900" w:h="16838" w:orient="portrait"/>
          <w:cols w:equalWidth="0" w:num="1">
            <w:col w:w="9240"/>
          </w:cols>
          <w:pgMar w:left="1320" w:top="250" w:right="133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133985</wp:posOffset>
            </wp:positionH>
            <wp:positionV relativeFrom="page">
              <wp:posOffset>88900</wp:posOffset>
            </wp:positionV>
            <wp:extent cx="730821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8215" cy="34290"/>
                    </a:xfrm>
                    <a:prstGeom prst="rect">
                      <a:avLst/>
                    </a:prstGeom>
                    <a:noFill/>
                  </pic:spPr>
                </pic:pic>
              </a:graphicData>
            </a:graphic>
          </wp:anchor>
        </w:drawing>
        <w:t>SIGNATURES</w:t>
      </w:r>
    </w:p>
    <w:p>
      <w:pPr>
        <w:spacing w:after="0" w:line="195" w:lineRule="exact"/>
        <w:rPr>
          <w:sz w:val="20"/>
          <w:szCs w:val="20"/>
          <w:color w:val="auto"/>
        </w:rPr>
      </w:pPr>
    </w:p>
    <w:p>
      <w:pPr>
        <w:ind w:right="260" w:firstLine="371"/>
        <w:spacing w:after="0" w:line="278"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140" w:type="dxa"/>
            <w:vAlign w:val="bottom"/>
          </w:tcPr>
          <w:p>
            <w:pPr>
              <w:spacing w:after="0"/>
              <w:rPr>
                <w:sz w:val="16"/>
                <w:szCs w:val="16"/>
                <w:color w:val="auto"/>
              </w:rPr>
            </w:pPr>
          </w:p>
        </w:tc>
        <w:tc>
          <w:tcPr>
            <w:tcW w:w="6140" w:type="dxa"/>
            <w:vAlign w:val="bottom"/>
            <w:gridSpan w:val="2"/>
          </w:tcPr>
          <w:p>
            <w:pPr>
              <w:ind w:left="1560"/>
              <w:spacing w:after="0"/>
              <w:rPr>
                <w:sz w:val="20"/>
                <w:szCs w:val="20"/>
                <w:color w:val="auto"/>
              </w:rPr>
            </w:pPr>
            <w:r>
              <w:rPr>
                <w:rFonts w:ascii="Arial" w:cs="Arial" w:eastAsia="Arial" w:hAnsi="Arial"/>
                <w:sz w:val="15"/>
                <w:szCs w:val="15"/>
                <w:color w:val="auto"/>
              </w:rPr>
              <w:t>AnaptysBio, Inc.</w:t>
            </w:r>
          </w:p>
        </w:tc>
      </w:tr>
      <w:tr>
        <w:trPr>
          <w:trHeight w:val="364"/>
        </w:trPr>
        <w:tc>
          <w:tcPr>
            <w:tcW w:w="3140" w:type="dxa"/>
            <w:vAlign w:val="bottom"/>
          </w:tcPr>
          <w:p>
            <w:pPr>
              <w:spacing w:after="0"/>
              <w:rPr>
                <w:sz w:val="20"/>
                <w:szCs w:val="20"/>
                <w:color w:val="auto"/>
              </w:rPr>
            </w:pPr>
            <w:r>
              <w:rPr>
                <w:rFonts w:ascii="Arial" w:cs="Arial" w:eastAsia="Arial" w:hAnsi="Arial"/>
                <w:sz w:val="15"/>
                <w:szCs w:val="15"/>
                <w:color w:val="auto"/>
              </w:rPr>
              <w:t>Date: September 24, 2018</w:t>
            </w:r>
          </w:p>
        </w:tc>
        <w:tc>
          <w:tcPr>
            <w:tcW w:w="1960" w:type="dxa"/>
            <w:vAlign w:val="bottom"/>
          </w:tcPr>
          <w:p>
            <w:pPr>
              <w:ind w:left="1560"/>
              <w:spacing w:after="0"/>
              <w:rPr>
                <w:sz w:val="20"/>
                <w:szCs w:val="20"/>
                <w:color w:val="auto"/>
              </w:rPr>
            </w:pPr>
            <w:r>
              <w:rPr>
                <w:rFonts w:ascii="Arial" w:cs="Arial" w:eastAsia="Arial" w:hAnsi="Arial"/>
                <w:sz w:val="15"/>
                <w:szCs w:val="15"/>
                <w:color w:val="auto"/>
              </w:rPr>
              <w:t>By:</w:t>
            </w:r>
          </w:p>
        </w:tc>
        <w:tc>
          <w:tcPr>
            <w:tcW w:w="418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/s/ Dominic Piscitelli</w:t>
            </w:r>
          </w:p>
        </w:tc>
      </w:tr>
      <w:tr>
        <w:trPr>
          <w:trHeight w:val="164"/>
        </w:trPr>
        <w:tc>
          <w:tcPr>
            <w:tcW w:w="3140" w:type="dxa"/>
            <w:vAlign w:val="bottom"/>
          </w:tcPr>
          <w:p>
            <w:pPr>
              <w:spacing w:after="0"/>
              <w:rPr>
                <w:sz w:val="14"/>
                <w:szCs w:val="14"/>
                <w:color w:val="auto"/>
              </w:rPr>
            </w:pPr>
          </w:p>
        </w:tc>
        <w:tc>
          <w:tcPr>
            <w:tcW w:w="1960" w:type="dxa"/>
            <w:vAlign w:val="bottom"/>
          </w:tcPr>
          <w:p>
            <w:pPr>
              <w:ind w:left="1560"/>
              <w:spacing w:after="0" w:line="164" w:lineRule="exact"/>
              <w:rPr>
                <w:sz w:val="20"/>
                <w:szCs w:val="20"/>
                <w:color w:val="auto"/>
              </w:rPr>
            </w:pPr>
            <w:r>
              <w:rPr>
                <w:rFonts w:ascii="Arial" w:cs="Arial" w:eastAsia="Arial" w:hAnsi="Arial"/>
                <w:sz w:val="15"/>
                <w:szCs w:val="15"/>
                <w:color w:val="auto"/>
                <w:w w:val="85"/>
              </w:rPr>
              <w:t>Name:</w:t>
            </w:r>
          </w:p>
        </w:tc>
        <w:tc>
          <w:tcPr>
            <w:tcW w:w="4180" w:type="dxa"/>
            <w:vAlign w:val="bottom"/>
          </w:tcPr>
          <w:p>
            <w:pPr>
              <w:ind w:left="100"/>
              <w:spacing w:after="0" w:line="164" w:lineRule="exact"/>
              <w:rPr>
                <w:sz w:val="20"/>
                <w:szCs w:val="20"/>
                <w:color w:val="auto"/>
              </w:rPr>
            </w:pPr>
            <w:r>
              <w:rPr>
                <w:rFonts w:ascii="Arial" w:cs="Arial" w:eastAsia="Arial" w:hAnsi="Arial"/>
                <w:sz w:val="15"/>
                <w:szCs w:val="15"/>
                <w:color w:val="auto"/>
              </w:rPr>
              <w:t>Dominic Piscitelli</w:t>
            </w:r>
          </w:p>
        </w:tc>
      </w:tr>
      <w:tr>
        <w:trPr>
          <w:trHeight w:val="191"/>
        </w:trPr>
        <w:tc>
          <w:tcPr>
            <w:tcW w:w="3140" w:type="dxa"/>
            <w:vAlign w:val="bottom"/>
          </w:tcPr>
          <w:p>
            <w:pPr>
              <w:spacing w:after="0"/>
              <w:rPr>
                <w:sz w:val="16"/>
                <w:szCs w:val="16"/>
                <w:color w:val="auto"/>
              </w:rPr>
            </w:pPr>
          </w:p>
        </w:tc>
        <w:tc>
          <w:tcPr>
            <w:tcW w:w="1960" w:type="dxa"/>
            <w:vAlign w:val="bottom"/>
          </w:tcPr>
          <w:p>
            <w:pPr>
              <w:ind w:left="1560"/>
              <w:spacing w:after="0"/>
              <w:rPr>
                <w:sz w:val="20"/>
                <w:szCs w:val="20"/>
                <w:color w:val="auto"/>
              </w:rPr>
            </w:pPr>
            <w:r>
              <w:rPr>
                <w:rFonts w:ascii="Arial" w:cs="Arial" w:eastAsia="Arial" w:hAnsi="Arial"/>
                <w:sz w:val="15"/>
                <w:szCs w:val="15"/>
                <w:color w:val="auto"/>
              </w:rPr>
              <w:t>Title:</w:t>
            </w:r>
          </w:p>
        </w:tc>
        <w:tc>
          <w:tcPr>
            <w:tcW w:w="4180" w:type="dxa"/>
            <w:vAlign w:val="bottom"/>
          </w:tcPr>
          <w:p>
            <w:pPr>
              <w:ind w:left="100"/>
              <w:spacing w:after="0"/>
              <w:rPr>
                <w:sz w:val="20"/>
                <w:szCs w:val="20"/>
                <w:color w:val="auto"/>
              </w:rPr>
            </w:pPr>
            <w:r>
              <w:rPr>
                <w:rFonts w:ascii="Arial" w:cs="Arial" w:eastAsia="Arial" w:hAnsi="Arial"/>
                <w:sz w:val="15"/>
                <w:szCs w:val="15"/>
                <w:color w:val="auto"/>
              </w:rPr>
              <w:t>Chief Financial Officer</w:t>
            </w:r>
          </w:p>
        </w:tc>
      </w:tr>
    </w:tbl>
    <w:p>
      <w:pPr>
        <w:sectPr>
          <w:pgSz w:w="11900" w:h="16838" w:orient="portrait"/>
          <w:cols w:equalWidth="0" w:num="1">
            <w:col w:w="9280"/>
          </w:cols>
          <w:pgMar w:left="1320" w:top="250"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4671060</wp:posOffset>
            </wp:positionH>
            <wp:positionV relativeFrom="paragraph">
              <wp:posOffset>145415</wp:posOffset>
            </wp:positionV>
            <wp:extent cx="1219835" cy="288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19835" cy="28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AnaptysBio Reports Positive Topline Data from Phase 2a Proof-of-Concept Clinical Trial of Etokimab in Severe Eosinophilic Asthma</w:t>
      </w:r>
    </w:p>
    <w:p>
      <w:pPr>
        <w:spacing w:after="0" w:line="127" w:lineRule="exact"/>
        <w:rPr>
          <w:sz w:val="20"/>
          <w:szCs w:val="20"/>
          <w:color w:val="auto"/>
        </w:rPr>
      </w:pPr>
    </w:p>
    <w:p>
      <w:pPr>
        <w:ind w:left="720" w:hanging="269"/>
        <w:spacing w:after="0"/>
        <w:tabs>
          <w:tab w:leader="none" w:pos="720" w:val="left"/>
        </w:tabs>
        <w:numPr>
          <w:ilvl w:val="0"/>
          <w:numId w:val="2"/>
        </w:numPr>
        <w:rPr>
          <w:rFonts w:ascii="Arial" w:cs="Arial" w:eastAsia="Arial" w:hAnsi="Arial"/>
          <w:sz w:val="13"/>
          <w:szCs w:val="13"/>
          <w:color w:val="auto"/>
        </w:rPr>
      </w:pPr>
      <w:r>
        <w:rPr>
          <w:rFonts w:ascii="Arial" w:cs="Arial" w:eastAsia="Arial" w:hAnsi="Arial"/>
          <w:sz w:val="13"/>
          <w:szCs w:val="13"/>
          <w:color w:val="auto"/>
        </w:rPr>
        <w:t>Lung function improvement occurred rapidly following a single dose of etokimab, with an 8 percent increase in FEV1 over placebo at Day 2</w:t>
      </w:r>
    </w:p>
    <w:p>
      <w:pPr>
        <w:spacing w:after="0" w:line="134" w:lineRule="exact"/>
        <w:rPr>
          <w:rFonts w:ascii="Arial" w:cs="Arial" w:eastAsia="Arial" w:hAnsi="Arial"/>
          <w:sz w:val="13"/>
          <w:szCs w:val="13"/>
          <w:color w:val="auto"/>
        </w:rPr>
      </w:pPr>
    </w:p>
    <w:p>
      <w:pPr>
        <w:ind w:left="720" w:hanging="269"/>
        <w:spacing w:after="0"/>
        <w:tabs>
          <w:tab w:leader="none" w:pos="720" w:val="left"/>
        </w:tabs>
        <w:numPr>
          <w:ilvl w:val="0"/>
          <w:numId w:val="2"/>
        </w:numPr>
        <w:rPr>
          <w:rFonts w:ascii="Arial" w:cs="Arial" w:eastAsia="Arial" w:hAnsi="Arial"/>
          <w:sz w:val="15"/>
          <w:szCs w:val="15"/>
          <w:color w:val="auto"/>
        </w:rPr>
      </w:pPr>
      <w:r>
        <w:rPr>
          <w:rFonts w:ascii="Arial" w:cs="Arial" w:eastAsia="Arial" w:hAnsi="Arial"/>
          <w:sz w:val="15"/>
          <w:szCs w:val="15"/>
          <w:color w:val="auto"/>
        </w:rPr>
        <w:t>FEV1 improvement was sustained throughout the interim analysis period, with an 11 percent increase over placebo at Day 64</w:t>
      </w:r>
    </w:p>
    <w:p>
      <w:pPr>
        <w:spacing w:after="0" w:line="111" w:lineRule="exact"/>
        <w:rPr>
          <w:rFonts w:ascii="Arial" w:cs="Arial" w:eastAsia="Arial" w:hAnsi="Arial"/>
          <w:sz w:val="15"/>
          <w:szCs w:val="15"/>
          <w:color w:val="auto"/>
        </w:rPr>
      </w:pPr>
    </w:p>
    <w:p>
      <w:pPr>
        <w:ind w:left="720" w:right="60" w:hanging="269"/>
        <w:spacing w:after="0" w:line="278" w:lineRule="auto"/>
        <w:tabs>
          <w:tab w:leader="none" w:pos="720" w:val="left"/>
        </w:tabs>
        <w:numPr>
          <w:ilvl w:val="0"/>
          <w:numId w:val="2"/>
        </w:numPr>
        <w:rPr>
          <w:rFonts w:ascii="Arial" w:cs="Arial" w:eastAsia="Arial" w:hAnsi="Arial"/>
          <w:sz w:val="15"/>
          <w:szCs w:val="15"/>
          <w:color w:val="auto"/>
        </w:rPr>
      </w:pPr>
      <w:r>
        <w:rPr>
          <w:rFonts w:ascii="Arial" w:cs="Arial" w:eastAsia="Arial" w:hAnsi="Arial"/>
          <w:sz w:val="15"/>
          <w:szCs w:val="15"/>
          <w:color w:val="auto"/>
        </w:rPr>
        <w:t>Blood eosinophil reduction was consistent with lung function improvement, with 31 percent and 46 percent reduction over placebo at Day 2 and Day 64, respectively</w:t>
      </w:r>
    </w:p>
    <w:p>
      <w:pPr>
        <w:spacing w:after="0" w:line="66" w:lineRule="exact"/>
        <w:rPr>
          <w:rFonts w:ascii="Arial" w:cs="Arial" w:eastAsia="Arial" w:hAnsi="Arial"/>
          <w:sz w:val="15"/>
          <w:szCs w:val="15"/>
          <w:color w:val="auto"/>
        </w:rPr>
      </w:pPr>
    </w:p>
    <w:p>
      <w:pPr>
        <w:ind w:left="720" w:hanging="269"/>
        <w:spacing w:after="0"/>
        <w:tabs>
          <w:tab w:leader="none" w:pos="720" w:val="left"/>
        </w:tabs>
        <w:numPr>
          <w:ilvl w:val="0"/>
          <w:numId w:val="2"/>
        </w:numPr>
        <w:rPr>
          <w:rFonts w:ascii="Arial" w:cs="Arial" w:eastAsia="Arial" w:hAnsi="Arial"/>
          <w:sz w:val="15"/>
          <w:szCs w:val="15"/>
          <w:color w:val="auto"/>
        </w:rPr>
      </w:pPr>
      <w:r>
        <w:rPr>
          <w:rFonts w:ascii="Arial" w:cs="Arial" w:eastAsia="Arial" w:hAnsi="Arial"/>
          <w:sz w:val="15"/>
          <w:szCs w:val="15"/>
          <w:color w:val="auto"/>
        </w:rPr>
        <w:t>Management to host conference call today at 8:30 a.m. EDT</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b w:val="1"/>
          <w:bCs w:val="1"/>
          <w:color w:val="auto"/>
        </w:rPr>
        <w:t xml:space="preserve">SAN DIEGO, Sept. 24, 2018 </w:t>
      </w:r>
      <w:r>
        <w:rPr>
          <w:rFonts w:ascii="Arial" w:cs="Arial" w:eastAsia="Arial" w:hAnsi="Arial"/>
          <w:sz w:val="15"/>
          <w:szCs w:val="15"/>
          <w:color w:val="auto"/>
        </w:rPr>
        <w:t>— AnaptysBio, Inc. (Nasdaq: ANAB), a clinical-stage biotechnology company developing first-in-class antibody product</w:t>
      </w:r>
      <w:r>
        <w:rPr>
          <w:rFonts w:ascii="Arial" w:cs="Arial" w:eastAsia="Arial" w:hAnsi="Arial"/>
          <w:sz w:val="15"/>
          <w:szCs w:val="15"/>
          <w:b w:val="1"/>
          <w:bCs w:val="1"/>
          <w:color w:val="auto"/>
        </w:rPr>
        <w:t xml:space="preserve"> </w:t>
      </w:r>
      <w:r>
        <w:rPr>
          <w:rFonts w:ascii="Arial" w:cs="Arial" w:eastAsia="Arial" w:hAnsi="Arial"/>
          <w:sz w:val="15"/>
          <w:szCs w:val="15"/>
          <w:color w:val="auto"/>
        </w:rPr>
        <w:t>candidates focused on unmet medical needs in inflammation, today announced positive topline proof-of-concept data for etokimab, its investigational anti-IL-33 therapeutic antibody, in an ongoing single dose Phase 2a clinical trial in adult patients with severe eosinophilic asthma. Patients administered with etokimab rapidly improved their Forced Exhaled Volume In One Second (FEV1), which is a measure of lung function, with an 8 percent FEV1 improvement over placebo at Day 2. FEV1 improvement was sustained through Day 64, with an 11 percent increase over placebo. Blood eosinophil reduction was sustained through the interim analysis period, with a 31 percent reduction at Day 2 and a 46 percent reduction at Day 64 over placebo, which was consistent with FEV1 improvement observed in this trial. Etokimab was generally well tolerated in all patients and no serious adverse events were reported as of this interim analysis.</w:t>
      </w:r>
    </w:p>
    <w:p>
      <w:pPr>
        <w:spacing w:after="0" w:line="163"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“Eosinophilic asthma is a debilitating medical condition that results from severe inflammation and airway obstruction,” said Dr. Ian Pavord, professor of Respiratory Medicine at University of Oxford and principal investigator of the Phase 2a trial. “The benefit observed in this trial after a single dose of etokimab demonstrates the potential for IL-33 inhibition in treating severe eosinophilic asthma. I look forward to the continued advancement of etokimab in subsequent clinical trials for patients suffering from this chronic life-long disease.”</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Phase 2a Trial Design</w:t>
      </w:r>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color w:val="auto"/>
        </w:rPr>
        <w:t>This Phase 2a proof-of-concept trial enrolled 25 adult severe eosinophilic asthma patients, who were randomized between a single 300mg intravenous dose of etokimab or placebo upon enrollment (Day 1) at six sites located in the United States and the United Kingdom. Upon screening, which occurred seven to 14 days prior to enrollment, patients were required to have a blood eosinophil count of at least 300 per microliter, confirmed clinical diagnosis of severe asthma according to the Global Initiative for Asthma (GINA) 2016, pre-bronchodilator FEV1 of less than 80 percent of predicted and at least one asthma exacerbation within the past 12 months requiring use of rescue medication. Patients were required to be stably maintained on high-dose inhaled corticosteroids (ICS) and long-acting beta-2-agonists (LABA) for at least three months prior to screening and were required to continue ICS/LABA therapy during the course of this trial. Baseline clinical assessments were conducted for each patient on Day 1 prior to etokimab or placebo dose, and patients completed follow-up clinical assessments on Days 2, 8, 22, 36 and</w:t>
      </w:r>
    </w:p>
    <w:p>
      <w:pPr>
        <w:sectPr>
          <w:pgSz w:w="11900" w:h="16838" w:orient="portrait"/>
          <w:cols w:equalWidth="0" w:num="1">
            <w:col w:w="9280"/>
          </w:cols>
          <w:pgMar w:left="1320" w:top="125" w:right="1299" w:bottom="1440" w:gutter="0" w:footer="0" w:header="0"/>
        </w:sectPr>
      </w:pPr>
    </w:p>
    <w:bookmarkStart w:id="4" w:name="page5"/>
    <w:bookmarkEnd w:id="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133985</wp:posOffset>
            </wp:positionH>
            <wp:positionV relativeFrom="page">
              <wp:posOffset>88900</wp:posOffset>
            </wp:positionV>
            <wp:extent cx="730821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8215" cy="34290"/>
                    </a:xfrm>
                    <a:prstGeom prst="rect">
                      <a:avLst/>
                    </a:prstGeom>
                    <a:noFill/>
                  </pic:spPr>
                </pic:pic>
              </a:graphicData>
            </a:graphic>
          </wp:anchor>
        </w:drawing>
        <w:drawing>
          <wp:anchor simplePos="0" relativeHeight="251657728" behindDoc="1" locked="0" layoutInCell="0" allowOverlap="1">
            <wp:simplePos x="0" y="0"/>
            <wp:positionH relativeFrom="page">
              <wp:posOffset>5509260</wp:posOffset>
            </wp:positionH>
            <wp:positionV relativeFrom="page">
              <wp:posOffset>168275</wp:posOffset>
            </wp:positionV>
            <wp:extent cx="1219835" cy="288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19835" cy="288925"/>
                    </a:xfrm>
                    <a:prstGeom prst="rect">
                      <a:avLst/>
                    </a:prstGeom>
                    <a:noFill/>
                  </pic:spPr>
                </pic:pic>
              </a:graphicData>
            </a:graphic>
          </wp:anchor>
        </w:drawing>
        <w:t>64 as of this interim analysis. The last follow-up visit for each patient will occur on Day 127 post-dose.</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Interim Analysis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Key data and observations as of this interim analysis indicate the following:</w:t>
      </w:r>
    </w:p>
    <w:p>
      <w:pPr>
        <w:spacing w:after="0" w:line="112" w:lineRule="exact"/>
        <w:rPr>
          <w:sz w:val="20"/>
          <w:szCs w:val="20"/>
          <w:color w:val="auto"/>
        </w:rPr>
      </w:pPr>
    </w:p>
    <w:p>
      <w:pPr>
        <w:ind w:left="640" w:right="20" w:hanging="280"/>
        <w:spacing w:after="0" w:line="261" w:lineRule="auto"/>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Baseline parameters of etokimab-dosed patients (n=12) were 545 blood eosinophils per microliter, 2.5 liters FEV1 and 65 percent predicted FEV1, while placebo-dosed patients (n=13) had 705 blood eosinophils per microliter, 2.5 liters FEV1 and 66 percent predicted FEV1. Nine of 12 (75%) etokimab-dosed patients were male with an average age of 41, while nine of 13 (69%) placebo-dosed patients were male with an average age of 36.</w:t>
      </w:r>
    </w:p>
    <w:p>
      <w:pPr>
        <w:sectPr>
          <w:pgSz w:w="11900" w:h="16838" w:orient="portrait"/>
          <w:cols w:equalWidth="0" w:num="1">
            <w:col w:w="9260"/>
          </w:cols>
          <w:pgMar w:left="1320" w:top="834" w:right="1319" w:bottom="1440" w:gutter="0" w:footer="0" w:header="0"/>
        </w:sectPr>
      </w:pPr>
    </w:p>
    <w:p>
      <w:pPr>
        <w:spacing w:after="0" w:line="125" w:lineRule="exact"/>
        <w:rPr>
          <w:sz w:val="20"/>
          <w:szCs w:val="20"/>
          <w:color w:val="auto"/>
        </w:rPr>
      </w:pPr>
    </w:p>
    <w:p>
      <w:pPr>
        <w:ind w:left="640" w:right="80" w:hanging="257"/>
        <w:spacing w:after="0" w:line="315"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Etokimab-dosed patients rapidly improved lung function by Day 2, where FEV1 increased by 8 percent over placebo.</w:t>
      </w:r>
    </w:p>
    <w:p>
      <w:pPr>
        <w:spacing w:after="0" w:line="43" w:lineRule="exact"/>
        <w:rPr>
          <w:rFonts w:ascii="Arial" w:cs="Arial" w:eastAsia="Arial" w:hAnsi="Arial"/>
          <w:sz w:val="14"/>
          <w:szCs w:val="14"/>
          <w:color w:val="auto"/>
        </w:rPr>
      </w:pPr>
    </w:p>
    <w:p>
      <w:pPr>
        <w:ind w:left="640" w:right="220" w:hanging="257"/>
        <w:spacing w:after="0" w:line="265" w:lineRule="auto"/>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FEV1 increase was sustained at Day 64, where etokimab-dosed patients demonstrated an 11 percent increase over placebo.</w:t>
      </w:r>
    </w:p>
    <w:p>
      <w:pPr>
        <w:spacing w:after="0" w:line="76" w:lineRule="exact"/>
        <w:rPr>
          <w:rFonts w:ascii="Arial" w:cs="Arial" w:eastAsia="Arial" w:hAnsi="Arial"/>
          <w:sz w:val="15"/>
          <w:szCs w:val="15"/>
          <w:color w:val="auto"/>
        </w:rPr>
      </w:pPr>
    </w:p>
    <w:p>
      <w:pPr>
        <w:ind w:left="640" w:right="20" w:hanging="257"/>
        <w:spacing w:after="0" w:line="277"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Blood eosinophil reduction, which is a biomarker illustrative of etokimab’s mechanistic breadth, was observed at</w:t>
      </w:r>
    </w:p>
    <w:p>
      <w:pPr>
        <w:spacing w:after="0" w:line="1" w:lineRule="exact"/>
        <w:rPr>
          <w:rFonts w:ascii="Arial" w:cs="Arial" w:eastAsia="Arial" w:hAnsi="Arial"/>
          <w:sz w:val="14"/>
          <w:szCs w:val="14"/>
          <w:color w:val="auto"/>
        </w:rPr>
      </w:pPr>
    </w:p>
    <w:p>
      <w:pPr>
        <w:ind w:left="640"/>
        <w:spacing w:after="0" w:line="278" w:lineRule="auto"/>
        <w:rPr>
          <w:rFonts w:ascii="Arial" w:cs="Arial" w:eastAsia="Arial" w:hAnsi="Arial"/>
          <w:sz w:val="14"/>
          <w:szCs w:val="14"/>
          <w:color w:val="auto"/>
        </w:rPr>
      </w:pPr>
      <w:r>
        <w:rPr>
          <w:rFonts w:ascii="Arial" w:cs="Arial" w:eastAsia="Arial" w:hAnsi="Arial"/>
          <w:sz w:val="14"/>
          <w:szCs w:val="14"/>
          <w:color w:val="auto"/>
        </w:rPr>
        <w:t>31 percent over placebo at Day 2 and sustained to 46 percent over placebo at Day 64. This reduction correlated with FEV1 improvement and was consistent with the blood eosinophil effects observed in a prior single dose etokimab trial in moderate-to-severe atopic dermatitis patients.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tcPr>
          <w:p>
            <w:pPr>
              <w:jc w:val="right"/>
              <w:ind w:right="200"/>
              <w:spacing w:after="0"/>
              <w:rPr>
                <w:sz w:val="20"/>
                <w:szCs w:val="20"/>
                <w:color w:val="auto"/>
              </w:rPr>
            </w:pPr>
            <w:r>
              <w:rPr>
                <w:rFonts w:ascii="Arial" w:cs="Arial" w:eastAsia="Arial" w:hAnsi="Arial"/>
                <w:sz w:val="12"/>
                <w:szCs w:val="12"/>
                <w:b w:val="1"/>
                <w:bCs w:val="1"/>
                <w:color w:val="auto"/>
              </w:rPr>
              <w:t>Change Relative to</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2"/>
                <w:szCs w:val="12"/>
                <w:b w:val="1"/>
                <w:bCs w:val="1"/>
                <w:color w:val="auto"/>
                <w:w w:val="94"/>
              </w:rPr>
              <w:t>Day 1 Baseline</w:t>
            </w:r>
          </w:p>
        </w:tc>
        <w:tc>
          <w:tcPr>
            <w:tcW w:w="2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Parameter</w:t>
            </w:r>
          </w:p>
        </w:tc>
        <w:tc>
          <w:tcPr>
            <w:tcW w:w="220" w:type="dxa"/>
            <w:vAlign w:val="bottom"/>
          </w:tcPr>
          <w:p>
            <w:pPr>
              <w:spacing w:after="0"/>
              <w:rPr>
                <w:sz w:val="8"/>
                <w:szCs w:val="8"/>
                <w:color w:val="auto"/>
              </w:rPr>
            </w:pPr>
          </w:p>
        </w:tc>
        <w:tc>
          <w:tcPr>
            <w:tcW w:w="8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Timepoint</w:t>
            </w:r>
          </w:p>
        </w:tc>
        <w:tc>
          <w:tcPr>
            <w:tcW w:w="220" w:type="dxa"/>
            <w:vAlign w:val="bottom"/>
          </w:tcPr>
          <w:p>
            <w:pPr>
              <w:spacing w:after="0"/>
              <w:rPr>
                <w:sz w:val="8"/>
                <w:szCs w:val="8"/>
                <w:color w:val="auto"/>
              </w:rPr>
            </w:pPr>
          </w:p>
        </w:tc>
        <w:tc>
          <w:tcPr>
            <w:tcW w:w="900" w:type="dxa"/>
            <w:vAlign w:val="bottom"/>
            <w:gridSpan w:val="3"/>
          </w:tcPr>
          <w:p>
            <w:pPr>
              <w:jc w:val="right"/>
              <w:ind w:right="319"/>
              <w:spacing w:after="0" w:line="97" w:lineRule="exact"/>
              <w:rPr>
                <w:sz w:val="20"/>
                <w:szCs w:val="20"/>
                <w:color w:val="auto"/>
              </w:rPr>
            </w:pPr>
            <w:r>
              <w:rPr>
                <w:rFonts w:ascii="Arial" w:cs="Arial" w:eastAsia="Arial" w:hAnsi="Arial"/>
                <w:sz w:val="11"/>
                <w:szCs w:val="11"/>
                <w:b w:val="1"/>
                <w:bCs w:val="1"/>
                <w:color w:val="auto"/>
              </w:rPr>
              <w:t>Etokimab</w:t>
            </w:r>
          </w:p>
        </w:tc>
        <w:tc>
          <w:tcPr>
            <w:tcW w:w="760" w:type="dxa"/>
            <w:vAlign w:val="bottom"/>
            <w:gridSpan w:val="2"/>
          </w:tcPr>
          <w:p>
            <w:pPr>
              <w:jc w:val="right"/>
              <w:ind w:right="360"/>
              <w:spacing w:after="0" w:line="97" w:lineRule="exact"/>
              <w:rPr>
                <w:sz w:val="20"/>
                <w:szCs w:val="20"/>
                <w:color w:val="auto"/>
              </w:rPr>
            </w:pPr>
            <w:r>
              <w:rPr>
                <w:rFonts w:ascii="Arial" w:cs="Arial" w:eastAsia="Arial" w:hAnsi="Arial"/>
                <w:sz w:val="11"/>
                <w:szCs w:val="11"/>
                <w:b w:val="1"/>
                <w:bCs w:val="1"/>
                <w:color w:val="auto"/>
                <w:w w:val="89"/>
              </w:rPr>
              <w:t>Placebo</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33"/>
        </w:trPr>
        <w:tc>
          <w:tcPr>
            <w:tcW w:w="11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399"/>
              <w:spacing w:after="0" w:line="133" w:lineRule="exact"/>
              <w:rPr>
                <w:sz w:val="20"/>
                <w:szCs w:val="20"/>
                <w:color w:val="auto"/>
              </w:rPr>
            </w:pPr>
            <w:r>
              <w:rPr>
                <w:rFonts w:ascii="Arial" w:cs="Arial" w:eastAsia="Arial" w:hAnsi="Arial"/>
                <w:sz w:val="12"/>
                <w:szCs w:val="12"/>
                <w:b w:val="1"/>
                <w:bCs w:val="1"/>
                <w:color w:val="auto"/>
                <w:w w:val="89"/>
              </w:rPr>
              <w:t>(n=12)</w:t>
            </w:r>
          </w:p>
        </w:tc>
        <w:tc>
          <w:tcPr>
            <w:tcW w:w="760" w:type="dxa"/>
            <w:vAlign w:val="bottom"/>
            <w:gridSpan w:val="2"/>
          </w:tcPr>
          <w:p>
            <w:pPr>
              <w:jc w:val="right"/>
              <w:ind w:right="400"/>
              <w:spacing w:after="0" w:line="133" w:lineRule="exact"/>
              <w:rPr>
                <w:sz w:val="20"/>
                <w:szCs w:val="20"/>
                <w:color w:val="auto"/>
              </w:rPr>
            </w:pPr>
            <w:r>
              <w:rPr>
                <w:rFonts w:ascii="Arial" w:cs="Arial" w:eastAsia="Arial" w:hAnsi="Arial"/>
                <w:sz w:val="12"/>
                <w:szCs w:val="12"/>
                <w:b w:val="1"/>
                <w:bCs w:val="1"/>
                <w:color w:val="auto"/>
                <w:w w:val="95"/>
              </w:rPr>
              <w:t>(n=13)</w:t>
            </w:r>
          </w:p>
        </w:tc>
        <w:tc>
          <w:tcPr>
            <w:tcW w:w="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Day 2</w:t>
            </w:r>
          </w:p>
        </w:tc>
        <w:tc>
          <w:tcPr>
            <w:tcW w:w="220" w:type="dxa"/>
            <w:vAlign w:val="bottom"/>
            <w:vMerge w:val="continue"/>
            <w:shd w:val="clear" w:color="auto" w:fill="CCEEFF"/>
          </w:tcPr>
          <w:p>
            <w:pPr>
              <w:spacing w:after="0"/>
              <w:rPr>
                <w:sz w:val="15"/>
                <w:szCs w:val="15"/>
                <w:color w:val="auto"/>
              </w:rPr>
            </w:pPr>
          </w:p>
        </w:tc>
        <w:tc>
          <w:tcPr>
            <w:tcW w:w="900" w:type="dxa"/>
            <w:vAlign w:val="bottom"/>
            <w:gridSpan w:val="3"/>
            <w:shd w:val="clear" w:color="auto" w:fill="CCEEFF"/>
          </w:tcPr>
          <w:p>
            <w:pPr>
              <w:jc w:val="right"/>
              <w:ind w:right="179"/>
              <w:spacing w:after="0"/>
              <w:rPr>
                <w:sz w:val="20"/>
                <w:szCs w:val="20"/>
                <w:color w:val="auto"/>
              </w:rPr>
            </w:pPr>
            <w:r>
              <w:rPr>
                <w:rFonts w:ascii="Arial" w:cs="Arial" w:eastAsia="Arial" w:hAnsi="Arial"/>
                <w:sz w:val="15"/>
                <w:szCs w:val="15"/>
                <w:color w:val="auto"/>
              </w:rPr>
              <w:t>12%</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82"/>
        </w:trPr>
        <w:tc>
          <w:tcPr>
            <w:tcW w:w="114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FEV1</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Day 8</w:t>
            </w:r>
          </w:p>
        </w:tc>
        <w:tc>
          <w:tcPr>
            <w:tcW w:w="1120" w:type="dxa"/>
            <w:vAlign w:val="bottom"/>
            <w:gridSpan w:val="4"/>
            <w:shd w:val="clear" w:color="auto" w:fill="CCEEFF"/>
          </w:tcPr>
          <w:p>
            <w:pPr>
              <w:jc w:val="right"/>
              <w:ind w:right="179"/>
              <w:spacing w:after="0"/>
              <w:rPr>
                <w:sz w:val="20"/>
                <w:szCs w:val="20"/>
                <w:color w:val="auto"/>
              </w:rPr>
            </w:pPr>
            <w:r>
              <w:rPr>
                <w:rFonts w:ascii="Arial" w:cs="Arial" w:eastAsia="Arial" w:hAnsi="Arial"/>
                <w:sz w:val="15"/>
                <w:szCs w:val="15"/>
                <w:color w:val="auto"/>
              </w:rPr>
              <w:t>9%</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69"/>
        </w:trPr>
        <w:tc>
          <w:tcPr>
            <w:tcW w:w="11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2"/>
              </w:rPr>
              <w:t>Day 22</w:t>
            </w:r>
          </w:p>
        </w:tc>
        <w:tc>
          <w:tcPr>
            <w:tcW w:w="220" w:type="dxa"/>
            <w:vAlign w:val="bottom"/>
            <w:shd w:val="clear" w:color="auto" w:fill="CCEEFF"/>
          </w:tcPr>
          <w:p>
            <w:pPr>
              <w:spacing w:after="0"/>
              <w:rPr>
                <w:sz w:val="5"/>
                <w:szCs w:val="5"/>
                <w:color w:val="auto"/>
              </w:rPr>
            </w:pPr>
          </w:p>
        </w:tc>
        <w:tc>
          <w:tcPr>
            <w:tcW w:w="900" w:type="dxa"/>
            <w:vAlign w:val="bottom"/>
            <w:gridSpan w:val="3"/>
            <w:vMerge w:val="restart"/>
            <w:shd w:val="clear" w:color="auto" w:fill="CCEEFF"/>
          </w:tcPr>
          <w:p>
            <w:pPr>
              <w:jc w:val="right"/>
              <w:ind w:right="179"/>
              <w:spacing w:after="0"/>
              <w:rPr>
                <w:sz w:val="20"/>
                <w:szCs w:val="20"/>
                <w:color w:val="auto"/>
              </w:rPr>
            </w:pPr>
            <w:r>
              <w:rPr>
                <w:rFonts w:ascii="Arial" w:cs="Arial" w:eastAsia="Arial" w:hAnsi="Arial"/>
                <w:sz w:val="15"/>
                <w:szCs w:val="15"/>
                <w:color w:val="auto"/>
              </w:rPr>
              <w:t>16%</w:t>
            </w: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8%</w:t>
            </w:r>
          </w:p>
        </w:tc>
        <w:tc>
          <w:tcPr>
            <w:tcW w:w="4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13"/>
        </w:trPr>
        <w:tc>
          <w:tcPr>
            <w:tcW w:w="1140" w:type="dxa"/>
            <w:vAlign w:val="bottom"/>
            <w:gridSpan w:val="2"/>
            <w:vMerge w:val="restart"/>
            <w:shd w:val="clear" w:color="auto" w:fill="CCEEFF"/>
          </w:tcPr>
          <w:p>
            <w:pPr>
              <w:ind w:left="140"/>
              <w:spacing w:after="0"/>
              <w:rPr>
                <w:sz w:val="20"/>
                <w:szCs w:val="20"/>
                <w:color w:val="auto"/>
              </w:rPr>
            </w:pPr>
            <w:r>
              <w:rPr>
                <w:rFonts w:ascii="Arial" w:cs="Arial" w:eastAsia="Arial" w:hAnsi="Arial"/>
                <w:sz w:val="15"/>
                <w:szCs w:val="15"/>
                <w:color w:val="auto"/>
              </w:rPr>
              <w:t>Increase (%)</w:t>
            </w:r>
          </w:p>
        </w:tc>
        <w:tc>
          <w:tcPr>
            <w:tcW w:w="22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gridSpan w:val="3"/>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42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14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2"/>
              </w:rPr>
              <w:t>Day 36</w:t>
            </w:r>
          </w:p>
        </w:tc>
        <w:tc>
          <w:tcPr>
            <w:tcW w:w="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gridSpan w:val="2"/>
            <w:vMerge w:val="restart"/>
            <w:shd w:val="clear" w:color="auto" w:fill="CCEEFF"/>
          </w:tcPr>
          <w:p>
            <w:pPr>
              <w:jc w:val="right"/>
              <w:ind w:right="179"/>
              <w:spacing w:after="0"/>
              <w:rPr>
                <w:sz w:val="20"/>
                <w:szCs w:val="20"/>
                <w:color w:val="auto"/>
              </w:rPr>
            </w:pPr>
            <w:r>
              <w:rPr>
                <w:rFonts w:ascii="Arial" w:cs="Arial" w:eastAsia="Arial" w:hAnsi="Arial"/>
                <w:sz w:val="15"/>
                <w:szCs w:val="15"/>
                <w:color w:val="auto"/>
              </w:rPr>
              <w:t>14%</w:t>
            </w: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8%</w:t>
            </w:r>
          </w:p>
        </w:tc>
        <w:tc>
          <w:tcPr>
            <w:tcW w:w="4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04"/>
        </w:trPr>
        <w:tc>
          <w:tcPr>
            <w:tcW w:w="5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42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Day 64</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79"/>
              <w:spacing w:after="0"/>
              <w:rPr>
                <w:sz w:val="20"/>
                <w:szCs w:val="20"/>
                <w:color w:val="auto"/>
              </w:rPr>
            </w:pPr>
            <w:r>
              <w:rPr>
                <w:rFonts w:ascii="Arial" w:cs="Arial" w:eastAsia="Arial" w:hAnsi="Arial"/>
                <w:sz w:val="15"/>
                <w:szCs w:val="15"/>
                <w:color w:val="auto"/>
              </w:rPr>
              <w:t>15%</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line="172" w:lineRule="exact"/>
              <w:rPr>
                <w:sz w:val="20"/>
                <w:szCs w:val="20"/>
                <w:color w:val="auto"/>
              </w:rPr>
            </w:pPr>
            <w:r>
              <w:rPr>
                <w:rFonts w:ascii="Arial" w:cs="Arial" w:eastAsia="Arial" w:hAnsi="Arial"/>
                <w:sz w:val="15"/>
                <w:szCs w:val="15"/>
                <w:color w:val="auto"/>
                <w:w w:val="96"/>
              </w:rPr>
              <w:t>Day 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79"/>
              <w:spacing w:after="0" w:line="172" w:lineRule="exact"/>
              <w:rPr>
                <w:sz w:val="20"/>
                <w:szCs w:val="20"/>
                <w:color w:val="auto"/>
              </w:rPr>
            </w:pPr>
            <w:r>
              <w:rPr>
                <w:rFonts w:ascii="Arial" w:cs="Arial" w:eastAsia="Arial" w:hAnsi="Arial"/>
                <w:sz w:val="15"/>
                <w:szCs w:val="15"/>
                <w:color w:val="auto"/>
              </w:rPr>
              <w:t>-22%</w:t>
            </w:r>
          </w:p>
        </w:tc>
        <w:tc>
          <w:tcPr>
            <w:tcW w:w="76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9%</w:t>
            </w:r>
          </w:p>
        </w:tc>
        <w:tc>
          <w:tcPr>
            <w:tcW w:w="420" w:type="dxa"/>
            <w:vAlign w:val="bottom"/>
            <w:gridSpan w:val="2"/>
          </w:tcPr>
          <w:p>
            <w:pPr>
              <w:jc w:val="right"/>
              <w:ind w:right="40"/>
              <w:spacing w:after="0" w:line="172"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82"/>
        </w:trPr>
        <w:tc>
          <w:tcPr>
            <w:tcW w:w="1140" w:type="dxa"/>
            <w:vAlign w:val="bottom"/>
            <w:gridSpan w:val="2"/>
            <w:vMerge w:val="restart"/>
          </w:tcPr>
          <w:p>
            <w:pPr>
              <w:spacing w:after="0"/>
              <w:rPr>
                <w:sz w:val="20"/>
                <w:szCs w:val="20"/>
                <w:color w:val="auto"/>
              </w:rPr>
            </w:pPr>
            <w:r>
              <w:rPr>
                <w:rFonts w:ascii="Arial" w:cs="Arial" w:eastAsia="Arial" w:hAnsi="Arial"/>
                <w:sz w:val="15"/>
                <w:szCs w:val="15"/>
                <w:color w:val="auto"/>
              </w:rPr>
              <w:t>Blood Eosinophil</w:t>
            </w:r>
          </w:p>
        </w:tc>
        <w:tc>
          <w:tcPr>
            <w:tcW w:w="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6"/>
              </w:rPr>
              <w:t>Day 8</w:t>
            </w:r>
          </w:p>
        </w:tc>
        <w:tc>
          <w:tcPr>
            <w:tcW w:w="1120" w:type="dxa"/>
            <w:vAlign w:val="bottom"/>
            <w:gridSpan w:val="4"/>
          </w:tcPr>
          <w:p>
            <w:pPr>
              <w:jc w:val="right"/>
              <w:ind w:right="179"/>
              <w:spacing w:after="0"/>
              <w:rPr>
                <w:sz w:val="20"/>
                <w:szCs w:val="20"/>
                <w:color w:val="auto"/>
              </w:rPr>
            </w:pPr>
            <w:r>
              <w:rPr>
                <w:rFonts w:ascii="Arial" w:cs="Arial" w:eastAsia="Arial" w:hAnsi="Arial"/>
                <w:sz w:val="15"/>
                <w:szCs w:val="15"/>
                <w:color w:val="auto"/>
              </w:rPr>
              <w:t>-34%</w:t>
            </w: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-15%</w:t>
            </w:r>
          </w:p>
        </w:tc>
        <w:tc>
          <w:tcPr>
            <w:tcW w:w="420" w:type="dxa"/>
            <w:vAlign w:val="bottom"/>
            <w:gridSpan w:val="2"/>
          </w:tcPr>
          <w:p>
            <w:pPr>
              <w:jc w:val="right"/>
              <w:ind w:right="4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91"/>
        </w:trPr>
        <w:tc>
          <w:tcPr>
            <w:tcW w:w="11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vMerge w:val="restart"/>
          </w:tcPr>
          <w:p>
            <w:pPr>
              <w:jc w:val="center"/>
              <w:spacing w:after="0"/>
              <w:rPr>
                <w:sz w:val="20"/>
                <w:szCs w:val="20"/>
                <w:color w:val="auto"/>
              </w:rPr>
            </w:pPr>
            <w:r>
              <w:rPr>
                <w:rFonts w:ascii="Arial" w:cs="Arial" w:eastAsia="Arial" w:hAnsi="Arial"/>
                <w:sz w:val="15"/>
                <w:szCs w:val="15"/>
                <w:color w:val="auto"/>
                <w:w w:val="92"/>
              </w:rPr>
              <w:t>Day 22</w:t>
            </w:r>
          </w:p>
        </w:tc>
        <w:tc>
          <w:tcPr>
            <w:tcW w:w="1120" w:type="dxa"/>
            <w:vAlign w:val="bottom"/>
            <w:gridSpan w:val="4"/>
            <w:vMerge w:val="restart"/>
          </w:tcPr>
          <w:p>
            <w:pPr>
              <w:jc w:val="right"/>
              <w:ind w:right="179"/>
              <w:spacing w:after="0"/>
              <w:rPr>
                <w:sz w:val="20"/>
                <w:szCs w:val="20"/>
                <w:color w:val="auto"/>
              </w:rPr>
            </w:pPr>
            <w:r>
              <w:rPr>
                <w:rFonts w:ascii="Arial" w:cs="Arial" w:eastAsia="Arial" w:hAnsi="Arial"/>
                <w:sz w:val="15"/>
                <w:szCs w:val="15"/>
                <w:color w:val="auto"/>
              </w:rPr>
              <w:t>-30%</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-10%</w:t>
            </w: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91"/>
        </w:trPr>
        <w:tc>
          <w:tcPr>
            <w:tcW w:w="1140" w:type="dxa"/>
            <w:vAlign w:val="bottom"/>
            <w:gridSpan w:val="2"/>
            <w:vMerge w:val="restart"/>
          </w:tcPr>
          <w:p>
            <w:pPr>
              <w:ind w:left="140"/>
              <w:spacing w:after="0"/>
              <w:rPr>
                <w:sz w:val="20"/>
                <w:szCs w:val="20"/>
                <w:color w:val="auto"/>
              </w:rPr>
            </w:pPr>
            <w:r>
              <w:rPr>
                <w:rFonts w:ascii="Arial" w:cs="Arial" w:eastAsia="Arial" w:hAnsi="Arial"/>
                <w:sz w:val="15"/>
                <w:szCs w:val="15"/>
                <w:color w:val="auto"/>
              </w:rPr>
              <w:t>Level (%)</w:t>
            </w:r>
          </w:p>
        </w:tc>
        <w:tc>
          <w:tcPr>
            <w:tcW w:w="2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120" w:type="dxa"/>
            <w:vAlign w:val="bottom"/>
            <w:gridSpan w:val="4"/>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1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vMerge w:val="restart"/>
          </w:tcPr>
          <w:p>
            <w:pPr>
              <w:jc w:val="center"/>
              <w:spacing w:after="0"/>
              <w:rPr>
                <w:sz w:val="20"/>
                <w:szCs w:val="20"/>
                <w:color w:val="auto"/>
              </w:rPr>
            </w:pPr>
            <w:r>
              <w:rPr>
                <w:rFonts w:ascii="Arial" w:cs="Arial" w:eastAsia="Arial" w:hAnsi="Arial"/>
                <w:sz w:val="15"/>
                <w:szCs w:val="15"/>
                <w:color w:val="auto"/>
                <w:w w:val="92"/>
              </w:rPr>
              <w:t>Day 36</w:t>
            </w:r>
          </w:p>
        </w:tc>
        <w:tc>
          <w:tcPr>
            <w:tcW w:w="1120" w:type="dxa"/>
            <w:vAlign w:val="bottom"/>
            <w:gridSpan w:val="4"/>
            <w:vMerge w:val="restart"/>
          </w:tcPr>
          <w:p>
            <w:pPr>
              <w:jc w:val="right"/>
              <w:ind w:right="179"/>
              <w:spacing w:after="0"/>
              <w:rPr>
                <w:sz w:val="20"/>
                <w:szCs w:val="20"/>
                <w:color w:val="auto"/>
              </w:rPr>
            </w:pPr>
            <w:r>
              <w:rPr>
                <w:rFonts w:ascii="Arial" w:cs="Arial" w:eastAsia="Arial" w:hAnsi="Arial"/>
                <w:sz w:val="15"/>
                <w:szCs w:val="15"/>
                <w:color w:val="auto"/>
              </w:rPr>
              <w:t>-43%</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1%</w:t>
            </w: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82"/>
        </w:trPr>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120" w:type="dxa"/>
            <w:vAlign w:val="bottom"/>
            <w:gridSpan w:val="4"/>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2"/>
              </w:rPr>
              <w:t>Day 64</w:t>
            </w:r>
          </w:p>
        </w:tc>
        <w:tc>
          <w:tcPr>
            <w:tcW w:w="1120" w:type="dxa"/>
            <w:vAlign w:val="bottom"/>
            <w:gridSpan w:val="4"/>
          </w:tcPr>
          <w:p>
            <w:pPr>
              <w:jc w:val="right"/>
              <w:ind w:right="179"/>
              <w:spacing w:after="0"/>
              <w:rPr>
                <w:sz w:val="20"/>
                <w:szCs w:val="20"/>
                <w:color w:val="auto"/>
              </w:rPr>
            </w:pPr>
            <w:r>
              <w:rPr>
                <w:rFonts w:ascii="Arial" w:cs="Arial" w:eastAsia="Arial" w:hAnsi="Arial"/>
                <w:sz w:val="15"/>
                <w:szCs w:val="15"/>
                <w:color w:val="auto"/>
              </w:rPr>
              <w:t>-40%</w:t>
            </w: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6%</w:t>
            </w:r>
          </w:p>
        </w:tc>
        <w:tc>
          <w:tcPr>
            <w:tcW w:w="420" w:type="dxa"/>
            <w:vAlign w:val="bottom"/>
            <w:gridSpan w:val="2"/>
          </w:tcPr>
          <w:p>
            <w:pPr>
              <w:jc w:val="right"/>
              <w:ind w:right="40"/>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bl>
    <w:p>
      <w:pPr>
        <w:spacing w:after="0" w:line="263" w:lineRule="exact"/>
        <w:rPr>
          <w:sz w:val="20"/>
          <w:szCs w:val="20"/>
          <w:color w:val="auto"/>
        </w:rPr>
      </w:pPr>
    </w:p>
    <w:p>
      <w:pPr>
        <w:sectPr>
          <w:pgSz w:w="11900" w:h="16838" w:orient="portrait"/>
          <w:cols w:equalWidth="0" w:num="2">
            <w:col w:w="4360" w:space="380"/>
            <w:col w:w="4520"/>
          </w:cols>
          <w:pgMar w:left="1320" w:top="834" w:right="1319" w:bottom="1440" w:gutter="0" w:footer="0" w:header="0"/>
          <w:type w:val="continuous"/>
        </w:sectPr>
      </w:pPr>
    </w:p>
    <w:p>
      <w:pPr>
        <w:ind w:left="640" w:right="80" w:hanging="280"/>
        <w:spacing w:after="0" w:line="261" w:lineRule="auto"/>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Etokimab was generally well-tolerated by all patients and no serious adverse events were reported as of this interim analysis. No treatment-emergent adverse events were deemed to be etokimab-related, and the most frequent treatment-emergent adverse events reported were single occurrences of moderate strep throat in two etokimab-dosed patients and single occurrences of mild vomiting in two placebo-dosed patients. No exacerbations or rescue therapy usage has been reported as of the interim analysis.</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“We are thrilled to have demonstrated proof-of-concept in this single dose Phase 2a trial and look forward to advancing the development of etokimab for patients suffering from eosinophilic asthma,” said Hamza Suria, president and chief executive officer of AnaptysBio. “Genotypic studies have validated the key role played by IL-33 in asthma, and we believe etokimab’s upstream mechanism has the potential for a broad therapeutic benefit across multiple atopic disorders.”</w:t>
      </w:r>
    </w:p>
    <w:p>
      <w:pPr>
        <w:sectPr>
          <w:pgSz w:w="11900" w:h="16838" w:orient="portrait"/>
          <w:cols w:equalWidth="0" w:num="1">
            <w:col w:w="9260"/>
          </w:cols>
          <w:pgMar w:left="1320" w:top="834" w:right="1319" w:bottom="1440" w:gutter="0" w:footer="0" w:header="0"/>
          <w:type w:val="continuous"/>
        </w:sectPr>
      </w:pPr>
    </w:p>
    <w:bookmarkStart w:id="5" w:name="page6"/>
    <w:bookmarkEnd w:id="5"/>
    <w:p>
      <w:pPr>
        <w:ind w:right="540"/>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133985</wp:posOffset>
            </wp:positionH>
            <wp:positionV relativeFrom="page">
              <wp:posOffset>88900</wp:posOffset>
            </wp:positionV>
            <wp:extent cx="730821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8215" cy="34290"/>
                    </a:xfrm>
                    <a:prstGeom prst="rect">
                      <a:avLst/>
                    </a:prstGeom>
                    <a:noFill/>
                  </pic:spPr>
                </pic:pic>
              </a:graphicData>
            </a:graphic>
          </wp:anchor>
        </w:drawing>
        <w:drawing>
          <wp:anchor simplePos="0" relativeHeight="251657728" behindDoc="1" locked="0" layoutInCell="0" allowOverlap="1">
            <wp:simplePos x="0" y="0"/>
            <wp:positionH relativeFrom="page">
              <wp:posOffset>5509260</wp:posOffset>
            </wp:positionH>
            <wp:positionV relativeFrom="page">
              <wp:posOffset>168275</wp:posOffset>
            </wp:positionV>
            <wp:extent cx="1219835" cy="288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19835" cy="288925"/>
                    </a:xfrm>
                    <a:prstGeom prst="rect">
                      <a:avLst/>
                    </a:prstGeom>
                    <a:noFill/>
                  </pic:spPr>
                </pic:pic>
              </a:graphicData>
            </a:graphic>
          </wp:anchor>
        </w:drawing>
        <w:t>This Phase 2a trial is currently ongoing and the company plans to report full data from this trial at a medical conference in 2019 following trial completion.</w:t>
      </w:r>
    </w:p>
    <w:p>
      <w:pPr>
        <w:spacing w:after="0" w:line="146" w:lineRule="exact"/>
        <w:rPr>
          <w:sz w:val="20"/>
          <w:szCs w:val="20"/>
          <w:color w:val="auto"/>
        </w:rPr>
      </w:pPr>
    </w:p>
    <w:p>
      <w:pPr>
        <w:ind w:right="400"/>
        <w:spacing w:after="0" w:line="278" w:lineRule="auto"/>
        <w:rPr>
          <w:sz w:val="20"/>
          <w:szCs w:val="20"/>
          <w:color w:val="auto"/>
        </w:rPr>
      </w:pPr>
      <w:r>
        <w:rPr>
          <w:rFonts w:ascii="Arial" w:cs="Arial" w:eastAsia="Arial" w:hAnsi="Arial"/>
          <w:sz w:val="15"/>
          <w:szCs w:val="15"/>
          <w:color w:val="auto"/>
        </w:rPr>
        <w:t>AnaptysBio plans to continue development of etokimab in eosinophilic asthma with a multi-dose Phase 2b randomized, double-blinded, placebo-controlled trial, which is expected to be initiated in 2019.</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Conference Call &amp; Webcast Information</w:t>
      </w:r>
    </w:p>
    <w:p>
      <w:pPr>
        <w:spacing w:after="0" w:line="104"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The AnaptysBio management team will host a conference call and live webcast on Monday Sept. 24, 2018, at 8:30 a.m. EDT to discuss the information in this press release.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Dial-in: (833) 696-8361 (domestic) or (430) 775-1625 (international)</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Conference ID: 5798647</w:t>
      </w:r>
    </w:p>
    <w:p>
      <w:pPr>
        <w:spacing w:after="0" w:line="182" w:lineRule="exact"/>
        <w:rPr>
          <w:sz w:val="20"/>
          <w:szCs w:val="20"/>
          <w:color w:val="auto"/>
        </w:rPr>
      </w:pPr>
    </w:p>
    <w:p>
      <w:pPr>
        <w:ind w:right="260"/>
        <w:spacing w:after="0" w:line="358" w:lineRule="auto"/>
        <w:rPr>
          <w:sz w:val="20"/>
          <w:szCs w:val="20"/>
          <w:color w:val="auto"/>
        </w:rPr>
      </w:pPr>
      <w:r>
        <w:rPr>
          <w:rFonts w:ascii="Arial" w:cs="Arial" w:eastAsia="Arial" w:hAnsi="Arial"/>
          <w:sz w:val="13"/>
          <w:szCs w:val="13"/>
          <w:color w:val="auto"/>
        </w:rPr>
        <w:t>The live webcast and accompanying slides can be accessed under the investor relations section of AnaptysBio’s website at www.anaptysbio.com. A replay of the conference call will be archived under the investor relations section of the AnaptysBio website for 30 days shortly after the call.</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Etokimab</w:t>
      </w:r>
    </w:p>
    <w:p>
      <w:pPr>
        <w:spacing w:after="0" w:line="104" w:lineRule="exact"/>
        <w:rPr>
          <w:sz w:val="20"/>
          <w:szCs w:val="20"/>
          <w:color w:val="auto"/>
        </w:rPr>
      </w:pPr>
    </w:p>
    <w:p>
      <w:pPr>
        <w:ind w:right="60"/>
        <w:spacing w:after="0" w:line="276" w:lineRule="auto"/>
        <w:rPr>
          <w:sz w:val="20"/>
          <w:szCs w:val="20"/>
          <w:color w:val="auto"/>
        </w:rPr>
      </w:pPr>
      <w:r>
        <w:rPr>
          <w:rFonts w:ascii="Arial" w:cs="Arial" w:eastAsia="Arial" w:hAnsi="Arial"/>
          <w:sz w:val="14"/>
          <w:szCs w:val="14"/>
          <w:color w:val="auto"/>
        </w:rPr>
        <w:t>Etokimab, previously referred to as ANB020, is an antibody that potently binds and inhibits the activity of interleukin-33 (IL-33), a pro-inflammatory cytokine that multiple studies have indicated is a central mediator of atopic diseases, which AnaptysBio believes is broadly applicable to the treatment of atopic inflammatory disorders, such as moderate-to-severe atopic dermatitis, severe eosinophilic asthma, chronic rhinosinusitis with nasal polyps (CRSwNP) and potentially other allergic conditions. Following completion of a healthy volunteer Phase 1 trial of etokimab, AnaptysBio continued clinical development of etokimab into a Phase 2a trial for moderate-to-severe adult atopic dermatitis and a placebo-controlled Phase 2a trial in severe adult eosinophilic asthma patients. AnaptysBio is enrolling its ATLAS trial, a randomized, double-blinded, placebo-controlled multi-dose Phase 2b clinical trial of etokimab in 300 moderate-to-severe adult atopic dermatitis patients where data is anticipated in the second half of 2019. The company also plans to initiate its ECLIPSE trial, a randomized, double-blinded, placebo-controlled Phase 2 trial of etokimab in approximately 100 adult patients with CRSwNP by the end of 2018 with data anticipated in the second half of 2019. AnaptysBio also plans to initiate a randomized, double-blinded, placebo-controlled, multi-dose Phase 2b trial of etokimab in patients with eosinophilic asthma in 2019.</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AnaptysBio</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AnaptysBio is a clinical-stage biotechnology company developing first-in-class antibody product candidates focused on unmet medical needs in inflammation. The company’s proprietary anti-inflammatory pipeline includes its anti-IL-33 antibody (etokimab, previously referred to as ANB020) for the treatment of moderate-to-severe atopic dermatitis, severe eosinophilic asthma, chronic rhinosinusitis with nasal polyps (CRSwNP); its anti-IL-36R antibody (ANB019) for the treatment of rare inflammatory diseases, including generalized pustular psoriasis (GPP) and palmoplantar pustulosis (PPP), previously referred to as palmo-plantar pustular psoriasis; and</w:t>
      </w:r>
    </w:p>
    <w:p>
      <w:pPr>
        <w:sectPr>
          <w:pgSz w:w="11900" w:h="16838" w:orient="portrait"/>
          <w:cols w:equalWidth="0" w:num="1">
            <w:col w:w="9200"/>
          </w:cols>
          <w:pgMar w:left="1320" w:top="834" w:right="1379" w:bottom="1440" w:gutter="0" w:footer="0" w:header="0"/>
        </w:sectPr>
      </w:pPr>
    </w:p>
    <w:bookmarkStart w:id="6" w:name="page7"/>
    <w:bookmarkEnd w:id="6"/>
    <w:p>
      <w:pPr>
        <w:spacing w:after="0" w:line="2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133985</wp:posOffset>
            </wp:positionH>
            <wp:positionV relativeFrom="page">
              <wp:posOffset>88900</wp:posOffset>
            </wp:positionV>
            <wp:extent cx="7308215"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8215" cy="34290"/>
                    </a:xfrm>
                    <a:prstGeom prst="rect">
                      <a:avLst/>
                    </a:prstGeom>
                    <a:noFill/>
                  </pic:spPr>
                </pic:pic>
              </a:graphicData>
            </a:graphic>
          </wp:anchor>
        </w:drawing>
        <w:drawing>
          <wp:anchor simplePos="0" relativeHeight="251657728" behindDoc="1" locked="0" layoutInCell="0" allowOverlap="1">
            <wp:simplePos x="0" y="0"/>
            <wp:positionH relativeFrom="page">
              <wp:posOffset>5509260</wp:posOffset>
            </wp:positionH>
            <wp:positionV relativeFrom="page">
              <wp:posOffset>168275</wp:posOffset>
            </wp:positionV>
            <wp:extent cx="1219835" cy="288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19835" cy="288925"/>
                    </a:xfrm>
                    <a:prstGeom prst="rect">
                      <a:avLst/>
                    </a:prstGeom>
                    <a:noFill/>
                  </pic:spPr>
                </pic:pic>
              </a:graphicData>
            </a:graphic>
          </wp:anchor>
        </w:drawing>
        <w:t>novel anti-inflammatory checkpoint receptor modulator antibodies for treatment of certain autoimmune diseases where immune checkpoint receptors are insufficiently activated. AnaptysBio’s antibody pipeline has been developed using its proprietary somatic hypermutation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partnership with TESARO and an inflammation partnership with Celgene, including an anti-PD-1 antagonist antibody (TSR-042), an anti-TIM-3 antagonist antibody (TSR-022) and an anti-LAG-3 antagonist antibody (TSR-033), which are currently under clinical development with TESARO, and an anti-PD-1 checkpoint agonist antibody (CC-90006) currently in the clinic with Celgene.</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104" w:lineRule="exact"/>
        <w:rPr>
          <w:sz w:val="20"/>
          <w:szCs w:val="20"/>
          <w:color w:val="auto"/>
        </w:rPr>
      </w:pPr>
    </w:p>
    <w:p>
      <w:pPr>
        <w:ind w:right="40"/>
        <w:spacing w:after="0" w:line="274" w:lineRule="auto"/>
        <w:rPr>
          <w:sz w:val="20"/>
          <w:szCs w:val="20"/>
          <w:color w:val="auto"/>
        </w:rPr>
      </w:pPr>
      <w:r>
        <w:rPr>
          <w:rFonts w:ascii="Arial" w:cs="Arial" w:eastAsia="Arial" w:hAnsi="Arial"/>
          <w:sz w:val="14"/>
          <w:szCs w:val="14"/>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etokimab’s Phase 2b clinical trial in moderate-to-severe adult atopic dermatitis patients and etokimab’s Phase 2 clinical trial in adult patients with CRSwNP; our design of and our ability to launch a Phase 2 clinical trial of etokimab in adults patients with CRSwNP and a Phase 2b clinical trial of etokimab in eosinophilic asthma; and statements by AnaptysBio’s president and chief executive officer.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Contacts</w:t>
      </w:r>
      <w:r>
        <w:rPr>
          <w:rFonts w:ascii="Arial" w:cs="Arial" w:eastAsia="Arial" w:hAnsi="Arial"/>
          <w:sz w:val="15"/>
          <w:szCs w:val="15"/>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Monique Allaire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THRUST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617.895.9511</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monique@thrustir.com</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Chelcie Lister</w:t>
      </w:r>
    </w:p>
    <w:p>
      <w:pPr>
        <w:sectPr>
          <w:pgSz w:w="11900" w:h="16838" w:orient="portrait"/>
          <w:cols w:equalWidth="0" w:num="1">
            <w:col w:w="9260"/>
          </w:cols>
          <w:pgMar w:left="1320" w:top="834" w:right="1319" w:bottom="1440" w:gutter="0" w:footer="0" w:header="0"/>
        </w:sectPr>
      </w:pPr>
    </w:p>
    <w:bookmarkStart w:id="7" w:name="page8"/>
    <w:bookmarkEnd w:id="7"/>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133985</wp:posOffset>
            </wp:positionH>
            <wp:positionV relativeFrom="page">
              <wp:posOffset>88900</wp:posOffset>
            </wp:positionV>
            <wp:extent cx="7308215"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8215" cy="34290"/>
                    </a:xfrm>
                    <a:prstGeom prst="rect">
                      <a:avLst/>
                    </a:prstGeom>
                    <a:noFill/>
                  </pic:spPr>
                </pic:pic>
              </a:graphicData>
            </a:graphic>
          </wp:anchor>
        </w:drawing>
        <w:drawing>
          <wp:anchor simplePos="0" relativeHeight="251657728" behindDoc="1" locked="0" layoutInCell="0" allowOverlap="1">
            <wp:simplePos x="0" y="0"/>
            <wp:positionH relativeFrom="page">
              <wp:posOffset>5509260</wp:posOffset>
            </wp:positionH>
            <wp:positionV relativeFrom="page">
              <wp:posOffset>168275</wp:posOffset>
            </wp:positionV>
            <wp:extent cx="1219835" cy="288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19835" cy="288925"/>
                    </a:xfrm>
                    <a:prstGeom prst="rect">
                      <a:avLst/>
                    </a:prstGeom>
                    <a:noFill/>
                  </pic:spPr>
                </pic:pic>
              </a:graphicData>
            </a:graphic>
          </wp:anchor>
        </w:drawing>
        <w:t>THRUST Investor Relations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910.777.3049</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chelcie@thrustir.com</w:t>
      </w:r>
    </w:p>
    <w:p>
      <w:pPr>
        <w:sectPr>
          <w:pgSz w:w="11900" w:h="16838" w:orient="portrait"/>
          <w:cols w:equalWidth="0" w:num="1">
            <w:col w:w="9139"/>
          </w:cols>
          <w:pgMar w:left="1320" w:top="834"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404040"/>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297180</wp:posOffset>
            </wp:positionV>
            <wp:extent cx="6943725" cy="47567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43725" cy="4756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42"/>
          <w:szCs w:val="42"/>
          <w:b w:val="1"/>
          <w:bCs w:val="1"/>
          <w:color w:val="55565A"/>
        </w:rPr>
        <w:t>Etokimab (Anti-IL-33) Program</w:t>
      </w:r>
    </w:p>
    <w:p>
      <w:pPr>
        <w:spacing w:after="0" w:line="243" w:lineRule="exact"/>
        <w:rPr>
          <w:sz w:val="20"/>
          <w:szCs w:val="20"/>
          <w:color w:val="auto"/>
        </w:rPr>
      </w:pPr>
    </w:p>
    <w:p>
      <w:pPr>
        <w:ind w:right="5060"/>
        <w:spacing w:after="0" w:line="360" w:lineRule="auto"/>
        <w:rPr>
          <w:sz w:val="20"/>
          <w:szCs w:val="20"/>
          <w:color w:val="auto"/>
        </w:rPr>
      </w:pPr>
      <w:r>
        <w:rPr>
          <w:rFonts w:ascii="Arial" w:cs="Arial" w:eastAsia="Arial" w:hAnsi="Arial"/>
          <w:sz w:val="27"/>
          <w:szCs w:val="27"/>
          <w:i w:val="1"/>
          <w:iCs w:val="1"/>
          <w:color w:val="0087C9"/>
        </w:rPr>
        <w:t>Phase 2a Eosinophilic Asthma Clinical Trial Interim Data Update</w:t>
      </w:r>
    </w:p>
    <w:p>
      <w:pPr>
        <w:spacing w:after="0" w:line="297" w:lineRule="exact"/>
        <w:rPr>
          <w:sz w:val="20"/>
          <w:szCs w:val="20"/>
          <w:color w:val="auto"/>
        </w:rPr>
      </w:pPr>
    </w:p>
    <w:p>
      <w:pPr>
        <w:spacing w:after="0"/>
        <w:rPr>
          <w:sz w:val="20"/>
          <w:szCs w:val="20"/>
          <w:color w:val="auto"/>
        </w:rPr>
      </w:pPr>
      <w:r>
        <w:rPr>
          <w:rFonts w:ascii="Arial" w:cs="Arial" w:eastAsia="Arial" w:hAnsi="Arial"/>
          <w:sz w:val="24"/>
          <w:szCs w:val="24"/>
          <w:i w:val="1"/>
          <w:iCs w:val="1"/>
          <w:color w:val="0087C9"/>
        </w:rPr>
        <w:t>September 24</w:t>
      </w:r>
      <w:r>
        <w:rPr>
          <w:rFonts w:ascii="Arial" w:cs="Arial" w:eastAsia="Arial" w:hAnsi="Arial"/>
          <w:sz w:val="31"/>
          <w:szCs w:val="31"/>
          <w:i w:val="1"/>
          <w:iCs w:val="1"/>
          <w:color w:val="0087C9"/>
          <w:vertAlign w:val="superscript"/>
        </w:rPr>
        <w:t>th</w:t>
      </w:r>
      <w:r>
        <w:rPr>
          <w:rFonts w:ascii="Arial" w:cs="Arial" w:eastAsia="Arial" w:hAnsi="Arial"/>
          <w:sz w:val="24"/>
          <w:szCs w:val="24"/>
          <w:i w:val="1"/>
          <w:iCs w:val="1"/>
          <w:color w:val="0087C9"/>
        </w:rPr>
        <w:t xml:space="preserv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Nasdaq: ANAB</w:t>
      </w:r>
    </w:p>
    <w:p>
      <w:pPr>
        <w:sectPr>
          <w:pgSz w:w="11900" w:h="16838" w:orient="portrait"/>
          <w:cols w:equalWidth="0" w:num="1">
            <w:col w:w="10280"/>
          </w:cols>
          <w:pgMar w:left="900" w:top="203" w:right="719" w:bottom="1440" w:gutter="0" w:footer="0" w:header="0"/>
        </w:sectPr>
      </w:pPr>
    </w:p>
    <w:bookmarkStart w:id="9" w:name="page10"/>
    <w:bookmarkEnd w:id="9"/>
    <w:p>
      <w:pPr>
        <w:spacing w:after="0"/>
        <w:rPr>
          <w:sz w:val="20"/>
          <w:szCs w:val="20"/>
          <w:color w:val="auto"/>
        </w:rPr>
      </w:pPr>
      <w:r>
        <w:rPr>
          <w:rFonts w:ascii="Arial" w:cs="Arial" w:eastAsia="Arial" w:hAnsi="Arial"/>
          <w:sz w:val="36"/>
          <w:szCs w:val="36"/>
          <w:b w:val="1"/>
          <w:bCs w:val="1"/>
          <w:color w:val="55565A"/>
        </w:rPr>
        <w:drawing>
          <wp:anchor simplePos="0" relativeHeight="251657728" behindDoc="1" locked="0" layoutInCell="0" allowOverlap="1">
            <wp:simplePos x="0" y="0"/>
            <wp:positionH relativeFrom="page">
              <wp:posOffset>133985</wp:posOffset>
            </wp:positionH>
            <wp:positionV relativeFrom="page">
              <wp:posOffset>88900</wp:posOffset>
            </wp:positionV>
            <wp:extent cx="7308215" cy="5355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8215" cy="5355590"/>
                    </a:xfrm>
                    <a:prstGeom prst="rect">
                      <a:avLst/>
                    </a:prstGeom>
                    <a:noFill/>
                  </pic:spPr>
                </pic:pic>
              </a:graphicData>
            </a:graphic>
          </wp:anchor>
        </w:drawing>
        <w:t>Safe Harbor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40"/>
        <w:spacing w:after="0" w:line="250" w:lineRule="auto"/>
        <w:rPr>
          <w:sz w:val="20"/>
          <w:szCs w:val="20"/>
          <w:color w:val="auto"/>
        </w:rPr>
      </w:pPr>
      <w:r>
        <w:rPr>
          <w:rFonts w:ascii="Arial" w:cs="Arial" w:eastAsia="Arial" w:hAnsi="Arial"/>
          <w:sz w:val="17"/>
          <w:szCs w:val="17"/>
          <w:color w:val="55565A"/>
        </w:rPr>
        <w:t>This presentation and the accompanying oral presentation contain “forward-looking” statements within the meaning of the "safe harbor" provisions of the Private Securities Litigation Reform Act of 1995, including, but not limited to: the timing of the release of data from our clinical trials, including etokimab’s Phase 2b clinical trial in moderate-to-severe adult atopic dermatitis patients, etokimab’s Phase 2 clinical trial in adult chronic rhinosinusitis with nasal polyps patients and ANB019’s Phase 2 trials in GPP and PPP patients; the design of and our ability to launch a Phase 2 clinical trial of etokimab in adult chronic rhinosinusitis with nasal polyps patients, a Phase 2b clinical trial of etokimab in severe eosinophilic asthma patients and a Phase 2 clinical trial of ANB019 in PPP patients; the timing of detailed data presentation of etokimab’s Phase 2a clinical trial in severe adult eosinophilic asthma patients; the timing of an IND filing for an anti-inflammatory checkpoint modulator; and the success of our partnership with TESARO and Celgene.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(SEC). These forward-looking statements speak only as of the date of this presentation, and the company undertakes no obligation to revise or update any forward-looking statements to reflect events or circumstances after the date hereof.</w:t>
      </w:r>
    </w:p>
    <w:p>
      <w:pPr>
        <w:spacing w:after="0" w:line="177" w:lineRule="exact"/>
        <w:rPr>
          <w:sz w:val="20"/>
          <w:szCs w:val="20"/>
          <w:color w:val="auto"/>
        </w:rPr>
      </w:pPr>
    </w:p>
    <w:p>
      <w:pPr>
        <w:ind w:left="240" w:right="160"/>
        <w:spacing w:after="0" w:line="256" w:lineRule="auto"/>
        <w:rPr>
          <w:sz w:val="20"/>
          <w:szCs w:val="20"/>
          <w:color w:val="auto"/>
        </w:rPr>
      </w:pPr>
      <w:r>
        <w:rPr>
          <w:rFonts w:ascii="Arial" w:cs="Arial" w:eastAsia="Arial" w:hAnsi="Arial"/>
          <w:sz w:val="17"/>
          <w:szCs w:val="17"/>
          <w:color w:val="55565A"/>
        </w:rPr>
        <w:t>Certain information contained in this presentation may be derived from information provided by industry sources. The Company believes such information is accurate and that the sources from which it has been obtained are reliable. However, the Company cannot guarantee the accuracy of, and has not independently verified, such information.</w:t>
      </w:r>
    </w:p>
    <w:p>
      <w:pPr>
        <w:spacing w:after="0" w:line="170" w:lineRule="exact"/>
        <w:rPr>
          <w:sz w:val="20"/>
          <w:szCs w:val="20"/>
          <w:color w:val="auto"/>
        </w:rPr>
      </w:pPr>
    </w:p>
    <w:p>
      <w:pPr>
        <w:ind w:left="240" w:right="540"/>
        <w:spacing w:after="0" w:line="248" w:lineRule="auto"/>
        <w:rPr>
          <w:sz w:val="20"/>
          <w:szCs w:val="20"/>
          <w:color w:val="auto"/>
        </w:rPr>
      </w:pPr>
      <w:r>
        <w:rPr>
          <w:rFonts w:ascii="Arial" w:cs="Arial" w:eastAsia="Arial" w:hAnsi="Arial"/>
          <w:sz w:val="17"/>
          <w:szCs w:val="17"/>
          <w:color w:val="55565A"/>
        </w:rPr>
        <w:t>The trademarks included herein are the property of the owners thereof and are used for reference purposes only. Such use should not be construed as an endorsement of such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100"/>
        <w:spacing w:after="0"/>
        <w:rPr>
          <w:sz w:val="20"/>
          <w:szCs w:val="20"/>
          <w:color w:val="auto"/>
        </w:rPr>
      </w:pPr>
      <w:r>
        <w:rPr>
          <w:rFonts w:ascii="Arial" w:cs="Arial" w:eastAsia="Arial" w:hAnsi="Arial"/>
          <w:sz w:val="15"/>
          <w:szCs w:val="15"/>
          <w:color w:val="FFFFFF"/>
        </w:rPr>
        <w:t>2</w:t>
      </w:r>
    </w:p>
    <w:p>
      <w:pPr>
        <w:sectPr>
          <w:pgSz w:w="11900" w:h="16838" w:orient="portrait"/>
          <w:cols w:equalWidth="0" w:num="1">
            <w:col w:w="11100"/>
          </w:cols>
          <w:pgMar w:left="660" w:top="787" w:right="139" w:bottom="1440" w:gutter="0" w:footer="0" w:header="0"/>
        </w:sectPr>
      </w:pPr>
    </w:p>
    <w:bookmarkStart w:id="10" w:name="page11"/>
    <w:bookmarkEnd w:id="10"/>
    <w:p>
      <w:pPr>
        <w:ind w:left="180"/>
        <w:spacing w:after="0"/>
        <w:rPr>
          <w:sz w:val="20"/>
          <w:szCs w:val="20"/>
          <w:color w:val="auto"/>
        </w:rPr>
      </w:pPr>
      <w:r>
        <w:rPr>
          <w:rFonts w:ascii="Arial" w:cs="Arial" w:eastAsia="Arial" w:hAnsi="Arial"/>
          <w:sz w:val="32"/>
          <w:szCs w:val="32"/>
          <w:b w:val="1"/>
          <w:bCs w:val="1"/>
          <w:color w:val="55565A"/>
        </w:rPr>
        <w:drawing>
          <wp:anchor simplePos="0" relativeHeight="251657728" behindDoc="1" locked="0" layoutInCell="0" allowOverlap="1">
            <wp:simplePos x="0" y="0"/>
            <wp:positionH relativeFrom="page">
              <wp:posOffset>133985</wp:posOffset>
            </wp:positionH>
            <wp:positionV relativeFrom="page">
              <wp:posOffset>88900</wp:posOffset>
            </wp:positionV>
            <wp:extent cx="7308215" cy="5355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8215" cy="5355590"/>
                    </a:xfrm>
                    <a:prstGeom prst="rect">
                      <a:avLst/>
                    </a:prstGeom>
                    <a:noFill/>
                  </pic:spPr>
                </pic:pic>
              </a:graphicData>
            </a:graphic>
          </wp:anchor>
        </w:drawing>
        <w:t>AnaptysBio: Clinical-Stage Antibody Development Company</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24"/>
          <w:szCs w:val="24"/>
          <w:i w:val="1"/>
          <w:iCs w:val="1"/>
          <w:color w:val="0087C9"/>
        </w:rPr>
        <w:t>Focused on Novel Antibody Medicines for Severe Inflammatory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284"/>
        </w:trPr>
        <w:tc>
          <w:tcPr>
            <w:tcW w:w="4600" w:type="dxa"/>
            <w:vAlign w:val="bottom"/>
          </w:tcPr>
          <w:p>
            <w:pPr>
              <w:ind w:left="1280"/>
              <w:spacing w:after="0"/>
              <w:rPr>
                <w:sz w:val="20"/>
                <w:szCs w:val="20"/>
                <w:color w:val="auto"/>
              </w:rPr>
            </w:pPr>
            <w:r>
              <w:rPr>
                <w:rFonts w:ascii="Arial" w:cs="Arial" w:eastAsia="Arial" w:hAnsi="Arial"/>
                <w:sz w:val="24"/>
                <w:szCs w:val="24"/>
                <w:color w:val="55565A"/>
              </w:rPr>
              <w:t>Wholly-Owned</w:t>
            </w:r>
          </w:p>
        </w:tc>
        <w:tc>
          <w:tcPr>
            <w:tcW w:w="4760" w:type="dxa"/>
            <w:vAlign w:val="bottom"/>
            <w:gridSpan w:val="3"/>
          </w:tcPr>
          <w:p>
            <w:pPr>
              <w:ind w:left="1120"/>
              <w:spacing w:after="0"/>
              <w:rPr>
                <w:sz w:val="20"/>
                <w:szCs w:val="20"/>
                <w:color w:val="auto"/>
              </w:rPr>
            </w:pPr>
            <w:r>
              <w:rPr>
                <w:rFonts w:ascii="Arial" w:cs="Arial" w:eastAsia="Arial" w:hAnsi="Arial"/>
                <w:sz w:val="24"/>
                <w:szCs w:val="24"/>
                <w:color w:val="55565A"/>
              </w:rPr>
              <w:t>Rapid Antibody Generation</w:t>
            </w:r>
          </w:p>
        </w:tc>
        <w:tc>
          <w:tcPr>
            <w:tcW w:w="0" w:type="dxa"/>
            <w:vAlign w:val="bottom"/>
          </w:tcPr>
          <w:p>
            <w:pPr>
              <w:spacing w:after="0"/>
              <w:rPr>
                <w:sz w:val="1"/>
                <w:szCs w:val="1"/>
                <w:color w:val="auto"/>
              </w:rPr>
            </w:pPr>
          </w:p>
        </w:tc>
      </w:tr>
      <w:tr>
        <w:trPr>
          <w:trHeight w:val="288"/>
        </w:trPr>
        <w:tc>
          <w:tcPr>
            <w:tcW w:w="4600" w:type="dxa"/>
            <w:vAlign w:val="bottom"/>
          </w:tcPr>
          <w:p>
            <w:pPr>
              <w:ind w:left="640"/>
              <w:spacing w:after="0"/>
              <w:rPr>
                <w:sz w:val="20"/>
                <w:szCs w:val="20"/>
                <w:color w:val="auto"/>
              </w:rPr>
            </w:pPr>
            <w:r>
              <w:rPr>
                <w:rFonts w:ascii="Arial" w:cs="Arial" w:eastAsia="Arial" w:hAnsi="Arial"/>
                <w:sz w:val="24"/>
                <w:szCs w:val="24"/>
                <w:color w:val="55565A"/>
              </w:rPr>
              <w:t>Anti-Inflammatory Pipeline</w:t>
            </w:r>
          </w:p>
        </w:tc>
        <w:tc>
          <w:tcPr>
            <w:tcW w:w="148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24"/>
                <w:szCs w:val="24"/>
                <w:color w:val="55565A"/>
                <w:w w:val="97"/>
              </w:rPr>
              <w:t>Platform Technology</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4600" w:type="dxa"/>
            <w:vAlign w:val="bottom"/>
          </w:tcPr>
          <w:p>
            <w:pPr>
              <w:ind w:left="640"/>
              <w:spacing w:after="0"/>
              <w:rPr>
                <w:sz w:val="20"/>
                <w:szCs w:val="20"/>
                <w:color w:val="auto"/>
              </w:rPr>
            </w:pPr>
            <w:r>
              <w:rPr>
                <w:rFonts w:ascii="Arial" w:cs="Arial" w:eastAsia="Arial" w:hAnsi="Arial"/>
                <w:sz w:val="18"/>
                <w:szCs w:val="18"/>
                <w:b w:val="1"/>
                <w:bCs w:val="1"/>
                <w:color w:val="FFFFFF"/>
              </w:rPr>
              <w:t>Etokimab (ANB020, Anti-IL-33)</w:t>
            </w:r>
          </w:p>
        </w:tc>
        <w:tc>
          <w:tcPr>
            <w:tcW w:w="1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600" w:type="dxa"/>
            <w:vAlign w:val="bottom"/>
          </w:tcPr>
          <w:p>
            <w:pPr>
              <w:spacing w:after="0"/>
              <w:rPr>
                <w:sz w:val="20"/>
                <w:szCs w:val="20"/>
                <w:color w:val="auto"/>
              </w:rPr>
            </w:pPr>
            <w:r>
              <w:rPr>
                <w:rFonts w:ascii="Arial" w:cs="Arial" w:eastAsia="Arial" w:hAnsi="Arial"/>
                <w:sz w:val="10"/>
                <w:szCs w:val="10"/>
                <w:color w:val="FFFFFF"/>
              </w:rPr>
              <w:t>Atopic Dermatitis, Eosinophilic Asthma &amp; Chronic Rhinosinusitis with Nasal Polyps</w:t>
            </w:r>
          </w:p>
        </w:tc>
        <w:tc>
          <w:tcPr>
            <w:tcW w:w="1480" w:type="dxa"/>
            <w:vAlign w:val="bottom"/>
            <w:vMerge w:val="restart"/>
          </w:tcPr>
          <w:p>
            <w:pPr>
              <w:jc w:val="center"/>
              <w:ind w:left="815"/>
              <w:spacing w:after="0"/>
              <w:rPr>
                <w:sz w:val="20"/>
                <w:szCs w:val="20"/>
                <w:color w:val="auto"/>
              </w:rPr>
            </w:pPr>
            <w:r>
              <w:rPr>
                <w:rFonts w:ascii="Arial" w:cs="Arial" w:eastAsia="Arial" w:hAnsi="Arial"/>
                <w:sz w:val="14"/>
                <w:szCs w:val="14"/>
                <w:color w:val="FFFFFF"/>
                <w:w w:val="99"/>
              </w:rPr>
              <w:t>Antibody</w:t>
            </w:r>
          </w:p>
        </w:tc>
        <w:tc>
          <w:tcPr>
            <w:tcW w:w="2220" w:type="dxa"/>
            <w:vAlign w:val="bottom"/>
            <w:vMerge w:val="restart"/>
          </w:tcPr>
          <w:p>
            <w:pPr>
              <w:jc w:val="right"/>
              <w:ind w:right="515"/>
              <w:spacing w:after="0"/>
              <w:rPr>
                <w:sz w:val="20"/>
                <w:szCs w:val="20"/>
                <w:color w:val="auto"/>
              </w:rPr>
            </w:pPr>
            <w:r>
              <w:rPr>
                <w:rFonts w:ascii="Arial" w:cs="Arial" w:eastAsia="Arial" w:hAnsi="Arial"/>
                <w:sz w:val="14"/>
                <w:szCs w:val="14"/>
                <w:color w:val="FFFFFF"/>
              </w:rPr>
              <w:t>Preclinical &amp;</w:t>
            </w:r>
          </w:p>
        </w:tc>
        <w:tc>
          <w:tcPr>
            <w:tcW w:w="1060" w:type="dxa"/>
            <w:vAlign w:val="bottom"/>
            <w:vMerge w:val="restart"/>
          </w:tcPr>
          <w:p>
            <w:pPr>
              <w:jc w:val="center"/>
              <w:ind w:left="12"/>
              <w:spacing w:after="0"/>
              <w:rPr>
                <w:sz w:val="20"/>
                <w:szCs w:val="20"/>
                <w:color w:val="auto"/>
              </w:rPr>
            </w:pPr>
            <w:r>
              <w:rPr>
                <w:rFonts w:ascii="Arial" w:cs="Arial" w:eastAsia="Arial" w:hAnsi="Arial"/>
                <w:sz w:val="14"/>
                <w:szCs w:val="14"/>
                <w:color w:val="FFFFFF"/>
                <w:w w:val="93"/>
              </w:rPr>
              <w:t>IND or</w:t>
            </w:r>
          </w:p>
        </w:tc>
        <w:tc>
          <w:tcPr>
            <w:tcW w:w="0" w:type="dxa"/>
            <w:vAlign w:val="bottom"/>
          </w:tcPr>
          <w:p>
            <w:pPr>
              <w:spacing w:after="0"/>
              <w:rPr>
                <w:sz w:val="1"/>
                <w:szCs w:val="1"/>
                <w:color w:val="auto"/>
              </w:rPr>
            </w:pPr>
          </w:p>
        </w:tc>
      </w:tr>
      <w:tr>
        <w:trPr>
          <w:trHeight w:val="63"/>
        </w:trPr>
        <w:tc>
          <w:tcPr>
            <w:tcW w:w="46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22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600" w:type="dxa"/>
            <w:vAlign w:val="bottom"/>
          </w:tcPr>
          <w:p>
            <w:pPr>
              <w:spacing w:after="0"/>
              <w:rPr>
                <w:sz w:val="14"/>
                <w:szCs w:val="14"/>
                <w:color w:val="auto"/>
              </w:rPr>
            </w:pPr>
          </w:p>
        </w:tc>
        <w:tc>
          <w:tcPr>
            <w:tcW w:w="1480" w:type="dxa"/>
            <w:vAlign w:val="bottom"/>
          </w:tcPr>
          <w:p>
            <w:pPr>
              <w:jc w:val="center"/>
              <w:ind w:left="795"/>
              <w:spacing w:after="0"/>
              <w:rPr>
                <w:sz w:val="20"/>
                <w:szCs w:val="20"/>
                <w:color w:val="auto"/>
              </w:rPr>
            </w:pPr>
            <w:r>
              <w:rPr>
                <w:rFonts w:ascii="Arial" w:cs="Arial" w:eastAsia="Arial" w:hAnsi="Arial"/>
                <w:sz w:val="14"/>
                <w:szCs w:val="14"/>
                <w:color w:val="FFFFFF"/>
                <w:w w:val="97"/>
              </w:rPr>
              <w:t>Discovery</w:t>
            </w:r>
          </w:p>
        </w:tc>
        <w:tc>
          <w:tcPr>
            <w:tcW w:w="2220" w:type="dxa"/>
            <w:vAlign w:val="bottom"/>
          </w:tcPr>
          <w:p>
            <w:pPr>
              <w:jc w:val="right"/>
              <w:ind w:right="515"/>
              <w:spacing w:after="0"/>
              <w:rPr>
                <w:sz w:val="20"/>
                <w:szCs w:val="20"/>
                <w:color w:val="auto"/>
              </w:rPr>
            </w:pPr>
            <w:r>
              <w:rPr>
                <w:rFonts w:ascii="Arial" w:cs="Arial" w:eastAsia="Arial" w:hAnsi="Arial"/>
                <w:sz w:val="14"/>
                <w:szCs w:val="14"/>
                <w:color w:val="FFFFFF"/>
              </w:rPr>
              <w:t>Translational</w:t>
            </w:r>
          </w:p>
        </w:tc>
        <w:tc>
          <w:tcPr>
            <w:tcW w:w="1060" w:type="dxa"/>
            <w:vAlign w:val="bottom"/>
          </w:tcPr>
          <w:p>
            <w:pPr>
              <w:jc w:val="center"/>
              <w:spacing w:after="0"/>
              <w:rPr>
                <w:sz w:val="20"/>
                <w:szCs w:val="20"/>
                <w:color w:val="auto"/>
              </w:rPr>
            </w:pPr>
            <w:r>
              <w:rPr>
                <w:rFonts w:ascii="Arial" w:cs="Arial" w:eastAsia="Arial" w:hAnsi="Arial"/>
                <w:sz w:val="14"/>
                <w:szCs w:val="14"/>
                <w:color w:val="FFFFFF"/>
                <w:w w:val="97"/>
              </w:rPr>
              <w:t>Equivalent Filing</w:t>
            </w:r>
          </w:p>
        </w:tc>
        <w:tc>
          <w:tcPr>
            <w:tcW w:w="0" w:type="dxa"/>
            <w:vAlign w:val="bottom"/>
          </w:tcPr>
          <w:p>
            <w:pPr>
              <w:spacing w:after="0"/>
              <w:rPr>
                <w:sz w:val="1"/>
                <w:szCs w:val="1"/>
                <w:color w:val="auto"/>
              </w:rPr>
            </w:pPr>
          </w:p>
        </w:tc>
      </w:tr>
    </w:tbl>
    <w:p>
      <w:pPr>
        <w:ind w:left="1360"/>
        <w:spacing w:after="0"/>
        <w:rPr>
          <w:sz w:val="20"/>
          <w:szCs w:val="20"/>
          <w:color w:val="auto"/>
        </w:rPr>
      </w:pPr>
      <w:r>
        <w:rPr>
          <w:rFonts w:ascii="Arial" w:cs="Arial" w:eastAsia="Arial" w:hAnsi="Arial"/>
          <w:sz w:val="18"/>
          <w:szCs w:val="18"/>
          <w:b w:val="1"/>
          <w:bCs w:val="1"/>
          <w:color w:val="FFFFFF"/>
        </w:rPr>
        <w:t>ANB019 (Anti-IL-36R)</w:t>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0"/>
          <w:szCs w:val="10"/>
          <w:color w:val="FFFFFF"/>
        </w:rPr>
        <w:t>Generalized Pustular Psoriasis &amp; Palmoplantar Pustulosis</w:t>
      </w:r>
    </w:p>
    <w:p>
      <w:pPr>
        <w:spacing w:after="0" w:line="143" w:lineRule="exact"/>
        <w:rPr>
          <w:sz w:val="20"/>
          <w:szCs w:val="20"/>
          <w:color w:val="auto"/>
        </w:rPr>
      </w:pPr>
    </w:p>
    <w:tbl>
      <w:tblPr>
        <w:tblLayout w:type="fixed"/>
        <w:tblInd w:w="960" w:type="dxa"/>
        <w:tblCellMar>
          <w:top w:w="0" w:type="dxa"/>
          <w:left w:w="0" w:type="dxa"/>
          <w:bottom w:w="0" w:type="dxa"/>
          <w:right w:w="0" w:type="dxa"/>
        </w:tblCellMar>
      </w:tblPr>
      <w:tr>
        <w:trPr>
          <w:trHeight w:val="219"/>
        </w:trPr>
        <w:tc>
          <w:tcPr>
            <w:tcW w:w="4640" w:type="dxa"/>
            <w:vAlign w:val="bottom"/>
            <w:vMerge w:val="restart"/>
          </w:tcPr>
          <w:p>
            <w:pPr>
              <w:spacing w:after="0"/>
              <w:rPr>
                <w:sz w:val="20"/>
                <w:szCs w:val="20"/>
                <w:color w:val="auto"/>
              </w:rPr>
            </w:pPr>
            <w:r>
              <w:rPr>
                <w:rFonts w:ascii="Arial" w:cs="Arial" w:eastAsia="Arial" w:hAnsi="Arial"/>
                <w:sz w:val="18"/>
                <w:szCs w:val="18"/>
                <w:b w:val="1"/>
                <w:bCs w:val="1"/>
                <w:color w:val="FFFFFF"/>
              </w:rPr>
              <w:t>Checkpoint Modulator</w:t>
            </w:r>
          </w:p>
        </w:tc>
        <w:tc>
          <w:tcPr>
            <w:tcW w:w="3580" w:type="dxa"/>
            <w:vAlign w:val="bottom"/>
          </w:tcPr>
          <w:p>
            <w:pPr>
              <w:ind w:left="2720"/>
              <w:spacing w:after="0"/>
              <w:rPr>
                <w:sz w:val="20"/>
                <w:szCs w:val="20"/>
                <w:color w:val="auto"/>
              </w:rPr>
            </w:pPr>
            <w:r>
              <w:rPr>
                <w:rFonts w:ascii="Arial" w:cs="Arial" w:eastAsia="Arial" w:hAnsi="Arial"/>
                <w:sz w:val="18"/>
                <w:szCs w:val="18"/>
                <w:color w:val="55565A"/>
                <w:w w:val="99"/>
              </w:rPr>
              <w:t>~2.5 years</w:t>
            </w:r>
          </w:p>
        </w:tc>
        <w:tc>
          <w:tcPr>
            <w:tcW w:w="0" w:type="dxa"/>
            <w:vAlign w:val="bottom"/>
          </w:tcPr>
          <w:p>
            <w:pPr>
              <w:spacing w:after="0"/>
              <w:rPr>
                <w:sz w:val="1"/>
                <w:szCs w:val="1"/>
                <w:color w:val="auto"/>
              </w:rPr>
            </w:pPr>
          </w:p>
        </w:tc>
      </w:tr>
      <w:tr>
        <w:trPr>
          <w:trHeight w:val="103"/>
        </w:trPr>
        <w:tc>
          <w:tcPr>
            <w:tcW w:w="4640" w:type="dxa"/>
            <w:vAlign w:val="bottom"/>
            <w:vMerge w:val="continue"/>
          </w:tcPr>
          <w:p>
            <w:pPr>
              <w:spacing w:after="0"/>
              <w:rPr>
                <w:sz w:val="8"/>
                <w:szCs w:val="8"/>
                <w:color w:val="auto"/>
              </w:rPr>
            </w:pPr>
          </w:p>
        </w:tc>
        <w:tc>
          <w:tcPr>
            <w:tcW w:w="3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4640" w:type="dxa"/>
            <w:vAlign w:val="bottom"/>
          </w:tcPr>
          <w:p>
            <w:pPr>
              <w:ind w:left="400"/>
              <w:spacing w:after="0"/>
              <w:rPr>
                <w:sz w:val="20"/>
                <w:szCs w:val="20"/>
                <w:color w:val="auto"/>
              </w:rPr>
            </w:pPr>
            <w:r>
              <w:rPr>
                <w:rFonts w:ascii="Arial" w:cs="Arial" w:eastAsia="Arial" w:hAnsi="Arial"/>
                <w:sz w:val="10"/>
                <w:szCs w:val="10"/>
                <w:color w:val="FFFFFF"/>
              </w:rPr>
              <w:t>Inflammatory Diseases</w:t>
            </w:r>
          </w:p>
        </w:tc>
        <w:tc>
          <w:tcPr>
            <w:tcW w:w="3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60"/>
        <w:spacing w:after="0"/>
        <w:rPr>
          <w:sz w:val="20"/>
          <w:szCs w:val="20"/>
          <w:color w:val="auto"/>
        </w:rPr>
      </w:pPr>
      <w:r>
        <w:rPr>
          <w:rFonts w:ascii="Arial" w:cs="Arial" w:eastAsia="Arial" w:hAnsi="Arial"/>
          <w:sz w:val="40"/>
          <w:szCs w:val="40"/>
          <w:b w:val="1"/>
          <w:bCs w:val="1"/>
          <w:i w:val="1"/>
          <w:iCs w:val="1"/>
          <w:color w:val="0087C9"/>
        </w:rPr>
        <w:t>Antibody Medicines</w:t>
      </w:r>
    </w:p>
    <w:p>
      <w:pPr>
        <w:spacing w:after="0" w:line="31" w:lineRule="exact"/>
        <w:rPr>
          <w:sz w:val="20"/>
          <w:szCs w:val="20"/>
          <w:color w:val="auto"/>
        </w:rPr>
      </w:pPr>
    </w:p>
    <w:p>
      <w:pPr>
        <w:ind w:left="3400"/>
        <w:spacing w:after="0"/>
        <w:rPr>
          <w:sz w:val="20"/>
          <w:szCs w:val="20"/>
          <w:color w:val="auto"/>
        </w:rPr>
      </w:pPr>
      <w:r>
        <w:rPr>
          <w:rFonts w:ascii="Arial" w:cs="Arial" w:eastAsia="Arial" w:hAnsi="Arial"/>
          <w:sz w:val="40"/>
          <w:szCs w:val="40"/>
          <w:b w:val="1"/>
          <w:bCs w:val="1"/>
          <w:i w:val="1"/>
          <w:iCs w:val="1"/>
          <w:color w:val="0087C9"/>
        </w:rPr>
        <w:t>For Severe Diseases</w:t>
      </w:r>
    </w:p>
    <w:p>
      <w:pPr>
        <w:sectPr>
          <w:pgSz w:w="11900" w:h="16838" w:orient="portrait"/>
          <w:cols w:equalWidth="0" w:num="1">
            <w:col w:w="10560"/>
          </w:cols>
          <w:pgMar w:left="480" w:top="664" w:right="859" w:bottom="1440" w:gutter="0" w:footer="0" w:header="0"/>
        </w:sectPr>
      </w:pPr>
    </w:p>
    <w:p>
      <w:pPr>
        <w:spacing w:after="0" w:line="298" w:lineRule="exact"/>
        <w:rPr>
          <w:sz w:val="20"/>
          <w:szCs w:val="20"/>
          <w:color w:val="auto"/>
        </w:rPr>
      </w:pPr>
    </w:p>
    <w:p>
      <w:pPr>
        <w:jc w:val="center"/>
        <w:ind w:left="320"/>
        <w:spacing w:after="0"/>
        <w:rPr>
          <w:sz w:val="20"/>
          <w:szCs w:val="20"/>
          <w:color w:val="auto"/>
        </w:rPr>
      </w:pPr>
      <w:r>
        <w:rPr>
          <w:rFonts w:ascii="Arial" w:cs="Arial" w:eastAsia="Arial" w:hAnsi="Arial"/>
          <w:sz w:val="23"/>
          <w:szCs w:val="23"/>
          <w:color w:val="55565A"/>
        </w:rPr>
        <w:t>Validating Product Partnerships</w:t>
      </w:r>
    </w:p>
    <w:p>
      <w:pPr>
        <w:spacing w:after="0" w:line="20" w:lineRule="exact"/>
        <w:rPr>
          <w:sz w:val="20"/>
          <w:szCs w:val="20"/>
          <w:color w:val="auto"/>
        </w:rPr>
      </w:pPr>
    </w:p>
    <w:p>
      <w:pPr>
        <w:jc w:val="center"/>
        <w:ind w:left="320"/>
        <w:spacing w:after="0"/>
        <w:rPr>
          <w:sz w:val="20"/>
          <w:szCs w:val="20"/>
          <w:color w:val="auto"/>
        </w:rPr>
      </w:pPr>
      <w:r>
        <w:rPr>
          <w:rFonts w:ascii="Arial" w:cs="Arial" w:eastAsia="Arial" w:hAnsi="Arial"/>
          <w:sz w:val="24"/>
          <w:szCs w:val="24"/>
          <w:color w:val="55565A"/>
        </w:rPr>
        <w:t>Generated ~$75MM*</w:t>
      </w:r>
    </w:p>
    <w:p>
      <w:pPr>
        <w:spacing w:after="0" w:line="213" w:lineRule="exact"/>
        <w:rPr>
          <w:sz w:val="20"/>
          <w:szCs w:val="20"/>
          <w:color w:val="auto"/>
        </w:rPr>
      </w:pPr>
    </w:p>
    <w:p>
      <w:pPr>
        <w:ind w:left="2360"/>
        <w:spacing w:after="0"/>
        <w:rPr>
          <w:sz w:val="20"/>
          <w:szCs w:val="20"/>
          <w:color w:val="auto"/>
        </w:rPr>
      </w:pPr>
      <w:r>
        <w:rPr>
          <w:rFonts w:ascii="Arial" w:cs="Arial" w:eastAsia="Arial" w:hAnsi="Arial"/>
          <w:sz w:val="24"/>
          <w:szCs w:val="24"/>
          <w:color w:val="55565A"/>
        </w:rPr>
        <w:t>TESARO</w:t>
      </w:r>
    </w:p>
    <w:p>
      <w:pPr>
        <w:spacing w:after="0" w:line="8" w:lineRule="exact"/>
        <w:rPr>
          <w:sz w:val="20"/>
          <w:szCs w:val="20"/>
          <w:color w:val="auto"/>
        </w:rPr>
      </w:pPr>
    </w:p>
    <w:p>
      <w:pPr>
        <w:ind w:left="2360"/>
        <w:spacing w:after="0"/>
        <w:rPr>
          <w:sz w:val="20"/>
          <w:szCs w:val="20"/>
          <w:color w:val="auto"/>
        </w:rPr>
      </w:pPr>
      <w:r>
        <w:rPr>
          <w:rFonts w:ascii="Arial" w:cs="Arial" w:eastAsia="Arial" w:hAnsi="Arial"/>
          <w:sz w:val="24"/>
          <w:szCs w:val="24"/>
          <w:color w:val="55565A"/>
        </w:rPr>
        <w:t>Celgene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500"/>
        <w:spacing w:after="0"/>
        <w:rPr>
          <w:sz w:val="20"/>
          <w:szCs w:val="20"/>
          <w:color w:val="auto"/>
        </w:rPr>
      </w:pPr>
      <w:r>
        <w:rPr>
          <w:rFonts w:ascii="Arial" w:cs="Arial" w:eastAsia="Arial" w:hAnsi="Arial"/>
          <w:sz w:val="24"/>
          <w:szCs w:val="24"/>
          <w:color w:val="55565A"/>
        </w:rPr>
        <w:t>4 Additional Efficacy Readouts</w:t>
      </w:r>
    </w:p>
    <w:p>
      <w:pPr>
        <w:spacing w:after="0" w:line="8" w:lineRule="exact"/>
        <w:rPr>
          <w:sz w:val="20"/>
          <w:szCs w:val="20"/>
          <w:color w:val="auto"/>
        </w:rPr>
      </w:pPr>
    </w:p>
    <w:p>
      <w:pPr>
        <w:jc w:val="center"/>
        <w:ind w:right="520"/>
        <w:spacing w:after="0"/>
        <w:rPr>
          <w:sz w:val="20"/>
          <w:szCs w:val="20"/>
          <w:color w:val="auto"/>
        </w:rPr>
      </w:pPr>
      <w:r>
        <w:rPr>
          <w:rFonts w:ascii="Arial" w:cs="Arial" w:eastAsia="Arial" w:hAnsi="Arial"/>
          <w:sz w:val="24"/>
          <w:szCs w:val="24"/>
          <w:color w:val="55565A"/>
        </w:rPr>
        <w:t>Anticipated By End 2019</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55565A"/>
        </w:rPr>
        <w:t>Etokimab Eosinophilic Asthma Phase 2a: Top-line data today</w:t>
      </w:r>
    </w:p>
    <w:p>
      <w:pPr>
        <w:spacing w:after="0" w:line="9" w:lineRule="exact"/>
        <w:rPr>
          <w:sz w:val="20"/>
          <w:szCs w:val="20"/>
          <w:color w:val="auto"/>
        </w:rPr>
      </w:pPr>
    </w:p>
    <w:p>
      <w:pPr>
        <w:spacing w:after="0" w:line="253" w:lineRule="auto"/>
        <w:rPr>
          <w:sz w:val="20"/>
          <w:szCs w:val="20"/>
          <w:color w:val="auto"/>
        </w:rPr>
      </w:pPr>
      <w:r>
        <w:rPr>
          <w:rFonts w:ascii="Arial" w:cs="Arial" w:eastAsia="Arial" w:hAnsi="Arial"/>
          <w:sz w:val="15"/>
          <w:szCs w:val="15"/>
          <w:color w:val="55565A"/>
        </w:rPr>
        <w:t>ANB019 Generalized Pustular Psoriasis Phase 2: Top-line data in early 2019</w:t>
      </w:r>
    </w:p>
    <w:p>
      <w:pPr>
        <w:ind w:right="100"/>
        <w:spacing w:after="0" w:line="253" w:lineRule="auto"/>
        <w:rPr>
          <w:sz w:val="20"/>
          <w:szCs w:val="20"/>
          <w:color w:val="auto"/>
        </w:rPr>
      </w:pPr>
      <w:r>
        <w:rPr>
          <w:rFonts w:ascii="Arial" w:cs="Arial" w:eastAsia="Arial" w:hAnsi="Arial"/>
          <w:sz w:val="15"/>
          <w:szCs w:val="15"/>
          <w:color w:val="55565A"/>
        </w:rPr>
        <w:t>Etokimab Atopic Dermatitis Phase 2b: Top-line data in H2 2019 Etokimab Chronic Rhinosinusitis With Nasal Polyps Phase 2: Top-line data in H2 2019</w:t>
      </w:r>
    </w:p>
    <w:p>
      <w:pPr>
        <w:spacing w:after="0"/>
        <w:rPr>
          <w:sz w:val="20"/>
          <w:szCs w:val="20"/>
          <w:color w:val="auto"/>
        </w:rPr>
      </w:pPr>
      <w:r>
        <w:rPr>
          <w:rFonts w:ascii="Arial" w:cs="Arial" w:eastAsia="Arial" w:hAnsi="Arial"/>
          <w:sz w:val="15"/>
          <w:szCs w:val="15"/>
          <w:color w:val="55565A"/>
        </w:rPr>
        <w:t>ANB019 Palmoplantar Pustulosis Phase 2: Top-line data in H2 2019</w:t>
      </w:r>
    </w:p>
    <w:p>
      <w:pPr>
        <w:spacing w:after="0" w:line="100" w:lineRule="exact"/>
        <w:rPr>
          <w:sz w:val="20"/>
          <w:szCs w:val="20"/>
          <w:color w:val="auto"/>
        </w:rPr>
      </w:pPr>
    </w:p>
    <w:p>
      <w:pPr>
        <w:sectPr>
          <w:pgSz w:w="11900" w:h="16838" w:orient="portrait"/>
          <w:cols w:equalWidth="0" w:num="2">
            <w:col w:w="5200" w:space="720"/>
            <w:col w:w="4640"/>
          </w:cols>
          <w:pgMar w:left="480" w:top="664" w:right="859" w:bottom="1440" w:gutter="0" w:footer="0" w:header="0"/>
          <w:type w:val="continuous"/>
        </w:sectPr>
      </w:pPr>
    </w:p>
    <w:p>
      <w:pPr>
        <w:spacing w:after="0"/>
        <w:rPr>
          <w:sz w:val="20"/>
          <w:szCs w:val="20"/>
          <w:color w:val="auto"/>
        </w:rPr>
      </w:pPr>
      <w:r>
        <w:rPr>
          <w:rFonts w:ascii="Arial" w:cs="Arial" w:eastAsia="Arial" w:hAnsi="Arial"/>
          <w:sz w:val="17"/>
          <w:szCs w:val="17"/>
          <w:color w:val="55565A"/>
        </w:rPr>
        <w:t>* Asof June30</w:t>
      </w:r>
      <w:r>
        <w:rPr>
          <w:rFonts w:ascii="Arial" w:cs="Arial" w:eastAsia="Arial" w:hAnsi="Arial"/>
          <w:sz w:val="29"/>
          <w:szCs w:val="29"/>
          <w:color w:val="55565A"/>
          <w:vertAlign w:val="superscript"/>
        </w:rPr>
        <w:t>th</w:t>
      </w:r>
      <w:r>
        <w:rPr>
          <w:rFonts w:ascii="Arial" w:cs="Arial" w:eastAsia="Arial" w:hAnsi="Arial"/>
          <w:sz w:val="17"/>
          <w:szCs w:val="17"/>
          <w:color w:val="55565A"/>
        </w:rPr>
        <w:t xml:space="preserve"> 2018</w:t>
      </w:r>
    </w:p>
    <w:p>
      <w:pPr>
        <w:spacing w:after="0" w:line="98" w:lineRule="exact"/>
        <w:rPr>
          <w:sz w:val="20"/>
          <w:szCs w:val="20"/>
          <w:color w:val="auto"/>
        </w:rPr>
      </w:pPr>
    </w:p>
    <w:p>
      <w:pPr>
        <w:jc w:val="right"/>
        <w:ind w:right="200"/>
        <w:spacing w:after="0"/>
        <w:rPr>
          <w:sz w:val="20"/>
          <w:szCs w:val="20"/>
          <w:color w:val="auto"/>
        </w:rPr>
      </w:pPr>
      <w:r>
        <w:rPr>
          <w:rFonts w:ascii="Arial" w:cs="Arial" w:eastAsia="Arial" w:hAnsi="Arial"/>
          <w:sz w:val="15"/>
          <w:szCs w:val="15"/>
          <w:color w:val="FFFFFF"/>
        </w:rPr>
        <w:t>3</w:t>
      </w:r>
    </w:p>
    <w:p>
      <w:pPr>
        <w:sectPr>
          <w:pgSz w:w="11900" w:h="16838" w:orient="portrait"/>
          <w:cols w:equalWidth="0" w:num="1">
            <w:col w:w="10560"/>
          </w:cols>
          <w:pgMar w:left="480" w:top="664" w:right="8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33"/>
          <w:szCs w:val="33"/>
          <w:b w:val="1"/>
          <w:bCs w:val="1"/>
          <w:color w:val="55565A"/>
        </w:rPr>
        <w:drawing>
          <wp:anchor simplePos="0" relativeHeight="251657728" behindDoc="1" locked="0" layoutInCell="0" allowOverlap="1">
            <wp:simplePos x="0" y="0"/>
            <wp:positionH relativeFrom="page">
              <wp:posOffset>133985</wp:posOffset>
            </wp:positionH>
            <wp:positionV relativeFrom="page">
              <wp:posOffset>88900</wp:posOffset>
            </wp:positionV>
            <wp:extent cx="7308215" cy="5355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8215" cy="5355590"/>
                    </a:xfrm>
                    <a:prstGeom prst="rect">
                      <a:avLst/>
                    </a:prstGeom>
                    <a:noFill/>
                  </pic:spPr>
                </pic:pic>
              </a:graphicData>
            </a:graphic>
          </wp:anchor>
        </w:drawing>
        <w:t>Wholly-Owned and Partnered Product Pipeline</w:t>
      </w:r>
    </w:p>
    <w:p>
      <w:pPr>
        <w:spacing w:after="0" w:line="59" w:lineRule="exact"/>
        <w:rPr>
          <w:sz w:val="20"/>
          <w:szCs w:val="20"/>
          <w:color w:val="auto"/>
        </w:rPr>
      </w:pPr>
    </w:p>
    <w:p>
      <w:pPr>
        <w:spacing w:after="0"/>
        <w:rPr>
          <w:sz w:val="20"/>
          <w:szCs w:val="20"/>
          <w:color w:val="auto"/>
        </w:rPr>
      </w:pPr>
      <w:r>
        <w:rPr>
          <w:rFonts w:ascii="Arial" w:cs="Arial" w:eastAsia="Arial" w:hAnsi="Arial"/>
          <w:sz w:val="24"/>
          <w:szCs w:val="24"/>
          <w:i w:val="1"/>
          <w:iCs w:val="1"/>
          <w:color w:val="0087C9"/>
        </w:rPr>
        <w:t>6 AnaptysBio-Generated Antibodies Advanced to Clinic Since Q1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87C9"/>
        </w:rPr>
        <w:t>All programs generated internally using AnaptysBio’s proprietary antibody generation platform technology</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5"/>
          <w:szCs w:val="15"/>
          <w:color w:val="FFFFFF"/>
        </w:rPr>
        <w:t>4</w:t>
      </w:r>
    </w:p>
    <w:p>
      <w:pPr>
        <w:sectPr>
          <w:pgSz w:w="11900" w:h="16838" w:orient="portrait"/>
          <w:cols w:equalWidth="0" w:num="1">
            <w:col w:w="10260"/>
          </w:cols>
          <w:pgMar w:left="580" w:top="629" w:right="1059" w:bottom="1440" w:gutter="0" w:footer="0" w:header="0"/>
        </w:sectPr>
      </w:pPr>
    </w:p>
    <w:bookmarkStart w:id="12" w:name="page13"/>
    <w:bookmarkEnd w:id="12"/>
    <w:p>
      <w:pPr>
        <w:spacing w:after="0"/>
        <w:rPr>
          <w:sz w:val="20"/>
          <w:szCs w:val="20"/>
          <w:color w:val="auto"/>
        </w:rPr>
      </w:pPr>
      <w:r>
        <w:rPr>
          <w:rFonts w:ascii="Arial" w:cs="Arial" w:eastAsia="Arial" w:hAnsi="Arial"/>
          <w:sz w:val="36"/>
          <w:szCs w:val="36"/>
          <w:b w:val="1"/>
          <w:bCs w:val="1"/>
          <w:color w:val="55565A"/>
        </w:rPr>
        <w:drawing>
          <wp:anchor simplePos="0" relativeHeight="251657728" behindDoc="1" locked="0" layoutInCell="0" allowOverlap="1">
            <wp:simplePos x="0" y="0"/>
            <wp:positionH relativeFrom="page">
              <wp:posOffset>133985</wp:posOffset>
            </wp:positionH>
            <wp:positionV relativeFrom="page">
              <wp:posOffset>88900</wp:posOffset>
            </wp:positionV>
            <wp:extent cx="7308215" cy="5362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8215" cy="5362575"/>
                    </a:xfrm>
                    <a:prstGeom prst="rect">
                      <a:avLst/>
                    </a:prstGeom>
                    <a:noFill/>
                  </pic:spPr>
                </pic:pic>
              </a:graphicData>
            </a:graphic>
          </wp:anchor>
        </w:drawing>
        <w:t>Etokimab: First-in-Class Anti-IL-33 Antibody</w:t>
      </w:r>
    </w:p>
    <w:p>
      <w:pPr>
        <w:spacing w:after="0" w:line="69" w:lineRule="exact"/>
        <w:rPr>
          <w:sz w:val="20"/>
          <w:szCs w:val="20"/>
          <w:color w:val="auto"/>
        </w:rPr>
      </w:pPr>
    </w:p>
    <w:p>
      <w:pPr>
        <w:spacing w:after="0"/>
        <w:rPr>
          <w:sz w:val="20"/>
          <w:szCs w:val="20"/>
          <w:color w:val="auto"/>
        </w:rPr>
      </w:pPr>
      <w:r>
        <w:rPr>
          <w:rFonts w:ascii="Arial" w:cs="Arial" w:eastAsia="Arial" w:hAnsi="Arial"/>
          <w:sz w:val="24"/>
          <w:szCs w:val="24"/>
          <w:i w:val="1"/>
          <w:iCs w:val="1"/>
          <w:color w:val="0087C9"/>
        </w:rPr>
        <w:t>Broadly Applicable to Atopic Diseases</w:t>
      </w:r>
    </w:p>
    <w:p>
      <w:pPr>
        <w:sectPr>
          <w:pgSz w:w="11900" w:h="16838" w:orient="portrait"/>
          <w:cols w:equalWidth="0" w:num="1">
            <w:col w:w="10300"/>
          </w:cols>
          <w:pgMar w:left="620" w:top="685" w:right="9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440" w:right="500" w:hanging="272"/>
        <w:spacing w:after="0" w:line="269" w:lineRule="auto"/>
        <w:tabs>
          <w:tab w:leader="none" w:pos="440" w:val="left"/>
        </w:tabs>
        <w:numPr>
          <w:ilvl w:val="0"/>
          <w:numId w:val="6"/>
        </w:numPr>
        <w:rPr>
          <w:rFonts w:ascii="Arial" w:cs="Arial" w:eastAsia="Arial" w:hAnsi="Arial"/>
          <w:sz w:val="27"/>
          <w:szCs w:val="27"/>
          <w:color w:val="98999D"/>
        </w:rPr>
      </w:pPr>
      <w:r>
        <w:rPr>
          <w:rFonts w:ascii="Arial" w:cs="Arial" w:eastAsia="Arial" w:hAnsi="Arial"/>
          <w:sz w:val="27"/>
          <w:szCs w:val="27"/>
          <w:color w:val="55565A"/>
        </w:rPr>
        <w:t>IL-33 is an upstream driver of atopic disease</w:t>
      </w:r>
    </w:p>
    <w:p>
      <w:pPr>
        <w:spacing w:after="0" w:line="22" w:lineRule="exact"/>
        <w:rPr>
          <w:rFonts w:ascii="Arial" w:cs="Arial" w:eastAsia="Arial" w:hAnsi="Arial"/>
          <w:sz w:val="27"/>
          <w:szCs w:val="27"/>
          <w:color w:val="98999D"/>
        </w:rPr>
      </w:pPr>
    </w:p>
    <w:p>
      <w:pPr>
        <w:ind w:left="780" w:right="160" w:hanging="341"/>
        <w:spacing w:after="0" w:line="263" w:lineRule="auto"/>
        <w:rPr>
          <w:rFonts w:ascii="Arial" w:cs="Arial" w:eastAsia="Arial" w:hAnsi="Arial"/>
          <w:sz w:val="27"/>
          <w:szCs w:val="27"/>
          <w:color w:val="98999D"/>
        </w:rPr>
      </w:pPr>
      <w:r>
        <w:rPr>
          <w:rFonts w:ascii="Arial" w:cs="Arial" w:eastAsia="Arial" w:hAnsi="Arial"/>
          <w:sz w:val="18"/>
          <w:szCs w:val="18"/>
          <w:color w:val="98999D"/>
        </w:rPr>
        <w:t xml:space="preserve">– </w:t>
      </w:r>
      <w:r>
        <w:rPr>
          <w:rFonts w:ascii="Arial" w:cs="Arial" w:eastAsia="Arial" w:hAnsi="Arial"/>
          <w:sz w:val="18"/>
          <w:szCs w:val="18"/>
          <w:color w:val="55565A"/>
        </w:rPr>
        <w:t>Human genetics validate key role of IL-33 in</w:t>
      </w:r>
      <w:r>
        <w:rPr>
          <w:rFonts w:ascii="Arial" w:cs="Arial" w:eastAsia="Arial" w:hAnsi="Arial"/>
          <w:sz w:val="18"/>
          <w:szCs w:val="18"/>
          <w:color w:val="98999D"/>
        </w:rPr>
        <w:t xml:space="preserve"> </w:t>
      </w:r>
      <w:r>
        <w:rPr>
          <w:rFonts w:ascii="Arial" w:cs="Arial" w:eastAsia="Arial" w:hAnsi="Arial"/>
          <w:sz w:val="18"/>
          <w:szCs w:val="18"/>
          <w:color w:val="55565A"/>
        </w:rPr>
        <w:t>atopic dermatitis and asthma</w:t>
      </w:r>
    </w:p>
    <w:p>
      <w:pPr>
        <w:spacing w:after="0" w:line="80" w:lineRule="exact"/>
        <w:rPr>
          <w:rFonts w:ascii="Arial" w:cs="Arial" w:eastAsia="Arial" w:hAnsi="Arial"/>
          <w:sz w:val="27"/>
          <w:szCs w:val="27"/>
          <w:color w:val="98999D"/>
        </w:rPr>
      </w:pPr>
    </w:p>
    <w:p>
      <w:pPr>
        <w:ind w:left="780" w:right="400" w:hanging="341"/>
        <w:spacing w:after="0" w:line="263" w:lineRule="auto"/>
        <w:rPr>
          <w:rFonts w:ascii="Arial" w:cs="Arial" w:eastAsia="Arial" w:hAnsi="Arial"/>
          <w:sz w:val="27"/>
          <w:szCs w:val="27"/>
          <w:color w:val="98999D"/>
        </w:rPr>
      </w:pPr>
      <w:r>
        <w:rPr>
          <w:rFonts w:ascii="Arial" w:cs="Arial" w:eastAsia="Arial" w:hAnsi="Arial"/>
          <w:sz w:val="18"/>
          <w:szCs w:val="18"/>
          <w:color w:val="98999D"/>
        </w:rPr>
        <w:t xml:space="preserve">– </w:t>
      </w:r>
      <w:r>
        <w:rPr>
          <w:rFonts w:ascii="Arial" w:cs="Arial" w:eastAsia="Arial" w:hAnsi="Arial"/>
          <w:sz w:val="18"/>
          <w:szCs w:val="18"/>
          <w:color w:val="55565A"/>
        </w:rPr>
        <w:t>Pro-inflammatory cytokine released upon</w:t>
      </w:r>
      <w:r>
        <w:rPr>
          <w:rFonts w:ascii="Arial" w:cs="Arial" w:eastAsia="Arial" w:hAnsi="Arial"/>
          <w:sz w:val="18"/>
          <w:szCs w:val="18"/>
          <w:color w:val="98999D"/>
        </w:rPr>
        <w:t xml:space="preserve"> </w:t>
      </w:r>
      <w:r>
        <w:rPr>
          <w:rFonts w:ascii="Arial" w:cs="Arial" w:eastAsia="Arial" w:hAnsi="Arial"/>
          <w:sz w:val="18"/>
          <w:szCs w:val="18"/>
          <w:color w:val="55565A"/>
        </w:rPr>
        <w:t>allergen contact with epithelium</w:t>
      </w:r>
    </w:p>
    <w:p>
      <w:pPr>
        <w:spacing w:after="0" w:line="69" w:lineRule="exact"/>
        <w:rPr>
          <w:rFonts w:ascii="Arial" w:cs="Arial" w:eastAsia="Arial" w:hAnsi="Arial"/>
          <w:sz w:val="27"/>
          <w:szCs w:val="27"/>
          <w:color w:val="98999D"/>
        </w:rPr>
      </w:pPr>
    </w:p>
    <w:p>
      <w:pPr>
        <w:ind w:left="780" w:right="300" w:hanging="341"/>
        <w:spacing w:after="0" w:line="263" w:lineRule="auto"/>
        <w:rPr>
          <w:rFonts w:ascii="Arial" w:cs="Arial" w:eastAsia="Arial" w:hAnsi="Arial"/>
          <w:sz w:val="27"/>
          <w:szCs w:val="27"/>
          <w:color w:val="98999D"/>
        </w:rPr>
      </w:pPr>
      <w:r>
        <w:rPr>
          <w:rFonts w:ascii="Arial" w:cs="Arial" w:eastAsia="Arial" w:hAnsi="Arial"/>
          <w:sz w:val="18"/>
          <w:szCs w:val="18"/>
          <w:color w:val="98999D"/>
        </w:rPr>
        <w:t xml:space="preserve">– </w:t>
      </w:r>
      <w:r>
        <w:rPr>
          <w:rFonts w:ascii="Arial" w:cs="Arial" w:eastAsia="Arial" w:hAnsi="Arial"/>
          <w:sz w:val="18"/>
          <w:szCs w:val="18"/>
          <w:color w:val="55565A"/>
        </w:rPr>
        <w:t>Activates downstream release of IL-4, IL-5</w:t>
      </w:r>
      <w:r>
        <w:rPr>
          <w:rFonts w:ascii="Arial" w:cs="Arial" w:eastAsia="Arial" w:hAnsi="Arial"/>
          <w:sz w:val="18"/>
          <w:szCs w:val="18"/>
          <w:color w:val="98999D"/>
        </w:rPr>
        <w:t xml:space="preserve"> </w:t>
      </w:r>
      <w:r>
        <w:rPr>
          <w:rFonts w:ascii="Arial" w:cs="Arial" w:eastAsia="Arial" w:hAnsi="Arial"/>
          <w:sz w:val="18"/>
          <w:szCs w:val="18"/>
          <w:color w:val="55565A"/>
        </w:rPr>
        <w:t>and IL-13</w:t>
      </w:r>
    </w:p>
    <w:p>
      <w:pPr>
        <w:spacing w:after="0" w:line="69" w:lineRule="exact"/>
        <w:rPr>
          <w:rFonts w:ascii="Arial" w:cs="Arial" w:eastAsia="Arial" w:hAnsi="Arial"/>
          <w:sz w:val="27"/>
          <w:szCs w:val="27"/>
          <w:color w:val="98999D"/>
        </w:rPr>
      </w:pPr>
    </w:p>
    <w:p>
      <w:pPr>
        <w:ind w:left="780" w:right="600" w:hanging="341"/>
        <w:spacing w:after="0" w:line="277" w:lineRule="auto"/>
        <w:rPr>
          <w:rFonts w:ascii="Arial" w:cs="Arial" w:eastAsia="Arial" w:hAnsi="Arial"/>
          <w:sz w:val="27"/>
          <w:szCs w:val="27"/>
          <w:color w:val="98999D"/>
        </w:rPr>
      </w:pPr>
      <w:r>
        <w:rPr>
          <w:rFonts w:ascii="Arial" w:cs="Arial" w:eastAsia="Arial" w:hAnsi="Arial"/>
          <w:sz w:val="18"/>
          <w:szCs w:val="18"/>
          <w:color w:val="98999D"/>
        </w:rPr>
        <w:t xml:space="preserve">– </w:t>
      </w:r>
      <w:r>
        <w:rPr>
          <w:rFonts w:ascii="Arial" w:cs="Arial" w:eastAsia="Arial" w:hAnsi="Arial"/>
          <w:sz w:val="18"/>
          <w:szCs w:val="18"/>
          <w:color w:val="55565A"/>
        </w:rPr>
        <w:t>Modulates IgE-mediated mast cell and</w:t>
      </w:r>
      <w:r>
        <w:rPr>
          <w:rFonts w:ascii="Arial" w:cs="Arial" w:eastAsia="Arial" w:hAnsi="Arial"/>
          <w:sz w:val="18"/>
          <w:szCs w:val="18"/>
          <w:color w:val="98999D"/>
        </w:rPr>
        <w:t xml:space="preserve"> </w:t>
      </w:r>
      <w:r>
        <w:rPr>
          <w:rFonts w:ascii="Arial" w:cs="Arial" w:eastAsia="Arial" w:hAnsi="Arial"/>
          <w:sz w:val="18"/>
          <w:szCs w:val="18"/>
          <w:color w:val="55565A"/>
        </w:rPr>
        <w:t>basophil degranulation</w:t>
      </w:r>
    </w:p>
    <w:p>
      <w:pPr>
        <w:spacing w:after="0" w:line="360" w:lineRule="exact"/>
        <w:rPr>
          <w:rFonts w:ascii="Arial" w:cs="Arial" w:eastAsia="Arial" w:hAnsi="Arial"/>
          <w:sz w:val="27"/>
          <w:szCs w:val="27"/>
          <w:color w:val="98999D"/>
        </w:rPr>
      </w:pPr>
    </w:p>
    <w:p>
      <w:pPr>
        <w:ind w:left="440" w:right="180" w:hanging="272"/>
        <w:spacing w:after="0" w:line="261" w:lineRule="auto"/>
        <w:tabs>
          <w:tab w:leader="none" w:pos="440" w:val="left"/>
        </w:tabs>
        <w:numPr>
          <w:ilvl w:val="0"/>
          <w:numId w:val="6"/>
        </w:numPr>
        <w:rPr>
          <w:rFonts w:ascii="Arial" w:cs="Arial" w:eastAsia="Arial" w:hAnsi="Arial"/>
          <w:sz w:val="27"/>
          <w:szCs w:val="27"/>
          <w:color w:val="98999D"/>
        </w:rPr>
      </w:pPr>
      <w:r>
        <w:rPr>
          <w:rFonts w:ascii="Arial" w:cs="Arial" w:eastAsia="Arial" w:hAnsi="Arial"/>
          <w:sz w:val="27"/>
          <w:szCs w:val="27"/>
          <w:color w:val="55565A"/>
        </w:rPr>
        <w:t>Etokimab is a potentially first-in-class anti-IL-33 cytokine antibody</w:t>
      </w:r>
    </w:p>
    <w:p>
      <w:pPr>
        <w:spacing w:after="0" w:line="35" w:lineRule="exact"/>
        <w:rPr>
          <w:rFonts w:ascii="Arial" w:cs="Arial" w:eastAsia="Arial" w:hAnsi="Arial"/>
          <w:sz w:val="27"/>
          <w:szCs w:val="27"/>
          <w:color w:val="98999D"/>
        </w:rPr>
      </w:pPr>
    </w:p>
    <w:p>
      <w:pPr>
        <w:ind w:left="780" w:right="420" w:hanging="341"/>
        <w:spacing w:after="0" w:line="263" w:lineRule="auto"/>
        <w:rPr>
          <w:rFonts w:ascii="Arial" w:cs="Arial" w:eastAsia="Arial" w:hAnsi="Arial"/>
          <w:sz w:val="27"/>
          <w:szCs w:val="27"/>
          <w:color w:val="98999D"/>
        </w:rPr>
      </w:pPr>
      <w:r>
        <w:rPr>
          <w:rFonts w:ascii="Arial" w:cs="Arial" w:eastAsia="Arial" w:hAnsi="Arial"/>
          <w:sz w:val="18"/>
          <w:szCs w:val="18"/>
          <w:color w:val="98999D"/>
        </w:rPr>
        <w:t xml:space="preserve">– </w:t>
      </w:r>
      <w:r>
        <w:rPr>
          <w:rFonts w:ascii="Arial" w:cs="Arial" w:eastAsia="Arial" w:hAnsi="Arial"/>
          <w:sz w:val="18"/>
          <w:szCs w:val="18"/>
          <w:color w:val="55565A"/>
        </w:rPr>
        <w:t>Phase I healthy volunteer trial completed</w:t>
      </w:r>
      <w:r>
        <w:rPr>
          <w:rFonts w:ascii="Arial" w:cs="Arial" w:eastAsia="Arial" w:hAnsi="Arial"/>
          <w:sz w:val="18"/>
          <w:szCs w:val="18"/>
          <w:color w:val="98999D"/>
        </w:rPr>
        <w:t xml:space="preserve"> </w:t>
      </w:r>
      <w:r>
        <w:rPr>
          <w:rFonts w:ascii="Arial" w:cs="Arial" w:eastAsia="Arial" w:hAnsi="Arial"/>
          <w:sz w:val="18"/>
          <w:szCs w:val="18"/>
          <w:color w:val="55565A"/>
        </w:rPr>
        <w:t>without dose-limiting toxicities</w:t>
      </w:r>
    </w:p>
    <w:p>
      <w:pPr>
        <w:spacing w:after="0" w:line="69" w:lineRule="exact"/>
        <w:rPr>
          <w:rFonts w:ascii="Arial" w:cs="Arial" w:eastAsia="Arial" w:hAnsi="Arial"/>
          <w:sz w:val="27"/>
          <w:szCs w:val="27"/>
          <w:color w:val="98999D"/>
        </w:rPr>
      </w:pPr>
    </w:p>
    <w:p>
      <w:pPr>
        <w:ind w:left="780" w:right="680" w:hanging="341"/>
        <w:spacing w:after="0" w:line="259" w:lineRule="auto"/>
        <w:rPr>
          <w:rFonts w:ascii="Arial" w:cs="Arial" w:eastAsia="Arial" w:hAnsi="Arial"/>
          <w:sz w:val="27"/>
          <w:szCs w:val="27"/>
          <w:color w:val="98999D"/>
        </w:rPr>
      </w:pPr>
      <w:r>
        <w:rPr>
          <w:rFonts w:ascii="Arial" w:cs="Arial" w:eastAsia="Arial" w:hAnsi="Arial"/>
          <w:sz w:val="18"/>
          <w:szCs w:val="18"/>
          <w:color w:val="98999D"/>
        </w:rPr>
        <w:t xml:space="preserve">– </w:t>
      </w:r>
      <w:r>
        <w:rPr>
          <w:rFonts w:ascii="Arial" w:cs="Arial" w:eastAsia="Arial" w:hAnsi="Arial"/>
          <w:sz w:val="18"/>
          <w:szCs w:val="18"/>
          <w:color w:val="55565A"/>
        </w:rPr>
        <w:t>AnaptysBio pursuing development in</w:t>
      </w:r>
      <w:r>
        <w:rPr>
          <w:rFonts w:ascii="Arial" w:cs="Arial" w:eastAsia="Arial" w:hAnsi="Arial"/>
          <w:sz w:val="18"/>
          <w:szCs w:val="18"/>
          <w:color w:val="98999D"/>
        </w:rPr>
        <w:t xml:space="preserve"> </w:t>
      </w:r>
      <w:r>
        <w:rPr>
          <w:rFonts w:ascii="Arial" w:cs="Arial" w:eastAsia="Arial" w:hAnsi="Arial"/>
          <w:sz w:val="18"/>
          <w:szCs w:val="18"/>
          <w:color w:val="55565A"/>
        </w:rPr>
        <w:t>moderate-to-severe atopic dermatitis, eosinophilic asthma and chronic rhinosinusitis with nasal polyps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0" w:right="80" w:hanging="3204"/>
        <w:spacing w:after="0" w:line="237" w:lineRule="auto"/>
        <w:rPr>
          <w:sz w:val="20"/>
          <w:szCs w:val="20"/>
          <w:color w:val="auto"/>
        </w:rPr>
      </w:pPr>
      <w:r>
        <w:rPr>
          <w:rFonts w:ascii="Arial" w:cs="Arial" w:eastAsia="Arial" w:hAnsi="Arial"/>
          <w:sz w:val="17"/>
          <w:szCs w:val="17"/>
          <w:color w:val="55565A"/>
        </w:rPr>
        <w:t xml:space="preserve">IL-33 acts as a gatekeeperof allergic responsewith demonstrated </w:t>
      </w:r>
      <w:r>
        <w:rPr>
          <w:rFonts w:ascii="Arial" w:cs="Arial" w:eastAsia="Arial" w:hAnsi="Arial"/>
          <w:sz w:val="13"/>
          <w:szCs w:val="13"/>
          <w:color w:val="404040"/>
        </w:rPr>
        <w:t>1</w:t>
      </w:r>
    </w:p>
    <w:p>
      <w:pPr>
        <w:spacing w:after="0" w:line="218" w:lineRule="auto"/>
        <w:rPr>
          <w:sz w:val="20"/>
          <w:szCs w:val="20"/>
          <w:color w:val="auto"/>
        </w:rPr>
      </w:pPr>
      <w:r>
        <w:rPr>
          <w:rFonts w:ascii="Arial" w:cs="Arial" w:eastAsia="Arial" w:hAnsi="Arial"/>
          <w:sz w:val="16"/>
          <w:szCs w:val="16"/>
          <w:color w:val="55565A"/>
        </w:rPr>
        <w:t>activityin the initiation (activationof ILC2cells) , propagation(activation</w:t>
      </w:r>
    </w:p>
    <w:p>
      <w:pPr>
        <w:ind w:left="1680" w:right="160" w:hanging="1693"/>
        <w:spacing w:after="0" w:line="201" w:lineRule="auto"/>
        <w:rPr>
          <w:sz w:val="20"/>
          <w:szCs w:val="20"/>
          <w:color w:val="auto"/>
        </w:rPr>
      </w:pPr>
      <w:r>
        <w:rPr>
          <w:rFonts w:ascii="Arial" w:cs="Arial" w:eastAsia="Arial" w:hAnsi="Arial"/>
          <w:sz w:val="16"/>
          <w:szCs w:val="16"/>
          <w:color w:val="55565A"/>
        </w:rPr>
        <w:t>of allergen-specificT and B cells)</w:t>
      </w:r>
      <w:r>
        <w:rPr>
          <w:rFonts w:ascii="Arial" w:cs="Arial" w:eastAsia="Arial" w:hAnsi="Arial"/>
          <w:sz w:val="25"/>
          <w:szCs w:val="25"/>
          <w:color w:val="404040"/>
          <w:vertAlign w:val="superscript"/>
        </w:rPr>
        <w:t>2</w:t>
      </w:r>
      <w:r>
        <w:rPr>
          <w:rFonts w:ascii="Arial" w:cs="Arial" w:eastAsia="Arial" w:hAnsi="Arial"/>
          <w:sz w:val="16"/>
          <w:szCs w:val="16"/>
          <w:color w:val="55565A"/>
        </w:rPr>
        <w:t xml:space="preserve"> and amplification(degranulationof </w:t>
      </w:r>
      <w:r>
        <w:rPr>
          <w:rFonts w:ascii="Arial" w:cs="Arial" w:eastAsia="Arial" w:hAnsi="Arial"/>
          <w:sz w:val="12"/>
          <w:szCs w:val="12"/>
          <w:color w:val="404040"/>
        </w:rPr>
        <w:t>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55565A"/>
        </w:rPr>
        <w:t>mastcellsandbasophils) .</w:t>
      </w:r>
    </w:p>
    <w:p>
      <w:pPr>
        <w:spacing w:after="0" w:line="322" w:lineRule="exact"/>
        <w:rPr>
          <w:sz w:val="20"/>
          <w:szCs w:val="20"/>
          <w:color w:val="auto"/>
        </w:rPr>
      </w:pPr>
    </w:p>
    <w:p>
      <w:pPr>
        <w:ind w:left="2960"/>
        <w:spacing w:after="0"/>
        <w:rPr>
          <w:sz w:val="20"/>
          <w:szCs w:val="20"/>
          <w:color w:val="auto"/>
        </w:rPr>
      </w:pPr>
      <w:r>
        <w:rPr>
          <w:rFonts w:ascii="Arial" w:cs="Arial" w:eastAsia="Arial" w:hAnsi="Arial"/>
          <w:sz w:val="10"/>
          <w:szCs w:val="10"/>
          <w:color w:val="55565A"/>
        </w:rPr>
        <w:t xml:space="preserve">1. Cayrolet al. </w:t>
      </w:r>
      <w:r>
        <w:rPr>
          <w:rFonts w:ascii="Arial" w:cs="Arial" w:eastAsia="Arial" w:hAnsi="Arial"/>
          <w:sz w:val="10"/>
          <w:szCs w:val="10"/>
          <w:i w:val="1"/>
          <w:iCs w:val="1"/>
          <w:color w:val="55565A"/>
        </w:rPr>
        <w:t>Curr OpinImmunol</w:t>
      </w:r>
      <w:r>
        <w:rPr>
          <w:rFonts w:ascii="Arial" w:cs="Arial" w:eastAsia="Arial" w:hAnsi="Arial"/>
          <w:sz w:val="10"/>
          <w:szCs w:val="10"/>
          <w:color w:val="55565A"/>
        </w:rPr>
        <w:t xml:space="preserve"> (2014) 31:31</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0"/>
          <w:szCs w:val="10"/>
          <w:color w:val="55565A"/>
        </w:rPr>
        <w:t>2. Peineet al. TrendsImmunol (2016) 37(5):321</w:t>
      </w:r>
    </w:p>
    <w:p>
      <w:pPr>
        <w:spacing w:after="0" w:line="8" w:lineRule="exact"/>
        <w:rPr>
          <w:sz w:val="20"/>
          <w:szCs w:val="20"/>
          <w:color w:val="auto"/>
        </w:rPr>
      </w:pPr>
    </w:p>
    <w:p>
      <w:pPr>
        <w:ind w:left="2960"/>
        <w:spacing w:after="0"/>
        <w:rPr>
          <w:sz w:val="20"/>
          <w:szCs w:val="20"/>
          <w:color w:val="auto"/>
        </w:rPr>
      </w:pPr>
      <w:r>
        <w:rPr>
          <w:rFonts w:ascii="Arial" w:cs="Arial" w:eastAsia="Arial" w:hAnsi="Arial"/>
          <w:sz w:val="10"/>
          <w:szCs w:val="10"/>
          <w:color w:val="55565A"/>
        </w:rPr>
        <w:t>3. Saluja</w:t>
      </w:r>
      <w:r>
        <w:rPr>
          <w:rFonts w:ascii="Arial" w:cs="Arial" w:eastAsia="Arial" w:hAnsi="Arial"/>
          <w:sz w:val="10"/>
          <w:szCs w:val="10"/>
          <w:i w:val="1"/>
          <w:iCs w:val="1"/>
          <w:color w:val="55565A"/>
        </w:rPr>
        <w:t>et al. ClinTranslAllergy (2015) 5:33</w:t>
      </w:r>
    </w:p>
    <w:p>
      <w:pPr>
        <w:spacing w:after="0" w:line="301" w:lineRule="exact"/>
        <w:rPr>
          <w:sz w:val="20"/>
          <w:szCs w:val="20"/>
          <w:color w:val="auto"/>
        </w:rPr>
      </w:pPr>
    </w:p>
    <w:p>
      <w:pPr>
        <w:ind w:left="4940"/>
        <w:spacing w:after="0"/>
        <w:rPr>
          <w:sz w:val="20"/>
          <w:szCs w:val="20"/>
          <w:color w:val="auto"/>
        </w:rPr>
      </w:pPr>
      <w:r>
        <w:rPr>
          <w:rFonts w:ascii="Arial" w:cs="Arial" w:eastAsia="Arial" w:hAnsi="Arial"/>
          <w:sz w:val="15"/>
          <w:szCs w:val="15"/>
          <w:color w:val="FFFFFF"/>
        </w:rPr>
        <w:t>5</w:t>
      </w:r>
    </w:p>
    <w:p>
      <w:pPr>
        <w:sectPr>
          <w:pgSz w:w="11900" w:h="16838" w:orient="portrait"/>
          <w:cols w:equalWidth="0" w:num="2">
            <w:col w:w="4480" w:space="720"/>
            <w:col w:w="5100"/>
          </w:cols>
          <w:pgMar w:left="620" w:top="685" w:right="9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36"/>
          <w:szCs w:val="36"/>
          <w:b w:val="1"/>
          <w:bCs w:val="1"/>
          <w:color w:val="55565A"/>
        </w:rPr>
        <w:drawing>
          <wp:anchor simplePos="0" relativeHeight="251657728" behindDoc="1" locked="0" layoutInCell="0" allowOverlap="1">
            <wp:simplePos x="0" y="0"/>
            <wp:positionH relativeFrom="page">
              <wp:posOffset>133985</wp:posOffset>
            </wp:positionH>
            <wp:positionV relativeFrom="page">
              <wp:posOffset>88900</wp:posOffset>
            </wp:positionV>
            <wp:extent cx="7308215" cy="5355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8215" cy="5355590"/>
                    </a:xfrm>
                    <a:prstGeom prst="rect">
                      <a:avLst/>
                    </a:prstGeom>
                    <a:noFill/>
                  </pic:spPr>
                </pic:pic>
              </a:graphicData>
            </a:graphic>
          </wp:anchor>
        </w:drawing>
        <w:t>Eosinophilic Asthma</w:t>
      </w:r>
    </w:p>
    <w:p>
      <w:pPr>
        <w:spacing w:after="0" w:line="69" w:lineRule="exact"/>
        <w:rPr>
          <w:sz w:val="20"/>
          <w:szCs w:val="20"/>
          <w:color w:val="auto"/>
        </w:rPr>
      </w:pPr>
    </w:p>
    <w:p>
      <w:pPr>
        <w:spacing w:after="0"/>
        <w:rPr>
          <w:sz w:val="20"/>
          <w:szCs w:val="20"/>
          <w:color w:val="auto"/>
        </w:rPr>
      </w:pPr>
      <w:r>
        <w:rPr>
          <w:rFonts w:ascii="Arial" w:cs="Arial" w:eastAsia="Arial" w:hAnsi="Arial"/>
          <w:sz w:val="24"/>
          <w:szCs w:val="24"/>
          <w:i w:val="1"/>
          <w:iCs w:val="1"/>
          <w:color w:val="0087C9"/>
        </w:rPr>
        <w:t>Focus on Severe Patients Inadequately Controlled With ICS/LABA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0" w:right="6360" w:hanging="266"/>
        <w:spacing w:after="0" w:line="249" w:lineRule="auto"/>
        <w:tabs>
          <w:tab w:leader="none" w:pos="400" w:val="left"/>
        </w:tabs>
        <w:numPr>
          <w:ilvl w:val="0"/>
          <w:numId w:val="7"/>
        </w:numPr>
        <w:rPr>
          <w:rFonts w:ascii="Arial" w:cs="Arial" w:eastAsia="Arial" w:hAnsi="Arial"/>
          <w:sz w:val="31"/>
          <w:szCs w:val="31"/>
          <w:color w:val="55565A"/>
        </w:rPr>
      </w:pPr>
      <w:r>
        <w:rPr>
          <w:rFonts w:ascii="Arial" w:cs="Arial" w:eastAsia="Arial" w:hAnsi="Arial"/>
          <w:sz w:val="31"/>
          <w:szCs w:val="31"/>
          <w:color w:val="55565A"/>
        </w:rPr>
        <w:t>Eosinophilic asthma is a debilitating, chronic atopic disease</w:t>
      </w:r>
    </w:p>
    <w:p>
      <w:pPr>
        <w:spacing w:after="0" w:line="75" w:lineRule="exact"/>
        <w:rPr>
          <w:rFonts w:ascii="Arial" w:cs="Arial" w:eastAsia="Arial" w:hAnsi="Arial"/>
          <w:sz w:val="31"/>
          <w:szCs w:val="31"/>
          <w:color w:val="55565A"/>
        </w:rPr>
      </w:pPr>
    </w:p>
    <w:p>
      <w:pPr>
        <w:ind w:left="1020" w:right="5420" w:hanging="340"/>
        <w:spacing w:after="0" w:line="277" w:lineRule="auto"/>
        <w:tabs>
          <w:tab w:leader="none" w:pos="1020" w:val="left"/>
        </w:tabs>
        <w:numPr>
          <w:ilvl w:val="1"/>
          <w:numId w:val="7"/>
        </w:numPr>
        <w:rPr>
          <w:rFonts w:ascii="Arial" w:cs="Arial" w:eastAsia="Arial" w:hAnsi="Arial"/>
          <w:sz w:val="21"/>
          <w:szCs w:val="21"/>
          <w:color w:val="55565A"/>
        </w:rPr>
      </w:pPr>
      <w:r>
        <w:rPr>
          <w:rFonts w:ascii="Arial" w:cs="Arial" w:eastAsia="Arial" w:hAnsi="Arial"/>
          <w:sz w:val="21"/>
          <w:szCs w:val="21"/>
          <w:color w:val="55565A"/>
        </w:rPr>
        <w:t>Decreased lung function associated with poor quality-of-life and exacerbations</w:t>
      </w:r>
    </w:p>
    <w:p>
      <w:pPr>
        <w:spacing w:after="0" w:line="45" w:lineRule="exact"/>
        <w:rPr>
          <w:rFonts w:ascii="Arial" w:cs="Arial" w:eastAsia="Arial" w:hAnsi="Arial"/>
          <w:sz w:val="21"/>
          <w:szCs w:val="21"/>
          <w:color w:val="55565A"/>
        </w:rPr>
      </w:pPr>
    </w:p>
    <w:p>
      <w:pPr>
        <w:ind w:left="1020" w:right="5500" w:hanging="340"/>
        <w:spacing w:after="0" w:line="263" w:lineRule="auto"/>
        <w:tabs>
          <w:tab w:leader="none" w:pos="1020" w:val="left"/>
        </w:tabs>
        <w:numPr>
          <w:ilvl w:val="1"/>
          <w:numId w:val="7"/>
        </w:numPr>
        <w:rPr>
          <w:rFonts w:ascii="Arial" w:cs="Arial" w:eastAsia="Arial" w:hAnsi="Arial"/>
          <w:sz w:val="21"/>
          <w:szCs w:val="21"/>
          <w:color w:val="55565A"/>
        </w:rPr>
      </w:pPr>
      <w:r>
        <w:rPr>
          <w:rFonts w:ascii="Arial" w:cs="Arial" w:eastAsia="Arial" w:hAnsi="Arial"/>
          <w:sz w:val="21"/>
          <w:szCs w:val="21"/>
          <w:color w:val="55565A"/>
        </w:rPr>
        <w:t>Often concomitant with other atopic diseases, such as chronic rhinosinusitis with nasal polyps and atopic dermatitis</w:t>
      </w:r>
    </w:p>
    <w:p>
      <w:pPr>
        <w:spacing w:after="0" w:line="200" w:lineRule="exact"/>
        <w:rPr>
          <w:rFonts w:ascii="Arial" w:cs="Arial" w:eastAsia="Arial" w:hAnsi="Arial"/>
          <w:sz w:val="21"/>
          <w:szCs w:val="21"/>
          <w:color w:val="55565A"/>
        </w:rPr>
      </w:pPr>
    </w:p>
    <w:p>
      <w:pPr>
        <w:spacing w:after="0" w:line="242" w:lineRule="exact"/>
        <w:rPr>
          <w:rFonts w:ascii="Arial" w:cs="Arial" w:eastAsia="Arial" w:hAnsi="Arial"/>
          <w:sz w:val="21"/>
          <w:szCs w:val="21"/>
          <w:color w:val="55565A"/>
        </w:rPr>
      </w:pPr>
    </w:p>
    <w:p>
      <w:pPr>
        <w:ind w:left="400" w:hanging="266"/>
        <w:spacing w:after="0"/>
        <w:tabs>
          <w:tab w:leader="none" w:pos="400" w:val="left"/>
        </w:tabs>
        <w:numPr>
          <w:ilvl w:val="0"/>
          <w:numId w:val="7"/>
        </w:numPr>
        <w:rPr>
          <w:rFonts w:ascii="Arial" w:cs="Arial" w:eastAsia="Arial" w:hAnsi="Arial"/>
          <w:sz w:val="31"/>
          <w:szCs w:val="31"/>
          <w:color w:val="55565A"/>
        </w:rPr>
      </w:pPr>
      <w:r>
        <w:rPr>
          <w:rFonts w:ascii="Arial" w:cs="Arial" w:eastAsia="Arial" w:hAnsi="Arial"/>
          <w:sz w:val="31"/>
          <w:szCs w:val="31"/>
          <w:color w:val="55565A"/>
        </w:rPr>
        <w:t>Significant unmet medical need</w:t>
      </w:r>
    </w:p>
    <w:p>
      <w:pPr>
        <w:spacing w:after="0" w:line="100" w:lineRule="exact"/>
        <w:rPr>
          <w:rFonts w:ascii="Arial" w:cs="Arial" w:eastAsia="Arial" w:hAnsi="Arial"/>
          <w:sz w:val="31"/>
          <w:szCs w:val="31"/>
          <w:color w:val="55565A"/>
        </w:rPr>
      </w:pPr>
    </w:p>
    <w:p>
      <w:pPr>
        <w:ind w:left="1020" w:right="5280" w:hanging="340"/>
        <w:spacing w:after="0" w:line="258" w:lineRule="auto"/>
        <w:tabs>
          <w:tab w:leader="none" w:pos="1020" w:val="left"/>
        </w:tabs>
        <w:numPr>
          <w:ilvl w:val="1"/>
          <w:numId w:val="7"/>
        </w:numPr>
        <w:rPr>
          <w:rFonts w:ascii="Arial" w:cs="Arial" w:eastAsia="Arial" w:hAnsi="Arial"/>
          <w:sz w:val="21"/>
          <w:szCs w:val="21"/>
          <w:color w:val="55565A"/>
        </w:rPr>
      </w:pPr>
      <w:r>
        <w:rPr>
          <w:rFonts w:ascii="Arial" w:cs="Arial" w:eastAsia="Arial" w:hAnsi="Arial"/>
          <w:sz w:val="21"/>
          <w:szCs w:val="21"/>
          <w:color w:val="55565A"/>
        </w:rPr>
        <w:t>~1.1 million US adults diagnosed with severe asthma and inadequately controlled with inhaled corticosteroids and long-acting-beta-agonists (ICS/LABA)</w:t>
      </w:r>
    </w:p>
    <w:p>
      <w:pPr>
        <w:spacing w:after="0" w:line="64" w:lineRule="exact"/>
        <w:rPr>
          <w:rFonts w:ascii="Arial" w:cs="Arial" w:eastAsia="Arial" w:hAnsi="Arial"/>
          <w:sz w:val="21"/>
          <w:szCs w:val="21"/>
          <w:color w:val="55565A"/>
        </w:rPr>
      </w:pPr>
    </w:p>
    <w:p>
      <w:pPr>
        <w:ind w:left="1020" w:right="5880" w:hanging="340"/>
        <w:spacing w:after="0" w:line="254" w:lineRule="auto"/>
        <w:tabs>
          <w:tab w:leader="none" w:pos="1020" w:val="left"/>
        </w:tabs>
        <w:numPr>
          <w:ilvl w:val="1"/>
          <w:numId w:val="7"/>
        </w:numPr>
        <w:rPr>
          <w:rFonts w:ascii="Arial" w:cs="Arial" w:eastAsia="Arial" w:hAnsi="Arial"/>
          <w:sz w:val="22"/>
          <w:szCs w:val="22"/>
          <w:color w:val="55565A"/>
        </w:rPr>
      </w:pPr>
      <w:r>
        <w:rPr>
          <w:rFonts w:ascii="Arial" w:cs="Arial" w:eastAsia="Arial" w:hAnsi="Arial"/>
          <w:sz w:val="22"/>
          <w:szCs w:val="22"/>
          <w:color w:val="55565A"/>
        </w:rPr>
        <w:t>Approximately 50% estimated to be eosinophilic asthmatics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5"/>
          <w:szCs w:val="15"/>
          <w:color w:val="FFFFFF"/>
        </w:rPr>
        <w:t>6</w:t>
      </w:r>
    </w:p>
    <w:p>
      <w:pPr>
        <w:sectPr>
          <w:pgSz w:w="11900" w:h="16838" w:orient="portrait"/>
          <w:cols w:equalWidth="0" w:num="1">
            <w:col w:w="10300"/>
          </w:cols>
          <w:pgMar w:left="540" w:top="605" w:right="1059" w:bottom="1440" w:gutter="0" w:footer="0" w:header="0"/>
        </w:sectPr>
      </w:pPr>
    </w:p>
    <w:bookmarkStart w:id="14" w:name="page15"/>
    <w:bookmarkEnd w:id="14"/>
    <w:p>
      <w:pPr>
        <w:spacing w:after="0"/>
        <w:rPr>
          <w:sz w:val="20"/>
          <w:szCs w:val="20"/>
          <w:color w:val="auto"/>
        </w:rPr>
      </w:pPr>
      <w:r>
        <w:rPr>
          <w:rFonts w:ascii="Arial" w:cs="Arial" w:eastAsia="Arial" w:hAnsi="Arial"/>
          <w:sz w:val="33"/>
          <w:szCs w:val="33"/>
          <w:b w:val="1"/>
          <w:bCs w:val="1"/>
          <w:color w:val="55565A"/>
        </w:rPr>
        <w:drawing>
          <wp:anchor simplePos="0" relativeHeight="251657728" behindDoc="1" locked="0" layoutInCell="0" allowOverlap="1">
            <wp:simplePos x="0" y="0"/>
            <wp:positionH relativeFrom="page">
              <wp:posOffset>133985</wp:posOffset>
            </wp:positionH>
            <wp:positionV relativeFrom="page">
              <wp:posOffset>88900</wp:posOffset>
            </wp:positionV>
            <wp:extent cx="7308215" cy="5340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8215" cy="5340985"/>
                    </a:xfrm>
                    <a:prstGeom prst="rect">
                      <a:avLst/>
                    </a:prstGeom>
                    <a:noFill/>
                  </pic:spPr>
                </pic:pic>
              </a:graphicData>
            </a:graphic>
          </wp:anchor>
        </w:drawing>
        <w:t>Etokimab Clinical Trials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0" w:type="dxa"/>
        <w:tblCellMar>
          <w:top w:w="0" w:type="dxa"/>
          <w:left w:w="0" w:type="dxa"/>
          <w:bottom w:w="0" w:type="dxa"/>
          <w:right w:w="0" w:type="dxa"/>
        </w:tblCellMar>
      </w:tblPr>
      <w:tr>
        <w:trPr>
          <w:trHeight w:val="261"/>
        </w:trPr>
        <w:tc>
          <w:tcPr>
            <w:tcW w:w="1360" w:type="dxa"/>
            <w:vAlign w:val="bottom"/>
            <w:vMerge w:val="restart"/>
          </w:tcPr>
          <w:p>
            <w:pPr>
              <w:spacing w:after="0"/>
              <w:rPr>
                <w:sz w:val="20"/>
                <w:szCs w:val="20"/>
                <w:color w:val="auto"/>
              </w:rPr>
            </w:pPr>
            <w:r>
              <w:rPr>
                <w:rFonts w:ascii="Arial" w:cs="Arial" w:eastAsia="Arial" w:hAnsi="Arial"/>
                <w:sz w:val="22"/>
                <w:szCs w:val="22"/>
                <w:b w:val="1"/>
                <w:bCs w:val="1"/>
                <w:color w:val="FFFFFF"/>
              </w:rPr>
              <w:t>Subjects</w:t>
            </w:r>
          </w:p>
        </w:tc>
        <w:tc>
          <w:tcPr>
            <w:tcW w:w="1520" w:type="dxa"/>
            <w:vAlign w:val="bottom"/>
            <w:vMerge w:val="restart"/>
          </w:tcPr>
          <w:p>
            <w:pPr>
              <w:ind w:left="460"/>
              <w:spacing w:after="0"/>
              <w:rPr>
                <w:sz w:val="20"/>
                <w:szCs w:val="20"/>
                <w:color w:val="auto"/>
              </w:rPr>
            </w:pPr>
            <w:r>
              <w:rPr>
                <w:rFonts w:ascii="Arial" w:cs="Arial" w:eastAsia="Arial" w:hAnsi="Arial"/>
                <w:sz w:val="22"/>
                <w:szCs w:val="22"/>
                <w:b w:val="1"/>
                <w:bCs w:val="1"/>
                <w:color w:val="FFFFFF"/>
              </w:rPr>
              <w:t>Trial</w:t>
            </w:r>
          </w:p>
        </w:tc>
        <w:tc>
          <w:tcPr>
            <w:tcW w:w="2180" w:type="dxa"/>
            <w:vAlign w:val="bottom"/>
            <w:vMerge w:val="restart"/>
          </w:tcPr>
          <w:p>
            <w:pPr>
              <w:ind w:left="620"/>
              <w:spacing w:after="0"/>
              <w:rPr>
                <w:sz w:val="20"/>
                <w:szCs w:val="20"/>
                <w:color w:val="auto"/>
              </w:rPr>
            </w:pPr>
            <w:r>
              <w:rPr>
                <w:rFonts w:ascii="Arial" w:cs="Arial" w:eastAsia="Arial" w:hAnsi="Arial"/>
                <w:sz w:val="22"/>
                <w:szCs w:val="22"/>
                <w:b w:val="1"/>
                <w:bCs w:val="1"/>
                <w:color w:val="FFFFFF"/>
              </w:rPr>
              <w:t>TrialDesign</w:t>
            </w:r>
          </w:p>
        </w:tc>
        <w:tc>
          <w:tcPr>
            <w:tcW w:w="2320" w:type="dxa"/>
            <w:vAlign w:val="bottom"/>
          </w:tcPr>
          <w:p>
            <w:pPr>
              <w:ind w:left="420"/>
              <w:spacing w:after="0"/>
              <w:rPr>
                <w:sz w:val="20"/>
                <w:szCs w:val="20"/>
                <w:color w:val="auto"/>
              </w:rPr>
            </w:pPr>
            <w:r>
              <w:rPr>
                <w:rFonts w:ascii="Arial" w:cs="Arial" w:eastAsia="Arial" w:hAnsi="Arial"/>
                <w:sz w:val="22"/>
                <w:szCs w:val="22"/>
                <w:b w:val="1"/>
                <w:bCs w:val="1"/>
                <w:color w:val="FFFFFF"/>
              </w:rPr>
              <w:t>Key Clinical</w:t>
            </w: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FFFFFF"/>
                <w:w w:val="94"/>
              </w:rPr>
              <w:t>Timing</w:t>
            </w:r>
          </w:p>
        </w:tc>
        <w:tc>
          <w:tcPr>
            <w:tcW w:w="0" w:type="dxa"/>
            <w:vAlign w:val="bottom"/>
          </w:tcPr>
          <w:p>
            <w:pPr>
              <w:spacing w:after="0"/>
              <w:rPr>
                <w:sz w:val="1"/>
                <w:szCs w:val="1"/>
                <w:color w:val="auto"/>
              </w:rPr>
            </w:pPr>
          </w:p>
        </w:tc>
      </w:tr>
      <w:tr>
        <w:trPr>
          <w:trHeight w:val="160"/>
        </w:trPr>
        <w:tc>
          <w:tcPr>
            <w:tcW w:w="13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2320" w:type="dxa"/>
            <w:vAlign w:val="bottom"/>
            <w:vMerge w:val="restart"/>
          </w:tcPr>
          <w:p>
            <w:pPr>
              <w:ind w:left="400"/>
              <w:spacing w:after="0"/>
              <w:rPr>
                <w:sz w:val="20"/>
                <w:szCs w:val="20"/>
                <w:color w:val="auto"/>
              </w:rPr>
            </w:pPr>
            <w:r>
              <w:rPr>
                <w:rFonts w:ascii="Arial" w:cs="Arial" w:eastAsia="Arial" w:hAnsi="Arial"/>
                <w:sz w:val="22"/>
                <w:szCs w:val="22"/>
                <w:b w:val="1"/>
                <w:bCs w:val="1"/>
                <w:color w:val="FFFFFF"/>
              </w:rPr>
              <w:t>Endpoint(s)</w:t>
            </w: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3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ectPr>
          <w:pgSz w:w="11900" w:h="16838" w:orient="portrait"/>
          <w:cols w:equalWidth="0" w:num="1">
            <w:col w:w="10700"/>
          </w:cols>
          <w:pgMar w:left="600" w:top="777" w:right="599" w:bottom="1440" w:gutter="0" w:footer="0" w:header="0"/>
        </w:sectPr>
      </w:pPr>
    </w:p>
    <w:p>
      <w:pPr>
        <w:spacing w:after="0" w:line="19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1800" w:type="dxa"/>
            <w:vAlign w:val="bottom"/>
          </w:tcPr>
          <w:p>
            <w:pPr>
              <w:jc w:val="center"/>
              <w:ind w:right="180"/>
              <w:spacing w:after="0"/>
              <w:rPr>
                <w:sz w:val="20"/>
                <w:szCs w:val="20"/>
                <w:color w:val="auto"/>
              </w:rPr>
            </w:pPr>
            <w:r>
              <w:rPr>
                <w:rFonts w:ascii="Arial" w:cs="Arial" w:eastAsia="Arial" w:hAnsi="Arial"/>
                <w:sz w:val="16"/>
                <w:szCs w:val="16"/>
                <w:color w:val="55565A"/>
                <w:w w:val="99"/>
              </w:rPr>
              <w:t>Healthy Volunteers</w:t>
            </w:r>
          </w:p>
        </w:tc>
        <w:tc>
          <w:tcPr>
            <w:tcW w:w="940" w:type="dxa"/>
            <w:vAlign w:val="bottom"/>
          </w:tcPr>
          <w:p>
            <w:pPr>
              <w:jc w:val="center"/>
              <w:ind w:left="120"/>
              <w:spacing w:after="0"/>
              <w:rPr>
                <w:sz w:val="20"/>
                <w:szCs w:val="20"/>
                <w:color w:val="auto"/>
              </w:rPr>
            </w:pPr>
            <w:r>
              <w:rPr>
                <w:rFonts w:ascii="Arial" w:cs="Arial" w:eastAsia="Arial" w:hAnsi="Arial"/>
                <w:sz w:val="16"/>
                <w:szCs w:val="16"/>
                <w:color w:val="55565A"/>
                <w:w w:val="98"/>
              </w:rPr>
              <w:t>Phase 1</w:t>
            </w:r>
          </w:p>
        </w:tc>
        <w:tc>
          <w:tcPr>
            <w:tcW w:w="0" w:type="dxa"/>
            <w:vAlign w:val="bottom"/>
          </w:tcPr>
          <w:p>
            <w:pPr>
              <w:spacing w:after="0"/>
              <w:rPr>
                <w:sz w:val="1"/>
                <w:szCs w:val="1"/>
                <w:color w:val="auto"/>
              </w:rPr>
            </w:pPr>
          </w:p>
        </w:tc>
      </w:tr>
      <w:tr>
        <w:trPr>
          <w:trHeight w:val="796"/>
        </w:trPr>
        <w:tc>
          <w:tcPr>
            <w:tcW w:w="1800" w:type="dxa"/>
            <w:vAlign w:val="bottom"/>
          </w:tcPr>
          <w:p>
            <w:pPr>
              <w:spacing w:after="0"/>
              <w:rPr>
                <w:sz w:val="24"/>
                <w:szCs w:val="24"/>
                <w:color w:val="auto"/>
              </w:rPr>
            </w:pPr>
          </w:p>
        </w:tc>
        <w:tc>
          <w:tcPr>
            <w:tcW w:w="940" w:type="dxa"/>
            <w:vAlign w:val="bottom"/>
          </w:tcPr>
          <w:p>
            <w:pPr>
              <w:jc w:val="center"/>
              <w:ind w:left="140"/>
              <w:spacing w:after="0"/>
              <w:rPr>
                <w:sz w:val="20"/>
                <w:szCs w:val="20"/>
                <w:color w:val="auto"/>
              </w:rPr>
            </w:pPr>
            <w:r>
              <w:rPr>
                <w:rFonts w:ascii="Arial" w:cs="Arial" w:eastAsia="Arial" w:hAnsi="Arial"/>
                <w:sz w:val="16"/>
                <w:szCs w:val="16"/>
                <w:color w:val="55565A"/>
              </w:rPr>
              <w:t>Phase 2a</w:t>
            </w:r>
          </w:p>
        </w:tc>
        <w:tc>
          <w:tcPr>
            <w:tcW w:w="0" w:type="dxa"/>
            <w:vAlign w:val="bottom"/>
          </w:tcPr>
          <w:p>
            <w:pPr>
              <w:spacing w:after="0"/>
              <w:rPr>
                <w:sz w:val="1"/>
                <w:szCs w:val="1"/>
                <w:color w:val="auto"/>
              </w:rPr>
            </w:pPr>
          </w:p>
        </w:tc>
      </w:tr>
      <w:tr>
        <w:trPr>
          <w:trHeight w:val="205"/>
        </w:trPr>
        <w:tc>
          <w:tcPr>
            <w:tcW w:w="1800" w:type="dxa"/>
            <w:vAlign w:val="bottom"/>
          </w:tcPr>
          <w:p>
            <w:pPr>
              <w:jc w:val="center"/>
              <w:ind w:right="200"/>
              <w:spacing w:after="0"/>
              <w:rPr>
                <w:sz w:val="20"/>
                <w:szCs w:val="20"/>
                <w:color w:val="auto"/>
              </w:rPr>
            </w:pPr>
            <w:r>
              <w:rPr>
                <w:rFonts w:ascii="Arial" w:cs="Arial" w:eastAsia="Arial" w:hAnsi="Arial"/>
                <w:sz w:val="16"/>
                <w:szCs w:val="16"/>
                <w:color w:val="55565A"/>
                <w:w w:val="98"/>
              </w:rPr>
              <w:t>Moderate-to-Severe</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800" w:type="dxa"/>
            <w:vAlign w:val="bottom"/>
          </w:tcPr>
          <w:p>
            <w:pPr>
              <w:jc w:val="center"/>
              <w:ind w:right="240"/>
              <w:spacing w:after="0"/>
              <w:rPr>
                <w:sz w:val="20"/>
                <w:szCs w:val="20"/>
                <w:color w:val="auto"/>
              </w:rPr>
            </w:pPr>
            <w:r>
              <w:rPr>
                <w:rFonts w:ascii="Arial" w:cs="Arial" w:eastAsia="Arial" w:hAnsi="Arial"/>
                <w:sz w:val="16"/>
                <w:szCs w:val="16"/>
                <w:color w:val="55565A"/>
                <w:w w:val="98"/>
              </w:rPr>
              <w:t>Adult Atopic</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800" w:type="dxa"/>
            <w:vAlign w:val="bottom"/>
          </w:tcPr>
          <w:p>
            <w:pPr>
              <w:jc w:val="center"/>
              <w:ind w:right="280"/>
              <w:spacing w:after="0"/>
              <w:rPr>
                <w:sz w:val="20"/>
                <w:szCs w:val="20"/>
                <w:color w:val="auto"/>
              </w:rPr>
            </w:pPr>
            <w:r>
              <w:rPr>
                <w:rFonts w:ascii="Arial" w:cs="Arial" w:eastAsia="Arial" w:hAnsi="Arial"/>
                <w:sz w:val="16"/>
                <w:szCs w:val="16"/>
                <w:color w:val="55565A"/>
                <w:w w:val="99"/>
              </w:rPr>
              <w:t>Dermatitis</w:t>
            </w:r>
          </w:p>
        </w:tc>
        <w:tc>
          <w:tcPr>
            <w:tcW w:w="940" w:type="dxa"/>
            <w:vAlign w:val="bottom"/>
            <w:vMerge w:val="restart"/>
          </w:tcPr>
          <w:p>
            <w:pPr>
              <w:jc w:val="center"/>
              <w:ind w:left="140"/>
              <w:spacing w:after="0"/>
              <w:rPr>
                <w:sz w:val="20"/>
                <w:szCs w:val="20"/>
                <w:color w:val="auto"/>
              </w:rPr>
            </w:pPr>
            <w:r>
              <w:rPr>
                <w:rFonts w:ascii="Arial" w:cs="Arial" w:eastAsia="Arial" w:hAnsi="Arial"/>
                <w:sz w:val="16"/>
                <w:szCs w:val="16"/>
                <w:color w:val="55565A"/>
                <w:w w:val="94"/>
              </w:rPr>
              <w:t>ATLAS</w:t>
            </w:r>
          </w:p>
        </w:tc>
        <w:tc>
          <w:tcPr>
            <w:tcW w:w="0" w:type="dxa"/>
            <w:vAlign w:val="bottom"/>
          </w:tcPr>
          <w:p>
            <w:pPr>
              <w:spacing w:after="0"/>
              <w:rPr>
                <w:sz w:val="1"/>
                <w:szCs w:val="1"/>
                <w:color w:val="auto"/>
              </w:rPr>
            </w:pPr>
          </w:p>
        </w:tc>
      </w:tr>
      <w:tr>
        <w:trPr>
          <w:trHeight w:val="114"/>
        </w:trPr>
        <w:tc>
          <w:tcPr>
            <w:tcW w:w="18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940" w:type="dxa"/>
            <w:vAlign w:val="bottom"/>
          </w:tcPr>
          <w:p>
            <w:pPr>
              <w:jc w:val="center"/>
              <w:ind w:left="140"/>
              <w:spacing w:after="0"/>
              <w:rPr>
                <w:sz w:val="20"/>
                <w:szCs w:val="20"/>
                <w:color w:val="auto"/>
              </w:rPr>
            </w:pPr>
            <w:r>
              <w:rPr>
                <w:rFonts w:ascii="Arial" w:cs="Arial" w:eastAsia="Arial" w:hAnsi="Arial"/>
                <w:sz w:val="16"/>
                <w:szCs w:val="16"/>
                <w:color w:val="55565A"/>
              </w:rPr>
              <w:t>Phase 2b</w:t>
            </w:r>
          </w:p>
        </w:tc>
        <w:tc>
          <w:tcPr>
            <w:tcW w:w="0" w:type="dxa"/>
            <w:vAlign w:val="bottom"/>
          </w:tcPr>
          <w:p>
            <w:pPr>
              <w:spacing w:after="0"/>
              <w:rPr>
                <w:sz w:val="1"/>
                <w:szCs w:val="1"/>
                <w:color w:val="auto"/>
              </w:rPr>
            </w:pPr>
          </w:p>
        </w:tc>
      </w:tr>
      <w:tr>
        <w:trPr>
          <w:trHeight w:val="500"/>
        </w:trPr>
        <w:tc>
          <w:tcPr>
            <w:tcW w:w="1800" w:type="dxa"/>
            <w:vAlign w:val="bottom"/>
          </w:tcPr>
          <w:p>
            <w:pPr>
              <w:jc w:val="center"/>
              <w:ind w:right="200"/>
              <w:spacing w:after="0"/>
              <w:rPr>
                <w:sz w:val="20"/>
                <w:szCs w:val="20"/>
                <w:color w:val="auto"/>
              </w:rPr>
            </w:pPr>
            <w:r>
              <w:rPr>
                <w:rFonts w:ascii="Arial" w:cs="Arial" w:eastAsia="Arial" w:hAnsi="Arial"/>
                <w:sz w:val="16"/>
                <w:szCs w:val="16"/>
                <w:color w:val="55565A"/>
                <w:w w:val="98"/>
              </w:rPr>
              <w:t>Moderate-to-Severe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0" w:type="dxa"/>
            <w:vAlign w:val="bottom"/>
          </w:tcPr>
          <w:p>
            <w:pPr>
              <w:spacing w:after="0"/>
              <w:rPr>
                <w:sz w:val="20"/>
                <w:szCs w:val="20"/>
                <w:color w:val="auto"/>
              </w:rPr>
            </w:pPr>
            <w:r>
              <w:rPr>
                <w:rFonts w:ascii="Arial" w:cs="Arial" w:eastAsia="Arial" w:hAnsi="Arial"/>
                <w:sz w:val="16"/>
                <w:szCs w:val="16"/>
                <w:color w:val="55565A"/>
              </w:rPr>
              <w:t>Baseline Adult Peanut</w:t>
            </w:r>
          </w:p>
        </w:tc>
        <w:tc>
          <w:tcPr>
            <w:tcW w:w="940" w:type="dxa"/>
            <w:vAlign w:val="bottom"/>
          </w:tcPr>
          <w:p>
            <w:pPr>
              <w:jc w:val="center"/>
              <w:ind w:left="140"/>
              <w:spacing w:after="0"/>
              <w:rPr>
                <w:sz w:val="20"/>
                <w:szCs w:val="20"/>
                <w:color w:val="auto"/>
              </w:rPr>
            </w:pPr>
            <w:r>
              <w:rPr>
                <w:rFonts w:ascii="Arial" w:cs="Arial" w:eastAsia="Arial" w:hAnsi="Arial"/>
                <w:sz w:val="16"/>
                <w:szCs w:val="16"/>
                <w:color w:val="55565A"/>
              </w:rPr>
              <w:t>Phase 2a</w:t>
            </w:r>
          </w:p>
        </w:tc>
        <w:tc>
          <w:tcPr>
            <w:tcW w:w="0" w:type="dxa"/>
            <w:vAlign w:val="bottom"/>
          </w:tcPr>
          <w:p>
            <w:pPr>
              <w:spacing w:after="0"/>
              <w:rPr>
                <w:sz w:val="1"/>
                <w:szCs w:val="1"/>
                <w:color w:val="auto"/>
              </w:rPr>
            </w:pPr>
          </w:p>
        </w:tc>
      </w:tr>
      <w:tr>
        <w:trPr>
          <w:trHeight w:val="193"/>
        </w:trPr>
        <w:tc>
          <w:tcPr>
            <w:tcW w:w="1800" w:type="dxa"/>
            <w:vAlign w:val="bottom"/>
          </w:tcPr>
          <w:p>
            <w:pPr>
              <w:jc w:val="center"/>
              <w:ind w:right="280"/>
              <w:spacing w:after="0"/>
              <w:rPr>
                <w:sz w:val="20"/>
                <w:szCs w:val="20"/>
                <w:color w:val="auto"/>
              </w:rPr>
            </w:pPr>
            <w:r>
              <w:rPr>
                <w:rFonts w:ascii="Arial" w:cs="Arial" w:eastAsia="Arial" w:hAnsi="Arial"/>
                <w:sz w:val="16"/>
                <w:szCs w:val="16"/>
                <w:color w:val="55565A"/>
                <w:w w:val="98"/>
              </w:rPr>
              <w:t>Allergy</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4"/>
        </w:trPr>
        <w:tc>
          <w:tcPr>
            <w:tcW w:w="1800" w:type="dxa"/>
            <w:vAlign w:val="bottom"/>
          </w:tcPr>
          <w:p>
            <w:pPr>
              <w:spacing w:after="0"/>
              <w:rPr>
                <w:sz w:val="24"/>
                <w:szCs w:val="24"/>
                <w:color w:val="auto"/>
              </w:rPr>
            </w:pPr>
          </w:p>
        </w:tc>
        <w:tc>
          <w:tcPr>
            <w:tcW w:w="940" w:type="dxa"/>
            <w:vAlign w:val="bottom"/>
          </w:tcPr>
          <w:p>
            <w:pPr>
              <w:jc w:val="center"/>
              <w:ind w:left="140"/>
              <w:spacing w:after="0"/>
              <w:rPr>
                <w:sz w:val="20"/>
                <w:szCs w:val="20"/>
                <w:color w:val="auto"/>
              </w:rPr>
            </w:pPr>
            <w:r>
              <w:rPr>
                <w:rFonts w:ascii="Arial" w:cs="Arial" w:eastAsia="Arial" w:hAnsi="Arial"/>
                <w:sz w:val="16"/>
                <w:szCs w:val="16"/>
                <w:color w:val="55565A"/>
              </w:rPr>
              <w:t>Phase 2a</w:t>
            </w:r>
          </w:p>
        </w:tc>
        <w:tc>
          <w:tcPr>
            <w:tcW w:w="0" w:type="dxa"/>
            <w:vAlign w:val="bottom"/>
          </w:tcPr>
          <w:p>
            <w:pPr>
              <w:spacing w:after="0"/>
              <w:rPr>
                <w:sz w:val="1"/>
                <w:szCs w:val="1"/>
                <w:color w:val="auto"/>
              </w:rPr>
            </w:pPr>
          </w:p>
        </w:tc>
      </w:tr>
      <w:tr>
        <w:trPr>
          <w:trHeight w:val="511"/>
        </w:trPr>
        <w:tc>
          <w:tcPr>
            <w:tcW w:w="1800" w:type="dxa"/>
            <w:vAlign w:val="bottom"/>
          </w:tcPr>
          <w:p>
            <w:pPr>
              <w:jc w:val="center"/>
              <w:ind w:right="160"/>
              <w:spacing w:after="0"/>
              <w:rPr>
                <w:sz w:val="20"/>
                <w:szCs w:val="20"/>
                <w:color w:val="auto"/>
              </w:rPr>
            </w:pPr>
            <w:r>
              <w:rPr>
                <w:rFonts w:ascii="Arial" w:cs="Arial" w:eastAsia="Arial" w:hAnsi="Arial"/>
                <w:sz w:val="16"/>
                <w:szCs w:val="16"/>
                <w:color w:val="55565A"/>
                <w:w w:val="99"/>
              </w:rPr>
              <w:t>Eosinophilic Asthma</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800" w:type="dxa"/>
            <w:vAlign w:val="bottom"/>
          </w:tcPr>
          <w:p>
            <w:pPr>
              <w:spacing w:after="0"/>
              <w:rPr>
                <w:sz w:val="24"/>
                <w:szCs w:val="24"/>
                <w:color w:val="auto"/>
              </w:rPr>
            </w:pPr>
          </w:p>
        </w:tc>
        <w:tc>
          <w:tcPr>
            <w:tcW w:w="940" w:type="dxa"/>
            <w:vAlign w:val="bottom"/>
          </w:tcPr>
          <w:p>
            <w:pPr>
              <w:jc w:val="center"/>
              <w:ind w:left="140"/>
              <w:spacing w:after="0"/>
              <w:rPr>
                <w:sz w:val="20"/>
                <w:szCs w:val="20"/>
                <w:color w:val="auto"/>
              </w:rPr>
            </w:pPr>
            <w:r>
              <w:rPr>
                <w:rFonts w:ascii="Arial" w:cs="Arial" w:eastAsia="Arial" w:hAnsi="Arial"/>
                <w:sz w:val="16"/>
                <w:szCs w:val="16"/>
                <w:color w:val="55565A"/>
              </w:rPr>
              <w:t>Phase 2b</w:t>
            </w:r>
          </w:p>
        </w:tc>
        <w:tc>
          <w:tcPr>
            <w:tcW w:w="0" w:type="dxa"/>
            <w:vAlign w:val="bottom"/>
          </w:tcPr>
          <w:p>
            <w:pPr>
              <w:spacing w:after="0"/>
              <w:rPr>
                <w:sz w:val="1"/>
                <w:szCs w:val="1"/>
                <w:color w:val="auto"/>
              </w:rPr>
            </w:pPr>
          </w:p>
        </w:tc>
      </w:tr>
      <w:tr>
        <w:trPr>
          <w:trHeight w:val="568"/>
        </w:trPr>
        <w:tc>
          <w:tcPr>
            <w:tcW w:w="1800" w:type="dxa"/>
            <w:vAlign w:val="bottom"/>
          </w:tcPr>
          <w:p>
            <w:pPr>
              <w:jc w:val="center"/>
              <w:ind w:right="200"/>
              <w:spacing w:after="0"/>
              <w:rPr>
                <w:sz w:val="20"/>
                <w:szCs w:val="20"/>
                <w:color w:val="auto"/>
              </w:rPr>
            </w:pPr>
            <w:r>
              <w:rPr>
                <w:rFonts w:ascii="Arial" w:cs="Arial" w:eastAsia="Arial" w:hAnsi="Arial"/>
                <w:sz w:val="16"/>
                <w:szCs w:val="16"/>
                <w:color w:val="55565A"/>
                <w:w w:val="99"/>
              </w:rPr>
              <w:t>Adult Chronic</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0" w:type="dxa"/>
            <w:vAlign w:val="bottom"/>
          </w:tcPr>
          <w:p>
            <w:pPr>
              <w:jc w:val="center"/>
              <w:ind w:right="200"/>
              <w:spacing w:after="0"/>
              <w:rPr>
                <w:sz w:val="20"/>
                <w:szCs w:val="20"/>
                <w:color w:val="auto"/>
              </w:rPr>
            </w:pPr>
            <w:r>
              <w:rPr>
                <w:rFonts w:ascii="Arial" w:cs="Arial" w:eastAsia="Arial" w:hAnsi="Arial"/>
                <w:sz w:val="16"/>
                <w:szCs w:val="16"/>
                <w:color w:val="55565A"/>
              </w:rPr>
              <w:t>Rhinosinusitis with</w:t>
            </w:r>
          </w:p>
        </w:tc>
        <w:tc>
          <w:tcPr>
            <w:tcW w:w="940" w:type="dxa"/>
            <w:vAlign w:val="bottom"/>
          </w:tcPr>
          <w:p>
            <w:pPr>
              <w:ind w:left="280"/>
              <w:spacing w:after="0"/>
              <w:rPr>
                <w:sz w:val="20"/>
                <w:szCs w:val="20"/>
                <w:color w:val="auto"/>
              </w:rPr>
            </w:pPr>
            <w:r>
              <w:rPr>
                <w:rFonts w:ascii="Arial" w:cs="Arial" w:eastAsia="Arial" w:hAnsi="Arial"/>
                <w:sz w:val="16"/>
                <w:szCs w:val="16"/>
                <w:color w:val="55565A"/>
                <w:w w:val="94"/>
              </w:rPr>
              <w:t>ECLIPSE</w:t>
            </w:r>
          </w:p>
        </w:tc>
        <w:tc>
          <w:tcPr>
            <w:tcW w:w="0" w:type="dxa"/>
            <w:vAlign w:val="bottom"/>
          </w:tcPr>
          <w:p>
            <w:pPr>
              <w:spacing w:after="0"/>
              <w:rPr>
                <w:sz w:val="1"/>
                <w:szCs w:val="1"/>
                <w:color w:val="auto"/>
              </w:rPr>
            </w:pPr>
          </w:p>
        </w:tc>
      </w:tr>
      <w:tr>
        <w:trPr>
          <w:trHeight w:val="193"/>
        </w:trPr>
        <w:tc>
          <w:tcPr>
            <w:tcW w:w="1800" w:type="dxa"/>
            <w:vAlign w:val="bottom"/>
          </w:tcPr>
          <w:p>
            <w:pPr>
              <w:jc w:val="center"/>
              <w:ind w:right="160"/>
              <w:spacing w:after="0"/>
              <w:rPr>
                <w:sz w:val="20"/>
                <w:szCs w:val="20"/>
                <w:color w:val="auto"/>
              </w:rPr>
            </w:pPr>
            <w:r>
              <w:rPr>
                <w:rFonts w:ascii="Arial" w:cs="Arial" w:eastAsia="Arial" w:hAnsi="Arial"/>
                <w:sz w:val="16"/>
                <w:szCs w:val="16"/>
                <w:color w:val="55565A"/>
                <w:w w:val="98"/>
              </w:rPr>
              <w:t>Nasal Polyps</w:t>
            </w:r>
          </w:p>
        </w:tc>
        <w:tc>
          <w:tcPr>
            <w:tcW w:w="940" w:type="dxa"/>
            <w:vAlign w:val="bottom"/>
          </w:tcPr>
          <w:p>
            <w:pPr>
              <w:jc w:val="center"/>
              <w:ind w:left="120"/>
              <w:spacing w:after="0"/>
              <w:rPr>
                <w:sz w:val="20"/>
                <w:szCs w:val="20"/>
                <w:color w:val="auto"/>
              </w:rPr>
            </w:pPr>
            <w:r>
              <w:rPr>
                <w:rFonts w:ascii="Arial" w:cs="Arial" w:eastAsia="Arial" w:hAnsi="Arial"/>
                <w:sz w:val="16"/>
                <w:szCs w:val="16"/>
                <w:color w:val="55565A"/>
                <w:w w:val="98"/>
              </w:rPr>
              <w:t>Phase 2</w:t>
            </w:r>
          </w:p>
        </w:tc>
        <w:tc>
          <w:tcPr>
            <w:tcW w:w="0" w:type="dxa"/>
            <w:vAlign w:val="bottom"/>
          </w:tcPr>
          <w:p>
            <w:pPr>
              <w:spacing w:after="0"/>
              <w:rPr>
                <w:sz w:val="1"/>
                <w:szCs w:val="1"/>
                <w:color w:val="auto"/>
              </w:rPr>
            </w:pPr>
          </w:p>
        </w:tc>
      </w:tr>
      <w:tr>
        <w:trPr>
          <w:trHeight w:val="193"/>
        </w:trPr>
        <w:tc>
          <w:tcPr>
            <w:tcW w:w="1800" w:type="dxa"/>
            <w:vAlign w:val="bottom"/>
          </w:tcPr>
          <w:p>
            <w:pPr>
              <w:jc w:val="center"/>
              <w:ind w:right="160"/>
              <w:spacing w:after="0"/>
              <w:rPr>
                <w:sz w:val="20"/>
                <w:szCs w:val="20"/>
                <w:color w:val="auto"/>
              </w:rPr>
            </w:pPr>
            <w:r>
              <w:rPr>
                <w:rFonts w:ascii="Arial" w:cs="Arial" w:eastAsia="Arial" w:hAnsi="Arial"/>
                <w:sz w:val="16"/>
                <w:szCs w:val="16"/>
                <w:color w:val="55565A"/>
                <w:w w:val="97"/>
              </w:rPr>
              <w:t>(CRSwNP)</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right"/>
        <w:ind w:left="100" w:right="200"/>
        <w:spacing w:after="0" w:line="268" w:lineRule="auto"/>
        <w:rPr>
          <w:sz w:val="20"/>
          <w:szCs w:val="20"/>
          <w:color w:val="auto"/>
        </w:rPr>
      </w:pPr>
      <w:r>
        <w:rPr>
          <w:rFonts w:ascii="Arial" w:cs="Arial" w:eastAsia="Arial" w:hAnsi="Arial"/>
          <w:sz w:val="15"/>
          <w:szCs w:val="15"/>
          <w:color w:val="55565A"/>
        </w:rPr>
        <w:t>n=96, SAD and MADcohorts, IV and SC dosing, randomized,</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6"/>
          <w:szCs w:val="16"/>
          <w:color w:val="55565A"/>
        </w:rPr>
        <w:t>placebo-controlled</w:t>
      </w:r>
    </w:p>
    <w:p>
      <w:pPr>
        <w:spacing w:after="0" w:line="200" w:lineRule="exact"/>
        <w:rPr>
          <w:sz w:val="20"/>
          <w:szCs w:val="20"/>
          <w:color w:val="auto"/>
        </w:rPr>
      </w:pPr>
    </w:p>
    <w:p>
      <w:pPr>
        <w:spacing w:after="0" w:line="218" w:lineRule="exact"/>
        <w:rPr>
          <w:sz w:val="20"/>
          <w:szCs w:val="20"/>
          <w:color w:val="auto"/>
        </w:rPr>
      </w:pPr>
    </w:p>
    <w:p>
      <w:pPr>
        <w:ind w:left="480"/>
        <w:spacing w:after="0"/>
        <w:rPr>
          <w:sz w:val="20"/>
          <w:szCs w:val="20"/>
          <w:color w:val="auto"/>
        </w:rPr>
      </w:pPr>
      <w:r>
        <w:rPr>
          <w:rFonts w:ascii="Arial" w:cs="Arial" w:eastAsia="Arial" w:hAnsi="Arial"/>
          <w:sz w:val="16"/>
          <w:szCs w:val="16"/>
          <w:color w:val="55565A"/>
        </w:rPr>
        <w:t>n=12, single IV dose</w:t>
      </w:r>
    </w:p>
    <w:p>
      <w:pPr>
        <w:spacing w:after="0" w:line="200" w:lineRule="exact"/>
        <w:rPr>
          <w:sz w:val="20"/>
          <w:szCs w:val="20"/>
          <w:color w:val="auto"/>
        </w:rPr>
      </w:pPr>
    </w:p>
    <w:p>
      <w:pPr>
        <w:spacing w:after="0" w:line="321" w:lineRule="exact"/>
        <w:rPr>
          <w:sz w:val="20"/>
          <w:szCs w:val="20"/>
          <w:color w:val="auto"/>
        </w:rPr>
      </w:pPr>
    </w:p>
    <w:p>
      <w:pPr>
        <w:ind w:left="520" w:hanging="533"/>
        <w:spacing w:after="0" w:line="296" w:lineRule="auto"/>
        <w:rPr>
          <w:sz w:val="20"/>
          <w:szCs w:val="20"/>
          <w:color w:val="auto"/>
        </w:rPr>
      </w:pPr>
      <w:r>
        <w:rPr>
          <w:rFonts w:ascii="Arial" w:cs="Arial" w:eastAsia="Arial" w:hAnsi="Arial"/>
          <w:sz w:val="15"/>
          <w:szCs w:val="15"/>
          <w:color w:val="55565A"/>
        </w:rPr>
        <w:t>n=300,SC multi-dose, randomized, placebo-controlled</w:t>
      </w:r>
    </w:p>
    <w:p>
      <w:pPr>
        <w:spacing w:after="0" w:line="37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55565A"/>
        </w:rPr>
        <w:t>n=20, single IVdose, randomized,</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55565A"/>
        </w:rPr>
        <w:t>placebo-controlled</w:t>
      </w:r>
    </w:p>
    <w:p>
      <w:pPr>
        <w:spacing w:after="0" w:line="200" w:lineRule="exact"/>
        <w:rPr>
          <w:sz w:val="20"/>
          <w:szCs w:val="20"/>
          <w:color w:val="auto"/>
        </w:rPr>
      </w:pPr>
    </w:p>
    <w:p>
      <w:pPr>
        <w:spacing w:after="0" w:line="230" w:lineRule="exact"/>
        <w:rPr>
          <w:sz w:val="20"/>
          <w:szCs w:val="20"/>
          <w:color w:val="auto"/>
        </w:rPr>
      </w:pPr>
    </w:p>
    <w:p>
      <w:pPr>
        <w:ind w:left="520" w:right="40" w:hanging="488"/>
        <w:spacing w:after="0" w:line="296" w:lineRule="auto"/>
        <w:rPr>
          <w:sz w:val="20"/>
          <w:szCs w:val="20"/>
          <w:color w:val="auto"/>
        </w:rPr>
      </w:pPr>
      <w:r>
        <w:rPr>
          <w:rFonts w:ascii="Arial" w:cs="Arial" w:eastAsia="Arial" w:hAnsi="Arial"/>
          <w:sz w:val="15"/>
          <w:szCs w:val="15"/>
          <w:color w:val="55565A"/>
        </w:rPr>
        <w:t>n=25,single IV dose, randomized, placebo-controlled</w:t>
      </w:r>
    </w:p>
    <w:p>
      <w:pPr>
        <w:spacing w:after="0" w:line="200" w:lineRule="exact"/>
        <w:rPr>
          <w:sz w:val="20"/>
          <w:szCs w:val="20"/>
          <w:color w:val="auto"/>
        </w:rPr>
      </w:pPr>
    </w:p>
    <w:p>
      <w:pPr>
        <w:spacing w:after="0" w:line="284" w:lineRule="exact"/>
        <w:rPr>
          <w:sz w:val="20"/>
          <w:szCs w:val="20"/>
          <w:color w:val="auto"/>
        </w:rPr>
      </w:pPr>
    </w:p>
    <w:p>
      <w:pPr>
        <w:ind w:left="740"/>
        <w:spacing w:after="0"/>
        <w:rPr>
          <w:sz w:val="20"/>
          <w:szCs w:val="20"/>
          <w:color w:val="auto"/>
        </w:rPr>
      </w:pPr>
      <w:r>
        <w:rPr>
          <w:rFonts w:ascii="Arial" w:cs="Arial" w:eastAsia="Arial" w:hAnsi="Arial"/>
          <w:sz w:val="16"/>
          <w:szCs w:val="16"/>
          <w:color w:val="55565A"/>
        </w:rPr>
        <w:t>Undisclosed</w:t>
      </w:r>
    </w:p>
    <w:p>
      <w:pPr>
        <w:spacing w:after="0" w:line="200" w:lineRule="exact"/>
        <w:rPr>
          <w:sz w:val="20"/>
          <w:szCs w:val="20"/>
          <w:color w:val="auto"/>
        </w:rPr>
      </w:pPr>
    </w:p>
    <w:p>
      <w:pPr>
        <w:spacing w:after="0" w:line="37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55565A"/>
        </w:rPr>
        <w:t>n=100, SC multi-dose,randomized,</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55565A"/>
        </w:rPr>
        <w:t>placebo-controlled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55565A"/>
        </w:rPr>
        <w:t>Safety, PK and PD</w:t>
      </w:r>
    </w:p>
    <w:p>
      <w:pPr>
        <w:spacing w:after="0" w:line="200" w:lineRule="exact"/>
        <w:rPr>
          <w:sz w:val="20"/>
          <w:szCs w:val="20"/>
          <w:color w:val="auto"/>
        </w:rPr>
      </w:pPr>
    </w:p>
    <w:p>
      <w:pPr>
        <w:spacing w:after="0" w:line="218" w:lineRule="exact"/>
        <w:rPr>
          <w:sz w:val="20"/>
          <w:szCs w:val="20"/>
          <w:color w:val="auto"/>
        </w:rPr>
      </w:pPr>
    </w:p>
    <w:p>
      <w:pPr>
        <w:jc w:val="center"/>
        <w:ind w:left="100" w:right="120"/>
        <w:spacing w:after="0" w:line="257" w:lineRule="auto"/>
        <w:rPr>
          <w:sz w:val="20"/>
          <w:szCs w:val="20"/>
          <w:color w:val="auto"/>
        </w:rPr>
      </w:pPr>
      <w:r>
        <w:rPr>
          <w:rFonts w:ascii="Arial" w:cs="Arial" w:eastAsia="Arial" w:hAnsi="Arial"/>
          <w:sz w:val="16"/>
          <w:szCs w:val="16"/>
          <w:color w:val="55565A"/>
        </w:rPr>
        <w:t>EczemaArea &amp; Severity Index (EASI)</w:t>
      </w:r>
    </w:p>
    <w:p>
      <w:pPr>
        <w:spacing w:after="0" w:line="398" w:lineRule="exact"/>
        <w:rPr>
          <w:sz w:val="20"/>
          <w:szCs w:val="20"/>
          <w:color w:val="auto"/>
        </w:rPr>
      </w:pPr>
    </w:p>
    <w:p>
      <w:pPr>
        <w:ind w:left="440"/>
        <w:spacing w:after="0"/>
        <w:rPr>
          <w:sz w:val="20"/>
          <w:szCs w:val="20"/>
          <w:color w:val="auto"/>
        </w:rPr>
      </w:pPr>
      <w:r>
        <w:rPr>
          <w:rFonts w:ascii="Arial" w:cs="Arial" w:eastAsia="Arial" w:hAnsi="Arial"/>
          <w:sz w:val="16"/>
          <w:szCs w:val="16"/>
          <w:color w:val="55565A"/>
        </w:rPr>
        <w:t>EASI</w:t>
      </w:r>
    </w:p>
    <w:p>
      <w:pPr>
        <w:spacing w:after="0" w:line="200" w:lineRule="exact"/>
        <w:rPr>
          <w:sz w:val="20"/>
          <w:szCs w:val="20"/>
          <w:color w:val="auto"/>
        </w:rPr>
      </w:pPr>
    </w:p>
    <w:p>
      <w:pPr>
        <w:spacing w:after="0" w:line="321" w:lineRule="exact"/>
        <w:rPr>
          <w:sz w:val="20"/>
          <w:szCs w:val="20"/>
          <w:color w:val="auto"/>
        </w:rPr>
      </w:pPr>
    </w:p>
    <w:p>
      <w:pPr>
        <w:ind w:left="280"/>
        <w:spacing w:after="0"/>
        <w:rPr>
          <w:sz w:val="20"/>
          <w:szCs w:val="20"/>
          <w:color w:val="auto"/>
        </w:rPr>
      </w:pPr>
      <w:r>
        <w:rPr>
          <w:rFonts w:ascii="Arial" w:cs="Arial" w:eastAsia="Arial" w:hAnsi="Arial"/>
          <w:sz w:val="16"/>
          <w:szCs w:val="16"/>
          <w:color w:val="55565A"/>
        </w:rPr>
        <w:t>Oral Food</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6"/>
          <w:szCs w:val="16"/>
          <w:color w:val="55565A"/>
        </w:rPr>
        <w:t>Challenge (OFC)</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6"/>
          <w:szCs w:val="16"/>
          <w:color w:val="55565A"/>
        </w:rPr>
        <w:t>ForcedExpiratory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55565A"/>
        </w:rPr>
        <w:t>Volume in 1</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55565A"/>
        </w:rPr>
        <w:t>Second (FEV1)</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6"/>
          <w:szCs w:val="16"/>
          <w:color w:val="55565A"/>
        </w:rPr>
        <w:t>Undisclosed</w:t>
      </w:r>
    </w:p>
    <w:p>
      <w:pPr>
        <w:spacing w:after="0" w:line="384" w:lineRule="exact"/>
        <w:rPr>
          <w:sz w:val="20"/>
          <w:szCs w:val="20"/>
          <w:color w:val="auto"/>
        </w:rPr>
      </w:pPr>
    </w:p>
    <w:p>
      <w:pPr>
        <w:ind w:left="180"/>
        <w:spacing w:after="0"/>
        <w:rPr>
          <w:sz w:val="20"/>
          <w:szCs w:val="20"/>
          <w:color w:val="auto"/>
        </w:rPr>
      </w:pPr>
      <w:r>
        <w:rPr>
          <w:rFonts w:ascii="Arial" w:cs="Arial" w:eastAsia="Arial" w:hAnsi="Arial"/>
          <w:sz w:val="16"/>
          <w:szCs w:val="16"/>
          <w:color w:val="55565A"/>
        </w:rPr>
        <w:t>Nasal Polyps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5"/>
          <w:szCs w:val="15"/>
          <w:color w:val="55565A"/>
        </w:rPr>
        <w:t>Score (NPS); Sino-</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55565A"/>
        </w:rPr>
        <w:t>Nasal Outcome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55565A"/>
        </w:rPr>
        <w:t>Test-22 (SNOT-22)</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0" w:firstLine="296"/>
        <w:spacing w:after="0" w:line="296" w:lineRule="auto"/>
        <w:rPr>
          <w:sz w:val="20"/>
          <w:szCs w:val="20"/>
          <w:color w:val="auto"/>
        </w:rPr>
      </w:pPr>
      <w:r>
        <w:rPr>
          <w:rFonts w:ascii="Arial" w:cs="Arial" w:eastAsia="Arial" w:hAnsi="Arial"/>
          <w:sz w:val="15"/>
          <w:szCs w:val="15"/>
          <w:color w:val="55565A"/>
        </w:rPr>
        <w:t>Top-line data announced October 2016 Detailed data presented at AAD and AAAAI 2017</w:t>
      </w:r>
    </w:p>
    <w:p>
      <w:pPr>
        <w:spacing w:after="0" w:line="370" w:lineRule="exact"/>
        <w:rPr>
          <w:sz w:val="20"/>
          <w:szCs w:val="20"/>
          <w:color w:val="auto"/>
        </w:rPr>
      </w:pPr>
    </w:p>
    <w:p>
      <w:pPr>
        <w:ind w:firstLine="284"/>
        <w:spacing w:after="0" w:line="296" w:lineRule="auto"/>
        <w:rPr>
          <w:sz w:val="20"/>
          <w:szCs w:val="20"/>
          <w:color w:val="auto"/>
        </w:rPr>
      </w:pPr>
      <w:r>
        <w:rPr>
          <w:rFonts w:ascii="Arial" w:cs="Arial" w:eastAsia="Arial" w:hAnsi="Arial"/>
          <w:sz w:val="15"/>
          <w:szCs w:val="15"/>
          <w:color w:val="55565A"/>
        </w:rPr>
        <w:t>Top-line data announced October 2017 Detailed data presented at AAD and EAACI 2018</w:t>
      </w:r>
    </w:p>
    <w:p>
      <w:pPr>
        <w:spacing w:after="0" w:line="200" w:lineRule="exact"/>
        <w:rPr>
          <w:sz w:val="20"/>
          <w:szCs w:val="20"/>
          <w:color w:val="auto"/>
        </w:rPr>
      </w:pPr>
    </w:p>
    <w:p>
      <w:pPr>
        <w:spacing w:after="0" w:line="261" w:lineRule="exact"/>
        <w:rPr>
          <w:sz w:val="20"/>
          <w:szCs w:val="20"/>
          <w:color w:val="auto"/>
        </w:rPr>
      </w:pPr>
    </w:p>
    <w:p>
      <w:pPr>
        <w:ind w:left="420"/>
        <w:spacing w:after="0"/>
        <w:rPr>
          <w:sz w:val="20"/>
          <w:szCs w:val="20"/>
          <w:color w:val="auto"/>
        </w:rPr>
      </w:pPr>
      <w:r>
        <w:rPr>
          <w:rFonts w:ascii="Arial" w:cs="Arial" w:eastAsia="Arial" w:hAnsi="Arial"/>
          <w:sz w:val="16"/>
          <w:szCs w:val="16"/>
          <w:color w:val="55565A"/>
        </w:rPr>
        <w:t>Anticipate top-line data in H2 2019</w:t>
      </w:r>
    </w:p>
    <w:p>
      <w:pPr>
        <w:spacing w:after="0" w:line="200" w:lineRule="exact"/>
        <w:rPr>
          <w:sz w:val="20"/>
          <w:szCs w:val="20"/>
          <w:color w:val="auto"/>
        </w:rPr>
      </w:pPr>
    </w:p>
    <w:p>
      <w:pPr>
        <w:spacing w:after="0" w:line="321" w:lineRule="exact"/>
        <w:rPr>
          <w:sz w:val="20"/>
          <w:szCs w:val="20"/>
          <w:color w:val="auto"/>
        </w:rPr>
      </w:pPr>
    </w:p>
    <w:p>
      <w:pPr>
        <w:ind w:left="340" w:right="500" w:firstLine="11"/>
        <w:spacing w:after="0" w:line="296" w:lineRule="auto"/>
        <w:rPr>
          <w:sz w:val="20"/>
          <w:szCs w:val="20"/>
          <w:color w:val="auto"/>
        </w:rPr>
      </w:pPr>
      <w:r>
        <w:rPr>
          <w:rFonts w:ascii="Arial" w:cs="Arial" w:eastAsia="Arial" w:hAnsi="Arial"/>
          <w:sz w:val="15"/>
          <w:szCs w:val="15"/>
          <w:color w:val="55565A"/>
        </w:rPr>
        <w:t>Top-line data announced March 2018 De-prioritizedfor commercial reasons</w:t>
      </w:r>
    </w:p>
    <w:p>
      <w:pPr>
        <w:spacing w:after="0" w:line="382" w:lineRule="exact"/>
        <w:rPr>
          <w:sz w:val="20"/>
          <w:szCs w:val="20"/>
          <w:color w:val="auto"/>
        </w:rPr>
      </w:pPr>
    </w:p>
    <w:p>
      <w:pPr>
        <w:ind w:left="40" w:right="200" w:firstLine="500"/>
        <w:spacing w:after="0" w:line="296" w:lineRule="auto"/>
        <w:rPr>
          <w:sz w:val="20"/>
          <w:szCs w:val="20"/>
          <w:color w:val="auto"/>
        </w:rPr>
      </w:pPr>
      <w:r>
        <w:rPr>
          <w:rFonts w:ascii="Arial" w:cs="Arial" w:eastAsia="Arial" w:hAnsi="Arial"/>
          <w:sz w:val="15"/>
          <w:szCs w:val="15"/>
          <w:color w:val="55565A"/>
        </w:rPr>
        <w:t>Top-line data announced today Detailed data presentation anticipated in 2019</w:t>
      </w: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6"/>
          <w:szCs w:val="16"/>
          <w:color w:val="55565A"/>
        </w:rPr>
        <w:t>Anticipate initiation in 2019</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0"/>
        <w:spacing w:after="0"/>
        <w:rPr>
          <w:sz w:val="20"/>
          <w:szCs w:val="20"/>
          <w:color w:val="auto"/>
        </w:rPr>
      </w:pPr>
      <w:r>
        <w:rPr>
          <w:rFonts w:ascii="Arial" w:cs="Arial" w:eastAsia="Arial" w:hAnsi="Arial"/>
          <w:sz w:val="16"/>
          <w:szCs w:val="16"/>
          <w:color w:val="55565A"/>
        </w:rPr>
        <w:t>Anticipate top-line data in H2 2019</w:t>
      </w:r>
    </w:p>
    <w:p>
      <w:pPr>
        <w:spacing w:after="0" w:line="200" w:lineRule="exact"/>
        <w:rPr>
          <w:sz w:val="20"/>
          <w:szCs w:val="20"/>
          <w:color w:val="auto"/>
        </w:rPr>
      </w:pPr>
    </w:p>
    <w:p>
      <w:pPr>
        <w:spacing w:after="0" w:line="354" w:lineRule="exact"/>
        <w:rPr>
          <w:sz w:val="20"/>
          <w:szCs w:val="20"/>
          <w:color w:val="auto"/>
        </w:rPr>
      </w:pPr>
    </w:p>
    <w:p>
      <w:pPr>
        <w:ind w:left="2920"/>
        <w:spacing w:after="0"/>
        <w:rPr>
          <w:sz w:val="20"/>
          <w:szCs w:val="20"/>
          <w:color w:val="auto"/>
        </w:rPr>
      </w:pPr>
      <w:r>
        <w:rPr>
          <w:rFonts w:ascii="Arial" w:cs="Arial" w:eastAsia="Arial" w:hAnsi="Arial"/>
          <w:sz w:val="15"/>
          <w:szCs w:val="15"/>
          <w:color w:val="FFFFFF"/>
        </w:rPr>
        <w:t>7</w:t>
      </w:r>
    </w:p>
    <w:p>
      <w:pPr>
        <w:sectPr>
          <w:pgSz w:w="11900" w:h="16838" w:orient="portrait"/>
          <w:cols w:equalWidth="0" w:num="4">
            <w:col w:w="2820" w:space="480"/>
            <w:col w:w="2440" w:space="60"/>
            <w:col w:w="1360" w:space="60"/>
            <w:col w:w="3480"/>
          </w:cols>
          <w:pgMar w:left="600" w:top="777" w:right="599" w:bottom="1440" w:gutter="0" w:footer="0" w:header="0"/>
          <w:type w:val="continuous"/>
        </w:sectPr>
      </w:pPr>
    </w:p>
    <w:bookmarkStart w:id="15" w:name="page16"/>
    <w:bookmarkEnd w:id="15"/>
    <w:p>
      <w:pPr>
        <w:ind w:left="180"/>
        <w:spacing w:after="0"/>
        <w:rPr>
          <w:sz w:val="20"/>
          <w:szCs w:val="20"/>
          <w:color w:val="auto"/>
        </w:rPr>
      </w:pPr>
      <w:r>
        <w:rPr>
          <w:rFonts w:ascii="Arial" w:cs="Arial" w:eastAsia="Arial" w:hAnsi="Arial"/>
          <w:sz w:val="33"/>
          <w:szCs w:val="33"/>
          <w:b w:val="1"/>
          <w:bCs w:val="1"/>
          <w:color w:val="55565A"/>
        </w:rPr>
        <w:drawing>
          <wp:anchor simplePos="0" relativeHeight="251657728" behindDoc="1" locked="0" layoutInCell="0" allowOverlap="1">
            <wp:simplePos x="0" y="0"/>
            <wp:positionH relativeFrom="page">
              <wp:posOffset>133985</wp:posOffset>
            </wp:positionH>
            <wp:positionV relativeFrom="page">
              <wp:posOffset>88900</wp:posOffset>
            </wp:positionV>
            <wp:extent cx="7308215" cy="5362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8215" cy="5362575"/>
                    </a:xfrm>
                    <a:prstGeom prst="rect">
                      <a:avLst/>
                    </a:prstGeom>
                    <a:noFill/>
                  </pic:spPr>
                </pic:pic>
              </a:graphicData>
            </a:graphic>
          </wp:anchor>
        </w:drawing>
        <w:t>Etokimab Eosinophilic Asthma Phase 2a Trial</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27"/>
          <w:szCs w:val="27"/>
          <w:i w:val="1"/>
          <w:iCs w:val="1"/>
          <w:color w:val="0087C9"/>
        </w:rPr>
        <w:t>Single Dose of Etokimab or Placebo Administered on Day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1400"/>
        <w:spacing w:after="0"/>
        <w:rPr>
          <w:sz w:val="20"/>
          <w:szCs w:val="20"/>
          <w:color w:val="auto"/>
        </w:rPr>
      </w:pPr>
      <w:r>
        <w:rPr>
          <w:rFonts w:ascii="Arial" w:cs="Arial" w:eastAsia="Arial" w:hAnsi="Arial"/>
          <w:sz w:val="24"/>
          <w:szCs w:val="24"/>
          <w:color w:val="55565A"/>
        </w:rPr>
        <w:t>Etokimab300mg IV Single Dose + High Dose ICS/LABA n=12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460" w:type="dxa"/>
        <w:tblCellMar>
          <w:top w:w="0" w:type="dxa"/>
          <w:left w:w="0" w:type="dxa"/>
          <w:bottom w:w="0" w:type="dxa"/>
          <w:right w:w="0" w:type="dxa"/>
        </w:tblCellMar>
      </w:tblPr>
      <w:tr>
        <w:trPr>
          <w:trHeight w:val="288"/>
        </w:trPr>
        <w:tc>
          <w:tcPr>
            <w:tcW w:w="5380" w:type="dxa"/>
            <w:vAlign w:val="bottom"/>
          </w:tcPr>
          <w:p>
            <w:pPr>
              <w:spacing w:after="0"/>
              <w:rPr>
                <w:sz w:val="20"/>
                <w:szCs w:val="20"/>
                <w:color w:val="auto"/>
              </w:rPr>
            </w:pPr>
            <w:r>
              <w:rPr>
                <w:rFonts w:ascii="Arial" w:cs="Arial" w:eastAsia="Arial" w:hAnsi="Arial"/>
                <w:sz w:val="24"/>
                <w:szCs w:val="24"/>
                <w:color w:val="55565A"/>
              </w:rPr>
              <w:t>Placebo Single Dose + High Dose ICS/LABA</w:t>
            </w:r>
          </w:p>
        </w:tc>
        <w:tc>
          <w:tcPr>
            <w:tcW w:w="1160" w:type="dxa"/>
            <w:vAlign w:val="bottom"/>
          </w:tcPr>
          <w:p>
            <w:pPr>
              <w:ind w:left="620"/>
              <w:spacing w:after="0"/>
              <w:rPr>
                <w:sz w:val="20"/>
                <w:szCs w:val="20"/>
                <w:color w:val="auto"/>
              </w:rPr>
            </w:pPr>
            <w:r>
              <w:rPr>
                <w:rFonts w:ascii="Arial" w:cs="Arial" w:eastAsia="Arial" w:hAnsi="Arial"/>
                <w:sz w:val="24"/>
                <w:szCs w:val="24"/>
                <w:color w:val="55565A"/>
                <w:w w:val="96"/>
              </w:rPr>
              <w:t>n=13</w:t>
            </w:r>
          </w:p>
        </w:tc>
      </w:tr>
    </w:tbl>
    <w:p>
      <w:pPr>
        <w:spacing w:after="0" w:line="200" w:lineRule="exact"/>
        <w:rPr>
          <w:sz w:val="20"/>
          <w:szCs w:val="20"/>
          <w:color w:val="auto"/>
        </w:rPr>
      </w:pPr>
    </w:p>
    <w:p>
      <w:pPr>
        <w:sectPr>
          <w:pgSz w:w="11900" w:h="16838" w:orient="portrait"/>
          <w:cols w:equalWidth="0" w:num="1">
            <w:col w:w="10400"/>
          </w:cols>
          <w:pgMar w:left="440" w:top="709"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720"/>
        <w:spacing w:after="0"/>
        <w:rPr>
          <w:sz w:val="20"/>
          <w:szCs w:val="20"/>
          <w:color w:val="auto"/>
        </w:rPr>
      </w:pPr>
      <w:r>
        <w:rPr>
          <w:rFonts w:ascii="Arial" w:cs="Arial" w:eastAsia="Arial" w:hAnsi="Arial"/>
          <w:sz w:val="24"/>
          <w:szCs w:val="24"/>
          <w:color w:val="55565A"/>
        </w:rPr>
        <w:t>Patient</w:t>
      </w:r>
    </w:p>
    <w:p>
      <w:pPr>
        <w:spacing w:after="0" w:line="20" w:lineRule="exact"/>
        <w:rPr>
          <w:sz w:val="20"/>
          <w:szCs w:val="20"/>
          <w:color w:val="auto"/>
        </w:rPr>
      </w:pPr>
    </w:p>
    <w:p>
      <w:pPr>
        <w:ind w:left="1540"/>
        <w:spacing w:after="0"/>
        <w:rPr>
          <w:sz w:val="20"/>
          <w:szCs w:val="20"/>
          <w:color w:val="auto"/>
        </w:rPr>
      </w:pPr>
      <w:r>
        <w:rPr>
          <w:rFonts w:ascii="Arial" w:cs="Arial" w:eastAsia="Arial" w:hAnsi="Arial"/>
          <w:sz w:val="23"/>
          <w:szCs w:val="23"/>
          <w:color w:val="55565A"/>
        </w:rPr>
        <w:t>Population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55565A"/>
        </w:rPr>
        <w:t>Adults with severe asthma (according to GINA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55565A"/>
        </w:rPr>
        <w:t>Pre-bronchodilator FEV1 &lt;80% of predicted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55565A"/>
        </w:rPr>
        <w:t>Blood eosinophils300 cells/microliter</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8"/>
          <w:szCs w:val="18"/>
          <w:color w:val="55565A"/>
        </w:rPr>
        <w:t>1 asthma exacerbation in past year requiring rescue medication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55565A"/>
        </w:rPr>
        <w:t>Stably maintained on ICS/LABA dose for at least 3 months prior to screening</w:t>
      </w:r>
    </w:p>
    <w:p>
      <w:pPr>
        <w:spacing w:after="0" w:line="200" w:lineRule="exact"/>
        <w:rPr>
          <w:sz w:val="20"/>
          <w:szCs w:val="20"/>
          <w:color w:val="auto"/>
        </w:rPr>
      </w:pPr>
    </w:p>
    <w:p>
      <w:pPr>
        <w:sectPr>
          <w:pgSz w:w="11900" w:h="16838" w:orient="portrait"/>
          <w:cols w:equalWidth="0" w:num="2">
            <w:col w:w="2660" w:space="460"/>
            <w:col w:w="7280"/>
          </w:cols>
          <w:pgMar w:left="440" w:top="709" w:right="1059" w:bottom="1440" w:gutter="0" w:footer="0" w:header="0"/>
          <w:type w:val="continuous"/>
        </w:sectPr>
      </w:pPr>
    </w:p>
    <w:p>
      <w:pPr>
        <w:spacing w:after="0" w:line="108" w:lineRule="exact"/>
        <w:rPr>
          <w:sz w:val="20"/>
          <w:szCs w:val="20"/>
          <w:color w:val="auto"/>
        </w:rPr>
      </w:pPr>
    </w:p>
    <w:p>
      <w:pPr>
        <w:ind w:left="3100"/>
        <w:spacing w:after="0"/>
        <w:rPr>
          <w:sz w:val="20"/>
          <w:szCs w:val="20"/>
          <w:color w:val="auto"/>
        </w:rPr>
      </w:pPr>
      <w:r>
        <w:rPr>
          <w:rFonts w:ascii="Arial" w:cs="Arial" w:eastAsia="Arial" w:hAnsi="Arial"/>
          <w:sz w:val="18"/>
          <w:szCs w:val="18"/>
          <w:color w:val="55565A"/>
        </w:rPr>
        <w:t>Efficacy: % change in FEV1 relative to baseline</w:t>
      </w:r>
    </w:p>
    <w:p>
      <w:pPr>
        <w:ind w:left="1380"/>
        <w:spacing w:after="0" w:line="212" w:lineRule="auto"/>
        <w:rPr>
          <w:sz w:val="20"/>
          <w:szCs w:val="20"/>
          <w:color w:val="auto"/>
        </w:rPr>
      </w:pPr>
      <w:r>
        <w:rPr>
          <w:rFonts w:ascii="Arial" w:cs="Arial" w:eastAsia="Arial" w:hAnsi="Arial"/>
          <w:sz w:val="24"/>
          <w:szCs w:val="24"/>
          <w:color w:val="55565A"/>
        </w:rPr>
        <w:t xml:space="preserve">Key Endpoints  </w:t>
      </w:r>
      <w:r>
        <w:rPr>
          <w:rFonts w:ascii="Arial" w:cs="Arial" w:eastAsia="Arial" w:hAnsi="Arial"/>
          <w:sz w:val="18"/>
          <w:szCs w:val="18"/>
          <w:color w:val="55565A"/>
        </w:rPr>
        <w:t>Biomarker: change in blood eosinophil levels</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18"/>
          <w:szCs w:val="18"/>
          <w:color w:val="55565A"/>
        </w:rPr>
        <w:t>Safety</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404040"/>
        </w:rPr>
        <w:t>ClinicalTrials.gov: NCT03469934</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5"/>
          <w:szCs w:val="15"/>
          <w:color w:val="FFFFFF"/>
        </w:rPr>
        <w:t>8</w:t>
      </w:r>
    </w:p>
    <w:p>
      <w:pPr>
        <w:sectPr>
          <w:pgSz w:w="11900" w:h="16838" w:orient="portrait"/>
          <w:cols w:equalWidth="0" w:num="1">
            <w:col w:w="10400"/>
          </w:cols>
          <w:pgMar w:left="440" w:top="709" w:right="10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33"/>
          <w:szCs w:val="33"/>
          <w:b w:val="1"/>
          <w:bCs w:val="1"/>
          <w:color w:val="55565A"/>
        </w:rPr>
        <w:drawing>
          <wp:anchor simplePos="0" relativeHeight="251657728" behindDoc="1" locked="0" layoutInCell="0" allowOverlap="1">
            <wp:simplePos x="0" y="0"/>
            <wp:positionH relativeFrom="page">
              <wp:posOffset>133985</wp:posOffset>
            </wp:positionH>
            <wp:positionV relativeFrom="page">
              <wp:posOffset>88900</wp:posOffset>
            </wp:positionV>
            <wp:extent cx="7308215" cy="5355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8215" cy="5355590"/>
                    </a:xfrm>
                    <a:prstGeom prst="rect">
                      <a:avLst/>
                    </a:prstGeom>
                    <a:noFill/>
                  </pic:spPr>
                </pic:pic>
              </a:graphicData>
            </a:graphic>
          </wp:anchor>
        </w:drawing>
        <w:t>Key Baseline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1560" w:type="dxa"/>
        <w:tblCellMar>
          <w:top w:w="0" w:type="dxa"/>
          <w:left w:w="0" w:type="dxa"/>
          <w:bottom w:w="0" w:type="dxa"/>
          <w:right w:w="0" w:type="dxa"/>
        </w:tblCellMar>
      </w:tblPr>
      <w:tr>
        <w:trPr>
          <w:trHeight w:val="261"/>
        </w:trPr>
        <w:tc>
          <w:tcPr>
            <w:tcW w:w="3560" w:type="dxa"/>
            <w:vAlign w:val="bottom"/>
          </w:tcPr>
          <w:p>
            <w:pPr>
              <w:ind w:left="120"/>
              <w:spacing w:after="0"/>
              <w:rPr>
                <w:sz w:val="20"/>
                <w:szCs w:val="20"/>
                <w:color w:val="auto"/>
              </w:rPr>
            </w:pPr>
            <w:r>
              <w:rPr>
                <w:rFonts w:ascii="Arial" w:cs="Arial" w:eastAsia="Arial" w:hAnsi="Arial"/>
                <w:sz w:val="22"/>
                <w:szCs w:val="22"/>
                <w:b w:val="1"/>
                <w:bCs w:val="1"/>
                <w:color w:val="55565A"/>
              </w:rPr>
              <w:t>Average Baseline Parameters of</w:t>
            </w:r>
          </w:p>
        </w:tc>
        <w:tc>
          <w:tcPr>
            <w:tcW w:w="2000" w:type="dxa"/>
            <w:vAlign w:val="bottom"/>
            <w:vMerge w:val="restart"/>
          </w:tcPr>
          <w:p>
            <w:pPr>
              <w:ind w:left="160"/>
              <w:spacing w:after="0"/>
              <w:rPr>
                <w:sz w:val="20"/>
                <w:szCs w:val="20"/>
                <w:color w:val="auto"/>
              </w:rPr>
            </w:pPr>
            <w:r>
              <w:rPr>
                <w:rFonts w:ascii="Arial" w:cs="Arial" w:eastAsia="Arial" w:hAnsi="Arial"/>
                <w:sz w:val="22"/>
                <w:szCs w:val="22"/>
                <w:b w:val="1"/>
                <w:bCs w:val="1"/>
                <w:color w:val="55565A"/>
              </w:rPr>
              <w:t>Etokimab Arm</w:t>
            </w:r>
          </w:p>
        </w:tc>
        <w:tc>
          <w:tcPr>
            <w:tcW w:w="1560" w:type="dxa"/>
            <w:vAlign w:val="bottom"/>
            <w:vMerge w:val="restart"/>
          </w:tcPr>
          <w:p>
            <w:pPr>
              <w:ind w:left="400"/>
              <w:spacing w:after="0"/>
              <w:rPr>
                <w:sz w:val="20"/>
                <w:szCs w:val="20"/>
                <w:color w:val="auto"/>
              </w:rPr>
            </w:pPr>
            <w:r>
              <w:rPr>
                <w:rFonts w:ascii="Arial" w:cs="Arial" w:eastAsia="Arial" w:hAnsi="Arial"/>
                <w:sz w:val="22"/>
                <w:szCs w:val="22"/>
                <w:b w:val="1"/>
                <w:bCs w:val="1"/>
                <w:color w:val="55565A"/>
                <w:w w:val="88"/>
              </w:rPr>
              <w:t>PlaceboArm</w:t>
            </w:r>
          </w:p>
        </w:tc>
        <w:tc>
          <w:tcPr>
            <w:tcW w:w="0" w:type="dxa"/>
            <w:vAlign w:val="bottom"/>
          </w:tcPr>
          <w:p>
            <w:pPr>
              <w:spacing w:after="0"/>
              <w:rPr>
                <w:sz w:val="1"/>
                <w:szCs w:val="1"/>
                <w:color w:val="auto"/>
              </w:rPr>
            </w:pPr>
          </w:p>
        </w:tc>
      </w:tr>
      <w:tr>
        <w:trPr>
          <w:trHeight w:val="149"/>
        </w:trPr>
        <w:tc>
          <w:tcPr>
            <w:tcW w:w="3560" w:type="dxa"/>
            <w:vAlign w:val="bottom"/>
            <w:vMerge w:val="restart"/>
          </w:tcPr>
          <w:p>
            <w:pPr>
              <w:spacing w:after="0"/>
              <w:rPr>
                <w:sz w:val="20"/>
                <w:szCs w:val="20"/>
                <w:color w:val="auto"/>
              </w:rPr>
            </w:pPr>
            <w:r>
              <w:rPr>
                <w:rFonts w:ascii="Arial" w:cs="Arial" w:eastAsia="Arial" w:hAnsi="Arial"/>
                <w:sz w:val="22"/>
                <w:szCs w:val="22"/>
                <w:b w:val="1"/>
                <w:bCs w:val="1"/>
                <w:color w:val="55565A"/>
              </w:rPr>
              <w:t>EnrolledPatients(Day 1 Pre-Dose)</w:t>
            </w:r>
          </w:p>
        </w:tc>
        <w:tc>
          <w:tcPr>
            <w:tcW w:w="200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560" w:type="dxa"/>
            <w:vAlign w:val="bottom"/>
            <w:vMerge w:val="continue"/>
          </w:tcPr>
          <w:p>
            <w:pPr>
              <w:spacing w:after="0"/>
              <w:rPr>
                <w:sz w:val="11"/>
                <w:szCs w:val="11"/>
                <w:color w:val="auto"/>
              </w:rPr>
            </w:pPr>
          </w:p>
        </w:tc>
        <w:tc>
          <w:tcPr>
            <w:tcW w:w="20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60"/>
          </w:cols>
          <w:pgMar w:left="540" w:top="765" w:right="1099" w:bottom="1440" w:gutter="0" w:footer="0" w:header="0"/>
        </w:sectPr>
      </w:pPr>
    </w:p>
    <w:p>
      <w:pPr>
        <w:spacing w:after="0" w:line="223" w:lineRule="exact"/>
        <w:rPr>
          <w:sz w:val="20"/>
          <w:szCs w:val="20"/>
          <w:color w:val="auto"/>
        </w:rPr>
      </w:pPr>
    </w:p>
    <w:p>
      <w:pPr>
        <w:ind w:left="3020"/>
        <w:spacing w:after="0"/>
        <w:rPr>
          <w:sz w:val="20"/>
          <w:szCs w:val="20"/>
          <w:color w:val="auto"/>
        </w:rPr>
      </w:pPr>
      <w:r>
        <w:rPr>
          <w:rFonts w:ascii="Arial" w:cs="Arial" w:eastAsia="Arial" w:hAnsi="Arial"/>
          <w:sz w:val="22"/>
          <w:szCs w:val="22"/>
          <w:color w:val="55565A"/>
        </w:rPr>
        <w:t>n</w:t>
      </w:r>
    </w:p>
    <w:p>
      <w:pPr>
        <w:spacing w:after="0" w:line="200" w:lineRule="exact"/>
        <w:rPr>
          <w:sz w:val="20"/>
          <w:szCs w:val="20"/>
          <w:color w:val="auto"/>
        </w:rPr>
      </w:pPr>
    </w:p>
    <w:p>
      <w:pPr>
        <w:spacing w:after="0" w:line="263" w:lineRule="exact"/>
        <w:rPr>
          <w:sz w:val="20"/>
          <w:szCs w:val="20"/>
          <w:color w:val="auto"/>
        </w:rPr>
      </w:pPr>
    </w:p>
    <w:p>
      <w:pPr>
        <w:ind w:left="2300"/>
        <w:spacing w:after="0"/>
        <w:rPr>
          <w:sz w:val="20"/>
          <w:szCs w:val="20"/>
          <w:color w:val="auto"/>
        </w:rPr>
      </w:pPr>
      <w:r>
        <w:rPr>
          <w:rFonts w:ascii="Arial" w:cs="Arial" w:eastAsia="Arial" w:hAnsi="Arial"/>
          <w:sz w:val="21"/>
          <w:szCs w:val="21"/>
          <w:color w:val="55565A"/>
        </w:rPr>
        <w:t>BloodEosinophils</w:t>
      </w:r>
    </w:p>
    <w:p>
      <w:pPr>
        <w:spacing w:after="0" w:line="20" w:lineRule="exact"/>
        <w:rPr>
          <w:sz w:val="20"/>
          <w:szCs w:val="20"/>
          <w:color w:val="auto"/>
        </w:rPr>
      </w:pPr>
    </w:p>
    <w:p>
      <w:pPr>
        <w:ind w:left="2480"/>
        <w:spacing w:after="0"/>
        <w:rPr>
          <w:sz w:val="20"/>
          <w:szCs w:val="20"/>
          <w:color w:val="auto"/>
        </w:rPr>
      </w:pPr>
      <w:r>
        <w:rPr>
          <w:rFonts w:ascii="Arial" w:cs="Arial" w:eastAsia="Arial" w:hAnsi="Arial"/>
          <w:sz w:val="22"/>
          <w:szCs w:val="22"/>
          <w:color w:val="55565A"/>
        </w:rPr>
        <w:t>per microliter</w:t>
      </w:r>
    </w:p>
    <w:p>
      <w:pPr>
        <w:spacing w:after="0" w:line="200" w:lineRule="exact"/>
        <w:rPr>
          <w:sz w:val="20"/>
          <w:szCs w:val="20"/>
          <w:color w:val="auto"/>
        </w:rPr>
      </w:pPr>
    </w:p>
    <w:p>
      <w:pPr>
        <w:spacing w:after="0" w:line="263" w:lineRule="exact"/>
        <w:rPr>
          <w:sz w:val="20"/>
          <w:szCs w:val="20"/>
          <w:color w:val="auto"/>
        </w:rPr>
      </w:pPr>
    </w:p>
    <w:p>
      <w:pPr>
        <w:ind w:left="2540"/>
        <w:spacing w:after="0"/>
        <w:rPr>
          <w:sz w:val="20"/>
          <w:szCs w:val="20"/>
          <w:color w:val="auto"/>
        </w:rPr>
      </w:pPr>
      <w:r>
        <w:rPr>
          <w:rFonts w:ascii="Arial" w:cs="Arial" w:eastAsia="Arial" w:hAnsi="Arial"/>
          <w:sz w:val="22"/>
          <w:szCs w:val="22"/>
          <w:color w:val="55565A"/>
        </w:rPr>
        <w:t>FEV1(Liters)</w:t>
      </w:r>
    </w:p>
    <w:p>
      <w:pPr>
        <w:spacing w:after="0" w:line="200" w:lineRule="exact"/>
        <w:rPr>
          <w:sz w:val="20"/>
          <w:szCs w:val="20"/>
          <w:color w:val="auto"/>
        </w:rPr>
      </w:pPr>
    </w:p>
    <w:p>
      <w:pPr>
        <w:spacing w:after="0" w:line="274" w:lineRule="exact"/>
        <w:rPr>
          <w:sz w:val="20"/>
          <w:szCs w:val="20"/>
          <w:color w:val="auto"/>
        </w:rPr>
      </w:pPr>
    </w:p>
    <w:p>
      <w:pPr>
        <w:ind w:left="2580" w:right="700" w:hanging="263"/>
        <w:spacing w:after="0" w:line="799" w:lineRule="auto"/>
        <w:tabs>
          <w:tab w:leader="none" w:pos="2571" w:val="left"/>
        </w:tabs>
        <w:numPr>
          <w:ilvl w:val="0"/>
          <w:numId w:val="8"/>
        </w:numPr>
        <w:rPr>
          <w:rFonts w:ascii="Arial" w:cs="Arial" w:eastAsia="Arial" w:hAnsi="Arial"/>
          <w:sz w:val="19"/>
          <w:szCs w:val="19"/>
          <w:color w:val="55565A"/>
        </w:rPr>
      </w:pPr>
      <w:r>
        <w:rPr>
          <w:rFonts w:ascii="Arial" w:cs="Arial" w:eastAsia="Arial" w:hAnsi="Arial"/>
          <w:sz w:val="19"/>
          <w:szCs w:val="19"/>
          <w:color w:val="55565A"/>
        </w:rPr>
        <w:t>PredictedFEV1 Age (years)</w:t>
      </w:r>
    </w:p>
    <w:p>
      <w:pPr>
        <w:ind w:left="2740"/>
        <w:spacing w:after="0"/>
        <w:rPr>
          <w:rFonts w:ascii="Arial" w:cs="Arial" w:eastAsia="Arial" w:hAnsi="Arial"/>
          <w:sz w:val="19"/>
          <w:szCs w:val="19"/>
          <w:color w:val="55565A"/>
        </w:rPr>
      </w:pPr>
      <w:r>
        <w:rPr>
          <w:rFonts w:ascii="Arial" w:cs="Arial" w:eastAsia="Arial" w:hAnsi="Arial"/>
          <w:sz w:val="22"/>
          <w:szCs w:val="22"/>
          <w:color w:val="55565A"/>
        </w:rPr>
        <w:t>Male %</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460"/>
        <w:spacing w:after="0"/>
        <w:tabs>
          <w:tab w:leader="none" w:pos="2600" w:val="left"/>
        </w:tabs>
        <w:rPr>
          <w:sz w:val="20"/>
          <w:szCs w:val="20"/>
          <w:color w:val="auto"/>
        </w:rPr>
      </w:pPr>
      <w:r>
        <w:rPr>
          <w:rFonts w:ascii="Arial" w:cs="Arial" w:eastAsia="Arial" w:hAnsi="Arial"/>
          <w:sz w:val="22"/>
          <w:szCs w:val="22"/>
          <w:color w:val="55565A"/>
        </w:rPr>
        <w:t>12</w:t>
      </w:r>
      <w:r>
        <w:rPr>
          <w:sz w:val="20"/>
          <w:szCs w:val="20"/>
          <w:color w:val="auto"/>
        </w:rPr>
        <w:tab/>
      </w:r>
      <w:r>
        <w:rPr>
          <w:rFonts w:ascii="Arial" w:cs="Arial" w:eastAsia="Arial" w:hAnsi="Arial"/>
          <w:sz w:val="22"/>
          <w:szCs w:val="22"/>
          <w:color w:val="55565A"/>
        </w:rPr>
        <w:t>13</w:t>
      </w:r>
    </w:p>
    <w:p>
      <w:pPr>
        <w:spacing w:after="0" w:line="200" w:lineRule="exact"/>
        <w:rPr>
          <w:sz w:val="20"/>
          <w:szCs w:val="20"/>
          <w:color w:val="auto"/>
        </w:rPr>
      </w:pPr>
    </w:p>
    <w:p>
      <w:pPr>
        <w:spacing w:after="0" w:line="388" w:lineRule="exact"/>
        <w:rPr>
          <w:sz w:val="20"/>
          <w:szCs w:val="20"/>
          <w:color w:val="auto"/>
        </w:rPr>
      </w:pPr>
    </w:p>
    <w:p>
      <w:pPr>
        <w:ind w:left="400"/>
        <w:spacing w:after="0"/>
        <w:tabs>
          <w:tab w:leader="none" w:pos="2540" w:val="left"/>
        </w:tabs>
        <w:rPr>
          <w:sz w:val="20"/>
          <w:szCs w:val="20"/>
          <w:color w:val="auto"/>
        </w:rPr>
      </w:pPr>
      <w:r>
        <w:rPr>
          <w:rFonts w:ascii="Arial" w:cs="Arial" w:eastAsia="Arial" w:hAnsi="Arial"/>
          <w:sz w:val="22"/>
          <w:szCs w:val="22"/>
          <w:color w:val="55565A"/>
        </w:rPr>
        <w:t>545</w:t>
      </w:r>
      <w:r>
        <w:rPr>
          <w:sz w:val="20"/>
          <w:szCs w:val="20"/>
          <w:color w:val="auto"/>
        </w:rPr>
        <w:tab/>
      </w:r>
      <w:r>
        <w:rPr>
          <w:rFonts w:ascii="Arial" w:cs="Arial" w:eastAsia="Arial" w:hAnsi="Arial"/>
          <w:sz w:val="22"/>
          <w:szCs w:val="22"/>
          <w:color w:val="55565A"/>
        </w:rPr>
        <w:t>705</w:t>
      </w:r>
    </w:p>
    <w:p>
      <w:pPr>
        <w:spacing w:after="0" w:line="200" w:lineRule="exact"/>
        <w:rPr>
          <w:sz w:val="20"/>
          <w:szCs w:val="20"/>
          <w:color w:val="auto"/>
        </w:rPr>
      </w:pPr>
    </w:p>
    <w:p>
      <w:pPr>
        <w:spacing w:after="0" w:line="400" w:lineRule="exact"/>
        <w:rPr>
          <w:sz w:val="20"/>
          <w:szCs w:val="20"/>
          <w:color w:val="auto"/>
        </w:rPr>
      </w:pPr>
    </w:p>
    <w:p>
      <w:pPr>
        <w:ind w:left="440"/>
        <w:spacing w:after="0"/>
        <w:tabs>
          <w:tab w:leader="none" w:pos="2580" w:val="left"/>
        </w:tabs>
        <w:rPr>
          <w:sz w:val="20"/>
          <w:szCs w:val="20"/>
          <w:color w:val="auto"/>
        </w:rPr>
      </w:pPr>
      <w:r>
        <w:rPr>
          <w:rFonts w:ascii="Arial" w:cs="Arial" w:eastAsia="Arial" w:hAnsi="Arial"/>
          <w:sz w:val="22"/>
          <w:szCs w:val="22"/>
          <w:color w:val="55565A"/>
        </w:rPr>
        <w:t>2.5</w:t>
      </w:r>
      <w:r>
        <w:rPr>
          <w:sz w:val="20"/>
          <w:szCs w:val="20"/>
          <w:color w:val="auto"/>
        </w:rPr>
        <w:tab/>
      </w:r>
      <w:r>
        <w:rPr>
          <w:rFonts w:ascii="Arial" w:cs="Arial" w:eastAsia="Arial" w:hAnsi="Arial"/>
          <w:sz w:val="21"/>
          <w:szCs w:val="21"/>
          <w:color w:val="55565A"/>
        </w:rPr>
        <w:t>2.5</w:t>
      </w:r>
    </w:p>
    <w:p>
      <w:pPr>
        <w:spacing w:after="0" w:line="200" w:lineRule="exact"/>
        <w:rPr>
          <w:sz w:val="20"/>
          <w:szCs w:val="20"/>
          <w:color w:val="auto"/>
        </w:rPr>
      </w:pPr>
    </w:p>
    <w:p>
      <w:pPr>
        <w:spacing w:after="0" w:line="274" w:lineRule="exact"/>
        <w:rPr>
          <w:sz w:val="20"/>
          <w:szCs w:val="20"/>
          <w:color w:val="auto"/>
        </w:rPr>
      </w:pPr>
    </w:p>
    <w:p>
      <w:pPr>
        <w:ind w:left="380"/>
        <w:spacing w:after="0"/>
        <w:tabs>
          <w:tab w:leader="none" w:pos="2520" w:val="left"/>
        </w:tabs>
        <w:rPr>
          <w:sz w:val="20"/>
          <w:szCs w:val="20"/>
          <w:color w:val="auto"/>
        </w:rPr>
      </w:pPr>
      <w:r>
        <w:rPr>
          <w:rFonts w:ascii="Arial" w:cs="Arial" w:eastAsia="Arial" w:hAnsi="Arial"/>
          <w:sz w:val="22"/>
          <w:szCs w:val="22"/>
          <w:color w:val="55565A"/>
        </w:rPr>
        <w:t>65%</w:t>
      </w:r>
      <w:r>
        <w:rPr>
          <w:sz w:val="20"/>
          <w:szCs w:val="20"/>
          <w:color w:val="auto"/>
        </w:rPr>
        <w:tab/>
      </w:r>
      <w:r>
        <w:rPr>
          <w:rFonts w:ascii="Arial" w:cs="Arial" w:eastAsia="Arial" w:hAnsi="Arial"/>
          <w:sz w:val="22"/>
          <w:szCs w:val="22"/>
          <w:color w:val="55565A"/>
        </w:rPr>
        <w:t>66%</w:t>
      </w:r>
    </w:p>
    <w:p>
      <w:pPr>
        <w:spacing w:after="0" w:line="200" w:lineRule="exact"/>
        <w:rPr>
          <w:sz w:val="20"/>
          <w:szCs w:val="20"/>
          <w:color w:val="auto"/>
        </w:rPr>
      </w:pPr>
    </w:p>
    <w:p>
      <w:pPr>
        <w:spacing w:after="0" w:line="274" w:lineRule="exact"/>
        <w:rPr>
          <w:sz w:val="20"/>
          <w:szCs w:val="20"/>
          <w:color w:val="auto"/>
        </w:rPr>
      </w:pPr>
    </w:p>
    <w:p>
      <w:pPr>
        <w:ind w:left="460"/>
        <w:spacing w:after="0"/>
        <w:tabs>
          <w:tab w:leader="none" w:pos="2600" w:val="left"/>
        </w:tabs>
        <w:rPr>
          <w:sz w:val="20"/>
          <w:szCs w:val="20"/>
          <w:color w:val="auto"/>
        </w:rPr>
      </w:pPr>
      <w:r>
        <w:rPr>
          <w:rFonts w:ascii="Arial" w:cs="Arial" w:eastAsia="Arial" w:hAnsi="Arial"/>
          <w:sz w:val="22"/>
          <w:szCs w:val="22"/>
          <w:color w:val="55565A"/>
        </w:rPr>
        <w:t>41</w:t>
      </w:r>
      <w:r>
        <w:rPr>
          <w:sz w:val="20"/>
          <w:szCs w:val="20"/>
          <w:color w:val="auto"/>
        </w:rPr>
        <w:tab/>
      </w:r>
      <w:r>
        <w:rPr>
          <w:rFonts w:ascii="Arial" w:cs="Arial" w:eastAsia="Arial" w:hAnsi="Arial"/>
          <w:sz w:val="22"/>
          <w:szCs w:val="22"/>
          <w:color w:val="55565A"/>
        </w:rPr>
        <w:t>36</w:t>
      </w:r>
    </w:p>
    <w:p>
      <w:pPr>
        <w:spacing w:after="0" w:line="200" w:lineRule="exact"/>
        <w:rPr>
          <w:sz w:val="20"/>
          <w:szCs w:val="20"/>
          <w:color w:val="auto"/>
        </w:rPr>
      </w:pPr>
    </w:p>
    <w:p>
      <w:pPr>
        <w:spacing w:after="0" w:line="274"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color w:val="55565A"/>
        </w:rPr>
        <w:t>75% (9 of 12)</w:t>
      </w:r>
      <w:r>
        <w:rPr>
          <w:sz w:val="20"/>
          <w:szCs w:val="20"/>
          <w:color w:val="auto"/>
        </w:rPr>
        <w:tab/>
      </w:r>
      <w:r>
        <w:rPr>
          <w:rFonts w:ascii="Arial" w:cs="Arial" w:eastAsia="Arial" w:hAnsi="Arial"/>
          <w:sz w:val="19"/>
          <w:szCs w:val="19"/>
          <w:color w:val="55565A"/>
        </w:rPr>
        <w:t>69% (9of 13)</w:t>
      </w:r>
    </w:p>
    <w:p>
      <w:pPr>
        <w:spacing w:after="0" w:line="200" w:lineRule="exact"/>
        <w:rPr>
          <w:sz w:val="20"/>
          <w:szCs w:val="20"/>
          <w:color w:val="auto"/>
        </w:rPr>
      </w:pPr>
    </w:p>
    <w:p>
      <w:pPr>
        <w:sectPr>
          <w:pgSz w:w="11900" w:h="16838" w:orient="portrait"/>
          <w:cols w:equalWidth="0" w:num="2">
            <w:col w:w="4620" w:space="720"/>
            <w:col w:w="4920"/>
          </w:cols>
          <w:pgMar w:left="540" w:top="76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180"/>
        <w:spacing w:after="0"/>
        <w:rPr>
          <w:sz w:val="20"/>
          <w:szCs w:val="20"/>
          <w:color w:val="auto"/>
        </w:rPr>
      </w:pPr>
      <w:r>
        <w:rPr>
          <w:rFonts w:ascii="Arial" w:cs="Arial" w:eastAsia="Arial" w:hAnsi="Arial"/>
          <w:sz w:val="14"/>
          <w:szCs w:val="14"/>
          <w:color w:val="FFFFFF"/>
        </w:rPr>
        <w:t>9</w:t>
      </w:r>
    </w:p>
    <w:p>
      <w:pPr>
        <w:sectPr>
          <w:pgSz w:w="11900" w:h="16838" w:orient="portrait"/>
          <w:cols w:equalWidth="0" w:num="1">
            <w:col w:w="10260"/>
          </w:cols>
          <w:pgMar w:left="540" w:top="765" w:right="10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33"/>
          <w:szCs w:val="33"/>
          <w:b w:val="1"/>
          <w:bCs w:val="1"/>
          <w:color w:val="55565A"/>
        </w:rPr>
        <w:drawing>
          <wp:anchor simplePos="0" relativeHeight="251657728" behindDoc="1" locked="0" layoutInCell="0" allowOverlap="1">
            <wp:simplePos x="0" y="0"/>
            <wp:positionH relativeFrom="page">
              <wp:posOffset>133985</wp:posOffset>
            </wp:positionH>
            <wp:positionV relativeFrom="page">
              <wp:posOffset>88900</wp:posOffset>
            </wp:positionV>
            <wp:extent cx="7308215" cy="5355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8215" cy="5355590"/>
                    </a:xfrm>
                    <a:prstGeom prst="rect">
                      <a:avLst/>
                    </a:prstGeom>
                    <a:noFill/>
                  </pic:spPr>
                </pic:pic>
              </a:graphicData>
            </a:graphic>
          </wp:anchor>
        </w:drawing>
        <w:t>% FEV1 Improvement Relative to Baseline After Single Dose</w:t>
      </w:r>
    </w:p>
    <w:p>
      <w:pPr>
        <w:spacing w:after="0" w:line="59" w:lineRule="exact"/>
        <w:rPr>
          <w:sz w:val="20"/>
          <w:szCs w:val="20"/>
          <w:color w:val="auto"/>
        </w:rPr>
      </w:pPr>
    </w:p>
    <w:p>
      <w:pPr>
        <w:spacing w:after="0"/>
        <w:rPr>
          <w:sz w:val="20"/>
          <w:szCs w:val="20"/>
          <w:color w:val="auto"/>
        </w:rPr>
      </w:pPr>
      <w:r>
        <w:rPr>
          <w:rFonts w:ascii="Arial" w:cs="Arial" w:eastAsia="Arial" w:hAnsi="Arial"/>
          <w:sz w:val="27"/>
          <w:szCs w:val="27"/>
          <w:i w:val="1"/>
          <w:iCs w:val="1"/>
          <w:color w:val="0087C9"/>
        </w:rPr>
        <w:t>Rapid and Sustained FEV1 Improvement Post-Etokimab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7240" w:type="dxa"/>
        <w:tblCellMar>
          <w:top w:w="0" w:type="dxa"/>
          <w:left w:w="0" w:type="dxa"/>
          <w:bottom w:w="0" w:type="dxa"/>
          <w:right w:w="0" w:type="dxa"/>
        </w:tblCellMar>
      </w:tblPr>
      <w:tr>
        <w:trPr>
          <w:trHeight w:val="212"/>
        </w:trPr>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9"/>
              </w:rPr>
              <w:t>Timepoint</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9"/>
              </w:rPr>
              <w:t>Etokimab</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7"/>
              </w:rPr>
              <w:t>Placebo</w:t>
            </w:r>
          </w:p>
        </w:tc>
        <w:tc>
          <w:tcPr>
            <w:tcW w:w="500" w:type="dxa"/>
            <w:vAlign w:val="bottom"/>
          </w:tcPr>
          <w:p>
            <w:pPr>
              <w:ind w:left="20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500"/>
        </w:trPr>
        <w:tc>
          <w:tcPr>
            <w:tcW w:w="840" w:type="dxa"/>
            <w:vAlign w:val="bottom"/>
          </w:tcPr>
          <w:p>
            <w:pPr>
              <w:jc w:val="center"/>
              <w:ind w:right="20"/>
              <w:spacing w:after="0"/>
              <w:rPr>
                <w:sz w:val="20"/>
                <w:szCs w:val="20"/>
                <w:color w:val="auto"/>
              </w:rPr>
            </w:pPr>
            <w:r>
              <w:rPr>
                <w:rFonts w:ascii="Arial" w:cs="Arial" w:eastAsia="Arial" w:hAnsi="Arial"/>
                <w:sz w:val="16"/>
                <w:szCs w:val="16"/>
                <w:color w:val="55565A"/>
              </w:rPr>
              <w:t>Day 1</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55565A"/>
              </w:rPr>
              <w:t>0%</w:t>
            </w:r>
          </w:p>
        </w:tc>
        <w:tc>
          <w:tcPr>
            <w:tcW w:w="880" w:type="dxa"/>
            <w:vAlign w:val="bottom"/>
            <w:vMerge w:val="restart"/>
          </w:tcPr>
          <w:p>
            <w:pPr>
              <w:jc w:val="center"/>
              <w:ind w:right="40"/>
              <w:spacing w:after="0"/>
              <w:rPr>
                <w:sz w:val="20"/>
                <w:szCs w:val="20"/>
                <w:color w:val="auto"/>
              </w:rPr>
            </w:pPr>
            <w:r>
              <w:rPr>
                <w:rFonts w:ascii="Arial" w:cs="Arial" w:eastAsia="Arial" w:hAnsi="Arial"/>
                <w:sz w:val="16"/>
                <w:szCs w:val="16"/>
                <w:color w:val="55565A"/>
              </w:rPr>
              <w:t>0%</w:t>
            </w:r>
          </w:p>
        </w:tc>
        <w:tc>
          <w:tcPr>
            <w:tcW w:w="500" w:type="dxa"/>
            <w:vAlign w:val="bottom"/>
            <w:vMerge w:val="restart"/>
          </w:tcPr>
          <w:p>
            <w:pPr>
              <w:jc w:val="center"/>
              <w:ind w:left="100"/>
              <w:spacing w:after="0"/>
              <w:rPr>
                <w:sz w:val="20"/>
                <w:szCs w:val="20"/>
                <w:color w:val="auto"/>
              </w:rPr>
            </w:pPr>
            <w:r>
              <w:rPr>
                <w:rFonts w:ascii="Arial" w:cs="Arial" w:eastAsia="Arial" w:hAnsi="Arial"/>
                <w:sz w:val="16"/>
                <w:szCs w:val="16"/>
                <w:color w:val="55565A"/>
              </w:rPr>
              <w:t>0%</w:t>
            </w:r>
          </w:p>
        </w:tc>
        <w:tc>
          <w:tcPr>
            <w:tcW w:w="0" w:type="dxa"/>
            <w:vAlign w:val="bottom"/>
          </w:tcPr>
          <w:p>
            <w:pPr>
              <w:spacing w:after="0"/>
              <w:rPr>
                <w:sz w:val="1"/>
                <w:szCs w:val="1"/>
                <w:color w:val="auto"/>
              </w:rPr>
            </w:pPr>
          </w:p>
        </w:tc>
      </w:tr>
      <w:tr>
        <w:trPr>
          <w:trHeight w:val="91"/>
        </w:trPr>
        <w:tc>
          <w:tcPr>
            <w:tcW w:w="840" w:type="dxa"/>
            <w:vAlign w:val="bottom"/>
            <w:vMerge w:val="restart"/>
          </w:tcPr>
          <w:p>
            <w:pPr>
              <w:jc w:val="center"/>
              <w:spacing w:after="0"/>
              <w:rPr>
                <w:sz w:val="20"/>
                <w:szCs w:val="20"/>
                <w:color w:val="auto"/>
              </w:rPr>
            </w:pPr>
            <w:r>
              <w:rPr>
                <w:rFonts w:ascii="Arial" w:cs="Arial" w:eastAsia="Arial" w:hAnsi="Arial"/>
                <w:sz w:val="16"/>
                <w:szCs w:val="16"/>
                <w:color w:val="55565A"/>
                <w:w w:val="99"/>
              </w:rPr>
              <w:t>(Baseline)</w:t>
            </w:r>
          </w:p>
        </w:tc>
        <w:tc>
          <w:tcPr>
            <w:tcW w:w="9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0"/>
        </w:trPr>
        <w:tc>
          <w:tcPr>
            <w:tcW w:w="840" w:type="dxa"/>
            <w:vAlign w:val="bottom"/>
          </w:tcPr>
          <w:p>
            <w:pPr>
              <w:jc w:val="center"/>
              <w:ind w:right="20"/>
              <w:spacing w:after="0"/>
              <w:rPr>
                <w:sz w:val="20"/>
                <w:szCs w:val="20"/>
                <w:color w:val="auto"/>
              </w:rPr>
            </w:pPr>
            <w:r>
              <w:rPr>
                <w:rFonts w:ascii="Arial" w:cs="Arial" w:eastAsia="Arial" w:hAnsi="Arial"/>
                <w:sz w:val="16"/>
                <w:szCs w:val="16"/>
                <w:color w:val="55565A"/>
              </w:rPr>
              <w:t>Day 2</w:t>
            </w:r>
          </w:p>
        </w:tc>
        <w:tc>
          <w:tcPr>
            <w:tcW w:w="900" w:type="dxa"/>
            <w:vAlign w:val="bottom"/>
          </w:tcPr>
          <w:p>
            <w:pPr>
              <w:jc w:val="center"/>
              <w:spacing w:after="0"/>
              <w:rPr>
                <w:sz w:val="20"/>
                <w:szCs w:val="20"/>
                <w:color w:val="auto"/>
              </w:rPr>
            </w:pPr>
            <w:r>
              <w:rPr>
                <w:rFonts w:ascii="Arial" w:cs="Arial" w:eastAsia="Arial" w:hAnsi="Arial"/>
                <w:sz w:val="16"/>
                <w:szCs w:val="16"/>
                <w:color w:val="55565A"/>
                <w:w w:val="99"/>
              </w:rPr>
              <w:t>12%</w:t>
            </w:r>
          </w:p>
        </w:tc>
        <w:tc>
          <w:tcPr>
            <w:tcW w:w="880" w:type="dxa"/>
            <w:vAlign w:val="bottom"/>
          </w:tcPr>
          <w:p>
            <w:pPr>
              <w:jc w:val="center"/>
              <w:ind w:right="40"/>
              <w:spacing w:after="0"/>
              <w:rPr>
                <w:sz w:val="20"/>
                <w:szCs w:val="20"/>
                <w:color w:val="auto"/>
              </w:rPr>
            </w:pPr>
            <w:r>
              <w:rPr>
                <w:rFonts w:ascii="Arial" w:cs="Arial" w:eastAsia="Arial" w:hAnsi="Arial"/>
                <w:sz w:val="16"/>
                <w:szCs w:val="16"/>
                <w:color w:val="55565A"/>
              </w:rPr>
              <w:t>4%</w:t>
            </w:r>
          </w:p>
        </w:tc>
        <w:tc>
          <w:tcPr>
            <w:tcW w:w="500" w:type="dxa"/>
            <w:vAlign w:val="bottom"/>
          </w:tcPr>
          <w:p>
            <w:pPr>
              <w:jc w:val="center"/>
              <w:ind w:left="100"/>
              <w:spacing w:after="0"/>
              <w:rPr>
                <w:sz w:val="20"/>
                <w:szCs w:val="20"/>
                <w:color w:val="auto"/>
              </w:rPr>
            </w:pPr>
            <w:r>
              <w:rPr>
                <w:rFonts w:ascii="Arial" w:cs="Arial" w:eastAsia="Arial" w:hAnsi="Arial"/>
                <w:sz w:val="16"/>
                <w:szCs w:val="16"/>
                <w:color w:val="55565A"/>
              </w:rPr>
              <w:t>8%</w:t>
            </w:r>
          </w:p>
        </w:tc>
        <w:tc>
          <w:tcPr>
            <w:tcW w:w="0" w:type="dxa"/>
            <w:vAlign w:val="bottom"/>
          </w:tcPr>
          <w:p>
            <w:pPr>
              <w:spacing w:after="0"/>
              <w:rPr>
                <w:sz w:val="1"/>
                <w:szCs w:val="1"/>
                <w:color w:val="auto"/>
              </w:rPr>
            </w:pPr>
          </w:p>
        </w:tc>
      </w:tr>
      <w:tr>
        <w:trPr>
          <w:trHeight w:val="591"/>
        </w:trPr>
        <w:tc>
          <w:tcPr>
            <w:tcW w:w="840" w:type="dxa"/>
            <w:vAlign w:val="bottom"/>
          </w:tcPr>
          <w:p>
            <w:pPr>
              <w:jc w:val="center"/>
              <w:ind w:right="20"/>
              <w:spacing w:after="0"/>
              <w:rPr>
                <w:sz w:val="20"/>
                <w:szCs w:val="20"/>
                <w:color w:val="auto"/>
              </w:rPr>
            </w:pPr>
            <w:r>
              <w:rPr>
                <w:rFonts w:ascii="Arial" w:cs="Arial" w:eastAsia="Arial" w:hAnsi="Arial"/>
                <w:sz w:val="16"/>
                <w:szCs w:val="16"/>
                <w:color w:val="55565A"/>
              </w:rPr>
              <w:t>Day 8</w:t>
            </w:r>
          </w:p>
        </w:tc>
        <w:tc>
          <w:tcPr>
            <w:tcW w:w="900" w:type="dxa"/>
            <w:vAlign w:val="bottom"/>
          </w:tcPr>
          <w:p>
            <w:pPr>
              <w:jc w:val="center"/>
              <w:spacing w:after="0"/>
              <w:rPr>
                <w:sz w:val="20"/>
                <w:szCs w:val="20"/>
                <w:color w:val="auto"/>
              </w:rPr>
            </w:pPr>
            <w:r>
              <w:rPr>
                <w:rFonts w:ascii="Arial" w:cs="Arial" w:eastAsia="Arial" w:hAnsi="Arial"/>
                <w:sz w:val="16"/>
                <w:szCs w:val="16"/>
                <w:color w:val="55565A"/>
              </w:rPr>
              <w:t>9%</w:t>
            </w:r>
          </w:p>
        </w:tc>
        <w:tc>
          <w:tcPr>
            <w:tcW w:w="880" w:type="dxa"/>
            <w:vAlign w:val="bottom"/>
          </w:tcPr>
          <w:p>
            <w:pPr>
              <w:jc w:val="center"/>
              <w:ind w:right="40"/>
              <w:spacing w:after="0"/>
              <w:rPr>
                <w:sz w:val="20"/>
                <w:szCs w:val="20"/>
                <w:color w:val="auto"/>
              </w:rPr>
            </w:pPr>
            <w:r>
              <w:rPr>
                <w:rFonts w:ascii="Arial" w:cs="Arial" w:eastAsia="Arial" w:hAnsi="Arial"/>
                <w:sz w:val="16"/>
                <w:szCs w:val="16"/>
                <w:color w:val="55565A"/>
              </w:rPr>
              <w:t>5%</w:t>
            </w:r>
          </w:p>
        </w:tc>
        <w:tc>
          <w:tcPr>
            <w:tcW w:w="500" w:type="dxa"/>
            <w:vAlign w:val="bottom"/>
          </w:tcPr>
          <w:p>
            <w:pPr>
              <w:jc w:val="center"/>
              <w:ind w:left="100"/>
              <w:spacing w:after="0"/>
              <w:rPr>
                <w:sz w:val="20"/>
                <w:szCs w:val="20"/>
                <w:color w:val="auto"/>
              </w:rPr>
            </w:pPr>
            <w:r>
              <w:rPr>
                <w:rFonts w:ascii="Arial" w:cs="Arial" w:eastAsia="Arial" w:hAnsi="Arial"/>
                <w:sz w:val="16"/>
                <w:szCs w:val="16"/>
                <w:color w:val="55565A"/>
              </w:rPr>
              <w:t>4%</w:t>
            </w:r>
          </w:p>
        </w:tc>
        <w:tc>
          <w:tcPr>
            <w:tcW w:w="0" w:type="dxa"/>
            <w:vAlign w:val="bottom"/>
          </w:tcPr>
          <w:p>
            <w:pPr>
              <w:spacing w:after="0"/>
              <w:rPr>
                <w:sz w:val="1"/>
                <w:szCs w:val="1"/>
                <w:color w:val="auto"/>
              </w:rPr>
            </w:pPr>
          </w:p>
        </w:tc>
      </w:tr>
      <w:tr>
        <w:trPr>
          <w:trHeight w:val="591"/>
        </w:trPr>
        <w:tc>
          <w:tcPr>
            <w:tcW w:w="840" w:type="dxa"/>
            <w:vAlign w:val="bottom"/>
          </w:tcPr>
          <w:p>
            <w:pPr>
              <w:jc w:val="center"/>
              <w:ind w:right="20"/>
              <w:spacing w:after="0"/>
              <w:rPr>
                <w:sz w:val="20"/>
                <w:szCs w:val="20"/>
                <w:color w:val="auto"/>
              </w:rPr>
            </w:pPr>
            <w:r>
              <w:rPr>
                <w:rFonts w:ascii="Arial" w:cs="Arial" w:eastAsia="Arial" w:hAnsi="Arial"/>
                <w:sz w:val="16"/>
                <w:szCs w:val="16"/>
                <w:color w:val="55565A"/>
                <w:w w:val="98"/>
              </w:rPr>
              <w:t>Day 22</w:t>
            </w:r>
          </w:p>
        </w:tc>
        <w:tc>
          <w:tcPr>
            <w:tcW w:w="900" w:type="dxa"/>
            <w:vAlign w:val="bottom"/>
          </w:tcPr>
          <w:p>
            <w:pPr>
              <w:jc w:val="center"/>
              <w:spacing w:after="0"/>
              <w:rPr>
                <w:sz w:val="20"/>
                <w:szCs w:val="20"/>
                <w:color w:val="auto"/>
              </w:rPr>
            </w:pPr>
            <w:r>
              <w:rPr>
                <w:rFonts w:ascii="Arial" w:cs="Arial" w:eastAsia="Arial" w:hAnsi="Arial"/>
                <w:sz w:val="16"/>
                <w:szCs w:val="16"/>
                <w:color w:val="55565A"/>
                <w:w w:val="99"/>
              </w:rPr>
              <w:t>16%</w:t>
            </w:r>
          </w:p>
        </w:tc>
        <w:tc>
          <w:tcPr>
            <w:tcW w:w="880" w:type="dxa"/>
            <w:vAlign w:val="bottom"/>
          </w:tcPr>
          <w:p>
            <w:pPr>
              <w:jc w:val="center"/>
              <w:ind w:right="40"/>
              <w:spacing w:after="0"/>
              <w:rPr>
                <w:sz w:val="20"/>
                <w:szCs w:val="20"/>
                <w:color w:val="auto"/>
              </w:rPr>
            </w:pPr>
            <w:r>
              <w:rPr>
                <w:rFonts w:ascii="Arial" w:cs="Arial" w:eastAsia="Arial" w:hAnsi="Arial"/>
                <w:sz w:val="16"/>
                <w:szCs w:val="16"/>
                <w:color w:val="55565A"/>
              </w:rPr>
              <w:t>8%</w:t>
            </w:r>
          </w:p>
        </w:tc>
        <w:tc>
          <w:tcPr>
            <w:tcW w:w="500" w:type="dxa"/>
            <w:vAlign w:val="bottom"/>
          </w:tcPr>
          <w:p>
            <w:pPr>
              <w:jc w:val="center"/>
              <w:ind w:left="100"/>
              <w:spacing w:after="0"/>
              <w:rPr>
                <w:sz w:val="20"/>
                <w:szCs w:val="20"/>
                <w:color w:val="auto"/>
              </w:rPr>
            </w:pPr>
            <w:r>
              <w:rPr>
                <w:rFonts w:ascii="Arial" w:cs="Arial" w:eastAsia="Arial" w:hAnsi="Arial"/>
                <w:sz w:val="16"/>
                <w:szCs w:val="16"/>
                <w:color w:val="55565A"/>
              </w:rPr>
              <w:t>8%</w:t>
            </w:r>
          </w:p>
        </w:tc>
        <w:tc>
          <w:tcPr>
            <w:tcW w:w="0" w:type="dxa"/>
            <w:vAlign w:val="bottom"/>
          </w:tcPr>
          <w:p>
            <w:pPr>
              <w:spacing w:after="0"/>
              <w:rPr>
                <w:sz w:val="1"/>
                <w:szCs w:val="1"/>
                <w:color w:val="auto"/>
              </w:rPr>
            </w:pPr>
          </w:p>
        </w:tc>
      </w:tr>
      <w:tr>
        <w:trPr>
          <w:trHeight w:val="591"/>
        </w:trPr>
        <w:tc>
          <w:tcPr>
            <w:tcW w:w="840" w:type="dxa"/>
            <w:vAlign w:val="bottom"/>
          </w:tcPr>
          <w:p>
            <w:pPr>
              <w:jc w:val="center"/>
              <w:ind w:right="20"/>
              <w:spacing w:after="0"/>
              <w:rPr>
                <w:sz w:val="20"/>
                <w:szCs w:val="20"/>
                <w:color w:val="auto"/>
              </w:rPr>
            </w:pPr>
            <w:r>
              <w:rPr>
                <w:rFonts w:ascii="Arial" w:cs="Arial" w:eastAsia="Arial" w:hAnsi="Arial"/>
                <w:sz w:val="16"/>
                <w:szCs w:val="16"/>
                <w:color w:val="55565A"/>
                <w:w w:val="98"/>
              </w:rPr>
              <w:t>Day 36</w:t>
            </w:r>
          </w:p>
        </w:tc>
        <w:tc>
          <w:tcPr>
            <w:tcW w:w="900" w:type="dxa"/>
            <w:vAlign w:val="bottom"/>
          </w:tcPr>
          <w:p>
            <w:pPr>
              <w:jc w:val="center"/>
              <w:spacing w:after="0"/>
              <w:rPr>
                <w:sz w:val="20"/>
                <w:szCs w:val="20"/>
                <w:color w:val="auto"/>
              </w:rPr>
            </w:pPr>
            <w:r>
              <w:rPr>
                <w:rFonts w:ascii="Arial" w:cs="Arial" w:eastAsia="Arial" w:hAnsi="Arial"/>
                <w:sz w:val="16"/>
                <w:szCs w:val="16"/>
                <w:color w:val="55565A"/>
                <w:w w:val="99"/>
              </w:rPr>
              <w:t>14%</w:t>
            </w:r>
          </w:p>
        </w:tc>
        <w:tc>
          <w:tcPr>
            <w:tcW w:w="880" w:type="dxa"/>
            <w:vAlign w:val="bottom"/>
          </w:tcPr>
          <w:p>
            <w:pPr>
              <w:jc w:val="center"/>
              <w:ind w:right="40"/>
              <w:spacing w:after="0"/>
              <w:rPr>
                <w:sz w:val="20"/>
                <w:szCs w:val="20"/>
                <w:color w:val="auto"/>
              </w:rPr>
            </w:pPr>
            <w:r>
              <w:rPr>
                <w:rFonts w:ascii="Arial" w:cs="Arial" w:eastAsia="Arial" w:hAnsi="Arial"/>
                <w:sz w:val="16"/>
                <w:szCs w:val="16"/>
                <w:color w:val="55565A"/>
              </w:rPr>
              <w:t>8%</w:t>
            </w:r>
          </w:p>
        </w:tc>
        <w:tc>
          <w:tcPr>
            <w:tcW w:w="500" w:type="dxa"/>
            <w:vAlign w:val="bottom"/>
          </w:tcPr>
          <w:p>
            <w:pPr>
              <w:jc w:val="center"/>
              <w:ind w:left="100"/>
              <w:spacing w:after="0"/>
              <w:rPr>
                <w:sz w:val="20"/>
                <w:szCs w:val="20"/>
                <w:color w:val="auto"/>
              </w:rPr>
            </w:pPr>
            <w:r>
              <w:rPr>
                <w:rFonts w:ascii="Arial" w:cs="Arial" w:eastAsia="Arial" w:hAnsi="Arial"/>
                <w:sz w:val="16"/>
                <w:szCs w:val="16"/>
                <w:color w:val="55565A"/>
              </w:rPr>
              <w:t>6%</w:t>
            </w:r>
          </w:p>
        </w:tc>
        <w:tc>
          <w:tcPr>
            <w:tcW w:w="0" w:type="dxa"/>
            <w:vAlign w:val="bottom"/>
          </w:tcPr>
          <w:p>
            <w:pPr>
              <w:spacing w:after="0"/>
              <w:rPr>
                <w:sz w:val="1"/>
                <w:szCs w:val="1"/>
                <w:color w:val="auto"/>
              </w:rPr>
            </w:pPr>
          </w:p>
        </w:tc>
      </w:tr>
      <w:tr>
        <w:trPr>
          <w:trHeight w:val="591"/>
        </w:trPr>
        <w:tc>
          <w:tcPr>
            <w:tcW w:w="840" w:type="dxa"/>
            <w:vAlign w:val="bottom"/>
          </w:tcPr>
          <w:p>
            <w:pPr>
              <w:jc w:val="center"/>
              <w:ind w:right="20"/>
              <w:spacing w:after="0"/>
              <w:rPr>
                <w:sz w:val="20"/>
                <w:szCs w:val="20"/>
                <w:color w:val="auto"/>
              </w:rPr>
            </w:pPr>
            <w:r>
              <w:rPr>
                <w:rFonts w:ascii="Arial" w:cs="Arial" w:eastAsia="Arial" w:hAnsi="Arial"/>
                <w:sz w:val="16"/>
                <w:szCs w:val="16"/>
                <w:color w:val="55565A"/>
                <w:w w:val="98"/>
              </w:rPr>
              <w:t>Day 64</w:t>
            </w:r>
          </w:p>
        </w:tc>
        <w:tc>
          <w:tcPr>
            <w:tcW w:w="900" w:type="dxa"/>
            <w:vAlign w:val="bottom"/>
          </w:tcPr>
          <w:p>
            <w:pPr>
              <w:jc w:val="center"/>
              <w:spacing w:after="0"/>
              <w:rPr>
                <w:sz w:val="20"/>
                <w:szCs w:val="20"/>
                <w:color w:val="auto"/>
              </w:rPr>
            </w:pPr>
            <w:r>
              <w:rPr>
                <w:rFonts w:ascii="Arial" w:cs="Arial" w:eastAsia="Arial" w:hAnsi="Arial"/>
                <w:sz w:val="16"/>
                <w:szCs w:val="16"/>
                <w:color w:val="55565A"/>
                <w:w w:val="99"/>
              </w:rPr>
              <w:t>15%</w:t>
            </w:r>
          </w:p>
        </w:tc>
        <w:tc>
          <w:tcPr>
            <w:tcW w:w="880" w:type="dxa"/>
            <w:vAlign w:val="bottom"/>
          </w:tcPr>
          <w:p>
            <w:pPr>
              <w:jc w:val="center"/>
              <w:ind w:right="40"/>
              <w:spacing w:after="0"/>
              <w:rPr>
                <w:sz w:val="20"/>
                <w:szCs w:val="20"/>
                <w:color w:val="auto"/>
              </w:rPr>
            </w:pPr>
            <w:r>
              <w:rPr>
                <w:rFonts w:ascii="Arial" w:cs="Arial" w:eastAsia="Arial" w:hAnsi="Arial"/>
                <w:sz w:val="16"/>
                <w:szCs w:val="16"/>
                <w:color w:val="55565A"/>
              </w:rPr>
              <w:t>4%</w:t>
            </w:r>
          </w:p>
        </w:tc>
        <w:tc>
          <w:tcPr>
            <w:tcW w:w="500" w:type="dxa"/>
            <w:vAlign w:val="bottom"/>
          </w:tcPr>
          <w:p>
            <w:pPr>
              <w:jc w:val="center"/>
              <w:ind w:left="100"/>
              <w:spacing w:after="0"/>
              <w:rPr>
                <w:sz w:val="20"/>
                <w:szCs w:val="20"/>
                <w:color w:val="auto"/>
              </w:rPr>
            </w:pPr>
            <w:r>
              <w:rPr>
                <w:rFonts w:ascii="Arial" w:cs="Arial" w:eastAsia="Arial" w:hAnsi="Arial"/>
                <w:sz w:val="16"/>
                <w:szCs w:val="16"/>
                <w:color w:val="55565A"/>
                <w:w w:val="99"/>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120"/>
        <w:spacing w:after="0"/>
        <w:rPr>
          <w:sz w:val="20"/>
          <w:szCs w:val="20"/>
          <w:color w:val="auto"/>
        </w:rPr>
      </w:pPr>
      <w:r>
        <w:rPr>
          <w:rFonts w:ascii="Arial" w:cs="Arial" w:eastAsia="Arial" w:hAnsi="Arial"/>
          <w:sz w:val="15"/>
          <w:szCs w:val="15"/>
          <w:color w:val="FFFFFF"/>
        </w:rPr>
        <w:t>10</w:t>
      </w:r>
    </w:p>
    <w:p>
      <w:pPr>
        <w:sectPr>
          <w:pgSz w:w="11900" w:h="16838" w:orient="portrait"/>
          <w:cols w:equalWidth="0" w:num="1">
            <w:col w:w="10360"/>
          </w:cols>
          <w:pgMar w:left="600" w:top="595" w:right="939" w:bottom="1440" w:gutter="0" w:footer="0" w:header="0"/>
        </w:sectPr>
      </w:pPr>
    </w:p>
    <w:bookmarkStart w:id="18" w:name="page19"/>
    <w:bookmarkEnd w:id="18"/>
    <w:p>
      <w:pPr>
        <w:spacing w:after="0"/>
        <w:rPr>
          <w:sz w:val="20"/>
          <w:szCs w:val="20"/>
          <w:color w:val="auto"/>
        </w:rPr>
      </w:pPr>
      <w:r>
        <w:rPr>
          <w:rFonts w:ascii="Arial" w:cs="Arial" w:eastAsia="Arial" w:hAnsi="Arial"/>
          <w:sz w:val="31"/>
          <w:szCs w:val="31"/>
          <w:b w:val="1"/>
          <w:bCs w:val="1"/>
          <w:color w:val="55565A"/>
        </w:rPr>
        <w:drawing>
          <wp:anchor simplePos="0" relativeHeight="251657728" behindDoc="1" locked="0" layoutInCell="0" allowOverlap="1">
            <wp:simplePos x="0" y="0"/>
            <wp:positionH relativeFrom="page">
              <wp:posOffset>133985</wp:posOffset>
            </wp:positionH>
            <wp:positionV relativeFrom="page">
              <wp:posOffset>88900</wp:posOffset>
            </wp:positionV>
            <wp:extent cx="7308215" cy="5355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8215" cy="5355590"/>
                    </a:xfrm>
                    <a:prstGeom prst="rect">
                      <a:avLst/>
                    </a:prstGeom>
                    <a:noFill/>
                  </pic:spPr>
                </pic:pic>
              </a:graphicData>
            </a:graphic>
          </wp:anchor>
        </w:drawing>
        <w:t>Blood Eosinophil Reduction Relative to Baseline After Single Dose</w:t>
      </w:r>
    </w:p>
    <w:p>
      <w:pPr>
        <w:spacing w:after="0" w:line="51" w:lineRule="exact"/>
        <w:rPr>
          <w:sz w:val="20"/>
          <w:szCs w:val="20"/>
          <w:color w:val="auto"/>
        </w:rPr>
      </w:pPr>
    </w:p>
    <w:p>
      <w:pPr>
        <w:spacing w:after="0"/>
        <w:rPr>
          <w:sz w:val="20"/>
          <w:szCs w:val="20"/>
          <w:color w:val="auto"/>
        </w:rPr>
      </w:pPr>
      <w:r>
        <w:rPr>
          <w:rFonts w:ascii="Arial" w:cs="Arial" w:eastAsia="Arial" w:hAnsi="Arial"/>
          <w:sz w:val="24"/>
          <w:szCs w:val="24"/>
          <w:i w:val="1"/>
          <w:iCs w:val="1"/>
          <w:color w:val="0087C9"/>
        </w:rPr>
        <w:t>Correlates with FEV1 Improvement and Consistent With Phase 2a Atopic Dermatitis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7380" w:type="dxa"/>
        <w:tblCellMar>
          <w:top w:w="0" w:type="dxa"/>
          <w:left w:w="0" w:type="dxa"/>
          <w:bottom w:w="0" w:type="dxa"/>
          <w:right w:w="0" w:type="dxa"/>
        </w:tblCellMar>
      </w:tblPr>
      <w:tr>
        <w:trPr>
          <w:trHeight w:val="212"/>
        </w:trPr>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9"/>
              </w:rPr>
              <w:t>Timepoint</w:t>
            </w:r>
          </w:p>
        </w:tc>
        <w:tc>
          <w:tcPr>
            <w:tcW w:w="880" w:type="dxa"/>
            <w:vAlign w:val="bottom"/>
          </w:tcPr>
          <w:p>
            <w:pPr>
              <w:ind w:left="80"/>
              <w:spacing w:after="0"/>
              <w:rPr>
                <w:sz w:val="20"/>
                <w:szCs w:val="20"/>
                <w:color w:val="auto"/>
              </w:rPr>
            </w:pPr>
            <w:r>
              <w:rPr>
                <w:rFonts w:ascii="Arial" w:cs="Arial" w:eastAsia="Arial" w:hAnsi="Arial"/>
                <w:sz w:val="16"/>
                <w:szCs w:val="16"/>
                <w:b w:val="1"/>
                <w:bCs w:val="1"/>
                <w:color w:val="auto"/>
              </w:rPr>
              <w:t>Etokimab</w:t>
            </w:r>
          </w:p>
        </w:tc>
        <w:tc>
          <w:tcPr>
            <w:tcW w:w="900" w:type="dxa"/>
            <w:vAlign w:val="bottom"/>
          </w:tcPr>
          <w:p>
            <w:pPr>
              <w:ind w:left="100"/>
              <w:spacing w:after="0"/>
              <w:rPr>
                <w:sz w:val="20"/>
                <w:szCs w:val="20"/>
                <w:color w:val="auto"/>
              </w:rPr>
            </w:pPr>
            <w:r>
              <w:rPr>
                <w:rFonts w:ascii="Arial" w:cs="Arial" w:eastAsia="Arial" w:hAnsi="Arial"/>
                <w:sz w:val="16"/>
                <w:szCs w:val="16"/>
                <w:b w:val="1"/>
                <w:bCs w:val="1"/>
                <w:color w:val="auto"/>
              </w:rPr>
              <w:t>Placebo</w:t>
            </w:r>
          </w:p>
        </w:tc>
        <w:tc>
          <w:tcPr>
            <w:tcW w:w="520" w:type="dxa"/>
            <w:vAlign w:val="bottom"/>
          </w:tcPr>
          <w:p>
            <w:pPr>
              <w:jc w:val="center"/>
              <w:ind w:left="65"/>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534"/>
        </w:trPr>
        <w:tc>
          <w:tcPr>
            <w:tcW w:w="840" w:type="dxa"/>
            <w:vAlign w:val="bottom"/>
          </w:tcPr>
          <w:p>
            <w:pPr>
              <w:jc w:val="center"/>
              <w:ind w:right="20"/>
              <w:spacing w:after="0"/>
              <w:rPr>
                <w:sz w:val="20"/>
                <w:szCs w:val="20"/>
                <w:color w:val="auto"/>
              </w:rPr>
            </w:pPr>
            <w:r>
              <w:rPr>
                <w:rFonts w:ascii="Arial" w:cs="Arial" w:eastAsia="Arial" w:hAnsi="Arial"/>
                <w:sz w:val="16"/>
                <w:szCs w:val="16"/>
                <w:color w:val="55565A"/>
              </w:rPr>
              <w:t>Day 1</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auto"/>
              </w:rPr>
              <w:t>0%</w:t>
            </w:r>
          </w:p>
        </w:tc>
        <w:tc>
          <w:tcPr>
            <w:tcW w:w="900" w:type="dxa"/>
            <w:vAlign w:val="bottom"/>
            <w:vMerge w:val="restart"/>
          </w:tcPr>
          <w:p>
            <w:pPr>
              <w:jc w:val="center"/>
              <w:ind w:right="45"/>
              <w:spacing w:after="0"/>
              <w:rPr>
                <w:sz w:val="20"/>
                <w:szCs w:val="20"/>
                <w:color w:val="auto"/>
              </w:rPr>
            </w:pPr>
            <w:r>
              <w:rPr>
                <w:rFonts w:ascii="Arial" w:cs="Arial" w:eastAsia="Arial" w:hAnsi="Arial"/>
                <w:sz w:val="15"/>
                <w:szCs w:val="15"/>
                <w:color w:val="auto"/>
              </w:rPr>
              <w:t>0%</w:t>
            </w:r>
          </w:p>
        </w:tc>
        <w:tc>
          <w:tcPr>
            <w:tcW w:w="520" w:type="dxa"/>
            <w:vAlign w:val="bottom"/>
            <w:vMerge w:val="restart"/>
          </w:tcPr>
          <w:p>
            <w:pPr>
              <w:jc w:val="center"/>
              <w:ind w:left="65"/>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87"/>
        </w:trPr>
        <w:tc>
          <w:tcPr>
            <w:tcW w:w="840" w:type="dxa"/>
            <w:vAlign w:val="bottom"/>
            <w:vMerge w:val="restart"/>
          </w:tcPr>
          <w:p>
            <w:pPr>
              <w:jc w:val="center"/>
              <w:spacing w:after="0"/>
              <w:rPr>
                <w:sz w:val="20"/>
                <w:szCs w:val="20"/>
                <w:color w:val="auto"/>
              </w:rPr>
            </w:pPr>
            <w:r>
              <w:rPr>
                <w:rFonts w:ascii="Arial" w:cs="Arial" w:eastAsia="Arial" w:hAnsi="Arial"/>
                <w:sz w:val="16"/>
                <w:szCs w:val="16"/>
                <w:color w:val="55565A"/>
                <w:w w:val="99"/>
              </w:rPr>
              <w:t>(Baseline)</w:t>
            </w:r>
          </w:p>
        </w:tc>
        <w:tc>
          <w:tcPr>
            <w:tcW w:w="8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8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9"/>
        </w:trPr>
        <w:tc>
          <w:tcPr>
            <w:tcW w:w="840" w:type="dxa"/>
            <w:vAlign w:val="bottom"/>
          </w:tcPr>
          <w:p>
            <w:pPr>
              <w:jc w:val="center"/>
              <w:ind w:right="20"/>
              <w:spacing w:after="0"/>
              <w:rPr>
                <w:sz w:val="20"/>
                <w:szCs w:val="20"/>
                <w:color w:val="auto"/>
              </w:rPr>
            </w:pPr>
            <w:r>
              <w:rPr>
                <w:rFonts w:ascii="Arial" w:cs="Arial" w:eastAsia="Arial" w:hAnsi="Arial"/>
                <w:sz w:val="16"/>
                <w:szCs w:val="16"/>
                <w:color w:val="55565A"/>
              </w:rPr>
              <w:t>Day 2</w:t>
            </w:r>
          </w:p>
        </w:tc>
        <w:tc>
          <w:tcPr>
            <w:tcW w:w="880" w:type="dxa"/>
            <w:vAlign w:val="bottom"/>
          </w:tcPr>
          <w:p>
            <w:pPr>
              <w:jc w:val="center"/>
              <w:spacing w:after="0"/>
              <w:rPr>
                <w:sz w:val="20"/>
                <w:szCs w:val="20"/>
                <w:color w:val="auto"/>
              </w:rPr>
            </w:pPr>
            <w:r>
              <w:rPr>
                <w:rFonts w:ascii="Arial" w:cs="Arial" w:eastAsia="Arial" w:hAnsi="Arial"/>
                <w:sz w:val="15"/>
                <w:szCs w:val="15"/>
                <w:color w:val="auto"/>
                <w:w w:val="96"/>
              </w:rPr>
              <w:t>-22%</w:t>
            </w:r>
          </w:p>
        </w:tc>
        <w:tc>
          <w:tcPr>
            <w:tcW w:w="900" w:type="dxa"/>
            <w:vAlign w:val="bottom"/>
          </w:tcPr>
          <w:p>
            <w:pPr>
              <w:jc w:val="center"/>
              <w:ind w:right="45"/>
              <w:spacing w:after="0"/>
              <w:rPr>
                <w:sz w:val="20"/>
                <w:szCs w:val="20"/>
                <w:color w:val="auto"/>
              </w:rPr>
            </w:pPr>
            <w:r>
              <w:rPr>
                <w:rFonts w:ascii="Arial" w:cs="Arial" w:eastAsia="Arial" w:hAnsi="Arial"/>
                <w:sz w:val="15"/>
                <w:szCs w:val="15"/>
                <w:color w:val="auto"/>
              </w:rPr>
              <w:t>9%</w:t>
            </w:r>
          </w:p>
        </w:tc>
        <w:tc>
          <w:tcPr>
            <w:tcW w:w="520" w:type="dxa"/>
            <w:vAlign w:val="bottom"/>
          </w:tcPr>
          <w:p>
            <w:pPr>
              <w:jc w:val="center"/>
              <w:ind w:left="105"/>
              <w:spacing w:after="0"/>
              <w:rPr>
                <w:sz w:val="20"/>
                <w:szCs w:val="20"/>
                <w:color w:val="auto"/>
              </w:rPr>
            </w:pPr>
            <w:r>
              <w:rPr>
                <w:rFonts w:ascii="Arial" w:cs="Arial" w:eastAsia="Arial" w:hAnsi="Arial"/>
                <w:sz w:val="15"/>
                <w:szCs w:val="15"/>
                <w:color w:val="auto"/>
                <w:w w:val="96"/>
              </w:rPr>
              <w:t>-31%</w:t>
            </w:r>
          </w:p>
        </w:tc>
        <w:tc>
          <w:tcPr>
            <w:tcW w:w="0" w:type="dxa"/>
            <w:vAlign w:val="bottom"/>
          </w:tcPr>
          <w:p>
            <w:pPr>
              <w:spacing w:after="0"/>
              <w:rPr>
                <w:sz w:val="1"/>
                <w:szCs w:val="1"/>
                <w:color w:val="auto"/>
              </w:rPr>
            </w:pPr>
          </w:p>
        </w:tc>
      </w:tr>
      <w:tr>
        <w:trPr>
          <w:trHeight w:val="568"/>
        </w:trPr>
        <w:tc>
          <w:tcPr>
            <w:tcW w:w="840" w:type="dxa"/>
            <w:vAlign w:val="bottom"/>
          </w:tcPr>
          <w:p>
            <w:pPr>
              <w:jc w:val="center"/>
              <w:ind w:right="20"/>
              <w:spacing w:after="0"/>
              <w:rPr>
                <w:sz w:val="20"/>
                <w:szCs w:val="20"/>
                <w:color w:val="auto"/>
              </w:rPr>
            </w:pPr>
            <w:r>
              <w:rPr>
                <w:rFonts w:ascii="Arial" w:cs="Arial" w:eastAsia="Arial" w:hAnsi="Arial"/>
                <w:sz w:val="16"/>
                <w:szCs w:val="16"/>
                <w:color w:val="55565A"/>
              </w:rPr>
              <w:t>Day 8</w:t>
            </w:r>
          </w:p>
        </w:tc>
        <w:tc>
          <w:tcPr>
            <w:tcW w:w="880" w:type="dxa"/>
            <w:vAlign w:val="bottom"/>
          </w:tcPr>
          <w:p>
            <w:pPr>
              <w:jc w:val="center"/>
              <w:spacing w:after="0"/>
              <w:rPr>
                <w:sz w:val="20"/>
                <w:szCs w:val="20"/>
                <w:color w:val="auto"/>
              </w:rPr>
            </w:pPr>
            <w:r>
              <w:rPr>
                <w:rFonts w:ascii="Arial" w:cs="Arial" w:eastAsia="Arial" w:hAnsi="Arial"/>
                <w:sz w:val="15"/>
                <w:szCs w:val="15"/>
                <w:color w:val="auto"/>
                <w:w w:val="96"/>
              </w:rPr>
              <w:t>-34%</w:t>
            </w:r>
          </w:p>
        </w:tc>
        <w:tc>
          <w:tcPr>
            <w:tcW w:w="900" w:type="dxa"/>
            <w:vAlign w:val="bottom"/>
          </w:tcPr>
          <w:p>
            <w:pPr>
              <w:jc w:val="center"/>
              <w:ind w:right="45"/>
              <w:spacing w:after="0"/>
              <w:rPr>
                <w:sz w:val="20"/>
                <w:szCs w:val="20"/>
                <w:color w:val="auto"/>
              </w:rPr>
            </w:pPr>
            <w:r>
              <w:rPr>
                <w:rFonts w:ascii="Arial" w:cs="Arial" w:eastAsia="Arial" w:hAnsi="Arial"/>
                <w:sz w:val="15"/>
                <w:szCs w:val="15"/>
                <w:color w:val="auto"/>
                <w:w w:val="96"/>
              </w:rPr>
              <w:t>-15%</w:t>
            </w:r>
          </w:p>
        </w:tc>
        <w:tc>
          <w:tcPr>
            <w:tcW w:w="520" w:type="dxa"/>
            <w:vAlign w:val="bottom"/>
          </w:tcPr>
          <w:p>
            <w:pPr>
              <w:jc w:val="center"/>
              <w:ind w:left="105"/>
              <w:spacing w:after="0"/>
              <w:rPr>
                <w:sz w:val="20"/>
                <w:szCs w:val="20"/>
                <w:color w:val="auto"/>
              </w:rPr>
            </w:pPr>
            <w:r>
              <w:rPr>
                <w:rFonts w:ascii="Arial" w:cs="Arial" w:eastAsia="Arial" w:hAnsi="Arial"/>
                <w:sz w:val="15"/>
                <w:szCs w:val="15"/>
                <w:color w:val="auto"/>
                <w:w w:val="96"/>
              </w:rPr>
              <w:t>-19%</w:t>
            </w:r>
          </w:p>
        </w:tc>
        <w:tc>
          <w:tcPr>
            <w:tcW w:w="0" w:type="dxa"/>
            <w:vAlign w:val="bottom"/>
          </w:tcPr>
          <w:p>
            <w:pPr>
              <w:spacing w:after="0"/>
              <w:rPr>
                <w:sz w:val="1"/>
                <w:szCs w:val="1"/>
                <w:color w:val="auto"/>
              </w:rPr>
            </w:pPr>
          </w:p>
        </w:tc>
      </w:tr>
      <w:tr>
        <w:trPr>
          <w:trHeight w:val="580"/>
        </w:trPr>
        <w:tc>
          <w:tcPr>
            <w:tcW w:w="840" w:type="dxa"/>
            <w:vAlign w:val="bottom"/>
          </w:tcPr>
          <w:p>
            <w:pPr>
              <w:jc w:val="center"/>
              <w:ind w:right="20"/>
              <w:spacing w:after="0"/>
              <w:rPr>
                <w:sz w:val="20"/>
                <w:szCs w:val="20"/>
                <w:color w:val="auto"/>
              </w:rPr>
            </w:pPr>
            <w:r>
              <w:rPr>
                <w:rFonts w:ascii="Arial" w:cs="Arial" w:eastAsia="Arial" w:hAnsi="Arial"/>
                <w:sz w:val="16"/>
                <w:szCs w:val="16"/>
                <w:color w:val="55565A"/>
                <w:w w:val="98"/>
              </w:rPr>
              <w:t>Day 22</w:t>
            </w:r>
          </w:p>
        </w:tc>
        <w:tc>
          <w:tcPr>
            <w:tcW w:w="880" w:type="dxa"/>
            <w:vAlign w:val="bottom"/>
          </w:tcPr>
          <w:p>
            <w:pPr>
              <w:jc w:val="center"/>
              <w:spacing w:after="0"/>
              <w:rPr>
                <w:sz w:val="20"/>
                <w:szCs w:val="20"/>
                <w:color w:val="auto"/>
              </w:rPr>
            </w:pPr>
            <w:r>
              <w:rPr>
                <w:rFonts w:ascii="Arial" w:cs="Arial" w:eastAsia="Arial" w:hAnsi="Arial"/>
                <w:sz w:val="15"/>
                <w:szCs w:val="15"/>
                <w:color w:val="auto"/>
                <w:w w:val="96"/>
              </w:rPr>
              <w:t>-30%</w:t>
            </w:r>
          </w:p>
        </w:tc>
        <w:tc>
          <w:tcPr>
            <w:tcW w:w="900" w:type="dxa"/>
            <w:vAlign w:val="bottom"/>
          </w:tcPr>
          <w:p>
            <w:pPr>
              <w:jc w:val="center"/>
              <w:ind w:right="45"/>
              <w:spacing w:after="0"/>
              <w:rPr>
                <w:sz w:val="20"/>
                <w:szCs w:val="20"/>
                <w:color w:val="auto"/>
              </w:rPr>
            </w:pPr>
            <w:r>
              <w:rPr>
                <w:rFonts w:ascii="Arial" w:cs="Arial" w:eastAsia="Arial" w:hAnsi="Arial"/>
                <w:sz w:val="15"/>
                <w:szCs w:val="15"/>
                <w:color w:val="auto"/>
                <w:w w:val="96"/>
              </w:rPr>
              <w:t>-10%</w:t>
            </w:r>
          </w:p>
        </w:tc>
        <w:tc>
          <w:tcPr>
            <w:tcW w:w="520" w:type="dxa"/>
            <w:vAlign w:val="bottom"/>
          </w:tcPr>
          <w:p>
            <w:pPr>
              <w:jc w:val="center"/>
              <w:ind w:left="105"/>
              <w:spacing w:after="0"/>
              <w:rPr>
                <w:sz w:val="20"/>
                <w:szCs w:val="20"/>
                <w:color w:val="auto"/>
              </w:rPr>
            </w:pPr>
            <w:r>
              <w:rPr>
                <w:rFonts w:ascii="Arial" w:cs="Arial" w:eastAsia="Arial" w:hAnsi="Arial"/>
                <w:sz w:val="15"/>
                <w:szCs w:val="15"/>
                <w:color w:val="auto"/>
                <w:w w:val="96"/>
              </w:rPr>
              <w:t>-20%</w:t>
            </w:r>
          </w:p>
        </w:tc>
        <w:tc>
          <w:tcPr>
            <w:tcW w:w="0" w:type="dxa"/>
            <w:vAlign w:val="bottom"/>
          </w:tcPr>
          <w:p>
            <w:pPr>
              <w:spacing w:after="0"/>
              <w:rPr>
                <w:sz w:val="1"/>
                <w:szCs w:val="1"/>
                <w:color w:val="auto"/>
              </w:rPr>
            </w:pPr>
          </w:p>
        </w:tc>
      </w:tr>
      <w:tr>
        <w:trPr>
          <w:trHeight w:val="580"/>
        </w:trPr>
        <w:tc>
          <w:tcPr>
            <w:tcW w:w="840" w:type="dxa"/>
            <w:vAlign w:val="bottom"/>
          </w:tcPr>
          <w:p>
            <w:pPr>
              <w:jc w:val="center"/>
              <w:ind w:right="20"/>
              <w:spacing w:after="0"/>
              <w:rPr>
                <w:sz w:val="20"/>
                <w:szCs w:val="20"/>
                <w:color w:val="auto"/>
              </w:rPr>
            </w:pPr>
            <w:r>
              <w:rPr>
                <w:rFonts w:ascii="Arial" w:cs="Arial" w:eastAsia="Arial" w:hAnsi="Arial"/>
                <w:sz w:val="16"/>
                <w:szCs w:val="16"/>
                <w:color w:val="55565A"/>
                <w:w w:val="98"/>
              </w:rPr>
              <w:t>Day 36</w:t>
            </w:r>
          </w:p>
        </w:tc>
        <w:tc>
          <w:tcPr>
            <w:tcW w:w="880" w:type="dxa"/>
            <w:vAlign w:val="bottom"/>
          </w:tcPr>
          <w:p>
            <w:pPr>
              <w:jc w:val="center"/>
              <w:spacing w:after="0"/>
              <w:rPr>
                <w:sz w:val="20"/>
                <w:szCs w:val="20"/>
                <w:color w:val="auto"/>
              </w:rPr>
            </w:pPr>
            <w:r>
              <w:rPr>
                <w:rFonts w:ascii="Arial" w:cs="Arial" w:eastAsia="Arial" w:hAnsi="Arial"/>
                <w:sz w:val="15"/>
                <w:szCs w:val="15"/>
                <w:color w:val="auto"/>
                <w:w w:val="96"/>
              </w:rPr>
              <w:t>-43%</w:t>
            </w:r>
          </w:p>
        </w:tc>
        <w:tc>
          <w:tcPr>
            <w:tcW w:w="900" w:type="dxa"/>
            <w:vAlign w:val="bottom"/>
          </w:tcPr>
          <w:p>
            <w:pPr>
              <w:jc w:val="center"/>
              <w:ind w:right="45"/>
              <w:spacing w:after="0"/>
              <w:rPr>
                <w:sz w:val="20"/>
                <w:szCs w:val="20"/>
                <w:color w:val="auto"/>
              </w:rPr>
            </w:pPr>
            <w:r>
              <w:rPr>
                <w:rFonts w:ascii="Arial" w:cs="Arial" w:eastAsia="Arial" w:hAnsi="Arial"/>
                <w:sz w:val="15"/>
                <w:szCs w:val="15"/>
                <w:color w:val="auto"/>
              </w:rPr>
              <w:t>1%</w:t>
            </w:r>
          </w:p>
        </w:tc>
        <w:tc>
          <w:tcPr>
            <w:tcW w:w="520" w:type="dxa"/>
            <w:vAlign w:val="bottom"/>
          </w:tcPr>
          <w:p>
            <w:pPr>
              <w:jc w:val="center"/>
              <w:ind w:left="105"/>
              <w:spacing w:after="0"/>
              <w:rPr>
                <w:sz w:val="20"/>
                <w:szCs w:val="20"/>
                <w:color w:val="auto"/>
              </w:rPr>
            </w:pPr>
            <w:r>
              <w:rPr>
                <w:rFonts w:ascii="Arial" w:cs="Arial" w:eastAsia="Arial" w:hAnsi="Arial"/>
                <w:sz w:val="15"/>
                <w:szCs w:val="15"/>
                <w:color w:val="auto"/>
                <w:w w:val="96"/>
              </w:rPr>
              <w:t>-44%</w:t>
            </w:r>
          </w:p>
        </w:tc>
        <w:tc>
          <w:tcPr>
            <w:tcW w:w="0" w:type="dxa"/>
            <w:vAlign w:val="bottom"/>
          </w:tcPr>
          <w:p>
            <w:pPr>
              <w:spacing w:after="0"/>
              <w:rPr>
                <w:sz w:val="1"/>
                <w:szCs w:val="1"/>
                <w:color w:val="auto"/>
              </w:rPr>
            </w:pPr>
          </w:p>
        </w:tc>
      </w:tr>
      <w:tr>
        <w:trPr>
          <w:trHeight w:val="580"/>
        </w:trPr>
        <w:tc>
          <w:tcPr>
            <w:tcW w:w="840" w:type="dxa"/>
            <w:vAlign w:val="bottom"/>
          </w:tcPr>
          <w:p>
            <w:pPr>
              <w:jc w:val="center"/>
              <w:ind w:right="20"/>
              <w:spacing w:after="0"/>
              <w:rPr>
                <w:sz w:val="20"/>
                <w:szCs w:val="20"/>
                <w:color w:val="auto"/>
              </w:rPr>
            </w:pPr>
            <w:r>
              <w:rPr>
                <w:rFonts w:ascii="Arial" w:cs="Arial" w:eastAsia="Arial" w:hAnsi="Arial"/>
                <w:sz w:val="16"/>
                <w:szCs w:val="16"/>
                <w:color w:val="55565A"/>
                <w:w w:val="98"/>
              </w:rPr>
              <w:t>Day 64</w:t>
            </w:r>
          </w:p>
        </w:tc>
        <w:tc>
          <w:tcPr>
            <w:tcW w:w="880" w:type="dxa"/>
            <w:vAlign w:val="bottom"/>
          </w:tcPr>
          <w:p>
            <w:pPr>
              <w:jc w:val="center"/>
              <w:spacing w:after="0"/>
              <w:rPr>
                <w:sz w:val="20"/>
                <w:szCs w:val="20"/>
                <w:color w:val="auto"/>
              </w:rPr>
            </w:pPr>
            <w:r>
              <w:rPr>
                <w:rFonts w:ascii="Arial" w:cs="Arial" w:eastAsia="Arial" w:hAnsi="Arial"/>
                <w:sz w:val="15"/>
                <w:szCs w:val="15"/>
                <w:color w:val="auto"/>
                <w:w w:val="96"/>
              </w:rPr>
              <w:t>-40%</w:t>
            </w:r>
          </w:p>
        </w:tc>
        <w:tc>
          <w:tcPr>
            <w:tcW w:w="900" w:type="dxa"/>
            <w:vAlign w:val="bottom"/>
          </w:tcPr>
          <w:p>
            <w:pPr>
              <w:jc w:val="center"/>
              <w:ind w:right="45"/>
              <w:spacing w:after="0"/>
              <w:rPr>
                <w:sz w:val="20"/>
                <w:szCs w:val="20"/>
                <w:color w:val="auto"/>
              </w:rPr>
            </w:pPr>
            <w:r>
              <w:rPr>
                <w:rFonts w:ascii="Arial" w:cs="Arial" w:eastAsia="Arial" w:hAnsi="Arial"/>
                <w:sz w:val="15"/>
                <w:szCs w:val="15"/>
                <w:color w:val="auto"/>
              </w:rPr>
              <w:t>6%</w:t>
            </w:r>
          </w:p>
        </w:tc>
        <w:tc>
          <w:tcPr>
            <w:tcW w:w="520" w:type="dxa"/>
            <w:vAlign w:val="bottom"/>
          </w:tcPr>
          <w:p>
            <w:pPr>
              <w:jc w:val="center"/>
              <w:ind w:left="105"/>
              <w:spacing w:after="0"/>
              <w:rPr>
                <w:sz w:val="20"/>
                <w:szCs w:val="20"/>
                <w:color w:val="auto"/>
              </w:rPr>
            </w:pPr>
            <w:r>
              <w:rPr>
                <w:rFonts w:ascii="Arial" w:cs="Arial" w:eastAsia="Arial" w:hAnsi="Arial"/>
                <w:sz w:val="15"/>
                <w:szCs w:val="15"/>
                <w:color w:val="auto"/>
                <w:w w:val="96"/>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260"/>
        <w:spacing w:after="0"/>
        <w:rPr>
          <w:sz w:val="20"/>
          <w:szCs w:val="20"/>
          <w:color w:val="auto"/>
        </w:rPr>
      </w:pPr>
      <w:r>
        <w:rPr>
          <w:rFonts w:ascii="Arial" w:cs="Arial" w:eastAsia="Arial" w:hAnsi="Arial"/>
          <w:sz w:val="15"/>
          <w:szCs w:val="15"/>
          <w:color w:val="FFFFFF"/>
        </w:rPr>
        <w:t>11</w:t>
      </w:r>
    </w:p>
    <w:p>
      <w:pPr>
        <w:sectPr>
          <w:pgSz w:w="11900" w:h="16838" w:orient="portrait"/>
          <w:cols w:equalWidth="0" w:num="1">
            <w:col w:w="10520"/>
          </w:cols>
          <w:pgMar w:left="460" w:top="654" w:right="919" w:bottom="1440" w:gutter="0" w:footer="0" w:header="0"/>
        </w:sectPr>
      </w:pPr>
    </w:p>
    <w:bookmarkStart w:id="19" w:name="page20"/>
    <w:bookmarkEnd w:id="19"/>
    <w:p>
      <w:pPr>
        <w:spacing w:after="0"/>
        <w:rPr>
          <w:sz w:val="20"/>
          <w:szCs w:val="20"/>
          <w:color w:val="auto"/>
        </w:rPr>
      </w:pPr>
      <w:r>
        <w:rPr>
          <w:rFonts w:ascii="Arial" w:cs="Arial" w:eastAsia="Arial" w:hAnsi="Arial"/>
          <w:sz w:val="31"/>
          <w:szCs w:val="31"/>
          <w:b w:val="1"/>
          <w:bCs w:val="1"/>
          <w:color w:val="55565A"/>
        </w:rPr>
        <w:drawing>
          <wp:anchor simplePos="0" relativeHeight="251657728" behindDoc="1" locked="0" layoutInCell="0" allowOverlap="1">
            <wp:simplePos x="0" y="0"/>
            <wp:positionH relativeFrom="page">
              <wp:posOffset>133985</wp:posOffset>
            </wp:positionH>
            <wp:positionV relativeFrom="page">
              <wp:posOffset>88900</wp:posOffset>
            </wp:positionV>
            <wp:extent cx="7308215" cy="5355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8215" cy="5355590"/>
                    </a:xfrm>
                    <a:prstGeom prst="rect">
                      <a:avLst/>
                    </a:prstGeom>
                    <a:noFill/>
                  </pic:spPr>
                </pic:pic>
              </a:graphicData>
            </a:graphic>
          </wp:anchor>
        </w:drawing>
        <w:t>Eosinophilic Asthma Phase 2a Day 64 Interim Analysis</w:t>
      </w:r>
    </w:p>
    <w:p>
      <w:pPr>
        <w:spacing w:after="0" w:line="51" w:lineRule="exact"/>
        <w:rPr>
          <w:sz w:val="20"/>
          <w:szCs w:val="20"/>
          <w:color w:val="auto"/>
        </w:rPr>
      </w:pPr>
    </w:p>
    <w:p>
      <w:pPr>
        <w:spacing w:after="0"/>
        <w:rPr>
          <w:sz w:val="20"/>
          <w:szCs w:val="20"/>
          <w:color w:val="auto"/>
        </w:rPr>
      </w:pPr>
      <w:r>
        <w:rPr>
          <w:rFonts w:ascii="Arial" w:cs="Arial" w:eastAsia="Arial" w:hAnsi="Arial"/>
          <w:sz w:val="27"/>
          <w:szCs w:val="27"/>
          <w:i w:val="1"/>
          <w:iCs w:val="1"/>
          <w:color w:val="0087C9"/>
        </w:rPr>
        <w:t>Supports Advancement of Etokimab Into Phase 2b Eosinophilic Asthma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0"/>
        <w:spacing w:after="0"/>
        <w:rPr>
          <w:sz w:val="20"/>
          <w:szCs w:val="20"/>
          <w:color w:val="auto"/>
        </w:rPr>
      </w:pPr>
      <w:r>
        <w:rPr>
          <w:rFonts w:ascii="Arial" w:cs="Arial" w:eastAsia="Arial" w:hAnsi="Arial"/>
          <w:sz w:val="27"/>
          <w:szCs w:val="27"/>
          <w:i w:val="1"/>
          <w:iCs w:val="1"/>
          <w:color w:val="55565A"/>
        </w:rPr>
        <w:t>Interim Analysis Summary</w:t>
      </w:r>
    </w:p>
    <w:p>
      <w:pPr>
        <w:spacing w:after="0" w:line="76" w:lineRule="exact"/>
        <w:rPr>
          <w:sz w:val="20"/>
          <w:szCs w:val="20"/>
          <w:color w:val="auto"/>
        </w:rPr>
      </w:pPr>
    </w:p>
    <w:p>
      <w:pPr>
        <w:ind w:left="1220" w:hanging="350"/>
        <w:spacing w:after="0"/>
        <w:tabs>
          <w:tab w:leader="none" w:pos="1220" w:val="left"/>
        </w:tabs>
        <w:numPr>
          <w:ilvl w:val="0"/>
          <w:numId w:val="9"/>
        </w:numPr>
        <w:rPr>
          <w:rFonts w:ascii="Arial" w:cs="Arial" w:eastAsia="Arial" w:hAnsi="Arial"/>
          <w:sz w:val="22"/>
          <w:szCs w:val="22"/>
          <w:color w:val="55565A"/>
        </w:rPr>
      </w:pPr>
      <w:r>
        <w:rPr>
          <w:rFonts w:ascii="Arial" w:cs="Arial" w:eastAsia="Arial" w:hAnsi="Arial"/>
          <w:sz w:val="22"/>
          <w:szCs w:val="22"/>
          <w:color w:val="55565A"/>
        </w:rPr>
        <w:t>Etokimab demonstrated proof-of-concept in eosinophilic asthma</w:t>
      </w:r>
    </w:p>
    <w:p>
      <w:pPr>
        <w:spacing w:after="0" w:line="42" w:lineRule="exact"/>
        <w:rPr>
          <w:rFonts w:ascii="Arial" w:cs="Arial" w:eastAsia="Arial" w:hAnsi="Arial"/>
          <w:sz w:val="22"/>
          <w:szCs w:val="22"/>
          <w:color w:val="55565A"/>
        </w:rPr>
      </w:pPr>
    </w:p>
    <w:p>
      <w:pPr>
        <w:ind w:left="1220" w:hanging="350"/>
        <w:spacing w:after="0"/>
        <w:tabs>
          <w:tab w:leader="none" w:pos="1220" w:val="left"/>
        </w:tabs>
        <w:numPr>
          <w:ilvl w:val="0"/>
          <w:numId w:val="9"/>
        </w:numPr>
        <w:rPr>
          <w:rFonts w:ascii="Arial" w:cs="Arial" w:eastAsia="Arial" w:hAnsi="Arial"/>
          <w:sz w:val="22"/>
          <w:szCs w:val="22"/>
          <w:color w:val="55565A"/>
        </w:rPr>
      </w:pPr>
      <w:r>
        <w:rPr>
          <w:rFonts w:ascii="Arial" w:cs="Arial" w:eastAsia="Arial" w:hAnsi="Arial"/>
          <w:sz w:val="22"/>
          <w:szCs w:val="22"/>
          <w:color w:val="55565A"/>
        </w:rPr>
        <w:t>Single dose of etokimab resulted in rapid and sustained improvement in FEV1 over placebo</w:t>
      </w:r>
    </w:p>
    <w:p>
      <w:pPr>
        <w:spacing w:after="0" w:line="53" w:lineRule="exact"/>
        <w:rPr>
          <w:rFonts w:ascii="Arial" w:cs="Arial" w:eastAsia="Arial" w:hAnsi="Arial"/>
          <w:sz w:val="22"/>
          <w:szCs w:val="22"/>
          <w:color w:val="55565A"/>
        </w:rPr>
      </w:pPr>
    </w:p>
    <w:p>
      <w:pPr>
        <w:ind w:left="1220" w:right="480" w:hanging="350"/>
        <w:spacing w:after="0" w:line="243" w:lineRule="auto"/>
        <w:tabs>
          <w:tab w:leader="none" w:pos="1220" w:val="left"/>
        </w:tabs>
        <w:numPr>
          <w:ilvl w:val="0"/>
          <w:numId w:val="9"/>
        </w:numPr>
        <w:rPr>
          <w:rFonts w:ascii="Arial" w:cs="Arial" w:eastAsia="Arial" w:hAnsi="Arial"/>
          <w:sz w:val="22"/>
          <w:szCs w:val="22"/>
          <w:color w:val="55565A"/>
        </w:rPr>
      </w:pPr>
      <w:r>
        <w:rPr>
          <w:rFonts w:ascii="Arial" w:cs="Arial" w:eastAsia="Arial" w:hAnsi="Arial"/>
          <w:sz w:val="22"/>
          <w:szCs w:val="22"/>
          <w:color w:val="55565A"/>
        </w:rPr>
        <w:t>Blood eosinophil biomarker reduction correlated with FEV1 improvement and is consistent with prior etokimab Phase 2a atopic dermatitis trial</w:t>
      </w:r>
    </w:p>
    <w:p>
      <w:pPr>
        <w:spacing w:after="0" w:line="44" w:lineRule="exact"/>
        <w:rPr>
          <w:rFonts w:ascii="Arial" w:cs="Arial" w:eastAsia="Arial" w:hAnsi="Arial"/>
          <w:sz w:val="22"/>
          <w:szCs w:val="22"/>
          <w:color w:val="55565A"/>
        </w:rPr>
      </w:pPr>
    </w:p>
    <w:p>
      <w:pPr>
        <w:ind w:left="1220" w:hanging="350"/>
        <w:spacing w:after="0"/>
        <w:tabs>
          <w:tab w:leader="none" w:pos="1220" w:val="left"/>
        </w:tabs>
        <w:numPr>
          <w:ilvl w:val="0"/>
          <w:numId w:val="9"/>
        </w:numPr>
        <w:rPr>
          <w:rFonts w:ascii="Arial" w:cs="Arial" w:eastAsia="Arial" w:hAnsi="Arial"/>
          <w:sz w:val="22"/>
          <w:szCs w:val="22"/>
          <w:color w:val="55565A"/>
        </w:rPr>
      </w:pPr>
      <w:r>
        <w:rPr>
          <w:rFonts w:ascii="Arial" w:cs="Arial" w:eastAsia="Arial" w:hAnsi="Arial"/>
          <w:sz w:val="22"/>
          <w:szCs w:val="22"/>
          <w:color w:val="55565A"/>
        </w:rPr>
        <w:t>Etokimab was generally well-tolerated and no serious adverse events reported</w:t>
      </w:r>
    </w:p>
    <w:p>
      <w:pPr>
        <w:spacing w:after="0" w:line="42" w:lineRule="exact"/>
        <w:rPr>
          <w:rFonts w:ascii="Arial" w:cs="Arial" w:eastAsia="Arial" w:hAnsi="Arial"/>
          <w:sz w:val="22"/>
          <w:szCs w:val="22"/>
          <w:color w:val="55565A"/>
        </w:rPr>
      </w:pPr>
    </w:p>
    <w:p>
      <w:pPr>
        <w:ind w:left="1760" w:hanging="345"/>
        <w:spacing w:after="0"/>
        <w:tabs>
          <w:tab w:leader="none" w:pos="1760" w:val="left"/>
        </w:tabs>
        <w:numPr>
          <w:ilvl w:val="1"/>
          <w:numId w:val="9"/>
        </w:numPr>
        <w:rPr>
          <w:rFonts w:ascii="Arial" w:cs="Arial" w:eastAsia="Arial" w:hAnsi="Arial"/>
          <w:sz w:val="22"/>
          <w:szCs w:val="22"/>
          <w:color w:val="55565A"/>
        </w:rPr>
      </w:pPr>
      <w:r>
        <w:rPr>
          <w:rFonts w:ascii="Arial" w:cs="Arial" w:eastAsia="Arial" w:hAnsi="Arial"/>
          <w:sz w:val="22"/>
          <w:szCs w:val="22"/>
          <w:color w:val="55565A"/>
        </w:rPr>
        <w:t>No treatment-emergent adverse events were deemed to be etokimab-related</w:t>
      </w:r>
    </w:p>
    <w:p>
      <w:pPr>
        <w:spacing w:after="0" w:line="42" w:lineRule="exact"/>
        <w:rPr>
          <w:rFonts w:ascii="Arial" w:cs="Arial" w:eastAsia="Arial" w:hAnsi="Arial"/>
          <w:sz w:val="22"/>
          <w:szCs w:val="22"/>
          <w:color w:val="55565A"/>
        </w:rPr>
      </w:pPr>
    </w:p>
    <w:p>
      <w:pPr>
        <w:ind w:left="1760" w:right="900" w:hanging="345"/>
        <w:spacing w:after="0" w:line="245" w:lineRule="auto"/>
        <w:tabs>
          <w:tab w:leader="none" w:pos="1760" w:val="left"/>
        </w:tabs>
        <w:numPr>
          <w:ilvl w:val="1"/>
          <w:numId w:val="9"/>
        </w:numPr>
        <w:rPr>
          <w:rFonts w:ascii="Arial" w:cs="Arial" w:eastAsia="Arial" w:hAnsi="Arial"/>
          <w:sz w:val="22"/>
          <w:szCs w:val="22"/>
          <w:color w:val="55565A"/>
        </w:rPr>
      </w:pPr>
      <w:r>
        <w:rPr>
          <w:rFonts w:ascii="Arial" w:cs="Arial" w:eastAsia="Arial" w:hAnsi="Arial"/>
          <w:sz w:val="22"/>
          <w:szCs w:val="22"/>
          <w:color w:val="55565A"/>
        </w:rPr>
        <w:t>The most frequent treatment-emergent adverse events reported were single occurrences of moderate strep throat in two etokimab-dosed patients and single occurrences of mild vomiting in two placebo-dosed patients</w:t>
      </w:r>
    </w:p>
    <w:p>
      <w:pPr>
        <w:spacing w:after="0" w:line="43" w:lineRule="exact"/>
        <w:rPr>
          <w:rFonts w:ascii="Arial" w:cs="Arial" w:eastAsia="Arial" w:hAnsi="Arial"/>
          <w:sz w:val="22"/>
          <w:szCs w:val="22"/>
          <w:color w:val="55565A"/>
        </w:rPr>
      </w:pPr>
    </w:p>
    <w:p>
      <w:pPr>
        <w:ind w:left="1760" w:hanging="345"/>
        <w:spacing w:after="0"/>
        <w:tabs>
          <w:tab w:leader="none" w:pos="1760" w:val="left"/>
        </w:tabs>
        <w:numPr>
          <w:ilvl w:val="1"/>
          <w:numId w:val="9"/>
        </w:numPr>
        <w:rPr>
          <w:rFonts w:ascii="Arial" w:cs="Arial" w:eastAsia="Arial" w:hAnsi="Arial"/>
          <w:sz w:val="22"/>
          <w:szCs w:val="22"/>
          <w:color w:val="55565A"/>
        </w:rPr>
      </w:pPr>
      <w:r>
        <w:rPr>
          <w:rFonts w:ascii="Arial" w:cs="Arial" w:eastAsia="Arial" w:hAnsi="Arial"/>
          <w:sz w:val="22"/>
          <w:szCs w:val="22"/>
          <w:color w:val="55565A"/>
        </w:rPr>
        <w:t>No exacerbations or rescue therapy usage was reported</w:t>
      </w: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27"/>
          <w:szCs w:val="27"/>
          <w:i w:val="1"/>
          <w:iCs w:val="1"/>
          <w:color w:val="55565A"/>
        </w:rPr>
        <w:t>Next Steps</w:t>
      </w:r>
    </w:p>
    <w:p>
      <w:pPr>
        <w:spacing w:after="0" w:line="76" w:lineRule="exact"/>
        <w:rPr>
          <w:sz w:val="20"/>
          <w:szCs w:val="20"/>
          <w:color w:val="auto"/>
        </w:rPr>
      </w:pPr>
    </w:p>
    <w:p>
      <w:pPr>
        <w:ind w:left="1220" w:hanging="350"/>
        <w:spacing w:after="0"/>
        <w:tabs>
          <w:tab w:leader="none" w:pos="1220" w:val="left"/>
        </w:tabs>
        <w:numPr>
          <w:ilvl w:val="0"/>
          <w:numId w:val="10"/>
        </w:numPr>
        <w:rPr>
          <w:rFonts w:ascii="Arial" w:cs="Arial" w:eastAsia="Arial" w:hAnsi="Arial"/>
          <w:sz w:val="22"/>
          <w:szCs w:val="22"/>
          <w:color w:val="55565A"/>
        </w:rPr>
      </w:pPr>
      <w:r>
        <w:rPr>
          <w:rFonts w:ascii="Arial" w:cs="Arial" w:eastAsia="Arial" w:hAnsi="Arial"/>
          <w:sz w:val="22"/>
          <w:szCs w:val="22"/>
          <w:color w:val="55565A"/>
        </w:rPr>
        <w:t>Complete ongoing Phase 2a trial and present detailed data at a medical conference in 2019</w:t>
      </w:r>
    </w:p>
    <w:p>
      <w:pPr>
        <w:spacing w:after="0" w:line="42" w:lineRule="exact"/>
        <w:rPr>
          <w:rFonts w:ascii="Arial" w:cs="Arial" w:eastAsia="Arial" w:hAnsi="Arial"/>
          <w:sz w:val="22"/>
          <w:szCs w:val="22"/>
          <w:color w:val="55565A"/>
        </w:rPr>
      </w:pPr>
    </w:p>
    <w:p>
      <w:pPr>
        <w:ind w:left="1220" w:right="1080" w:hanging="350"/>
        <w:spacing w:after="0" w:line="243" w:lineRule="auto"/>
        <w:tabs>
          <w:tab w:leader="none" w:pos="1220" w:val="left"/>
        </w:tabs>
        <w:numPr>
          <w:ilvl w:val="0"/>
          <w:numId w:val="10"/>
        </w:numPr>
        <w:rPr>
          <w:rFonts w:ascii="Arial" w:cs="Arial" w:eastAsia="Arial" w:hAnsi="Arial"/>
          <w:sz w:val="22"/>
          <w:szCs w:val="22"/>
          <w:color w:val="55565A"/>
        </w:rPr>
      </w:pPr>
      <w:r>
        <w:rPr>
          <w:rFonts w:ascii="Arial" w:cs="Arial" w:eastAsia="Arial" w:hAnsi="Arial"/>
          <w:sz w:val="22"/>
          <w:szCs w:val="22"/>
          <w:color w:val="55565A"/>
        </w:rPr>
        <w:t>Initiate Phase 2b randomized, double-blinded, placebo-controlled, multi-dose trial of etokimab in eosinophilic asthma during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5"/>
          <w:szCs w:val="15"/>
          <w:color w:val="FFFFFF"/>
        </w:rPr>
        <w:t>12</w:t>
      </w:r>
    </w:p>
    <w:p>
      <w:pPr>
        <w:sectPr>
          <w:pgSz w:w="11900" w:h="16838" w:orient="portrait"/>
          <w:cols w:equalWidth="0" w:num="1">
            <w:col w:w="10280"/>
          </w:cols>
          <w:pgMar w:left="600" w:top="631" w:right="1019" w:bottom="1440" w:gutter="0" w:footer="0" w:header="0"/>
        </w:sectPr>
      </w:pPr>
    </w:p>
    <w:bookmarkStart w:id="20" w:name="page21"/>
    <w:bookmarkEnd w:id="20"/>
    <w:p>
      <w:pPr>
        <w:spacing w:after="0"/>
        <w:rPr>
          <w:sz w:val="20"/>
          <w:szCs w:val="20"/>
          <w:color w:val="auto"/>
        </w:rPr>
      </w:pPr>
      <w:r>
        <w:rPr>
          <w:rFonts w:ascii="Arial" w:cs="Arial" w:eastAsia="Arial" w:hAnsi="Arial"/>
          <w:sz w:val="33"/>
          <w:szCs w:val="33"/>
          <w:b w:val="1"/>
          <w:bCs w:val="1"/>
          <w:color w:val="55565A"/>
        </w:rPr>
        <w:drawing>
          <wp:anchor simplePos="0" relativeHeight="251657728" behindDoc="1" locked="0" layoutInCell="0" allowOverlap="1">
            <wp:simplePos x="0" y="0"/>
            <wp:positionH relativeFrom="page">
              <wp:posOffset>133985</wp:posOffset>
            </wp:positionH>
            <wp:positionV relativeFrom="page">
              <wp:posOffset>88900</wp:posOffset>
            </wp:positionV>
            <wp:extent cx="7308215" cy="5355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8215" cy="5355590"/>
                    </a:xfrm>
                    <a:prstGeom prst="rect">
                      <a:avLst/>
                    </a:prstGeom>
                    <a:noFill/>
                  </pic:spPr>
                </pic:pic>
              </a:graphicData>
            </a:graphic>
          </wp:anchor>
        </w:drawing>
        <w:t>Anticipated Milestones</w:t>
      </w:r>
    </w:p>
    <w:p>
      <w:pPr>
        <w:spacing w:after="0" w:line="59" w:lineRule="exact"/>
        <w:rPr>
          <w:sz w:val="20"/>
          <w:szCs w:val="20"/>
          <w:color w:val="auto"/>
        </w:rPr>
      </w:pPr>
    </w:p>
    <w:p>
      <w:pPr>
        <w:spacing w:after="0"/>
        <w:rPr>
          <w:sz w:val="20"/>
          <w:szCs w:val="20"/>
          <w:color w:val="auto"/>
        </w:rPr>
      </w:pPr>
      <w:r>
        <w:rPr>
          <w:rFonts w:ascii="Arial" w:cs="Arial" w:eastAsia="Arial" w:hAnsi="Arial"/>
          <w:sz w:val="27"/>
          <w:szCs w:val="27"/>
          <w:i w:val="1"/>
          <w:iCs w:val="1"/>
          <w:color w:val="0087C9"/>
        </w:rPr>
        <w:t>4 Additional Efficacy Readouts Anticipated By End 2019</w:t>
      </w:r>
    </w:p>
    <w:p>
      <w:pPr>
        <w:sectPr>
          <w:pgSz w:w="11900" w:h="16838" w:orient="portrait"/>
          <w:cols w:equalWidth="0" w:num="1">
            <w:col w:w="10180"/>
          </w:cols>
          <w:pgMar w:left="700" w:top="663"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55565A"/>
        </w:rPr>
        <w:t>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55565A"/>
        </w:rPr>
        <w:t>Etokimab</w:t>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55565A"/>
        </w:rPr>
        <w:t>(anti-IL-33)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55565A"/>
        </w:rPr>
        <w:t>ANB019</w:t>
      </w:r>
    </w:p>
    <w:p>
      <w:pPr>
        <w:spacing w:after="0" w:line="29" w:lineRule="exact"/>
        <w:rPr>
          <w:sz w:val="20"/>
          <w:szCs w:val="20"/>
          <w:color w:val="auto"/>
        </w:rPr>
      </w:pPr>
    </w:p>
    <w:p>
      <w:pPr>
        <w:jc w:val="center"/>
        <w:ind w:left="500"/>
        <w:spacing w:after="0"/>
        <w:rPr>
          <w:sz w:val="20"/>
          <w:szCs w:val="20"/>
          <w:color w:val="auto"/>
        </w:rPr>
      </w:pPr>
      <w:r>
        <w:rPr>
          <w:rFonts w:ascii="Arial" w:cs="Arial" w:eastAsia="Arial" w:hAnsi="Arial"/>
          <w:sz w:val="17"/>
          <w:szCs w:val="17"/>
          <w:b w:val="1"/>
          <w:bCs w:val="1"/>
          <w:color w:val="55565A"/>
        </w:rPr>
        <w:t>(anti-IL-36R)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00"/>
        <w:spacing w:after="0"/>
        <w:rPr>
          <w:sz w:val="20"/>
          <w:szCs w:val="20"/>
          <w:color w:val="auto"/>
        </w:rPr>
      </w:pPr>
      <w:r>
        <w:rPr>
          <w:rFonts w:ascii="Arial" w:cs="Arial" w:eastAsia="Arial" w:hAnsi="Arial"/>
          <w:sz w:val="22"/>
          <w:szCs w:val="22"/>
          <w:b w:val="1"/>
          <w:bCs w:val="1"/>
          <w:color w:val="55565A"/>
        </w:rPr>
        <w:t>Milestone</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55565A"/>
        </w:rPr>
        <w:t>Moderate-to-Severe Adult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55565A"/>
        </w:rPr>
        <w:t>Atopic Dermatitis Phase 2a Trial</w:t>
      </w:r>
    </w:p>
    <w:p>
      <w:pPr>
        <w:spacing w:after="0" w:line="214" w:lineRule="exact"/>
        <w:rPr>
          <w:sz w:val="20"/>
          <w:szCs w:val="20"/>
          <w:color w:val="auto"/>
        </w:rPr>
      </w:pPr>
    </w:p>
    <w:p>
      <w:pPr>
        <w:ind w:left="420" w:right="360" w:hanging="90"/>
        <w:spacing w:after="0" w:line="262" w:lineRule="auto"/>
        <w:rPr>
          <w:sz w:val="20"/>
          <w:szCs w:val="20"/>
          <w:color w:val="auto"/>
        </w:rPr>
      </w:pPr>
      <w:r>
        <w:rPr>
          <w:rFonts w:ascii="Arial" w:cs="Arial" w:eastAsia="Arial" w:hAnsi="Arial"/>
          <w:sz w:val="17"/>
          <w:szCs w:val="17"/>
          <w:color w:val="55565A"/>
        </w:rPr>
        <w:t>ATLAS: Moderate-to-Severe Adult Atopic Dermatitis Phase 2b Trial</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55565A"/>
        </w:rPr>
        <w:t>Severe Adult Eosinophilic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55565A"/>
        </w:rPr>
        <w:t>Asthma Phase 2a Trial</w:t>
      </w:r>
    </w:p>
    <w:p>
      <w:pPr>
        <w:spacing w:after="0" w:line="339" w:lineRule="exact"/>
        <w:rPr>
          <w:sz w:val="20"/>
          <w:szCs w:val="20"/>
          <w:color w:val="auto"/>
        </w:rPr>
      </w:pPr>
    </w:p>
    <w:p>
      <w:pPr>
        <w:ind w:left="320"/>
        <w:spacing w:after="0"/>
        <w:rPr>
          <w:sz w:val="20"/>
          <w:szCs w:val="20"/>
          <w:color w:val="auto"/>
        </w:rPr>
      </w:pPr>
      <w:r>
        <w:rPr>
          <w:rFonts w:ascii="Arial" w:cs="Arial" w:eastAsia="Arial" w:hAnsi="Arial"/>
          <w:sz w:val="17"/>
          <w:szCs w:val="17"/>
          <w:color w:val="55565A"/>
        </w:rPr>
        <w:t>Eosinophilic Asthma Phase 2b Trial</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55565A"/>
        </w:rPr>
        <w:t>ECLIPSE: Adult Chronic Rhinosinusitis with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55565A"/>
        </w:rPr>
        <w:t>Nasal Polyps Phase 2 Trial</w:t>
      </w:r>
    </w:p>
    <w:p>
      <w:pPr>
        <w:spacing w:after="0" w:line="339" w:lineRule="exact"/>
        <w:rPr>
          <w:sz w:val="20"/>
          <w:szCs w:val="20"/>
          <w:color w:val="auto"/>
        </w:rPr>
      </w:pPr>
    </w:p>
    <w:p>
      <w:pPr>
        <w:ind w:left="140"/>
        <w:spacing w:after="0"/>
        <w:rPr>
          <w:sz w:val="20"/>
          <w:szCs w:val="20"/>
          <w:color w:val="auto"/>
        </w:rPr>
      </w:pPr>
      <w:r>
        <w:rPr>
          <w:rFonts w:ascii="Arial" w:cs="Arial" w:eastAsia="Arial" w:hAnsi="Arial"/>
          <w:sz w:val="17"/>
          <w:szCs w:val="17"/>
          <w:color w:val="55565A"/>
        </w:rPr>
        <w:t>Healthy Volunteer Top-line Phase I Trial</w:t>
      </w:r>
    </w:p>
    <w:p>
      <w:pPr>
        <w:spacing w:after="0" w:line="361" w:lineRule="exact"/>
        <w:rPr>
          <w:sz w:val="20"/>
          <w:szCs w:val="20"/>
          <w:color w:val="auto"/>
        </w:rPr>
      </w:pPr>
    </w:p>
    <w:p>
      <w:pPr>
        <w:ind w:left="540"/>
        <w:spacing w:after="0"/>
        <w:rPr>
          <w:sz w:val="20"/>
          <w:szCs w:val="20"/>
          <w:color w:val="auto"/>
        </w:rPr>
      </w:pPr>
      <w:r>
        <w:rPr>
          <w:rFonts w:ascii="Arial" w:cs="Arial" w:eastAsia="Arial" w:hAnsi="Arial"/>
          <w:sz w:val="17"/>
          <w:szCs w:val="17"/>
          <w:color w:val="55565A"/>
        </w:rPr>
        <w:t>GALLOP: GPP Phase 2 Trial</w:t>
      </w:r>
    </w:p>
    <w:p>
      <w:pPr>
        <w:spacing w:after="0" w:line="305" w:lineRule="exact"/>
        <w:rPr>
          <w:sz w:val="20"/>
          <w:szCs w:val="20"/>
          <w:color w:val="auto"/>
        </w:rPr>
      </w:pPr>
    </w:p>
    <w:p>
      <w:pPr>
        <w:ind w:left="540"/>
        <w:spacing w:after="0"/>
        <w:rPr>
          <w:sz w:val="20"/>
          <w:szCs w:val="20"/>
          <w:color w:val="auto"/>
        </w:rPr>
      </w:pPr>
      <w:r>
        <w:rPr>
          <w:rFonts w:ascii="Arial" w:cs="Arial" w:eastAsia="Arial" w:hAnsi="Arial"/>
          <w:sz w:val="17"/>
          <w:szCs w:val="17"/>
          <w:color w:val="55565A"/>
        </w:rPr>
        <w:t>POPLAR: PPP Phase 2 Trial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55565A"/>
        </w:rPr>
        <w:t>Timing</w:t>
      </w:r>
    </w:p>
    <w:p>
      <w:pPr>
        <w:spacing w:after="0" w:line="246" w:lineRule="exact"/>
        <w:rPr>
          <w:sz w:val="20"/>
          <w:szCs w:val="20"/>
          <w:color w:val="auto"/>
        </w:rPr>
      </w:pPr>
    </w:p>
    <w:p>
      <w:pPr>
        <w:ind w:right="260" w:firstLine="364"/>
        <w:spacing w:after="0" w:line="293" w:lineRule="auto"/>
        <w:rPr>
          <w:sz w:val="20"/>
          <w:szCs w:val="20"/>
          <w:color w:val="auto"/>
        </w:rPr>
      </w:pPr>
      <w:r>
        <w:rPr>
          <w:rFonts w:ascii="Arial" w:cs="Arial" w:eastAsia="Arial" w:hAnsi="Arial"/>
          <w:sz w:val="16"/>
          <w:szCs w:val="16"/>
          <w:color w:val="55565A"/>
        </w:rPr>
        <w:t>Top-line data announced October 2017 Detailed data presented at AAD and EAACI 2018</w:t>
      </w:r>
    </w:p>
    <w:p>
      <w:pPr>
        <w:spacing w:after="0" w:line="165"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55565A"/>
        </w:rPr>
        <w:t>Initiated H1 2018</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55565A"/>
        </w:rPr>
        <w:t>Top-line data anticipated in H2 2019</w:t>
      </w:r>
    </w:p>
    <w:p>
      <w:pPr>
        <w:spacing w:after="0" w:line="236"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55565A"/>
        </w:rPr>
        <w:t>Top-line data presented today</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55565A"/>
        </w:rPr>
        <w:t>Detailed data to be presented in 2019</w:t>
      </w:r>
    </w:p>
    <w:p>
      <w:pPr>
        <w:spacing w:after="0" w:line="339" w:lineRule="exact"/>
        <w:rPr>
          <w:sz w:val="20"/>
          <w:szCs w:val="20"/>
          <w:color w:val="auto"/>
        </w:rPr>
      </w:pPr>
    </w:p>
    <w:p>
      <w:pPr>
        <w:ind w:left="980"/>
        <w:spacing w:after="0"/>
        <w:rPr>
          <w:sz w:val="20"/>
          <w:szCs w:val="20"/>
          <w:color w:val="auto"/>
        </w:rPr>
      </w:pPr>
      <w:r>
        <w:rPr>
          <w:rFonts w:ascii="Arial" w:cs="Arial" w:eastAsia="Arial" w:hAnsi="Arial"/>
          <w:sz w:val="17"/>
          <w:szCs w:val="17"/>
          <w:color w:val="55565A"/>
        </w:rPr>
        <w:t>To be initiated in 2019</w:t>
      </w:r>
    </w:p>
    <w:p>
      <w:pPr>
        <w:spacing w:after="0" w:line="339"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55565A"/>
        </w:rPr>
        <w:t>To be initiated by end 2018</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55565A"/>
        </w:rPr>
        <w:t>Top-line data anticipated in H2 2019</w:t>
      </w:r>
    </w:p>
    <w:p>
      <w:pPr>
        <w:spacing w:after="0" w:line="236" w:lineRule="exact"/>
        <w:rPr>
          <w:sz w:val="20"/>
          <w:szCs w:val="20"/>
          <w:color w:val="auto"/>
        </w:rPr>
      </w:pPr>
    </w:p>
    <w:p>
      <w:pPr>
        <w:ind w:left="340" w:right="500" w:hanging="78"/>
        <w:spacing w:after="0" w:line="262" w:lineRule="auto"/>
        <w:rPr>
          <w:sz w:val="20"/>
          <w:szCs w:val="20"/>
          <w:color w:val="auto"/>
        </w:rPr>
      </w:pPr>
      <w:r>
        <w:rPr>
          <w:rFonts w:ascii="Arial" w:cs="Arial" w:eastAsia="Arial" w:hAnsi="Arial"/>
          <w:sz w:val="17"/>
          <w:szCs w:val="17"/>
          <w:color w:val="55565A"/>
        </w:rPr>
        <w:t>Top-line data announced November 2017 Detailed data presented at EAACI 2018</w:t>
      </w:r>
    </w:p>
    <w:p>
      <w:pPr>
        <w:spacing w:after="0" w:line="130"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55565A"/>
        </w:rPr>
        <w:t>Initiated H1 2018</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55565A"/>
        </w:rPr>
        <w:t>Top-line data anticipated in early 2019</w:t>
      </w:r>
    </w:p>
    <w:p>
      <w:pPr>
        <w:spacing w:after="0" w:line="111"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55565A"/>
        </w:rPr>
        <w:t>Initiated H2 2018</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55565A"/>
        </w:rPr>
        <w:t>Top-line data anticipated in H2 2019</w:t>
      </w:r>
    </w:p>
    <w:p>
      <w:pPr>
        <w:spacing w:after="0" w:line="200" w:lineRule="exact"/>
        <w:rPr>
          <w:sz w:val="20"/>
          <w:szCs w:val="20"/>
          <w:color w:val="auto"/>
        </w:rPr>
      </w:pPr>
    </w:p>
    <w:p>
      <w:pPr>
        <w:sectPr>
          <w:pgSz w:w="11900" w:h="16838" w:orient="portrait"/>
          <w:cols w:equalWidth="0" w:num="3">
            <w:col w:w="1740" w:space="720"/>
            <w:col w:w="3280" w:space="540"/>
            <w:col w:w="3900"/>
          </w:cols>
          <w:pgMar w:left="700" w:top="663" w:right="1019" w:bottom="1440" w:gutter="0" w:footer="0" w:header="0"/>
          <w:type w:val="continuous"/>
        </w:sectPr>
      </w:pPr>
    </w:p>
    <w:p>
      <w:pPr>
        <w:spacing w:after="0" w:line="199"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55565A"/>
        </w:rPr>
        <w:t>Approximately $300MM in cash, cash equivalents and investments as of June 30</w:t>
      </w:r>
      <w:r>
        <w:rPr>
          <w:rFonts w:ascii="Arial" w:cs="Arial" w:eastAsia="Arial" w:hAnsi="Arial"/>
          <w:sz w:val="27"/>
          <w:szCs w:val="27"/>
          <w:b w:val="1"/>
          <w:bCs w:val="1"/>
          <w:color w:val="55565A"/>
          <w:vertAlign w:val="superscript"/>
        </w:rPr>
        <w:t>th</w:t>
      </w:r>
      <w:r>
        <w:rPr>
          <w:rFonts w:ascii="Arial" w:cs="Arial" w:eastAsia="Arial" w:hAnsi="Arial"/>
          <w:sz w:val="22"/>
          <w:szCs w:val="22"/>
          <w:b w:val="1"/>
          <w:bCs w:val="1"/>
          <w:color w:val="55565A"/>
        </w:rPr>
        <w:t xml:space="preserve">  2018</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5"/>
          <w:szCs w:val="15"/>
          <w:color w:val="FFFFFF"/>
        </w:rPr>
        <w:t>13</w:t>
      </w:r>
    </w:p>
    <w:p>
      <w:pPr>
        <w:sectPr>
          <w:pgSz w:w="11900" w:h="16838" w:orient="portrait"/>
          <w:cols w:equalWidth="0" w:num="1">
            <w:col w:w="10180"/>
          </w:cols>
          <w:pgMar w:left="700" w:top="663" w:right="1019" w:bottom="1440" w:gutter="0" w:footer="0" w:header="0"/>
          <w:type w:val="continuous"/>
        </w:sectPr>
      </w:pPr>
    </w:p>
    <w:bookmarkStart w:id="21" w:name="page22"/>
    <w:bookmarkEnd w:id="21"/>
    <w:p>
      <w:pPr>
        <w:ind w:left="180"/>
        <w:spacing w:after="0"/>
        <w:rPr>
          <w:sz w:val="20"/>
          <w:szCs w:val="20"/>
          <w:color w:val="auto"/>
        </w:rPr>
      </w:pPr>
      <w:r>
        <w:rPr>
          <w:rFonts w:ascii="Arial" w:cs="Arial" w:eastAsia="Arial" w:hAnsi="Arial"/>
          <w:sz w:val="32"/>
          <w:szCs w:val="32"/>
          <w:b w:val="1"/>
          <w:bCs w:val="1"/>
          <w:color w:val="55565A"/>
        </w:rPr>
        <w:drawing>
          <wp:anchor simplePos="0" relativeHeight="251657728" behindDoc="1" locked="0" layoutInCell="0" allowOverlap="1">
            <wp:simplePos x="0" y="0"/>
            <wp:positionH relativeFrom="page">
              <wp:posOffset>133985</wp:posOffset>
            </wp:positionH>
            <wp:positionV relativeFrom="page">
              <wp:posOffset>88900</wp:posOffset>
            </wp:positionV>
            <wp:extent cx="7308215" cy="5355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8215" cy="5355590"/>
                    </a:xfrm>
                    <a:prstGeom prst="rect">
                      <a:avLst/>
                    </a:prstGeom>
                    <a:noFill/>
                  </pic:spPr>
                </pic:pic>
              </a:graphicData>
            </a:graphic>
          </wp:anchor>
        </w:drawing>
        <w:t>AnaptysBio: Clinical-Stage Antibody Development Company</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24"/>
          <w:szCs w:val="24"/>
          <w:i w:val="1"/>
          <w:iCs w:val="1"/>
          <w:color w:val="0087C9"/>
        </w:rPr>
        <w:t>Focused on Novel Antibody Medicines for Severe Inflammatory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284"/>
        </w:trPr>
        <w:tc>
          <w:tcPr>
            <w:tcW w:w="4600" w:type="dxa"/>
            <w:vAlign w:val="bottom"/>
          </w:tcPr>
          <w:p>
            <w:pPr>
              <w:ind w:left="1280"/>
              <w:spacing w:after="0"/>
              <w:rPr>
                <w:sz w:val="20"/>
                <w:szCs w:val="20"/>
                <w:color w:val="auto"/>
              </w:rPr>
            </w:pPr>
            <w:r>
              <w:rPr>
                <w:rFonts w:ascii="Arial" w:cs="Arial" w:eastAsia="Arial" w:hAnsi="Arial"/>
                <w:sz w:val="24"/>
                <w:szCs w:val="24"/>
                <w:color w:val="55565A"/>
              </w:rPr>
              <w:t>Wholly-Owned</w:t>
            </w:r>
          </w:p>
        </w:tc>
        <w:tc>
          <w:tcPr>
            <w:tcW w:w="4760" w:type="dxa"/>
            <w:vAlign w:val="bottom"/>
            <w:gridSpan w:val="3"/>
          </w:tcPr>
          <w:p>
            <w:pPr>
              <w:ind w:left="1120"/>
              <w:spacing w:after="0"/>
              <w:rPr>
                <w:sz w:val="20"/>
                <w:szCs w:val="20"/>
                <w:color w:val="auto"/>
              </w:rPr>
            </w:pPr>
            <w:r>
              <w:rPr>
                <w:rFonts w:ascii="Arial" w:cs="Arial" w:eastAsia="Arial" w:hAnsi="Arial"/>
                <w:sz w:val="24"/>
                <w:szCs w:val="24"/>
                <w:color w:val="55565A"/>
              </w:rPr>
              <w:t>Rapid Antibody Generation</w:t>
            </w:r>
          </w:p>
        </w:tc>
        <w:tc>
          <w:tcPr>
            <w:tcW w:w="0" w:type="dxa"/>
            <w:vAlign w:val="bottom"/>
          </w:tcPr>
          <w:p>
            <w:pPr>
              <w:spacing w:after="0"/>
              <w:rPr>
                <w:sz w:val="1"/>
                <w:szCs w:val="1"/>
                <w:color w:val="auto"/>
              </w:rPr>
            </w:pPr>
          </w:p>
        </w:tc>
      </w:tr>
      <w:tr>
        <w:trPr>
          <w:trHeight w:val="288"/>
        </w:trPr>
        <w:tc>
          <w:tcPr>
            <w:tcW w:w="4600" w:type="dxa"/>
            <w:vAlign w:val="bottom"/>
          </w:tcPr>
          <w:p>
            <w:pPr>
              <w:ind w:left="640"/>
              <w:spacing w:after="0"/>
              <w:rPr>
                <w:sz w:val="20"/>
                <w:szCs w:val="20"/>
                <w:color w:val="auto"/>
              </w:rPr>
            </w:pPr>
            <w:r>
              <w:rPr>
                <w:rFonts w:ascii="Arial" w:cs="Arial" w:eastAsia="Arial" w:hAnsi="Arial"/>
                <w:sz w:val="24"/>
                <w:szCs w:val="24"/>
                <w:color w:val="55565A"/>
              </w:rPr>
              <w:t>Anti-Inflammatory Pipeline</w:t>
            </w:r>
          </w:p>
        </w:tc>
        <w:tc>
          <w:tcPr>
            <w:tcW w:w="148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24"/>
                <w:szCs w:val="24"/>
                <w:color w:val="55565A"/>
                <w:w w:val="97"/>
              </w:rPr>
              <w:t>Platform Technology</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4600" w:type="dxa"/>
            <w:vAlign w:val="bottom"/>
          </w:tcPr>
          <w:p>
            <w:pPr>
              <w:ind w:left="640"/>
              <w:spacing w:after="0"/>
              <w:rPr>
                <w:sz w:val="20"/>
                <w:szCs w:val="20"/>
                <w:color w:val="auto"/>
              </w:rPr>
            </w:pPr>
            <w:r>
              <w:rPr>
                <w:rFonts w:ascii="Arial" w:cs="Arial" w:eastAsia="Arial" w:hAnsi="Arial"/>
                <w:sz w:val="18"/>
                <w:szCs w:val="18"/>
                <w:b w:val="1"/>
                <w:bCs w:val="1"/>
                <w:color w:val="FFFFFF"/>
              </w:rPr>
              <w:t>Etokimab (ANB020, Anti-IL-33)</w:t>
            </w:r>
          </w:p>
        </w:tc>
        <w:tc>
          <w:tcPr>
            <w:tcW w:w="1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600" w:type="dxa"/>
            <w:vAlign w:val="bottom"/>
          </w:tcPr>
          <w:p>
            <w:pPr>
              <w:spacing w:after="0"/>
              <w:rPr>
                <w:sz w:val="20"/>
                <w:szCs w:val="20"/>
                <w:color w:val="auto"/>
              </w:rPr>
            </w:pPr>
            <w:r>
              <w:rPr>
                <w:rFonts w:ascii="Arial" w:cs="Arial" w:eastAsia="Arial" w:hAnsi="Arial"/>
                <w:sz w:val="10"/>
                <w:szCs w:val="10"/>
                <w:color w:val="FFFFFF"/>
              </w:rPr>
              <w:t>Atopic Dermatitis, Eosinophilic Asthma &amp; Chronic Rhinosinusitis with Nasal Polyps</w:t>
            </w:r>
          </w:p>
        </w:tc>
        <w:tc>
          <w:tcPr>
            <w:tcW w:w="1480" w:type="dxa"/>
            <w:vAlign w:val="bottom"/>
            <w:vMerge w:val="restart"/>
          </w:tcPr>
          <w:p>
            <w:pPr>
              <w:jc w:val="center"/>
              <w:ind w:left="815"/>
              <w:spacing w:after="0"/>
              <w:rPr>
                <w:sz w:val="20"/>
                <w:szCs w:val="20"/>
                <w:color w:val="auto"/>
              </w:rPr>
            </w:pPr>
            <w:r>
              <w:rPr>
                <w:rFonts w:ascii="Arial" w:cs="Arial" w:eastAsia="Arial" w:hAnsi="Arial"/>
                <w:sz w:val="14"/>
                <w:szCs w:val="14"/>
                <w:color w:val="FFFFFF"/>
                <w:w w:val="99"/>
              </w:rPr>
              <w:t>Antibody</w:t>
            </w:r>
          </w:p>
        </w:tc>
        <w:tc>
          <w:tcPr>
            <w:tcW w:w="2220" w:type="dxa"/>
            <w:vAlign w:val="bottom"/>
            <w:vMerge w:val="restart"/>
          </w:tcPr>
          <w:p>
            <w:pPr>
              <w:jc w:val="right"/>
              <w:ind w:right="515"/>
              <w:spacing w:after="0"/>
              <w:rPr>
                <w:sz w:val="20"/>
                <w:szCs w:val="20"/>
                <w:color w:val="auto"/>
              </w:rPr>
            </w:pPr>
            <w:r>
              <w:rPr>
                <w:rFonts w:ascii="Arial" w:cs="Arial" w:eastAsia="Arial" w:hAnsi="Arial"/>
                <w:sz w:val="14"/>
                <w:szCs w:val="14"/>
                <w:color w:val="FFFFFF"/>
              </w:rPr>
              <w:t>Preclinical &amp;</w:t>
            </w:r>
          </w:p>
        </w:tc>
        <w:tc>
          <w:tcPr>
            <w:tcW w:w="1060" w:type="dxa"/>
            <w:vAlign w:val="bottom"/>
            <w:vMerge w:val="restart"/>
          </w:tcPr>
          <w:p>
            <w:pPr>
              <w:jc w:val="center"/>
              <w:ind w:left="12"/>
              <w:spacing w:after="0"/>
              <w:rPr>
                <w:sz w:val="20"/>
                <w:szCs w:val="20"/>
                <w:color w:val="auto"/>
              </w:rPr>
            </w:pPr>
            <w:r>
              <w:rPr>
                <w:rFonts w:ascii="Arial" w:cs="Arial" w:eastAsia="Arial" w:hAnsi="Arial"/>
                <w:sz w:val="14"/>
                <w:szCs w:val="14"/>
                <w:color w:val="FFFFFF"/>
                <w:w w:val="93"/>
              </w:rPr>
              <w:t>IND or</w:t>
            </w:r>
          </w:p>
        </w:tc>
        <w:tc>
          <w:tcPr>
            <w:tcW w:w="0" w:type="dxa"/>
            <w:vAlign w:val="bottom"/>
          </w:tcPr>
          <w:p>
            <w:pPr>
              <w:spacing w:after="0"/>
              <w:rPr>
                <w:sz w:val="1"/>
                <w:szCs w:val="1"/>
                <w:color w:val="auto"/>
              </w:rPr>
            </w:pPr>
          </w:p>
        </w:tc>
      </w:tr>
      <w:tr>
        <w:trPr>
          <w:trHeight w:val="63"/>
        </w:trPr>
        <w:tc>
          <w:tcPr>
            <w:tcW w:w="46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22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600" w:type="dxa"/>
            <w:vAlign w:val="bottom"/>
          </w:tcPr>
          <w:p>
            <w:pPr>
              <w:spacing w:after="0"/>
              <w:rPr>
                <w:sz w:val="14"/>
                <w:szCs w:val="14"/>
                <w:color w:val="auto"/>
              </w:rPr>
            </w:pPr>
          </w:p>
        </w:tc>
        <w:tc>
          <w:tcPr>
            <w:tcW w:w="1480" w:type="dxa"/>
            <w:vAlign w:val="bottom"/>
          </w:tcPr>
          <w:p>
            <w:pPr>
              <w:jc w:val="center"/>
              <w:ind w:left="795"/>
              <w:spacing w:after="0"/>
              <w:rPr>
                <w:sz w:val="20"/>
                <w:szCs w:val="20"/>
                <w:color w:val="auto"/>
              </w:rPr>
            </w:pPr>
            <w:r>
              <w:rPr>
                <w:rFonts w:ascii="Arial" w:cs="Arial" w:eastAsia="Arial" w:hAnsi="Arial"/>
                <w:sz w:val="14"/>
                <w:szCs w:val="14"/>
                <w:color w:val="FFFFFF"/>
                <w:w w:val="97"/>
              </w:rPr>
              <w:t>Discovery</w:t>
            </w:r>
          </w:p>
        </w:tc>
        <w:tc>
          <w:tcPr>
            <w:tcW w:w="2220" w:type="dxa"/>
            <w:vAlign w:val="bottom"/>
          </w:tcPr>
          <w:p>
            <w:pPr>
              <w:jc w:val="right"/>
              <w:ind w:right="515"/>
              <w:spacing w:after="0"/>
              <w:rPr>
                <w:sz w:val="20"/>
                <w:szCs w:val="20"/>
                <w:color w:val="auto"/>
              </w:rPr>
            </w:pPr>
            <w:r>
              <w:rPr>
                <w:rFonts w:ascii="Arial" w:cs="Arial" w:eastAsia="Arial" w:hAnsi="Arial"/>
                <w:sz w:val="14"/>
                <w:szCs w:val="14"/>
                <w:color w:val="FFFFFF"/>
              </w:rPr>
              <w:t>Translational</w:t>
            </w:r>
          </w:p>
        </w:tc>
        <w:tc>
          <w:tcPr>
            <w:tcW w:w="1060" w:type="dxa"/>
            <w:vAlign w:val="bottom"/>
          </w:tcPr>
          <w:p>
            <w:pPr>
              <w:jc w:val="center"/>
              <w:spacing w:after="0"/>
              <w:rPr>
                <w:sz w:val="20"/>
                <w:szCs w:val="20"/>
                <w:color w:val="auto"/>
              </w:rPr>
            </w:pPr>
            <w:r>
              <w:rPr>
                <w:rFonts w:ascii="Arial" w:cs="Arial" w:eastAsia="Arial" w:hAnsi="Arial"/>
                <w:sz w:val="14"/>
                <w:szCs w:val="14"/>
                <w:color w:val="FFFFFF"/>
                <w:w w:val="97"/>
              </w:rPr>
              <w:t>Equivalent Filing</w:t>
            </w:r>
          </w:p>
        </w:tc>
        <w:tc>
          <w:tcPr>
            <w:tcW w:w="0" w:type="dxa"/>
            <w:vAlign w:val="bottom"/>
          </w:tcPr>
          <w:p>
            <w:pPr>
              <w:spacing w:after="0"/>
              <w:rPr>
                <w:sz w:val="1"/>
                <w:szCs w:val="1"/>
                <w:color w:val="auto"/>
              </w:rPr>
            </w:pPr>
          </w:p>
        </w:tc>
      </w:tr>
    </w:tbl>
    <w:p>
      <w:pPr>
        <w:ind w:left="1360"/>
        <w:spacing w:after="0"/>
        <w:rPr>
          <w:sz w:val="20"/>
          <w:szCs w:val="20"/>
          <w:color w:val="auto"/>
        </w:rPr>
      </w:pPr>
      <w:r>
        <w:rPr>
          <w:rFonts w:ascii="Arial" w:cs="Arial" w:eastAsia="Arial" w:hAnsi="Arial"/>
          <w:sz w:val="18"/>
          <w:szCs w:val="18"/>
          <w:b w:val="1"/>
          <w:bCs w:val="1"/>
          <w:color w:val="FFFFFF"/>
        </w:rPr>
        <w:t>ANB019 (Anti-IL-36R)</w:t>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0"/>
          <w:szCs w:val="10"/>
          <w:color w:val="FFFFFF"/>
        </w:rPr>
        <w:t>Generalized Pustular Psoriasis &amp; Palmoplantar Pustulosis</w:t>
      </w:r>
    </w:p>
    <w:p>
      <w:pPr>
        <w:spacing w:after="0" w:line="143" w:lineRule="exact"/>
        <w:rPr>
          <w:sz w:val="20"/>
          <w:szCs w:val="20"/>
          <w:color w:val="auto"/>
        </w:rPr>
      </w:pPr>
    </w:p>
    <w:tbl>
      <w:tblPr>
        <w:tblLayout w:type="fixed"/>
        <w:tblInd w:w="960" w:type="dxa"/>
        <w:tblCellMar>
          <w:top w:w="0" w:type="dxa"/>
          <w:left w:w="0" w:type="dxa"/>
          <w:bottom w:w="0" w:type="dxa"/>
          <w:right w:w="0" w:type="dxa"/>
        </w:tblCellMar>
      </w:tblPr>
      <w:tr>
        <w:trPr>
          <w:trHeight w:val="219"/>
        </w:trPr>
        <w:tc>
          <w:tcPr>
            <w:tcW w:w="4640" w:type="dxa"/>
            <w:vAlign w:val="bottom"/>
            <w:vMerge w:val="restart"/>
          </w:tcPr>
          <w:p>
            <w:pPr>
              <w:spacing w:after="0"/>
              <w:rPr>
                <w:sz w:val="20"/>
                <w:szCs w:val="20"/>
                <w:color w:val="auto"/>
              </w:rPr>
            </w:pPr>
            <w:r>
              <w:rPr>
                <w:rFonts w:ascii="Arial" w:cs="Arial" w:eastAsia="Arial" w:hAnsi="Arial"/>
                <w:sz w:val="18"/>
                <w:szCs w:val="18"/>
                <w:b w:val="1"/>
                <w:bCs w:val="1"/>
                <w:color w:val="FFFFFF"/>
              </w:rPr>
              <w:t>Checkpoint Modulator</w:t>
            </w:r>
          </w:p>
        </w:tc>
        <w:tc>
          <w:tcPr>
            <w:tcW w:w="3580" w:type="dxa"/>
            <w:vAlign w:val="bottom"/>
          </w:tcPr>
          <w:p>
            <w:pPr>
              <w:ind w:left="2720"/>
              <w:spacing w:after="0"/>
              <w:rPr>
                <w:sz w:val="20"/>
                <w:szCs w:val="20"/>
                <w:color w:val="auto"/>
              </w:rPr>
            </w:pPr>
            <w:r>
              <w:rPr>
                <w:rFonts w:ascii="Arial" w:cs="Arial" w:eastAsia="Arial" w:hAnsi="Arial"/>
                <w:sz w:val="18"/>
                <w:szCs w:val="18"/>
                <w:color w:val="55565A"/>
                <w:w w:val="99"/>
              </w:rPr>
              <w:t>~2.5 years</w:t>
            </w:r>
          </w:p>
        </w:tc>
        <w:tc>
          <w:tcPr>
            <w:tcW w:w="0" w:type="dxa"/>
            <w:vAlign w:val="bottom"/>
          </w:tcPr>
          <w:p>
            <w:pPr>
              <w:spacing w:after="0"/>
              <w:rPr>
                <w:sz w:val="1"/>
                <w:szCs w:val="1"/>
                <w:color w:val="auto"/>
              </w:rPr>
            </w:pPr>
          </w:p>
        </w:tc>
      </w:tr>
      <w:tr>
        <w:trPr>
          <w:trHeight w:val="103"/>
        </w:trPr>
        <w:tc>
          <w:tcPr>
            <w:tcW w:w="4640" w:type="dxa"/>
            <w:vAlign w:val="bottom"/>
            <w:vMerge w:val="continue"/>
          </w:tcPr>
          <w:p>
            <w:pPr>
              <w:spacing w:after="0"/>
              <w:rPr>
                <w:sz w:val="8"/>
                <w:szCs w:val="8"/>
                <w:color w:val="auto"/>
              </w:rPr>
            </w:pPr>
          </w:p>
        </w:tc>
        <w:tc>
          <w:tcPr>
            <w:tcW w:w="3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4640" w:type="dxa"/>
            <w:vAlign w:val="bottom"/>
          </w:tcPr>
          <w:p>
            <w:pPr>
              <w:ind w:left="400"/>
              <w:spacing w:after="0"/>
              <w:rPr>
                <w:sz w:val="20"/>
                <w:szCs w:val="20"/>
                <w:color w:val="auto"/>
              </w:rPr>
            </w:pPr>
            <w:r>
              <w:rPr>
                <w:rFonts w:ascii="Arial" w:cs="Arial" w:eastAsia="Arial" w:hAnsi="Arial"/>
                <w:sz w:val="10"/>
                <w:szCs w:val="10"/>
                <w:color w:val="FFFFFF"/>
              </w:rPr>
              <w:t>Inflammatory Diseases</w:t>
            </w:r>
          </w:p>
        </w:tc>
        <w:tc>
          <w:tcPr>
            <w:tcW w:w="3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60"/>
        <w:spacing w:after="0"/>
        <w:rPr>
          <w:sz w:val="20"/>
          <w:szCs w:val="20"/>
          <w:color w:val="auto"/>
        </w:rPr>
      </w:pPr>
      <w:r>
        <w:rPr>
          <w:rFonts w:ascii="Arial" w:cs="Arial" w:eastAsia="Arial" w:hAnsi="Arial"/>
          <w:sz w:val="40"/>
          <w:szCs w:val="40"/>
          <w:b w:val="1"/>
          <w:bCs w:val="1"/>
          <w:i w:val="1"/>
          <w:iCs w:val="1"/>
          <w:color w:val="0087C9"/>
        </w:rPr>
        <w:t>Antibody Medicines</w:t>
      </w:r>
    </w:p>
    <w:p>
      <w:pPr>
        <w:spacing w:after="0" w:line="31" w:lineRule="exact"/>
        <w:rPr>
          <w:sz w:val="20"/>
          <w:szCs w:val="20"/>
          <w:color w:val="auto"/>
        </w:rPr>
      </w:pPr>
    </w:p>
    <w:p>
      <w:pPr>
        <w:ind w:left="3400"/>
        <w:spacing w:after="0"/>
        <w:rPr>
          <w:sz w:val="20"/>
          <w:szCs w:val="20"/>
          <w:color w:val="auto"/>
        </w:rPr>
      </w:pPr>
      <w:r>
        <w:rPr>
          <w:rFonts w:ascii="Arial" w:cs="Arial" w:eastAsia="Arial" w:hAnsi="Arial"/>
          <w:sz w:val="40"/>
          <w:szCs w:val="40"/>
          <w:b w:val="1"/>
          <w:bCs w:val="1"/>
          <w:i w:val="1"/>
          <w:iCs w:val="1"/>
          <w:color w:val="0087C9"/>
        </w:rPr>
        <w:t>For Severe Diseases</w:t>
      </w:r>
    </w:p>
    <w:p>
      <w:pPr>
        <w:sectPr>
          <w:pgSz w:w="11900" w:h="16838" w:orient="portrait"/>
          <w:cols w:equalWidth="0" w:num="1">
            <w:col w:w="10400"/>
          </w:cols>
          <w:pgMar w:left="480" w:top="664" w:right="1019" w:bottom="1440" w:gutter="0" w:footer="0" w:header="0"/>
        </w:sectPr>
      </w:pPr>
    </w:p>
    <w:p>
      <w:pPr>
        <w:spacing w:after="0" w:line="298" w:lineRule="exact"/>
        <w:rPr>
          <w:sz w:val="20"/>
          <w:szCs w:val="20"/>
          <w:color w:val="auto"/>
        </w:rPr>
      </w:pPr>
    </w:p>
    <w:p>
      <w:pPr>
        <w:jc w:val="center"/>
        <w:ind w:left="380"/>
        <w:spacing w:after="0"/>
        <w:rPr>
          <w:sz w:val="20"/>
          <w:szCs w:val="20"/>
          <w:color w:val="auto"/>
        </w:rPr>
      </w:pPr>
      <w:r>
        <w:rPr>
          <w:rFonts w:ascii="Arial" w:cs="Arial" w:eastAsia="Arial" w:hAnsi="Arial"/>
          <w:sz w:val="23"/>
          <w:szCs w:val="23"/>
          <w:color w:val="55565A"/>
        </w:rPr>
        <w:t>Validating Product Partnerships</w:t>
      </w:r>
    </w:p>
    <w:p>
      <w:pPr>
        <w:spacing w:after="0" w:line="20" w:lineRule="exact"/>
        <w:rPr>
          <w:sz w:val="20"/>
          <w:szCs w:val="20"/>
          <w:color w:val="auto"/>
        </w:rPr>
      </w:pPr>
    </w:p>
    <w:p>
      <w:pPr>
        <w:jc w:val="center"/>
        <w:ind w:left="380"/>
        <w:spacing w:after="0"/>
        <w:rPr>
          <w:sz w:val="20"/>
          <w:szCs w:val="20"/>
          <w:color w:val="auto"/>
        </w:rPr>
      </w:pPr>
      <w:r>
        <w:rPr>
          <w:rFonts w:ascii="Arial" w:cs="Arial" w:eastAsia="Arial" w:hAnsi="Arial"/>
          <w:sz w:val="24"/>
          <w:szCs w:val="24"/>
          <w:color w:val="55565A"/>
        </w:rPr>
        <w:t>Generated ~$75MM*</w:t>
      </w:r>
    </w:p>
    <w:p>
      <w:pPr>
        <w:spacing w:after="0" w:line="224" w:lineRule="exact"/>
        <w:rPr>
          <w:sz w:val="20"/>
          <w:szCs w:val="20"/>
          <w:color w:val="auto"/>
        </w:rPr>
      </w:pPr>
    </w:p>
    <w:p>
      <w:pPr>
        <w:ind w:left="2260"/>
        <w:spacing w:after="0"/>
        <w:rPr>
          <w:sz w:val="20"/>
          <w:szCs w:val="20"/>
          <w:color w:val="auto"/>
        </w:rPr>
      </w:pPr>
      <w:r>
        <w:rPr>
          <w:rFonts w:ascii="Arial" w:cs="Arial" w:eastAsia="Arial" w:hAnsi="Arial"/>
          <w:sz w:val="24"/>
          <w:szCs w:val="24"/>
          <w:color w:val="55565A"/>
        </w:rPr>
        <w:t>TESARO</w:t>
      </w:r>
    </w:p>
    <w:p>
      <w:pPr>
        <w:spacing w:after="0" w:line="8" w:lineRule="exact"/>
        <w:rPr>
          <w:sz w:val="20"/>
          <w:szCs w:val="20"/>
          <w:color w:val="auto"/>
        </w:rPr>
      </w:pPr>
    </w:p>
    <w:p>
      <w:pPr>
        <w:ind w:left="2260"/>
        <w:spacing w:after="0"/>
        <w:rPr>
          <w:sz w:val="20"/>
          <w:szCs w:val="20"/>
          <w:color w:val="auto"/>
        </w:rPr>
      </w:pPr>
      <w:r>
        <w:rPr>
          <w:rFonts w:ascii="Arial" w:cs="Arial" w:eastAsia="Arial" w:hAnsi="Arial"/>
          <w:sz w:val="24"/>
          <w:szCs w:val="24"/>
          <w:color w:val="55565A"/>
        </w:rPr>
        <w:t>Celgene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280"/>
        <w:spacing w:after="0"/>
        <w:rPr>
          <w:sz w:val="20"/>
          <w:szCs w:val="20"/>
          <w:color w:val="auto"/>
        </w:rPr>
      </w:pPr>
      <w:r>
        <w:rPr>
          <w:rFonts w:ascii="Arial" w:cs="Arial" w:eastAsia="Arial" w:hAnsi="Arial"/>
          <w:sz w:val="24"/>
          <w:szCs w:val="24"/>
          <w:color w:val="55565A"/>
        </w:rPr>
        <w:t>4 Additional Efficacy Readouts</w:t>
      </w:r>
    </w:p>
    <w:p>
      <w:pPr>
        <w:spacing w:after="0" w:line="8" w:lineRule="exact"/>
        <w:rPr>
          <w:sz w:val="20"/>
          <w:szCs w:val="20"/>
          <w:color w:val="auto"/>
        </w:rPr>
      </w:pPr>
    </w:p>
    <w:p>
      <w:pPr>
        <w:jc w:val="center"/>
        <w:ind w:right="300"/>
        <w:spacing w:after="0"/>
        <w:rPr>
          <w:sz w:val="20"/>
          <w:szCs w:val="20"/>
          <w:color w:val="auto"/>
        </w:rPr>
      </w:pPr>
      <w:r>
        <w:rPr>
          <w:rFonts w:ascii="Arial" w:cs="Arial" w:eastAsia="Arial" w:hAnsi="Arial"/>
          <w:sz w:val="24"/>
          <w:szCs w:val="24"/>
          <w:color w:val="55565A"/>
        </w:rPr>
        <w:t>Anticipated By End 2019</w:t>
      </w:r>
    </w:p>
    <w:p>
      <w:pPr>
        <w:spacing w:after="0" w:line="113" w:lineRule="exact"/>
        <w:rPr>
          <w:sz w:val="20"/>
          <w:szCs w:val="20"/>
          <w:color w:val="auto"/>
        </w:rPr>
      </w:pPr>
    </w:p>
    <w:p>
      <w:pPr>
        <w:ind w:right="260"/>
        <w:spacing w:after="0" w:line="253" w:lineRule="auto"/>
        <w:rPr>
          <w:sz w:val="20"/>
          <w:szCs w:val="20"/>
          <w:color w:val="auto"/>
        </w:rPr>
      </w:pPr>
      <w:r>
        <w:rPr>
          <w:rFonts w:ascii="Arial" w:cs="Arial" w:eastAsia="Arial" w:hAnsi="Arial"/>
          <w:sz w:val="15"/>
          <w:szCs w:val="15"/>
          <w:color w:val="55565A"/>
        </w:rPr>
        <w:t>Etokimab Eosinophilic Asthma Phase 2a: Top-line data today ANB019 Generalized Pustular Psoriasis Phase 2: Top-line data in early 2019</w:t>
      </w:r>
    </w:p>
    <w:p>
      <w:pPr>
        <w:ind w:right="220"/>
        <w:spacing w:after="0" w:line="253" w:lineRule="auto"/>
        <w:rPr>
          <w:sz w:val="20"/>
          <w:szCs w:val="20"/>
          <w:color w:val="auto"/>
        </w:rPr>
      </w:pPr>
      <w:r>
        <w:rPr>
          <w:rFonts w:ascii="Arial" w:cs="Arial" w:eastAsia="Arial" w:hAnsi="Arial"/>
          <w:sz w:val="15"/>
          <w:szCs w:val="15"/>
          <w:color w:val="55565A"/>
        </w:rPr>
        <w:t>Etokimab Atopic Dermatitis Phase 2b: Top-line data in H2 2019 Etokimab Chronic Rhinosinusitis With Nasal Polyps Phase 2: Top-line data in H2 2019</w:t>
      </w:r>
    </w:p>
    <w:p>
      <w:pPr>
        <w:spacing w:after="0"/>
        <w:rPr>
          <w:sz w:val="20"/>
          <w:szCs w:val="20"/>
          <w:color w:val="auto"/>
        </w:rPr>
      </w:pPr>
      <w:r>
        <w:rPr>
          <w:rFonts w:ascii="Arial" w:cs="Arial" w:eastAsia="Arial" w:hAnsi="Arial"/>
          <w:sz w:val="14"/>
          <w:szCs w:val="14"/>
          <w:color w:val="55565A"/>
        </w:rPr>
        <w:t>ANB019 Palmoplantar Pustulosis Phase 2: Top-line data in H2 2019</w:t>
      </w:r>
    </w:p>
    <w:p>
      <w:pPr>
        <w:spacing w:after="0" w:line="56" w:lineRule="exact"/>
        <w:rPr>
          <w:sz w:val="20"/>
          <w:szCs w:val="20"/>
          <w:color w:val="auto"/>
        </w:rPr>
      </w:pPr>
    </w:p>
    <w:p>
      <w:pPr>
        <w:sectPr>
          <w:pgSz w:w="11900" w:h="16838" w:orient="portrait"/>
          <w:cols w:equalWidth="0" w:num="2">
            <w:col w:w="5140" w:space="720"/>
            <w:col w:w="4540"/>
          </w:cols>
          <w:pgMar w:left="480" w:top="664" w:right="1019" w:bottom="1440" w:gutter="0" w:footer="0" w:header="0"/>
          <w:type w:val="continuous"/>
        </w:sectPr>
      </w:pPr>
    </w:p>
    <w:p>
      <w:pPr>
        <w:ind w:left="1020"/>
        <w:spacing w:after="0"/>
        <w:rPr>
          <w:sz w:val="20"/>
          <w:szCs w:val="20"/>
          <w:color w:val="auto"/>
        </w:rPr>
      </w:pPr>
      <w:r>
        <w:rPr>
          <w:rFonts w:ascii="Arial" w:cs="Arial" w:eastAsia="Arial" w:hAnsi="Arial"/>
          <w:sz w:val="11"/>
          <w:szCs w:val="11"/>
          <w:color w:val="55565A"/>
        </w:rPr>
        <w:t>th</w:t>
      </w:r>
    </w:p>
    <w:p>
      <w:pPr>
        <w:spacing w:after="0"/>
        <w:tabs>
          <w:tab w:leader="none" w:pos="1380" w:val="left"/>
        </w:tabs>
        <w:rPr>
          <w:sz w:val="20"/>
          <w:szCs w:val="20"/>
          <w:color w:val="auto"/>
        </w:rPr>
      </w:pPr>
      <w:r>
        <w:rPr>
          <w:rFonts w:ascii="Arial" w:cs="Arial" w:eastAsia="Arial" w:hAnsi="Arial"/>
          <w:sz w:val="17"/>
          <w:szCs w:val="17"/>
          <w:color w:val="55565A"/>
        </w:rPr>
        <w:t>* As of June 30</w:t>
        <w:tab/>
        <w:t>2018</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5"/>
          <w:szCs w:val="15"/>
          <w:color w:val="FFFFFF"/>
        </w:rPr>
        <w:t>14</w:t>
      </w:r>
    </w:p>
    <w:p>
      <w:pPr>
        <w:sectPr>
          <w:pgSz w:w="11900" w:h="16838" w:orient="portrait"/>
          <w:cols w:equalWidth="0" w:num="1">
            <w:col w:w="10400"/>
          </w:cols>
          <w:pgMar w:left="480" w:top="664" w:right="1019" w:bottom="1440" w:gutter="0" w:footer="0" w:header="0"/>
          <w:type w:val="continuous"/>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133985</wp:posOffset>
            </wp:positionH>
            <wp:positionV relativeFrom="page">
              <wp:posOffset>88900</wp:posOffset>
            </wp:positionV>
            <wp:extent cx="7308215" cy="5355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8215" cy="53555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endash "/>
      <w:numFmt w:val="bullet"/>
      <w:start w:val="1"/>
    </w:lvl>
  </w:abstractNum>
  <w:abstractNum w:abstractNumId="6">
    <w:nsid w:val="515F007C"/>
    <w:multiLevelType w:val="hybridMultilevel"/>
    <w:lvl w:ilvl="0">
      <w:lvlJc w:val="left"/>
      <w:lvlText w:val="•"/>
      <w:numFmt w:val="bullet"/>
      <w:start w:val="1"/>
    </w:lvl>
    <w:lvl w:ilvl="1">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lvl w:ilvl="1">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2019-12-28T19:13:07Z</dcterms:created>
  <dcterms:modified xsi:type="dcterms:W3CDTF">2019-12-28T19:13:07Z</dcterms:modified>
</cp:coreProperties>
</file>