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2477770</wp:posOffset>
            </wp:positionH>
            <wp:positionV relativeFrom="page">
              <wp:posOffset>506730</wp:posOffset>
            </wp:positionV>
            <wp:extent cx="25939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93975" cy="698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92075</wp:posOffset>
            </wp:positionV>
            <wp:extent cx="25939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3975" cy="6985"/>
                    </a:xfrm>
                    <a:prstGeom prst="rect">
                      <a:avLst/>
                    </a:prstGeom>
                    <a:noFill/>
                  </pic:spPr>
                </pic:pic>
              </a:graphicData>
            </a:graphic>
          </wp:anchor>
        </w:drawing>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103505</wp:posOffset>
            </wp:positionV>
            <wp:extent cx="259397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3975" cy="6985"/>
                    </a:xfrm>
                    <a:prstGeom prst="rect">
                      <a:avLst/>
                    </a:prstGeom>
                    <a:noFill/>
                  </pic:spPr>
                </pic:pic>
              </a:graphicData>
            </a:graphic>
          </wp:anchor>
        </w:drawing>
      </w:r>
    </w:p>
    <w:p>
      <w:pPr>
        <w:spacing w:after="0" w:line="235" w:lineRule="exact"/>
        <w:rPr>
          <w:sz w:val="24"/>
          <w:szCs w:val="24"/>
          <w:color w:val="auto"/>
        </w:rPr>
      </w:pPr>
    </w:p>
    <w:p>
      <w:pPr>
        <w:ind w:left="440" w:hanging="421"/>
        <w:spacing w:after="0"/>
        <w:tabs>
          <w:tab w:leader="none" w:pos="4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2024</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7" w:lineRule="exact"/>
        <w:rPr>
          <w:sz w:val="24"/>
          <w:szCs w:val="24"/>
          <w:color w:val="auto"/>
        </w:rPr>
      </w:pPr>
    </w:p>
    <w:p>
      <w:pPr>
        <w:ind w:left="440" w:hanging="421"/>
        <w:spacing w:after="0"/>
        <w:tabs>
          <w:tab w:leader="none" w:pos="4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82" w:lineRule="exact"/>
        <w:rPr>
          <w:sz w:val="24"/>
          <w:szCs w:val="24"/>
          <w:color w:val="auto"/>
        </w:rPr>
      </w:pPr>
    </w:p>
    <w:tbl>
      <w:tblPr>
        <w:tblLayout w:type="fixed"/>
        <w:tblInd w:w="3880" w:type="dxa"/>
        <w:tblCellMar>
          <w:top w:w="0" w:type="dxa"/>
          <w:left w:w="0" w:type="dxa"/>
          <w:bottom w:w="0" w:type="dxa"/>
          <w:right w:w="0" w:type="dxa"/>
        </w:tblCellMar>
      </w:tblPr>
      <w:tr>
        <w:trPr>
          <w:trHeight w:val="161"/>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700" w:type="dxa"/>
            <w:vAlign w:val="bottom"/>
            <w:tcBorders>
              <w:bottom w:val="single" w:sz="8" w:color="auto"/>
            </w:tcBorders>
          </w:tcPr>
          <w:p>
            <w:pPr>
              <w:spacing w:after="0"/>
              <w:rPr>
                <w:sz w:val="13"/>
                <w:szCs w:val="13"/>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740" w:type="dxa"/>
            <w:vAlign w:val="bottom"/>
            <w:tcBorders>
              <w:bottom w:val="single" w:sz="8" w:color="auto"/>
            </w:tcBorders>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266"/>
        </w:trPr>
        <w:tc>
          <w:tcPr>
            <w:tcW w:w="350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Commission File Number: 001-37985</w:t>
            </w:r>
          </w:p>
        </w:tc>
        <w:tc>
          <w:tcPr>
            <w:tcW w:w="4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81280</wp:posOffset>
            </wp:positionV>
            <wp:extent cx="259397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3975" cy="6985"/>
                    </a:xfrm>
                    <a:prstGeom prst="rect">
                      <a:avLst/>
                    </a:prstGeom>
                    <a:noFill/>
                  </pic:spPr>
                </pic:pic>
              </a:graphicData>
            </a:graphic>
          </wp:anchor>
        </w:drawing>
      </w:r>
    </w:p>
    <w:p>
      <w:pPr>
        <w:spacing w:after="0" w:line="165" w:lineRule="exact"/>
        <w:rPr>
          <w:sz w:val="24"/>
          <w:szCs w:val="24"/>
          <w:color w:val="auto"/>
        </w:rPr>
      </w:pPr>
    </w:p>
    <w:tbl>
      <w:tblPr>
        <w:tblLayout w:type="fixed"/>
        <w:tblInd w:w="10" w:type="dxa"/>
        <w:tblCellMar>
          <w:top w:w="0" w:type="dxa"/>
          <w:left w:w="0" w:type="dxa"/>
          <w:bottom w:w="0" w:type="dxa"/>
          <w:right w:w="0" w:type="dxa"/>
        </w:tblCellMar>
      </w:tblPr>
      <w:tr>
        <w:trPr>
          <w:trHeight w:val="318"/>
        </w:trPr>
        <w:tc>
          <w:tcPr>
            <w:tcW w:w="3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2"/>
          </w:tcPr>
          <w:p>
            <w:pPr>
              <w:jc w:val="center"/>
              <w:ind w:right="500"/>
              <w:spacing w:after="0"/>
              <w:rPr>
                <w:sz w:val="20"/>
                <w:szCs w:val="20"/>
                <w:color w:val="auto"/>
              </w:rPr>
            </w:pPr>
            <w:r>
              <w:rPr>
                <w:rFonts w:ascii="Times New Roman" w:cs="Times New Roman" w:eastAsia="Times New Roman" w:hAnsi="Times New Roman"/>
                <w:sz w:val="25"/>
                <w:szCs w:val="25"/>
                <w:b w:val="1"/>
                <w:bCs w:val="1"/>
                <w:color w:val="auto"/>
              </w:rPr>
              <w:t>ANAPTYSBIO, INC.</w:t>
            </w:r>
          </w:p>
        </w:tc>
        <w:tc>
          <w:tcPr>
            <w:tcW w:w="3620" w:type="dxa"/>
            <w:vAlign w:val="bottom"/>
          </w:tcPr>
          <w:p>
            <w:pPr>
              <w:spacing w:after="0"/>
              <w:rPr>
                <w:sz w:val="24"/>
                <w:szCs w:val="24"/>
                <w:color w:val="auto"/>
              </w:rPr>
            </w:pPr>
          </w:p>
        </w:tc>
      </w:tr>
      <w:tr>
        <w:trPr>
          <w:trHeight w:val="186"/>
        </w:trPr>
        <w:tc>
          <w:tcPr>
            <w:tcW w:w="3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620" w:type="dxa"/>
            <w:vAlign w:val="bottom"/>
          </w:tcPr>
          <w:p>
            <w:pPr>
              <w:spacing w:after="0"/>
              <w:rPr>
                <w:sz w:val="16"/>
                <w:szCs w:val="16"/>
                <w:color w:val="auto"/>
              </w:rPr>
            </w:pPr>
          </w:p>
        </w:tc>
      </w:tr>
      <w:tr>
        <w:trPr>
          <w:trHeight w:val="138"/>
        </w:trPr>
        <w:tc>
          <w:tcPr>
            <w:tcW w:w="36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620" w:type="dxa"/>
            <w:vAlign w:val="bottom"/>
          </w:tcPr>
          <w:p>
            <w:pPr>
              <w:spacing w:after="0"/>
              <w:rPr>
                <w:sz w:val="12"/>
                <w:szCs w:val="12"/>
                <w:color w:val="auto"/>
              </w:rPr>
            </w:pPr>
          </w:p>
        </w:tc>
      </w:tr>
      <w:tr>
        <w:trPr>
          <w:trHeight w:val="247"/>
        </w:trPr>
        <w:tc>
          <w:tcPr>
            <w:tcW w:w="3900" w:type="dxa"/>
            <w:vAlign w:val="bottom"/>
            <w:gridSpan w:val="2"/>
          </w:tcPr>
          <w:p>
            <w:pPr>
              <w:jc w:val="center"/>
              <w:ind w:left="2095"/>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20" w:type="dxa"/>
            <w:vAlign w:val="bottom"/>
          </w:tcPr>
          <w:p>
            <w:pPr>
              <w:jc w:val="center"/>
              <w:ind w:right="2235"/>
              <w:spacing w:after="0"/>
              <w:rPr>
                <w:sz w:val="20"/>
                <w:szCs w:val="20"/>
                <w:color w:val="auto"/>
              </w:rPr>
            </w:pPr>
            <w:r>
              <w:rPr>
                <w:rFonts w:ascii="Times New Roman" w:cs="Times New Roman" w:eastAsia="Times New Roman" w:hAnsi="Times New Roman"/>
                <w:sz w:val="14"/>
                <w:szCs w:val="14"/>
                <w:b w:val="1"/>
                <w:bCs w:val="1"/>
                <w:color w:val="auto"/>
              </w:rPr>
              <w:t>20-3828755</w:t>
            </w:r>
          </w:p>
        </w:tc>
      </w:tr>
      <w:tr>
        <w:trPr>
          <w:trHeight w:val="117"/>
        </w:trPr>
        <w:tc>
          <w:tcPr>
            <w:tcW w:w="3900" w:type="dxa"/>
            <w:vAlign w:val="bottom"/>
            <w:gridSpan w:val="2"/>
          </w:tcPr>
          <w:p>
            <w:pPr>
              <w:jc w:val="center"/>
              <w:ind w:left="2095"/>
              <w:spacing w:after="0" w:line="117"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20" w:type="dxa"/>
            <w:vAlign w:val="bottom"/>
          </w:tcPr>
          <w:p>
            <w:pPr>
              <w:jc w:val="center"/>
              <w:ind w:right="2215"/>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3900" w:type="dxa"/>
            <w:vAlign w:val="bottom"/>
            <w:gridSpan w:val="2"/>
          </w:tcPr>
          <w:p>
            <w:pPr>
              <w:jc w:val="center"/>
              <w:ind w:left="2115"/>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20" w:type="dxa"/>
            <w:vAlign w:val="bottom"/>
          </w:tcPr>
          <w:p>
            <w:pPr>
              <w:jc w:val="center"/>
              <w:ind w:right="2235"/>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r>
        <w:trPr>
          <w:trHeight w:val="236"/>
        </w:trPr>
        <w:tc>
          <w:tcPr>
            <w:tcW w:w="3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10770 Wateridge Circle, Suite 210</w:t>
            </w:r>
          </w:p>
        </w:tc>
        <w:tc>
          <w:tcPr>
            <w:tcW w:w="3620" w:type="dxa"/>
            <w:vAlign w:val="bottom"/>
          </w:tcPr>
          <w:p>
            <w:pPr>
              <w:spacing w:after="0"/>
              <w:rPr>
                <w:sz w:val="20"/>
                <w:szCs w:val="20"/>
                <w:color w:val="auto"/>
              </w:rPr>
            </w:pPr>
          </w:p>
        </w:tc>
      </w:tr>
      <w:tr>
        <w:trPr>
          <w:trHeight w:val="167"/>
        </w:trPr>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San Diego, CA 92121</w:t>
            </w:r>
          </w:p>
        </w:tc>
        <w:tc>
          <w:tcPr>
            <w:tcW w:w="3620" w:type="dxa"/>
            <w:vAlign w:val="bottom"/>
          </w:tcPr>
          <w:p>
            <w:pPr>
              <w:spacing w:after="0"/>
              <w:rPr>
                <w:sz w:val="14"/>
                <w:szCs w:val="14"/>
                <w:color w:val="auto"/>
              </w:rPr>
            </w:pPr>
          </w:p>
        </w:tc>
      </w:tr>
      <w:tr>
        <w:trPr>
          <w:trHeight w:val="149"/>
        </w:trPr>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8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and zip code)</w:t>
            </w:r>
          </w:p>
        </w:tc>
        <w:tc>
          <w:tcPr>
            <w:tcW w:w="3620" w:type="dxa"/>
            <w:vAlign w:val="bottom"/>
          </w:tcPr>
          <w:p>
            <w:pPr>
              <w:spacing w:after="0"/>
              <w:rPr>
                <w:sz w:val="12"/>
                <w:szCs w:val="12"/>
                <w:color w:val="auto"/>
              </w:rPr>
            </w:pPr>
          </w:p>
        </w:tc>
      </w:tr>
      <w:tr>
        <w:trPr>
          <w:trHeight w:val="244"/>
        </w:trPr>
        <w:tc>
          <w:tcPr>
            <w:tcW w:w="3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2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(858) 362-6295</w:t>
            </w:r>
          </w:p>
        </w:tc>
        <w:tc>
          <w:tcPr>
            <w:tcW w:w="560" w:type="dxa"/>
            <w:vAlign w:val="bottom"/>
          </w:tcPr>
          <w:p>
            <w:pPr>
              <w:spacing w:after="0"/>
              <w:rPr>
                <w:sz w:val="21"/>
                <w:szCs w:val="21"/>
                <w:color w:val="auto"/>
              </w:rPr>
            </w:pPr>
          </w:p>
        </w:tc>
        <w:tc>
          <w:tcPr>
            <w:tcW w:w="3620" w:type="dxa"/>
            <w:vAlign w:val="bottom"/>
          </w:tcPr>
          <w:p>
            <w:pPr>
              <w:spacing w:after="0"/>
              <w:rPr>
                <w:sz w:val="21"/>
                <w:szCs w:val="21"/>
                <w:color w:val="auto"/>
              </w:rPr>
            </w:pPr>
          </w:p>
        </w:tc>
      </w:tr>
      <w:tr>
        <w:trPr>
          <w:trHeight w:val="149"/>
        </w:trPr>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8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3620" w:type="dxa"/>
            <w:vAlign w:val="bottom"/>
          </w:tcPr>
          <w:p>
            <w:pPr>
              <w:spacing w:after="0"/>
              <w:rPr>
                <w:sz w:val="12"/>
                <w:szCs w:val="12"/>
                <w:color w:val="auto"/>
              </w:rPr>
            </w:pPr>
          </w:p>
        </w:tc>
      </w:tr>
      <w:tr>
        <w:trPr>
          <w:trHeight w:val="252"/>
        </w:trPr>
        <w:tc>
          <w:tcPr>
            <w:tcW w:w="36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620" w:type="dxa"/>
            <w:vAlign w:val="bottom"/>
          </w:tcPr>
          <w:p>
            <w:pPr>
              <w:spacing w:after="0"/>
              <w:rPr>
                <w:sz w:val="21"/>
                <w:szCs w:val="21"/>
                <w:color w:val="auto"/>
              </w:rPr>
            </w:pPr>
          </w:p>
        </w:tc>
      </w:tr>
      <w:tr>
        <w:trPr>
          <w:trHeight w:val="245"/>
        </w:trPr>
        <w:tc>
          <w:tcPr>
            <w:tcW w:w="3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7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20" w:type="dxa"/>
            <w:vAlign w:val="bottom"/>
          </w:tcPr>
          <w:p>
            <w:pPr>
              <w:spacing w:after="0"/>
              <w:rPr>
                <w:sz w:val="21"/>
                <w:szCs w:val="21"/>
                <w:color w:val="auto"/>
              </w:rPr>
            </w:pPr>
          </w:p>
        </w:tc>
      </w:tr>
      <w:tr>
        <w:trPr>
          <w:trHeight w:val="107"/>
        </w:trPr>
        <w:tc>
          <w:tcPr>
            <w:tcW w:w="3900" w:type="dxa"/>
            <w:vAlign w:val="bottom"/>
            <w:tcBorders>
              <w:bottom w:val="single" w:sz="8" w:color="auto"/>
            </w:tcBorders>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171"/>
        </w:trPr>
        <w:tc>
          <w:tcPr>
            <w:tcW w:w="3900" w:type="dxa"/>
            <w:vAlign w:val="bottom"/>
            <w:tcBorders>
              <w:left w:val="single" w:sz="8" w:color="auto"/>
              <w:bottom w:val="single" w:sz="8" w:color="auto"/>
            </w:tcBorders>
            <w:gridSpan w:val="2"/>
          </w:tcPr>
          <w:p>
            <w:pPr>
              <w:jc w:val="center"/>
              <w:ind w:left="135"/>
              <w:spacing w:after="0"/>
              <w:rPr>
                <w:sz w:val="20"/>
                <w:szCs w:val="20"/>
                <w:color w:val="auto"/>
              </w:rPr>
            </w:pPr>
            <w:r>
              <w:rPr>
                <w:rFonts w:ascii="Times New Roman" w:cs="Times New Roman" w:eastAsia="Times New Roman" w:hAnsi="Times New Roman"/>
                <w:sz w:val="14"/>
                <w:szCs w:val="14"/>
                <w:color w:val="auto"/>
              </w:rPr>
              <w:t>Title of each class</w:t>
            </w:r>
          </w:p>
        </w:tc>
        <w:tc>
          <w:tcPr>
            <w:tcW w:w="200" w:type="dxa"/>
            <w:vAlign w:val="bottom"/>
            <w:tcBorders>
              <w:bottom w:val="single" w:sz="8" w:color="auto"/>
              <w:right w:val="single" w:sz="8" w:color="auto"/>
            </w:tcBorders>
          </w:tcPr>
          <w:p>
            <w:pPr>
              <w:spacing w:after="0"/>
              <w:rPr>
                <w:sz w:val="14"/>
                <w:szCs w:val="14"/>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Trading Symbol(s)</w:t>
            </w:r>
          </w:p>
        </w:tc>
        <w:tc>
          <w:tcPr>
            <w:tcW w:w="560" w:type="dxa"/>
            <w:vAlign w:val="bottom"/>
            <w:tcBorders>
              <w:bottom w:val="single" w:sz="8" w:color="auto"/>
            </w:tcBorders>
          </w:tcPr>
          <w:p>
            <w:pPr>
              <w:spacing w:after="0"/>
              <w:rPr>
                <w:sz w:val="14"/>
                <w:szCs w:val="14"/>
                <w:color w:val="auto"/>
              </w:rPr>
            </w:pPr>
          </w:p>
        </w:tc>
        <w:tc>
          <w:tcPr>
            <w:tcW w:w="3620" w:type="dxa"/>
            <w:vAlign w:val="bottom"/>
            <w:tcBorders>
              <w:bottom w:val="single" w:sz="8" w:color="auto"/>
              <w:right w:val="single" w:sz="8" w:color="auto"/>
            </w:tcBorders>
          </w:tcPr>
          <w:p>
            <w:pPr>
              <w:jc w:val="center"/>
              <w:ind w:right="515"/>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1"/>
        </w:trPr>
        <w:tc>
          <w:tcPr>
            <w:tcW w:w="3900" w:type="dxa"/>
            <w:vAlign w:val="bottom"/>
            <w:tcBorders>
              <w:left w:val="single" w:sz="8" w:color="auto"/>
              <w:bottom w:val="single" w:sz="8" w:color="auto"/>
            </w:tcBorders>
            <w:gridSpan w:val="2"/>
          </w:tcPr>
          <w:p>
            <w:pPr>
              <w:jc w:val="center"/>
              <w:ind w:left="135"/>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00" w:type="dxa"/>
            <w:vAlign w:val="bottom"/>
            <w:tcBorders>
              <w:bottom w:val="single" w:sz="8" w:color="auto"/>
              <w:right w:val="single" w:sz="8" w:color="auto"/>
            </w:tcBorders>
          </w:tcPr>
          <w:p>
            <w:pPr>
              <w:spacing w:after="0"/>
              <w:rPr>
                <w:sz w:val="14"/>
                <w:szCs w:val="14"/>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ANAB</w:t>
            </w:r>
          </w:p>
        </w:tc>
        <w:tc>
          <w:tcPr>
            <w:tcW w:w="560" w:type="dxa"/>
            <w:vAlign w:val="bottom"/>
            <w:tcBorders>
              <w:bottom w:val="single" w:sz="8" w:color="auto"/>
            </w:tcBorders>
          </w:tcPr>
          <w:p>
            <w:pPr>
              <w:spacing w:after="0"/>
              <w:rPr>
                <w:sz w:val="14"/>
                <w:szCs w:val="14"/>
                <w:color w:val="auto"/>
              </w:rPr>
            </w:pPr>
          </w:p>
        </w:tc>
        <w:tc>
          <w:tcPr>
            <w:tcW w:w="3620" w:type="dxa"/>
            <w:vAlign w:val="bottom"/>
            <w:tcBorders>
              <w:bottom w:val="single" w:sz="8" w:color="auto"/>
              <w:right w:val="single" w:sz="8" w:color="auto"/>
            </w:tcBorders>
          </w:tcPr>
          <w:p>
            <w:pPr>
              <w:jc w:val="center"/>
              <w:ind w:right="535"/>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60" w:lineRule="exact"/>
        <w:rPr>
          <w:sz w:val="24"/>
          <w:szCs w:val="24"/>
          <w:color w:val="auto"/>
        </w:rPr>
      </w:pPr>
    </w:p>
    <w:p>
      <w:pPr>
        <w:ind w:right="120"/>
        <w:spacing w:after="0" w:line="22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during the preceding 12 months (or for such shorter period that the Registrant was required to submit such files).</w:t>
            </w:r>
          </w:p>
        </w:tc>
        <w:tc>
          <w:tcPr>
            <w:tcW w:w="4300" w:type="dxa"/>
            <w:vAlign w:val="bottom"/>
          </w:tcPr>
          <w:p>
            <w:pPr>
              <w:ind w:left="80"/>
              <w:spacing w:after="0" w:line="219"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9"/>
                <w:szCs w:val="19"/>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tc>
        <w:tc>
          <w:tcPr>
            <w:tcW w:w="220" w:type="dxa"/>
            <w:vAlign w:val="bottom"/>
          </w:tcPr>
          <w:p>
            <w:pPr>
              <w:spacing w:after="0"/>
              <w:rPr>
                <w:sz w:val="23"/>
                <w:szCs w:val="23"/>
                <w:color w:val="auto"/>
              </w:rPr>
            </w:pPr>
          </w:p>
        </w:tc>
      </w:tr>
      <w:tr>
        <w:trPr>
          <w:trHeight w:val="170"/>
        </w:trPr>
        <w:tc>
          <w:tcPr>
            <w:tcW w:w="10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w:t>
            </w:r>
          </w:p>
        </w:tc>
        <w:tc>
          <w:tcPr>
            <w:tcW w:w="220" w:type="dxa"/>
            <w:vAlign w:val="bottom"/>
          </w:tcPr>
          <w:p>
            <w:pPr>
              <w:spacing w:after="0"/>
              <w:rPr>
                <w:sz w:val="14"/>
                <w:szCs w:val="14"/>
                <w:color w:val="auto"/>
              </w:rPr>
            </w:pPr>
          </w:p>
        </w:tc>
      </w:tr>
      <w:tr>
        <w:trPr>
          <w:trHeight w:val="184"/>
        </w:trPr>
        <w:tc>
          <w:tcPr>
            <w:tcW w:w="10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definitions of “large accelerated filer,” “accelerated filer,” “smaller reporting company” and “emerging growth company” in Rule 12b-2 of the Exchange Act.</w:t>
            </w:r>
          </w:p>
        </w:tc>
        <w:tc>
          <w:tcPr>
            <w:tcW w:w="220" w:type="dxa"/>
            <w:vAlign w:val="bottom"/>
          </w:tcPr>
          <w:p>
            <w:pPr>
              <w:spacing w:after="0"/>
              <w:rPr>
                <w:sz w:val="16"/>
                <w:szCs w:val="16"/>
                <w:color w:val="auto"/>
              </w:rPr>
            </w:pPr>
          </w:p>
        </w:tc>
      </w:tr>
      <w:tr>
        <w:trPr>
          <w:trHeight w:val="292"/>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Accelerated Filer</w:t>
            </w:r>
          </w:p>
        </w:tc>
        <w:tc>
          <w:tcPr>
            <w:tcW w:w="44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Accelerated Filer</w:t>
            </w:r>
          </w:p>
        </w:tc>
        <w:tc>
          <w:tcPr>
            <w:tcW w:w="22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61"/>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Non-accelerated Filer</w:t>
            </w:r>
          </w:p>
        </w:tc>
        <w:tc>
          <w:tcPr>
            <w:tcW w:w="4400" w:type="dxa"/>
            <w:vAlign w:val="bottom"/>
          </w:tcPr>
          <w:p>
            <w:pPr>
              <w:ind w:left="700"/>
              <w:spacing w:after="0" w:line="171" w:lineRule="exact"/>
              <w:rPr>
                <w:sz w:val="20"/>
                <w:szCs w:val="20"/>
                <w:color w:val="auto"/>
              </w:rPr>
            </w:pPr>
            <w:r>
              <w:rPr>
                <w:rFonts w:ascii="MS PGothic" w:cs="MS PGothic" w:eastAsia="MS PGothic" w:hAnsi="MS PGothic"/>
                <w:sz w:val="17"/>
                <w:szCs w:val="17"/>
                <w:color w:val="auto"/>
              </w:rPr>
              <w:t>☒</w:t>
            </w:r>
          </w:p>
        </w:tc>
        <w:tc>
          <w:tcPr>
            <w:tcW w:w="430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20" w:type="dxa"/>
            <w:vAlign w:val="bottom"/>
          </w:tcPr>
          <w:p>
            <w:pPr>
              <w:ind w:left="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0"/>
        </w:trPr>
        <w:tc>
          <w:tcPr>
            <w:tcW w:w="204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430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Emerging Growth Company</w:t>
            </w:r>
          </w:p>
        </w:tc>
        <w:tc>
          <w:tcPr>
            <w:tcW w:w="22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32" w:lineRule="exact"/>
        <w:rPr>
          <w:sz w:val="24"/>
          <w:szCs w:val="24"/>
          <w:color w:val="auto"/>
        </w:rPr>
      </w:pPr>
    </w:p>
    <w:p>
      <w:pPr>
        <w:ind w:right="240"/>
        <w:spacing w:after="0" w:line="21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9" w:lineRule="exact"/>
        <w:tabs>
          <w:tab w:leader="none" w:pos="6600" w:val="left"/>
          <w:tab w:leader="none" w:pos="71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385445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852"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color w:val="auto"/>
        </w:rPr>
        <w:t>As of May 6, 2024, there were 27,318,644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2287270</wp:posOffset>
            </wp:positionH>
            <wp:positionV relativeFrom="paragraph">
              <wp:posOffset>102235</wp:posOffset>
            </wp:positionV>
            <wp:extent cx="259397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3975" cy="6985"/>
                    </a:xfrm>
                    <a:prstGeom prst="rect">
                      <a:avLst/>
                    </a:prstGeom>
                    <a:noFill/>
                  </pic:spPr>
                </pic:pic>
              </a:graphicData>
            </a:graphic>
          </wp:anchor>
        </w:drawing>
      </w:r>
    </w:p>
    <w:p>
      <w:pPr>
        <w:sectPr>
          <w:pgSz w:w="11900" w:h="16838" w:orient="portrait"/>
          <w:cols w:equalWidth="0" w:num="1">
            <w:col w:w="10159"/>
          </w:cols>
          <w:pgMar w:left="300" w:top="67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2"/>
        </w:trPr>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7"/>
          </w:tcPr>
          <w:p>
            <w:pPr>
              <w:jc w:val="center"/>
              <w:ind w:right="1640"/>
              <w:spacing w:after="0"/>
              <w:rPr>
                <w:sz w:val="20"/>
                <w:szCs w:val="20"/>
                <w:color w:val="auto"/>
              </w:rPr>
            </w:pPr>
            <w:r>
              <w:rPr>
                <w:rFonts w:ascii="Times New Roman" w:cs="Times New Roman" w:eastAsia="Times New Roman" w:hAnsi="Times New Roman"/>
                <w:sz w:val="17"/>
                <w:szCs w:val="17"/>
                <w:b w:val="1"/>
                <w:bCs w:val="1"/>
                <w:color w:val="auto"/>
              </w:rPr>
              <w:t>AnaptysBio, Inc.</w:t>
            </w:r>
          </w:p>
        </w:tc>
      </w:tr>
      <w:tr>
        <w:trPr>
          <w:trHeight w:val="223"/>
        </w:trPr>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80" w:type="dxa"/>
            <w:vAlign w:val="bottom"/>
            <w:gridSpan w:val="7"/>
          </w:tcPr>
          <w:p>
            <w:pPr>
              <w:jc w:val="center"/>
              <w:ind w:right="1660"/>
              <w:spacing w:after="0"/>
              <w:rPr>
                <w:sz w:val="20"/>
                <w:szCs w:val="20"/>
                <w:color w:val="auto"/>
              </w:rPr>
            </w:pPr>
            <w:r>
              <w:rPr>
                <w:rFonts w:ascii="Times New Roman" w:cs="Times New Roman" w:eastAsia="Times New Roman" w:hAnsi="Times New Roman"/>
                <w:sz w:val="17"/>
                <w:szCs w:val="17"/>
                <w:b w:val="1"/>
                <w:bCs w:val="1"/>
                <w:color w:val="auto"/>
                <w:w w:val="98"/>
              </w:rPr>
              <w:t>Table of Contents</w:t>
            </w:r>
          </w:p>
        </w:tc>
      </w:tr>
      <w:tr>
        <w:trPr>
          <w:trHeight w:val="650"/>
        </w:trPr>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60" w:type="dxa"/>
            <w:vAlign w:val="bottom"/>
            <w:gridSpan w:val="9"/>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w w:val="99"/>
              </w:rPr>
              <w:t>PART I. FINANCIAL INFORMATION</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Item 1.</w:t>
            </w:r>
          </w:p>
        </w:tc>
        <w:tc>
          <w:tcPr>
            <w:tcW w:w="68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Consolidated Financial Statements (unaudited)</w:t>
            </w:r>
          </w:p>
        </w:tc>
      </w:tr>
      <w:tr>
        <w:trPr>
          <w:trHeight w:val="20"/>
        </w:trPr>
        <w:tc>
          <w:tcPr>
            <w:tcW w:w="1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5"/>
        </w:trPr>
        <w:tc>
          <w:tcPr>
            <w:tcW w:w="1300" w:type="dxa"/>
            <w:vAlign w:val="bottom"/>
          </w:tcPr>
          <w:p>
            <w:pPr>
              <w:spacing w:after="0"/>
              <w:rPr>
                <w:sz w:val="20"/>
                <w:szCs w:val="20"/>
                <w:color w:val="auto"/>
              </w:rPr>
            </w:pPr>
          </w:p>
        </w:tc>
        <w:tc>
          <w:tcPr>
            <w:tcW w:w="68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Consolidated Balance Sheets as of March 31, 2024 and December 31, 2023</w:t>
            </w:r>
          </w:p>
        </w:tc>
      </w:tr>
      <w:tr>
        <w:trPr>
          <w:trHeight w:val="20"/>
        </w:trPr>
        <w:tc>
          <w:tcPr>
            <w:tcW w:w="1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5"/>
        </w:trPr>
        <w:tc>
          <w:tcPr>
            <w:tcW w:w="1300" w:type="dxa"/>
            <w:vAlign w:val="bottom"/>
          </w:tcPr>
          <w:p>
            <w:pPr>
              <w:spacing w:after="0"/>
              <w:rPr>
                <w:sz w:val="20"/>
                <w:szCs w:val="20"/>
                <w:color w:val="auto"/>
              </w:rPr>
            </w:pPr>
          </w:p>
        </w:tc>
        <w:tc>
          <w:tcPr>
            <w:tcW w:w="68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Consolidated Statements of Operations and Comprehensive Loss for the Three Months Ended March 31, 2024 and 2023</w:t>
            </w:r>
          </w:p>
        </w:tc>
      </w:tr>
      <w:tr>
        <w:trPr>
          <w:trHeight w:val="235"/>
        </w:trPr>
        <w:tc>
          <w:tcPr>
            <w:tcW w:w="1300" w:type="dxa"/>
            <w:vAlign w:val="bottom"/>
          </w:tcPr>
          <w:p>
            <w:pPr>
              <w:spacing w:after="0"/>
              <w:rPr>
                <w:sz w:val="20"/>
                <w:szCs w:val="20"/>
                <w:color w:val="auto"/>
              </w:rPr>
            </w:pPr>
          </w:p>
        </w:tc>
        <w:tc>
          <w:tcPr>
            <w:tcW w:w="53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 for the Three Months Ended March 31, 2024</w:t>
            </w:r>
          </w:p>
        </w:tc>
        <w:tc>
          <w:tcPr>
            <w:tcW w:w="1460" w:type="dxa"/>
            <w:vAlign w:val="bottom"/>
            <w:gridSpan w:val="4"/>
          </w:tcPr>
          <w:p>
            <w:pPr>
              <w:spacing w:after="0"/>
              <w:rPr>
                <w:sz w:val="20"/>
                <w:szCs w:val="20"/>
                <w:color w:val="auto"/>
              </w:rPr>
            </w:pPr>
          </w:p>
        </w:tc>
      </w:tr>
      <w:tr>
        <w:trPr>
          <w:trHeight w:val="235"/>
        </w:trPr>
        <w:tc>
          <w:tcPr>
            <w:tcW w:w="1300" w:type="dxa"/>
            <w:vAlign w:val="bottom"/>
          </w:tcPr>
          <w:p>
            <w:pPr>
              <w:spacing w:after="0"/>
              <w:rPr>
                <w:sz w:val="20"/>
                <w:szCs w:val="20"/>
                <w:color w:val="auto"/>
              </w:rPr>
            </w:pPr>
          </w:p>
        </w:tc>
        <w:tc>
          <w:tcPr>
            <w:tcW w:w="5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 for the Three Months Ended March 31, 2023</w:t>
            </w:r>
          </w:p>
        </w:tc>
        <w:tc>
          <w:tcPr>
            <w:tcW w:w="1440" w:type="dxa"/>
            <w:vAlign w:val="bottom"/>
            <w:gridSpan w:val="3"/>
          </w:tcPr>
          <w:p>
            <w:pPr>
              <w:spacing w:after="0"/>
              <w:rPr>
                <w:sz w:val="20"/>
                <w:szCs w:val="20"/>
                <w:color w:val="auto"/>
              </w:rPr>
            </w:pPr>
          </w:p>
        </w:tc>
      </w:tr>
      <w:tr>
        <w:trPr>
          <w:trHeight w:val="235"/>
        </w:trPr>
        <w:tc>
          <w:tcPr>
            <w:tcW w:w="1300" w:type="dxa"/>
            <w:vAlign w:val="bottom"/>
          </w:tcPr>
          <w:p>
            <w:pPr>
              <w:spacing w:after="0"/>
              <w:rPr>
                <w:sz w:val="20"/>
                <w:szCs w:val="20"/>
                <w:color w:val="auto"/>
              </w:rPr>
            </w:pPr>
          </w:p>
        </w:tc>
        <w:tc>
          <w:tcPr>
            <w:tcW w:w="68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Three Months Ended March 31, 2024 and 2023</w:t>
            </w:r>
          </w:p>
        </w:tc>
      </w:tr>
      <w:tr>
        <w:trPr>
          <w:trHeight w:val="235"/>
        </w:trPr>
        <w:tc>
          <w:tcPr>
            <w:tcW w:w="1300" w:type="dxa"/>
            <w:vAlign w:val="bottom"/>
          </w:tcPr>
          <w:p>
            <w:pPr>
              <w:spacing w:after="0"/>
              <w:rPr>
                <w:sz w:val="20"/>
                <w:szCs w:val="20"/>
                <w:color w:val="auto"/>
              </w:rPr>
            </w:pPr>
          </w:p>
        </w:tc>
        <w:tc>
          <w:tcPr>
            <w:tcW w:w="53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Notes to the Unaudited Consolidated Financial Statements</w:t>
            </w:r>
          </w:p>
        </w:tc>
        <w:tc>
          <w:tcPr>
            <w:tcW w:w="1420" w:type="dxa"/>
            <w:vAlign w:val="bottom"/>
            <w:gridSpan w:val="2"/>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Item 2.</w:t>
            </w:r>
          </w:p>
        </w:tc>
        <w:tc>
          <w:tcPr>
            <w:tcW w:w="50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720" w:type="dxa"/>
            <w:vAlign w:val="bottom"/>
            <w:gridSpan w:val="5"/>
          </w:tcPr>
          <w:p>
            <w:pPr>
              <w:spacing w:after="0"/>
              <w:rPr>
                <w:sz w:val="20"/>
                <w:szCs w:val="20"/>
                <w:color w:val="auto"/>
              </w:rPr>
            </w:pPr>
          </w:p>
        </w:tc>
      </w:tr>
      <w:tr>
        <w:trPr>
          <w:trHeight w:val="23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Item 3.</w:t>
            </w:r>
          </w:p>
        </w:tc>
        <w:tc>
          <w:tcPr>
            <w:tcW w:w="68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r>
      <w:tr>
        <w:trPr>
          <w:trHeight w:val="23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Item 4.</w:t>
            </w:r>
          </w:p>
        </w:tc>
        <w:tc>
          <w:tcPr>
            <w:tcW w:w="34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3380" w:type="dxa"/>
            <w:vAlign w:val="bottom"/>
            <w:gridSpan w:val="7"/>
          </w:tcPr>
          <w:p>
            <w:pPr>
              <w:spacing w:after="0"/>
              <w:rPr>
                <w:sz w:val="20"/>
                <w:szCs w:val="20"/>
                <w:color w:val="auto"/>
              </w:rPr>
            </w:pPr>
          </w:p>
        </w:tc>
      </w:tr>
      <w:tr>
        <w:trPr>
          <w:trHeight w:val="478"/>
        </w:trPr>
        <w:tc>
          <w:tcPr>
            <w:tcW w:w="130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60" w:type="dxa"/>
            <w:vAlign w:val="bottom"/>
            <w:gridSpan w:val="9"/>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PART II. OTHER INFORMATION</w:t>
            </w:r>
          </w:p>
        </w:tc>
      </w:tr>
      <w:tr>
        <w:trPr>
          <w:trHeight w:val="361"/>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Item 1.</w:t>
            </w:r>
          </w:p>
        </w:tc>
        <w:tc>
          <w:tcPr>
            <w:tcW w:w="68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Legal Proceedings</w:t>
            </w:r>
          </w:p>
        </w:tc>
      </w:tr>
      <w:tr>
        <w:trPr>
          <w:trHeight w:val="23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Item 1A.</w:t>
            </w:r>
          </w:p>
        </w:tc>
        <w:tc>
          <w:tcPr>
            <w:tcW w:w="10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5760" w:type="dxa"/>
            <w:vAlign w:val="bottom"/>
            <w:gridSpan w:val="12"/>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760" w:type="dxa"/>
            <w:vAlign w:val="bottom"/>
            <w:gridSpan w:val="9"/>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Item 2.</w:t>
            </w:r>
          </w:p>
        </w:tc>
        <w:tc>
          <w:tcPr>
            <w:tcW w:w="55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Use of Proceeds and Issuer Purchases of Equity Securities</w:t>
            </w:r>
          </w:p>
        </w:tc>
        <w:tc>
          <w:tcPr>
            <w:tcW w:w="1220" w:type="dxa"/>
            <w:vAlign w:val="bottom"/>
          </w:tcPr>
          <w:p>
            <w:pPr>
              <w:spacing w:after="0"/>
              <w:rPr>
                <w:sz w:val="20"/>
                <w:szCs w:val="20"/>
                <w:color w:val="auto"/>
              </w:rPr>
            </w:pPr>
          </w:p>
        </w:tc>
      </w:tr>
      <w:tr>
        <w:trPr>
          <w:trHeight w:val="23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Item 3.</w:t>
            </w:r>
          </w:p>
        </w:tc>
        <w:tc>
          <w:tcPr>
            <w:tcW w:w="68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r>
      <w:tr>
        <w:trPr>
          <w:trHeight w:val="23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Item 4.</w:t>
            </w:r>
          </w:p>
        </w:tc>
        <w:tc>
          <w:tcPr>
            <w:tcW w:w="18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4980" w:type="dxa"/>
            <w:vAlign w:val="bottom"/>
            <w:gridSpan w:val="10"/>
          </w:tcPr>
          <w:p>
            <w:pPr>
              <w:spacing w:after="0"/>
              <w:rPr>
                <w:sz w:val="20"/>
                <w:szCs w:val="20"/>
                <w:color w:val="auto"/>
              </w:rPr>
            </w:pPr>
          </w:p>
        </w:tc>
      </w:tr>
      <w:tr>
        <w:trPr>
          <w:trHeight w:val="23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Item 5.</w:t>
            </w:r>
          </w:p>
        </w:tc>
        <w:tc>
          <w:tcPr>
            <w:tcW w:w="13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5420" w:type="dxa"/>
            <w:vAlign w:val="bottom"/>
            <w:gridSpan w:val="11"/>
          </w:tcPr>
          <w:p>
            <w:pPr>
              <w:spacing w:after="0"/>
              <w:rPr>
                <w:sz w:val="20"/>
                <w:szCs w:val="20"/>
                <w:color w:val="auto"/>
              </w:rPr>
            </w:pPr>
          </w:p>
        </w:tc>
      </w:tr>
      <w:tr>
        <w:trPr>
          <w:trHeight w:val="23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0000FF"/>
              </w:rPr>
              <w:t>Item 6.</w:t>
            </w:r>
          </w:p>
        </w:tc>
        <w:tc>
          <w:tcPr>
            <w:tcW w:w="10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Exhibits</w:t>
            </w:r>
          </w:p>
        </w:tc>
        <w:tc>
          <w:tcPr>
            <w:tcW w:w="5780" w:type="dxa"/>
            <w:vAlign w:val="bottom"/>
            <w:gridSpan w:val="13"/>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40" w:type="dxa"/>
            <w:vAlign w:val="bottom"/>
            <w:gridSpan w:val="14"/>
          </w:tcPr>
          <w:p>
            <w:pPr>
              <w:spacing w:after="0" w:line="20" w:lineRule="exact"/>
              <w:rPr>
                <w:sz w:val="1"/>
                <w:szCs w:val="1"/>
                <w:color w:val="auto"/>
              </w:rPr>
            </w:pPr>
          </w:p>
        </w:tc>
      </w:tr>
      <w:tr>
        <w:trPr>
          <w:trHeight w:val="235"/>
        </w:trPr>
        <w:tc>
          <w:tcPr>
            <w:tcW w:w="1300" w:type="dxa"/>
            <w:vAlign w:val="bottom"/>
          </w:tcPr>
          <w:p>
            <w:pPr>
              <w:spacing w:after="0"/>
              <w:rPr>
                <w:sz w:val="20"/>
                <w:szCs w:val="20"/>
                <w:color w:val="auto"/>
              </w:rPr>
            </w:pPr>
          </w:p>
        </w:tc>
        <w:tc>
          <w:tcPr>
            <w:tcW w:w="68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Exhibit Index</w:t>
            </w:r>
          </w:p>
        </w:tc>
      </w:tr>
      <w:tr>
        <w:trPr>
          <w:trHeight w:val="235"/>
        </w:trPr>
        <w:tc>
          <w:tcPr>
            <w:tcW w:w="1300" w:type="dxa"/>
            <w:vAlign w:val="bottom"/>
          </w:tcPr>
          <w:p>
            <w:pPr>
              <w:spacing w:after="0"/>
              <w:rPr>
                <w:sz w:val="20"/>
                <w:szCs w:val="20"/>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8"/>
              </w:rPr>
              <w:t>Signatures</w:t>
            </w:r>
          </w:p>
        </w:tc>
        <w:tc>
          <w:tcPr>
            <w:tcW w:w="160" w:type="dxa"/>
            <w:vAlign w:val="bottom"/>
            <w:tcBorders>
              <w:top w:val="single" w:sz="8" w:color="0000FF"/>
            </w:tcBorders>
            <w:gridSpan w:val="2"/>
          </w:tcPr>
          <w:p>
            <w:pPr>
              <w:spacing w:after="0"/>
              <w:rPr>
                <w:sz w:val="20"/>
                <w:szCs w:val="20"/>
                <w:color w:val="auto"/>
              </w:rPr>
            </w:pPr>
          </w:p>
        </w:tc>
        <w:tc>
          <w:tcPr>
            <w:tcW w:w="6040" w:type="dxa"/>
            <w:vAlign w:val="bottom"/>
            <w:gridSpan w:val="14"/>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532765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-3394710</wp:posOffset>
            </wp:positionV>
            <wp:extent cx="7148195" cy="161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-3071495</wp:posOffset>
            </wp:positionV>
            <wp:extent cx="7148195" cy="161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-2748280</wp:posOffset>
            </wp:positionV>
            <wp:extent cx="7148195" cy="161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-2425065</wp:posOffset>
            </wp:positionV>
            <wp:extent cx="7148195" cy="161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-2101215</wp:posOffset>
            </wp:positionV>
            <wp:extent cx="7148195" cy="161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-1778000</wp:posOffset>
            </wp:positionV>
            <wp:extent cx="7148195" cy="134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34620"/>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-1528445</wp:posOffset>
            </wp:positionV>
            <wp:extent cx="7148195" cy="134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34620"/>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-1232535</wp:posOffset>
            </wp:positionV>
            <wp:extent cx="7148195" cy="161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-908685</wp:posOffset>
            </wp:positionV>
            <wp:extent cx="7148195" cy="161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-585470</wp:posOffset>
            </wp:positionV>
            <wp:extent cx="7148195" cy="161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-262255</wp:posOffset>
            </wp:positionV>
            <wp:extent cx="7148195" cy="161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619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14605</wp:posOffset>
            </wp:positionV>
            <wp:extent cx="84201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42010" cy="6985"/>
                    </a:xfrm>
                    <a:prstGeom prst="rect">
                      <a:avLst/>
                    </a:prstGeom>
                    <a:noFill/>
                  </pic:spPr>
                </pic:pic>
              </a:graphicData>
            </a:graphic>
          </wp:anchor>
        </w:drawing>
      </w:r>
    </w:p>
    <w:p>
      <w:pPr>
        <w:spacing w:after="0" w:line="3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0000FF"/>
        </w:rPr>
        <w:t>1</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0000FF"/>
        </w:rPr>
        <w:t>1</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0000FF"/>
        </w:rPr>
        <w:t>2</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0000FF"/>
        </w:rPr>
        <w:t>3</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0000FF"/>
        </w:rPr>
        <w:t>4</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0000FF"/>
        </w:rPr>
        <w:t>5</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0000FF"/>
        </w:rPr>
        <w:t>6</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0000FF"/>
        </w:rPr>
        <w:t>22</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0000FF"/>
        </w:rPr>
        <w:t>31</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0000FF"/>
        </w:rPr>
        <w:t>31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0000FF"/>
        </w:rPr>
        <w:t>32</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0000FF"/>
        </w:rPr>
        <w:t>32</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0000FF"/>
        </w:rPr>
        <w:t>65</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0000FF"/>
        </w:rPr>
        <w:t>66</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0000FF"/>
        </w:rPr>
        <w:t>67</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0000FF"/>
        </w:rPr>
        <w:t>67</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0000FF"/>
        </w:rPr>
        <w:t>67</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0000FF"/>
        </w:rPr>
        <w:t>67</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0000FF"/>
        </w:rPr>
        <w:t>69</w:t>
      </w:r>
    </w:p>
    <w:p>
      <w:pPr>
        <w:sectPr>
          <w:pgSz w:w="11900" w:h="16838" w:orient="portrait"/>
          <w:cols w:equalWidth="0" w:num="2">
            <w:col w:w="9440" w:space="720"/>
            <w:col w:w="780"/>
          </w:cols>
          <w:pgMar w:left="360" w:top="730" w:right="5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Consolidated Financial Statements (unaudited)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AnaptysBio,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par value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00" w:type="dxa"/>
            <w:vAlign w:val="bottom"/>
          </w:tcPr>
          <w:p>
            <w:pPr>
              <w:spacing w:after="0"/>
              <w:rPr>
                <w:sz w:val="13"/>
                <w:szCs w:val="13"/>
                <w:color w:val="auto"/>
              </w:rPr>
            </w:pPr>
          </w:p>
        </w:tc>
        <w:tc>
          <w:tcPr>
            <w:tcW w:w="1380" w:type="dxa"/>
            <w:vAlign w:val="bottom"/>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99"/>
        </w:trPr>
        <w:tc>
          <w:tcPr>
            <w:tcW w:w="8020" w:type="dxa"/>
            <w:vAlign w:val="bottom"/>
          </w:tcPr>
          <w:p>
            <w:pPr>
              <w:ind w:left="540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53,695</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35,965</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Receivables from collaborative partners</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7,089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6,851</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Short-term investments</w:t>
            </w: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300,970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354,939</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10,666</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9,080</w:t>
            </w:r>
          </w:p>
        </w:tc>
        <w:tc>
          <w:tcPr>
            <w:tcW w:w="0" w:type="dxa"/>
            <w:vAlign w:val="bottom"/>
          </w:tcPr>
          <w:p>
            <w:pPr>
              <w:spacing w:after="0"/>
              <w:rPr>
                <w:sz w:val="1"/>
                <w:szCs w:val="1"/>
                <w:color w:val="auto"/>
              </w:rPr>
            </w:pPr>
          </w:p>
        </w:tc>
      </w:tr>
      <w:tr>
        <w:trPr>
          <w:trHeight w:val="158"/>
        </w:trPr>
        <w:tc>
          <w:tcPr>
            <w:tcW w:w="8020" w:type="dxa"/>
            <w:vAlign w:val="bottom"/>
          </w:tcPr>
          <w:p>
            <w:pPr>
              <w:ind w:left="600"/>
              <w:spacing w:after="0" w:line="146" w:lineRule="exact"/>
              <w:rPr>
                <w:sz w:val="20"/>
                <w:szCs w:val="20"/>
                <w:color w:val="auto"/>
              </w:rPr>
            </w:pPr>
            <w:r>
              <w:rPr>
                <w:rFonts w:ascii="Times New Roman" w:cs="Times New Roman" w:eastAsia="Times New Roman" w:hAnsi="Times New Roman"/>
                <w:sz w:val="13"/>
                <w:szCs w:val="13"/>
                <w:color w:val="auto"/>
              </w:rPr>
              <w:t>Total current assets</w:t>
            </w:r>
          </w:p>
        </w:tc>
        <w:tc>
          <w:tcPr>
            <w:tcW w:w="2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372,420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406,835</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2,098</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15,732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16,174</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investments</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27,026</w:t>
            </w:r>
          </w:p>
        </w:tc>
        <w:tc>
          <w:tcPr>
            <w:tcW w:w="0" w:type="dxa"/>
            <w:vAlign w:val="bottom"/>
          </w:tcPr>
          <w:p>
            <w:pPr>
              <w:spacing w:after="0"/>
              <w:rPr>
                <w:sz w:val="1"/>
                <w:szCs w:val="1"/>
                <w:color w:val="auto"/>
              </w:rPr>
            </w:pPr>
          </w:p>
        </w:tc>
      </w:tr>
      <w:tr>
        <w:trPr>
          <w:trHeight w:val="168"/>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long-term assets</w:t>
            </w: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shd w:val="clear" w:color="auto" w:fill="CCEEFF"/>
          </w:tcPr>
          <w:p>
            <w:pPr>
              <w:ind w:left="400"/>
              <w:spacing w:after="0" w:line="147" w:lineRule="exact"/>
              <w:rPr>
                <w:sz w:val="20"/>
                <w:szCs w:val="20"/>
                <w:color w:val="auto"/>
              </w:rPr>
            </w:pPr>
            <w:r>
              <w:rPr>
                <w:rFonts w:ascii="Times New Roman" w:cs="Times New Roman" w:eastAsia="Times New Roman" w:hAnsi="Times New Roman"/>
                <w:sz w:val="13"/>
                <w:szCs w:val="13"/>
                <w:color w:val="auto"/>
              </w:rPr>
              <w:t>Total assets</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405,835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452,389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426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Accounts payable</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4,582</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4,698</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expenses</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25,903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30,967</w:t>
            </w:r>
          </w:p>
        </w:tc>
        <w:tc>
          <w:tcPr>
            <w:tcW w:w="0" w:type="dxa"/>
            <w:vAlign w:val="bottom"/>
          </w:tcPr>
          <w:p>
            <w:pPr>
              <w:spacing w:after="0"/>
              <w:rPr>
                <w:sz w:val="1"/>
                <w:szCs w:val="1"/>
                <w:color w:val="auto"/>
              </w:rPr>
            </w:pPr>
          </w:p>
        </w:tc>
      </w:tr>
      <w:tr>
        <w:trPr>
          <w:trHeight w:val="168"/>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Current portion of operating lease liability</w:t>
            </w: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1,813</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1,777</w:t>
            </w: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ind w:left="600"/>
              <w:spacing w:after="0" w:line="147" w:lineRule="exact"/>
              <w:rPr>
                <w:sz w:val="20"/>
                <w:szCs w:val="20"/>
                <w:color w:val="auto"/>
              </w:rPr>
            </w:pPr>
            <w:r>
              <w:rPr>
                <w:rFonts w:ascii="Times New Roman" w:cs="Times New Roman" w:eastAsia="Times New Roman" w:hAnsi="Times New Roman"/>
                <w:sz w:val="13"/>
                <w:szCs w:val="13"/>
                <w:color w:val="auto"/>
              </w:rPr>
              <w:t>Total current liabilities</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32,298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37,442</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Liability related to sale of future royalties</w:t>
            </w: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310,184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310,807</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liability, net of current portion</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15,575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16,037</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 $0.001 par value, 10,000 shares authorized and no shares, issued or outstanding at March 31, 2024 and December 31, 2023, respectively</w:t>
            </w:r>
          </w:p>
        </w:tc>
        <w:tc>
          <w:tcPr>
            <w:tcW w:w="26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80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w w:val="98"/>
              </w:rPr>
              <w:t>Common stock, $0.001 par value, 500,000 shares authorized, 27,317 shares and 26,597 shares issued and outstanding at March 31, 2024 and December 31,</w:t>
            </w:r>
          </w:p>
        </w:tc>
        <w:tc>
          <w:tcPr>
            <w:tcW w:w="26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2023, respectively</w:t>
            </w:r>
          </w:p>
        </w:tc>
        <w:tc>
          <w:tcPr>
            <w:tcW w:w="2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paid in capital</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706,407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702,969</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deficit</w:t>
            </w:r>
          </w:p>
        </w:tc>
        <w:tc>
          <w:tcPr>
            <w:tcW w:w="2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(658,032)</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(614,096)</w:t>
            </w:r>
          </w:p>
        </w:tc>
        <w:tc>
          <w:tcPr>
            <w:tcW w:w="0" w:type="dxa"/>
            <w:vAlign w:val="bottom"/>
          </w:tcPr>
          <w:p>
            <w:pPr>
              <w:spacing w:after="0"/>
              <w:rPr>
                <w:sz w:val="1"/>
                <w:szCs w:val="1"/>
                <w:color w:val="auto"/>
              </w:rPr>
            </w:pPr>
          </w:p>
        </w:tc>
      </w:tr>
      <w:tr>
        <w:trPr>
          <w:trHeight w:val="158"/>
        </w:trPr>
        <w:tc>
          <w:tcPr>
            <w:tcW w:w="8020" w:type="dxa"/>
            <w:vAlign w:val="bottom"/>
            <w:tcBorders>
              <w:bottom w:val="single" w:sz="8" w:color="CCEEFF"/>
            </w:tcBorders>
          </w:tcPr>
          <w:p>
            <w:pPr>
              <w:ind w:left="220"/>
              <w:spacing w:after="0" w:line="146" w:lineRule="exact"/>
              <w:rPr>
                <w:sz w:val="20"/>
                <w:szCs w:val="20"/>
                <w:color w:val="auto"/>
              </w:rPr>
            </w:pPr>
            <w:r>
              <w:rPr>
                <w:rFonts w:ascii="Times New Roman" w:cs="Times New Roman" w:eastAsia="Times New Roman" w:hAnsi="Times New Roman"/>
                <w:sz w:val="13"/>
                <w:szCs w:val="13"/>
                <w:color w:val="auto"/>
              </w:rPr>
              <w:t>Total stockholders’ equity</w:t>
            </w: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47,778</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88,103</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shd w:val="clear" w:color="auto" w:fill="CCEEFF"/>
          </w:tcPr>
          <w:p>
            <w:pPr>
              <w:ind w:left="400"/>
              <w:spacing w:after="0" w:line="147"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405,835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452,389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See accompanying notes to unaudited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AnaptysBio,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0"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jc w:val="center"/>
        <w:ind w:left="830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320" w:type="dxa"/>
            <w:vAlign w:val="bottom"/>
            <w:tcBorders>
              <w:bottom w:val="single" w:sz="8" w:color="CFF0FC"/>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FF0FC"/>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Collaboration revenue</w:t>
            </w:r>
          </w:p>
        </w:tc>
        <w:tc>
          <w:tcPr>
            <w:tcW w:w="900" w:type="dxa"/>
            <w:vAlign w:val="bottom"/>
            <w:tcBorders>
              <w:bottom w:val="single" w:sz="8" w:color="auto"/>
            </w:tcBorders>
            <w:shd w:val="clear" w:color="auto" w:fill="CFF0FC"/>
          </w:tcPr>
          <w:p>
            <w:pPr>
              <w:jc w:val="right"/>
              <w:ind w:right="758"/>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7,179</w:t>
            </w:r>
          </w:p>
        </w:tc>
        <w:tc>
          <w:tcPr>
            <w:tcW w:w="10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1,374</w:t>
            </w:r>
          </w:p>
        </w:tc>
      </w:tr>
      <w:tr>
        <w:trPr>
          <w:trHeight w:val="148"/>
        </w:trPr>
        <w:tc>
          <w:tcPr>
            <w:tcW w:w="83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Operating expenses:</w:t>
            </w: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72"/>
        </w:trPr>
        <w:tc>
          <w:tcPr>
            <w:tcW w:w="83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9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37,042</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34,957</w:t>
            </w:r>
          </w:p>
        </w:tc>
      </w:tr>
      <w:tr>
        <w:trPr>
          <w:trHeight w:val="168"/>
        </w:trPr>
        <w:tc>
          <w:tcPr>
            <w:tcW w:w="83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12,338</w:t>
            </w:r>
          </w:p>
        </w:tc>
        <w:tc>
          <w:tcPr>
            <w:tcW w:w="1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10,818</w:t>
            </w:r>
          </w:p>
        </w:tc>
      </w:tr>
      <w:tr>
        <w:trPr>
          <w:trHeight w:val="163"/>
        </w:trPr>
        <w:tc>
          <w:tcPr>
            <w:tcW w:w="8320" w:type="dxa"/>
            <w:vAlign w:val="bottom"/>
            <w:shd w:val="clear" w:color="auto" w:fill="CFF0FC"/>
          </w:tcPr>
          <w:p>
            <w:pPr>
              <w:ind w:left="400"/>
              <w:spacing w:after="0" w:line="147" w:lineRule="exact"/>
              <w:rPr>
                <w:sz w:val="20"/>
                <w:szCs w:val="20"/>
                <w:color w:val="auto"/>
              </w:rPr>
            </w:pPr>
            <w:r>
              <w:rPr>
                <w:rFonts w:ascii="Times New Roman" w:cs="Times New Roman" w:eastAsia="Times New Roman" w:hAnsi="Times New Roman"/>
                <w:sz w:val="13"/>
                <w:szCs w:val="13"/>
                <w:color w:val="auto"/>
              </w:rPr>
              <w:t>Total operating expenses</w:t>
            </w:r>
          </w:p>
        </w:tc>
        <w:tc>
          <w:tcPr>
            <w:tcW w:w="9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49,380</w:t>
            </w:r>
          </w:p>
        </w:tc>
        <w:tc>
          <w:tcPr>
            <w:tcW w:w="10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45,775</w:t>
            </w:r>
          </w:p>
        </w:tc>
      </w:tr>
      <w:tr>
        <w:trPr>
          <w:trHeight w:val="158"/>
        </w:trPr>
        <w:tc>
          <w:tcPr>
            <w:tcW w:w="8320" w:type="dxa"/>
            <w:vAlign w:val="bottom"/>
            <w:tcBorders>
              <w:bottom w:val="single" w:sz="8" w:color="CFF0FC"/>
            </w:tcBorders>
          </w:tcPr>
          <w:p>
            <w:pPr>
              <w:ind w:left="600"/>
              <w:spacing w:after="0" w:line="146" w:lineRule="exact"/>
              <w:rPr>
                <w:sz w:val="20"/>
                <w:szCs w:val="20"/>
                <w:color w:val="auto"/>
              </w:rPr>
            </w:pPr>
            <w:r>
              <w:rPr>
                <w:rFonts w:ascii="Times New Roman" w:cs="Times New Roman" w:eastAsia="Times New Roman" w:hAnsi="Times New Roman"/>
                <w:sz w:val="13"/>
                <w:szCs w:val="13"/>
                <w:color w:val="auto"/>
              </w:rPr>
              <w:t>Loss from operations</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(42,201)</w:t>
            </w: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(44,401)</w:t>
            </w:r>
          </w:p>
        </w:tc>
      </w:tr>
      <w:tr>
        <w:trPr>
          <w:trHeight w:val="152"/>
        </w:trPr>
        <w:tc>
          <w:tcPr>
            <w:tcW w:w="8320" w:type="dxa"/>
            <w:vAlign w:val="bottom"/>
            <w:shd w:val="clear" w:color="auto" w:fill="CFF0FC"/>
          </w:tcPr>
          <w:p>
            <w:pPr>
              <w:ind w:left="20"/>
              <w:spacing w:after="0" w:line="147" w:lineRule="exact"/>
              <w:rPr>
                <w:sz w:val="20"/>
                <w:szCs w:val="20"/>
                <w:color w:val="auto"/>
              </w:rPr>
            </w:pPr>
            <w:r>
              <w:rPr>
                <w:rFonts w:ascii="Times New Roman" w:cs="Times New Roman" w:eastAsia="Times New Roman" w:hAnsi="Times New Roman"/>
                <w:sz w:val="13"/>
                <w:szCs w:val="13"/>
                <w:color w:val="auto"/>
              </w:rPr>
              <w:t>Other (expense) income, net:</w:t>
            </w:r>
          </w:p>
        </w:tc>
        <w:tc>
          <w:tcPr>
            <w:tcW w:w="9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r>
      <w:tr>
        <w:trPr>
          <w:trHeight w:val="168"/>
        </w:trPr>
        <w:tc>
          <w:tcPr>
            <w:tcW w:w="8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income</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4,486</w:t>
            </w:r>
          </w:p>
        </w:tc>
      </w:tr>
      <w:tr>
        <w:trPr>
          <w:trHeight w:val="172"/>
        </w:trPr>
        <w:tc>
          <w:tcPr>
            <w:tcW w:w="8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Non-cash interest expense for the sale of future royalties</w:t>
            </w:r>
          </w:p>
        </w:tc>
        <w:tc>
          <w:tcPr>
            <w:tcW w:w="9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(6,317)</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(4,336)</w:t>
            </w:r>
          </w:p>
        </w:tc>
      </w:tr>
      <w:tr>
        <w:trPr>
          <w:trHeight w:val="168"/>
        </w:trPr>
        <w:tc>
          <w:tcPr>
            <w:tcW w:w="832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3"/>
                <w:szCs w:val="13"/>
                <w:color w:val="auto"/>
              </w:rPr>
              <w:t>Other expense, net</w:t>
            </w: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3"/>
        </w:trPr>
        <w:tc>
          <w:tcPr>
            <w:tcW w:w="8320" w:type="dxa"/>
            <w:vAlign w:val="bottom"/>
            <w:shd w:val="clear" w:color="auto" w:fill="CFF0FC"/>
          </w:tcPr>
          <w:p>
            <w:pPr>
              <w:ind w:left="400"/>
              <w:spacing w:after="0" w:line="147" w:lineRule="exact"/>
              <w:rPr>
                <w:sz w:val="20"/>
                <w:szCs w:val="20"/>
                <w:color w:val="auto"/>
              </w:rPr>
            </w:pPr>
            <w:r>
              <w:rPr>
                <w:rFonts w:ascii="Times New Roman" w:cs="Times New Roman" w:eastAsia="Times New Roman" w:hAnsi="Times New Roman"/>
                <w:sz w:val="13"/>
                <w:szCs w:val="13"/>
                <w:color w:val="auto"/>
              </w:rPr>
              <w:t>Total other (expense) income, net</w:t>
            </w:r>
          </w:p>
        </w:tc>
        <w:tc>
          <w:tcPr>
            <w:tcW w:w="9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(1,735)</w:t>
            </w:r>
          </w:p>
        </w:tc>
        <w:tc>
          <w:tcPr>
            <w:tcW w:w="10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w:t>
            </w:r>
          </w:p>
        </w:tc>
      </w:tr>
      <w:tr>
        <w:trPr>
          <w:trHeight w:val="158"/>
        </w:trPr>
        <w:tc>
          <w:tcPr>
            <w:tcW w:w="8320" w:type="dxa"/>
            <w:vAlign w:val="bottom"/>
            <w:tcBorders>
              <w:bottom w:val="single" w:sz="8" w:color="CFF0FC"/>
            </w:tcBorders>
          </w:tcPr>
          <w:p>
            <w:pPr>
              <w:ind w:left="560"/>
              <w:spacing w:after="0" w:line="146" w:lineRule="exact"/>
              <w:rPr>
                <w:sz w:val="20"/>
                <w:szCs w:val="20"/>
                <w:color w:val="auto"/>
              </w:rPr>
            </w:pPr>
            <w:r>
              <w:rPr>
                <w:rFonts w:ascii="Times New Roman" w:cs="Times New Roman" w:eastAsia="Times New Roman" w:hAnsi="Times New Roman"/>
                <w:sz w:val="13"/>
                <w:szCs w:val="13"/>
                <w:color w:val="auto"/>
              </w:rPr>
              <w:t>Net loss</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(43,936)</w:t>
            </w: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(44,255)</w:t>
            </w:r>
          </w:p>
        </w:tc>
      </w:tr>
      <w:tr>
        <w:trPr>
          <w:trHeight w:val="163"/>
        </w:trPr>
        <w:tc>
          <w:tcPr>
            <w:tcW w:w="8320" w:type="dxa"/>
            <w:vAlign w:val="bottom"/>
            <w:shd w:val="clear" w:color="auto" w:fill="CFF0FC"/>
          </w:tcPr>
          <w:p>
            <w:pPr>
              <w:ind w:left="400"/>
              <w:spacing w:after="0" w:line="147" w:lineRule="exact"/>
              <w:rPr>
                <w:sz w:val="20"/>
                <w:szCs w:val="20"/>
                <w:color w:val="auto"/>
              </w:rPr>
            </w:pPr>
            <w:r>
              <w:rPr>
                <w:rFonts w:ascii="Times New Roman" w:cs="Times New Roman" w:eastAsia="Times New Roman" w:hAnsi="Times New Roman"/>
                <w:sz w:val="13"/>
                <w:szCs w:val="13"/>
                <w:color w:val="auto"/>
              </w:rPr>
              <w:t>Unrealized gain on available for sale securities</w:t>
            </w:r>
          </w:p>
        </w:tc>
        <w:tc>
          <w:tcPr>
            <w:tcW w:w="9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1,979</w:t>
            </w:r>
          </w:p>
        </w:tc>
      </w:tr>
      <w:tr>
        <w:trPr>
          <w:trHeight w:val="158"/>
        </w:trPr>
        <w:tc>
          <w:tcPr>
            <w:tcW w:w="8320" w:type="dxa"/>
            <w:vAlign w:val="bottom"/>
          </w:tcPr>
          <w:p>
            <w:pPr>
              <w:ind w:left="600"/>
              <w:spacing w:after="0" w:line="146" w:lineRule="exact"/>
              <w:rPr>
                <w:sz w:val="20"/>
                <w:szCs w:val="20"/>
                <w:color w:val="auto"/>
              </w:rPr>
            </w:pPr>
            <w:r>
              <w:rPr>
                <w:rFonts w:ascii="Times New Roman" w:cs="Times New Roman" w:eastAsia="Times New Roman" w:hAnsi="Times New Roman"/>
                <w:sz w:val="13"/>
                <w:szCs w:val="13"/>
                <w:color w:val="auto"/>
              </w:rPr>
              <w:t>Comprehensive loss</w:t>
            </w:r>
          </w:p>
        </w:tc>
        <w:tc>
          <w:tcPr>
            <w:tcW w:w="90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(43,763)</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(42,276)</w:t>
            </w:r>
          </w:p>
        </w:tc>
      </w:tr>
      <w:tr>
        <w:trPr>
          <w:trHeight w:val="20"/>
        </w:trPr>
        <w:tc>
          <w:tcPr>
            <w:tcW w:w="8320" w:type="dxa"/>
            <w:vAlign w:val="bottom"/>
            <w:tcBorders>
              <w:bottom w:val="single" w:sz="8" w:color="CFF0FC"/>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33"/>
        </w:trPr>
        <w:tc>
          <w:tcPr>
            <w:tcW w:w="8320" w:type="dxa"/>
            <w:vAlign w:val="bottom"/>
            <w:shd w:val="clear" w:color="auto" w:fill="CFF0FC"/>
          </w:tcPr>
          <w:p>
            <w:pPr>
              <w:ind w:left="220"/>
              <w:spacing w:after="0" w:line="133" w:lineRule="exact"/>
              <w:rPr>
                <w:sz w:val="20"/>
                <w:szCs w:val="20"/>
                <w:color w:val="auto"/>
              </w:rPr>
            </w:pPr>
            <w:r>
              <w:rPr>
                <w:rFonts w:ascii="Times New Roman" w:cs="Times New Roman" w:eastAsia="Times New Roman" w:hAnsi="Times New Roman"/>
                <w:sz w:val="13"/>
                <w:szCs w:val="13"/>
                <w:color w:val="auto"/>
              </w:rPr>
              <w:t>Net loss per common share:</w:t>
            </w:r>
          </w:p>
        </w:tc>
        <w:tc>
          <w:tcPr>
            <w:tcW w:w="9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r>
      <w:tr>
        <w:trPr>
          <w:trHeight w:val="149"/>
        </w:trPr>
        <w:tc>
          <w:tcPr>
            <w:tcW w:w="832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Basic and diluted</w:t>
            </w:r>
          </w:p>
        </w:tc>
        <w:tc>
          <w:tcPr>
            <w:tcW w:w="90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w:t>
            </w:r>
          </w:p>
        </w:tc>
      </w:tr>
      <w:tr>
        <w:trPr>
          <w:trHeight w:val="20"/>
        </w:trPr>
        <w:tc>
          <w:tcPr>
            <w:tcW w:w="8320" w:type="dxa"/>
            <w:vAlign w:val="bottom"/>
            <w:tcBorders>
              <w:bottom w:val="single" w:sz="8" w:color="CFF0FC"/>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31"/>
        </w:trPr>
        <w:tc>
          <w:tcPr>
            <w:tcW w:w="8320" w:type="dxa"/>
            <w:vAlign w:val="bottom"/>
            <w:shd w:val="clear" w:color="auto" w:fill="CFF0FC"/>
          </w:tcPr>
          <w:p>
            <w:pPr>
              <w:ind w:left="220"/>
              <w:spacing w:after="0" w:line="131" w:lineRule="exact"/>
              <w:rPr>
                <w:sz w:val="20"/>
                <w:szCs w:val="20"/>
                <w:color w:val="auto"/>
              </w:rPr>
            </w:pPr>
            <w:r>
              <w:rPr>
                <w:rFonts w:ascii="Times New Roman" w:cs="Times New Roman" w:eastAsia="Times New Roman" w:hAnsi="Times New Roman"/>
                <w:sz w:val="13"/>
                <w:szCs w:val="13"/>
                <w:color w:val="auto"/>
              </w:rPr>
              <w:t>Weighted-average number of shares outstanding:</w:t>
            </w:r>
          </w:p>
        </w:tc>
        <w:tc>
          <w:tcPr>
            <w:tcW w:w="9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r>
      <w:tr>
        <w:trPr>
          <w:trHeight w:val="168"/>
        </w:trPr>
        <w:tc>
          <w:tcPr>
            <w:tcW w:w="832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Basic and diluted</w:t>
            </w: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26,801</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27,953</w:t>
            </w:r>
          </w:p>
        </w:tc>
      </w:tr>
      <w:tr>
        <w:trPr>
          <w:trHeight w:val="20"/>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Balance, December 31, 2023</w:t>
      </w:r>
    </w:p>
    <w:p>
      <w:pPr>
        <w:spacing w:after="0" w:line="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Issuance of common stock from exercises of options and employee stock purchase plan</w:t>
      </w:r>
    </w:p>
    <w:p>
      <w:pPr>
        <w:spacing w:after="0" w:line="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Issuance of common stock upon vesting of restricted stock units</w:t>
      </w:r>
    </w:p>
    <w:p>
      <w:pPr>
        <w:spacing w:after="0" w:line="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Net share settlement of restricted stock units</w:t>
      </w:r>
    </w:p>
    <w:p>
      <w:pPr>
        <w:spacing w:after="0" w:line="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Stock-based compensation</w:t>
      </w:r>
    </w:p>
    <w:p>
      <w:pPr>
        <w:spacing w:after="0" w:line="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Comprehensive gain, net</w:t>
      </w:r>
    </w:p>
    <w:p>
      <w:pPr>
        <w:spacing w:after="0" w:line="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Net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Balance, March 31, 2024</w:t>
      </w:r>
    </w:p>
    <w:p>
      <w:pPr>
        <w:spacing w:after="0" w:line="20" w:lineRule="exact"/>
        <w:rPr>
          <w:sz w:val="20"/>
          <w:szCs w:val="20"/>
          <w:color w:val="auto"/>
        </w:rPr>
      </w:pPr>
      <w:r>
        <w:rPr>
          <w:sz w:val="20"/>
          <w:szCs w:val="20"/>
          <w:color w:val="auto"/>
        </w:rPr>
        <w:br w:type="column"/>
      </w:r>
    </w:p>
    <w:p>
      <w:pPr>
        <w:jc w:val="center"/>
        <w:ind w:right="4220"/>
        <w:spacing w:after="0"/>
        <w:rPr>
          <w:sz w:val="20"/>
          <w:szCs w:val="20"/>
          <w:color w:val="auto"/>
        </w:rPr>
      </w:pPr>
      <w:r>
        <w:rPr>
          <w:rFonts w:ascii="Times New Roman" w:cs="Times New Roman" w:eastAsia="Times New Roman" w:hAnsi="Times New Roman"/>
          <w:sz w:val="14"/>
          <w:szCs w:val="14"/>
          <w:b w:val="1"/>
          <w:bCs w:val="1"/>
          <w:color w:val="auto"/>
        </w:rPr>
        <w:t>AnaptysBio, Inc.</w:t>
      </w:r>
    </w:p>
    <w:p>
      <w:pPr>
        <w:spacing w:after="0" w:line="25"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3"/>
          <w:szCs w:val="13"/>
          <w:b w:val="1"/>
          <w:bCs w:val="1"/>
          <w:color w:val="auto"/>
        </w:rPr>
        <w:t>Consolidated Statement of Stockholders’ Equity</w:t>
      </w:r>
    </w:p>
    <w:p>
      <w:pPr>
        <w:spacing w:after="0" w:line="18"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19"/>
        </w:trPr>
        <w:tc>
          <w:tcPr>
            <w:tcW w:w="11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jc w:val="center"/>
              <w:ind w:right="153"/>
              <w:spacing w:after="0"/>
              <w:rPr>
                <w:sz w:val="20"/>
                <w:szCs w:val="20"/>
                <w:color w:val="auto"/>
              </w:rPr>
            </w:pPr>
            <w:r>
              <w:rPr>
                <w:rFonts w:ascii="Times New Roman" w:cs="Times New Roman" w:eastAsia="Times New Roman" w:hAnsi="Times New Roman"/>
                <w:sz w:val="8"/>
                <w:szCs w:val="8"/>
                <w:b w:val="1"/>
                <w:bCs w:val="1"/>
                <w:color w:val="auto"/>
                <w:w w:val="98"/>
              </w:rPr>
              <w:t>Total</w:t>
            </w:r>
          </w:p>
        </w:tc>
        <w:tc>
          <w:tcPr>
            <w:tcW w:w="0" w:type="dxa"/>
            <w:vAlign w:val="bottom"/>
          </w:tcPr>
          <w:p>
            <w:pPr>
              <w:spacing w:after="0"/>
              <w:rPr>
                <w:sz w:val="1"/>
                <w:szCs w:val="1"/>
                <w:color w:val="auto"/>
              </w:rPr>
            </w:pPr>
          </w:p>
        </w:tc>
      </w:tr>
      <w:tr>
        <w:trPr>
          <w:trHeight w:val="64"/>
        </w:trPr>
        <w:tc>
          <w:tcPr>
            <w:tcW w:w="900" w:type="dxa"/>
            <w:vAlign w:val="bottom"/>
            <w:gridSpan w:val="2"/>
            <w:vMerge w:val="restart"/>
          </w:tcPr>
          <w:p>
            <w:pPr>
              <w:ind w:left="280"/>
              <w:spacing w:after="0"/>
              <w:rPr>
                <w:sz w:val="20"/>
                <w:szCs w:val="20"/>
                <w:color w:val="auto"/>
              </w:rPr>
            </w:pPr>
            <w:r>
              <w:rPr>
                <w:rFonts w:ascii="Times New Roman" w:cs="Times New Roman" w:eastAsia="Times New Roman" w:hAnsi="Times New Roman"/>
                <w:sz w:val="8"/>
                <w:szCs w:val="8"/>
                <w:b w:val="1"/>
                <w:bCs w:val="1"/>
                <w:color w:val="auto"/>
              </w:rPr>
              <w:t>Shares</w:t>
            </w:r>
          </w:p>
        </w:tc>
        <w:tc>
          <w:tcPr>
            <w:tcW w:w="240" w:type="dxa"/>
            <w:vAlign w:val="bottom"/>
          </w:tcPr>
          <w:p>
            <w:pPr>
              <w:spacing w:after="0"/>
              <w:rPr>
                <w:sz w:val="5"/>
                <w:szCs w:val="5"/>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Amount</w:t>
            </w:r>
          </w:p>
        </w:tc>
        <w:tc>
          <w:tcPr>
            <w:tcW w:w="240" w:type="dxa"/>
            <w:vAlign w:val="bottom"/>
          </w:tcPr>
          <w:p>
            <w:pPr>
              <w:spacing w:after="0"/>
              <w:rPr>
                <w:sz w:val="5"/>
                <w:szCs w:val="5"/>
                <w:color w:val="auto"/>
              </w:rPr>
            </w:pPr>
          </w:p>
        </w:tc>
        <w:tc>
          <w:tcPr>
            <w:tcW w:w="1080" w:type="dxa"/>
            <w:vAlign w:val="bottom"/>
            <w:gridSpan w:val="2"/>
          </w:tcPr>
          <w:p>
            <w:pPr>
              <w:jc w:val="center"/>
              <w:ind w:right="340"/>
              <w:spacing w:after="0" w:line="64" w:lineRule="exact"/>
              <w:rPr>
                <w:sz w:val="20"/>
                <w:szCs w:val="20"/>
                <w:color w:val="auto"/>
              </w:rPr>
            </w:pPr>
            <w:r>
              <w:rPr>
                <w:rFonts w:ascii="Times New Roman" w:cs="Times New Roman" w:eastAsia="Times New Roman" w:hAnsi="Times New Roman"/>
                <w:sz w:val="7"/>
                <w:szCs w:val="7"/>
                <w:b w:val="1"/>
                <w:bCs w:val="1"/>
                <w:color w:val="auto"/>
              </w:rPr>
              <w:t>Paid-in</w:t>
            </w:r>
          </w:p>
        </w:tc>
        <w:tc>
          <w:tcPr>
            <w:tcW w:w="160" w:type="dxa"/>
            <w:vAlign w:val="bottom"/>
          </w:tcPr>
          <w:p>
            <w:pPr>
              <w:spacing w:after="0"/>
              <w:rPr>
                <w:sz w:val="5"/>
                <w:szCs w:val="5"/>
                <w:color w:val="auto"/>
              </w:rPr>
            </w:pPr>
          </w:p>
        </w:tc>
        <w:tc>
          <w:tcPr>
            <w:tcW w:w="1160" w:type="dxa"/>
            <w:vAlign w:val="bottom"/>
            <w:gridSpan w:val="2"/>
          </w:tcPr>
          <w:p>
            <w:pPr>
              <w:jc w:val="center"/>
              <w:ind w:right="240"/>
              <w:spacing w:after="0" w:line="64" w:lineRule="exact"/>
              <w:rPr>
                <w:sz w:val="20"/>
                <w:szCs w:val="20"/>
                <w:color w:val="auto"/>
              </w:rPr>
            </w:pPr>
            <w:r>
              <w:rPr>
                <w:rFonts w:ascii="Times New Roman" w:cs="Times New Roman" w:eastAsia="Times New Roman" w:hAnsi="Times New Roman"/>
                <w:sz w:val="7"/>
                <w:szCs w:val="7"/>
                <w:b w:val="1"/>
                <w:bCs w:val="1"/>
                <w:color w:val="auto"/>
              </w:rPr>
              <w:t>Accumulated Other</w:t>
            </w:r>
          </w:p>
        </w:tc>
        <w:tc>
          <w:tcPr>
            <w:tcW w:w="220" w:type="dxa"/>
            <w:vAlign w:val="bottom"/>
          </w:tcPr>
          <w:p>
            <w:pPr>
              <w:spacing w:after="0"/>
              <w:rPr>
                <w:sz w:val="5"/>
                <w:szCs w:val="5"/>
                <w:color w:val="auto"/>
              </w:rPr>
            </w:pPr>
          </w:p>
        </w:tc>
        <w:tc>
          <w:tcPr>
            <w:tcW w:w="1120" w:type="dxa"/>
            <w:vAlign w:val="bottom"/>
            <w:gridSpan w:val="2"/>
          </w:tcPr>
          <w:p>
            <w:pPr>
              <w:ind w:left="160"/>
              <w:spacing w:after="0" w:line="64"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200" w:type="dxa"/>
            <w:vAlign w:val="bottom"/>
          </w:tcPr>
          <w:p>
            <w:pPr>
              <w:spacing w:after="0"/>
              <w:rPr>
                <w:sz w:val="5"/>
                <w:szCs w:val="5"/>
                <w:color w:val="auto"/>
              </w:rPr>
            </w:pPr>
          </w:p>
        </w:tc>
        <w:tc>
          <w:tcPr>
            <w:tcW w:w="1020" w:type="dxa"/>
            <w:vAlign w:val="bottom"/>
          </w:tcPr>
          <w:p>
            <w:pPr>
              <w:jc w:val="center"/>
              <w:ind w:right="153"/>
              <w:spacing w:after="0" w:line="64"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18"/>
        </w:trPr>
        <w:tc>
          <w:tcPr>
            <w:tcW w:w="9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60" w:type="dxa"/>
            <w:vAlign w:val="bottom"/>
          </w:tcPr>
          <w:p>
            <w:pPr>
              <w:spacing w:after="0"/>
              <w:rPr>
                <w:sz w:val="10"/>
                <w:szCs w:val="1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Comprehensive Loss</w:t>
            </w:r>
          </w:p>
        </w:tc>
        <w:tc>
          <w:tcPr>
            <w:tcW w:w="220" w:type="dxa"/>
            <w:vAlign w:val="bottom"/>
          </w:tcPr>
          <w:p>
            <w:pPr>
              <w:spacing w:after="0"/>
              <w:rPr>
                <w:sz w:val="10"/>
                <w:szCs w:val="10"/>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200" w:type="dxa"/>
            <w:vAlign w:val="bottom"/>
          </w:tcPr>
          <w:p>
            <w:pPr>
              <w:spacing w:after="0"/>
              <w:rPr>
                <w:sz w:val="10"/>
                <w:szCs w:val="10"/>
                <w:color w:val="auto"/>
              </w:rPr>
            </w:pPr>
          </w:p>
        </w:tc>
        <w:tc>
          <w:tcPr>
            <w:tcW w:w="1020" w:type="dxa"/>
            <w:vAlign w:val="bottom"/>
          </w:tcPr>
          <w:p>
            <w:pPr>
              <w:jc w:val="center"/>
              <w:ind w:right="153"/>
              <w:spacing w:after="0"/>
              <w:rPr>
                <w:sz w:val="20"/>
                <w:szCs w:val="20"/>
                <w:color w:val="auto"/>
              </w:rPr>
            </w:pPr>
            <w:r>
              <w:rPr>
                <w:rFonts w:ascii="Times New Roman" w:cs="Times New Roman" w:eastAsia="Times New Roman" w:hAnsi="Times New Roman"/>
                <w:sz w:val="8"/>
                <w:szCs w:val="8"/>
                <w:b w:val="1"/>
                <w:bCs w:val="1"/>
                <w:color w:val="auto"/>
              </w:rPr>
              <w:t>Equity</w:t>
            </w:r>
          </w:p>
        </w:tc>
        <w:tc>
          <w:tcPr>
            <w:tcW w:w="0" w:type="dxa"/>
            <w:vAlign w:val="bottom"/>
          </w:tcPr>
          <w:p>
            <w:pPr>
              <w:spacing w:after="0"/>
              <w:rPr>
                <w:sz w:val="1"/>
                <w:szCs w:val="1"/>
                <w:color w:val="auto"/>
              </w:rPr>
            </w:pPr>
          </w:p>
        </w:tc>
      </w:tr>
      <w:tr>
        <w:trPr>
          <w:trHeight w:val="136"/>
        </w:trPr>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26,597</w:t>
            </w:r>
          </w:p>
        </w:tc>
        <w:tc>
          <w:tcPr>
            <w:tcW w:w="100" w:type="dxa"/>
            <w:vAlign w:val="bottom"/>
          </w:tcPr>
          <w:p>
            <w:pPr>
              <w:spacing w:after="0"/>
              <w:rPr>
                <w:sz w:val="11"/>
                <w:szCs w:val="11"/>
                <w:color w:val="auto"/>
              </w:rPr>
            </w:pPr>
          </w:p>
        </w:tc>
        <w:tc>
          <w:tcPr>
            <w:tcW w:w="2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w:t>
            </w:r>
          </w:p>
        </w:tc>
        <w:tc>
          <w:tcPr>
            <w:tcW w:w="100" w:type="dxa"/>
            <w:vAlign w:val="bottom"/>
          </w:tcPr>
          <w:p>
            <w:pPr>
              <w:spacing w:after="0"/>
              <w:rPr>
                <w:sz w:val="11"/>
                <w:szCs w:val="11"/>
                <w:color w:val="auto"/>
              </w:rPr>
            </w:pPr>
          </w:p>
        </w:tc>
        <w:tc>
          <w:tcPr>
            <w:tcW w:w="2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702,969</w:t>
            </w: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(797)</w:t>
            </w:r>
          </w:p>
        </w:tc>
        <w:tc>
          <w:tcPr>
            <w:tcW w:w="80" w:type="dxa"/>
            <w:vAlign w:val="bottom"/>
          </w:tcPr>
          <w:p>
            <w:pPr>
              <w:spacing w:after="0"/>
              <w:rPr>
                <w:sz w:val="11"/>
                <w:szCs w:val="11"/>
                <w:color w:val="auto"/>
              </w:rPr>
            </w:pPr>
          </w:p>
        </w:tc>
        <w:tc>
          <w:tcPr>
            <w:tcW w:w="2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(614,096)</w:t>
            </w:r>
          </w:p>
        </w:tc>
        <w:tc>
          <w:tcPr>
            <w:tcW w:w="100" w:type="dxa"/>
            <w:vAlign w:val="bottom"/>
          </w:tcPr>
          <w:p>
            <w:pPr>
              <w:spacing w:after="0"/>
              <w:rPr>
                <w:sz w:val="11"/>
                <w:szCs w:val="11"/>
                <w:color w:val="auto"/>
              </w:rPr>
            </w:pPr>
          </w:p>
        </w:tc>
        <w:tc>
          <w:tcPr>
            <w:tcW w:w="2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88,103</w:t>
            </w:r>
          </w:p>
        </w:tc>
        <w:tc>
          <w:tcPr>
            <w:tcW w:w="0" w:type="dxa"/>
            <w:vAlign w:val="bottom"/>
          </w:tcPr>
          <w:p>
            <w:pPr>
              <w:spacing w:after="0"/>
              <w:rPr>
                <w:sz w:val="1"/>
                <w:szCs w:val="1"/>
                <w:color w:val="auto"/>
              </w:rPr>
            </w:pPr>
          </w:p>
        </w:tc>
      </w:tr>
      <w:tr>
        <w:trPr>
          <w:trHeight w:val="159"/>
        </w:trPr>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811</w:t>
            </w:r>
          </w:p>
        </w:tc>
        <w:tc>
          <w:tcPr>
            <w:tcW w:w="0" w:type="dxa"/>
            <w:vAlign w:val="bottom"/>
          </w:tcPr>
          <w:p>
            <w:pPr>
              <w:spacing w:after="0"/>
              <w:rPr>
                <w:sz w:val="1"/>
                <w:szCs w:val="1"/>
                <w:color w:val="auto"/>
              </w:rPr>
            </w:pPr>
          </w:p>
        </w:tc>
      </w:tr>
      <w:tr>
        <w:trPr>
          <w:trHeight w:val="159"/>
        </w:trPr>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9"/>
        </w:trPr>
        <w:tc>
          <w:tcPr>
            <w:tcW w:w="80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(347)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(7,504)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(7,504)</w:t>
            </w:r>
          </w:p>
        </w:tc>
        <w:tc>
          <w:tcPr>
            <w:tcW w:w="0" w:type="dxa"/>
            <w:vAlign w:val="bottom"/>
          </w:tcPr>
          <w:p>
            <w:pPr>
              <w:spacing w:after="0"/>
              <w:rPr>
                <w:sz w:val="1"/>
                <w:szCs w:val="1"/>
                <w:color w:val="auto"/>
              </w:rPr>
            </w:pPr>
          </w:p>
        </w:tc>
      </w:tr>
      <w:tr>
        <w:trPr>
          <w:trHeight w:val="159"/>
        </w:trPr>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10,131</w:t>
            </w:r>
          </w:p>
        </w:tc>
        <w:tc>
          <w:tcPr>
            <w:tcW w:w="0" w:type="dxa"/>
            <w:vAlign w:val="bottom"/>
          </w:tcPr>
          <w:p>
            <w:pPr>
              <w:spacing w:after="0"/>
              <w:rPr>
                <w:sz w:val="1"/>
                <w:szCs w:val="1"/>
                <w:color w:val="auto"/>
              </w:rPr>
            </w:pPr>
          </w:p>
        </w:tc>
      </w:tr>
      <w:tr>
        <w:trPr>
          <w:trHeight w:val="159"/>
        </w:trPr>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3"/>
                <w:szCs w:val="1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173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0" w:type="dxa"/>
            <w:vAlign w:val="bottom"/>
          </w:tcPr>
          <w:p>
            <w:pPr>
              <w:spacing w:after="0"/>
              <w:rPr>
                <w:sz w:val="1"/>
                <w:szCs w:val="1"/>
                <w:color w:val="auto"/>
              </w:rPr>
            </w:pPr>
          </w:p>
        </w:tc>
      </w:tr>
      <w:tr>
        <w:trPr>
          <w:trHeight w:val="165"/>
        </w:trPr>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(43,936)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(43,936)</w:t>
            </w:r>
          </w:p>
        </w:tc>
        <w:tc>
          <w:tcPr>
            <w:tcW w:w="0" w:type="dxa"/>
            <w:vAlign w:val="bottom"/>
          </w:tcPr>
          <w:p>
            <w:pPr>
              <w:spacing w:after="0"/>
              <w:rPr>
                <w:sz w:val="1"/>
                <w:szCs w:val="1"/>
                <w:color w:val="auto"/>
              </w:rPr>
            </w:pPr>
          </w:p>
        </w:tc>
      </w:tr>
      <w:tr>
        <w:trPr>
          <w:trHeight w:val="130"/>
        </w:trPr>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27,317</w:t>
            </w:r>
          </w:p>
        </w:tc>
        <w:tc>
          <w:tcPr>
            <w:tcW w:w="10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w:t>
            </w:r>
          </w:p>
        </w:tc>
        <w:tc>
          <w:tcPr>
            <w:tcW w:w="10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706,407</w:t>
            </w: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(624)</w:t>
            </w:r>
          </w:p>
        </w:tc>
        <w:tc>
          <w:tcPr>
            <w:tcW w:w="8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(658,032)</w:t>
            </w:r>
          </w:p>
        </w:tc>
        <w:tc>
          <w:tcPr>
            <w:tcW w:w="10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47,778</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-828040</wp:posOffset>
            </wp:positionV>
            <wp:extent cx="7161530" cy="1009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-626110</wp:posOffset>
            </wp:positionV>
            <wp:extent cx="7161530" cy="1009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-423545</wp:posOffset>
            </wp:positionV>
            <wp:extent cx="7161530" cy="1009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-221615</wp:posOffset>
            </wp:positionV>
            <wp:extent cx="7161530" cy="1009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200"/>
            <w:col w:w="7040"/>
          </w:cols>
          <w:pgMar w:left="320" w:top="759" w:right="319" w:bottom="1440" w:gutter="0" w:footer="0" w:header="0"/>
        </w:sectPr>
      </w:pP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59" w:right="31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Balance, December 31, 2022</w:t>
      </w:r>
    </w:p>
    <w:p>
      <w:pPr>
        <w:spacing w:after="0" w:line="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Issuance of common stock from exercises of options and employee stock purchase plan</w:t>
      </w:r>
    </w:p>
    <w:p>
      <w:pPr>
        <w:spacing w:after="0" w:line="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Issuance of common stock upon vesting of restricted stock units</w:t>
      </w:r>
    </w:p>
    <w:p>
      <w:pPr>
        <w:spacing w:after="0" w:line="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Repurchases and retirements of common stock</w:t>
      </w:r>
    </w:p>
    <w:p>
      <w:pPr>
        <w:spacing w:after="0" w:line="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Stock-based compensation</w:t>
      </w:r>
    </w:p>
    <w:p>
      <w:pPr>
        <w:spacing w:after="0" w:line="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Comprehensive gain, net</w:t>
      </w:r>
    </w:p>
    <w:p>
      <w:pPr>
        <w:spacing w:after="0" w:line="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Net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Balance, March 31, 2023</w:t>
      </w:r>
    </w:p>
    <w:p>
      <w:pPr>
        <w:spacing w:after="0" w:line="20" w:lineRule="exact"/>
        <w:rPr>
          <w:sz w:val="20"/>
          <w:szCs w:val="20"/>
          <w:color w:val="auto"/>
        </w:rPr>
      </w:pPr>
      <w:r>
        <w:rPr>
          <w:sz w:val="20"/>
          <w:szCs w:val="20"/>
          <w:color w:val="auto"/>
        </w:rPr>
        <w:br w:type="column"/>
      </w:r>
    </w:p>
    <w:p>
      <w:pPr>
        <w:jc w:val="center"/>
        <w:ind w:right="4220"/>
        <w:spacing w:after="0"/>
        <w:rPr>
          <w:sz w:val="20"/>
          <w:szCs w:val="20"/>
          <w:color w:val="auto"/>
        </w:rPr>
      </w:pPr>
      <w:r>
        <w:rPr>
          <w:rFonts w:ascii="Times New Roman" w:cs="Times New Roman" w:eastAsia="Times New Roman" w:hAnsi="Times New Roman"/>
          <w:sz w:val="14"/>
          <w:szCs w:val="14"/>
          <w:b w:val="1"/>
          <w:bCs w:val="1"/>
          <w:color w:val="auto"/>
        </w:rPr>
        <w:t>AnaptysBio, Inc.</w:t>
      </w:r>
    </w:p>
    <w:p>
      <w:pPr>
        <w:spacing w:after="0" w:line="25"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3"/>
          <w:szCs w:val="13"/>
          <w:b w:val="1"/>
          <w:bCs w:val="1"/>
          <w:color w:val="auto"/>
        </w:rPr>
        <w:t>Consolidated Statement of Stockholders’ Equity</w:t>
      </w:r>
    </w:p>
    <w:p>
      <w:pPr>
        <w:spacing w:after="0" w:line="18"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04" w:lineRule="exact"/>
        <w:rPr>
          <w:sz w:val="20"/>
          <w:szCs w:val="20"/>
          <w:color w:val="auto"/>
        </w:rPr>
      </w:pPr>
    </w:p>
    <w:tbl>
      <w:tblPr>
        <w:tblLayout w:type="fixed"/>
        <w:tblInd w:w="160" w:type="dxa"/>
        <w:tblCellMar>
          <w:top w:w="0" w:type="dxa"/>
          <w:left w:w="0" w:type="dxa"/>
          <w:bottom w:w="0" w:type="dxa"/>
          <w:right w:w="0" w:type="dxa"/>
        </w:tblCellMar>
      </w:tblPr>
      <w:tr>
        <w:trPr>
          <w:trHeight w:val="119"/>
        </w:trPr>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center"/>
              <w:ind w:right="153"/>
              <w:spacing w:after="0"/>
              <w:rPr>
                <w:sz w:val="20"/>
                <w:szCs w:val="20"/>
                <w:color w:val="auto"/>
              </w:rPr>
            </w:pPr>
            <w:r>
              <w:rPr>
                <w:rFonts w:ascii="Times New Roman" w:cs="Times New Roman" w:eastAsia="Times New Roman" w:hAnsi="Times New Roman"/>
                <w:sz w:val="8"/>
                <w:szCs w:val="8"/>
                <w:b w:val="1"/>
                <w:bCs w:val="1"/>
                <w:color w:val="auto"/>
                <w:w w:val="98"/>
              </w:rPr>
              <w:t>Total</w:t>
            </w:r>
          </w:p>
        </w:tc>
        <w:tc>
          <w:tcPr>
            <w:tcW w:w="0" w:type="dxa"/>
            <w:vAlign w:val="bottom"/>
          </w:tcPr>
          <w:p>
            <w:pPr>
              <w:spacing w:after="0"/>
              <w:rPr>
                <w:sz w:val="1"/>
                <w:szCs w:val="1"/>
                <w:color w:val="auto"/>
              </w:rPr>
            </w:pPr>
          </w:p>
        </w:tc>
      </w:tr>
      <w:tr>
        <w:trPr>
          <w:trHeight w:val="64"/>
        </w:trPr>
        <w:tc>
          <w:tcPr>
            <w:tcW w:w="900" w:type="dxa"/>
            <w:vAlign w:val="bottom"/>
            <w:gridSpan w:val="2"/>
            <w:vMerge w:val="restart"/>
          </w:tcPr>
          <w:p>
            <w:pPr>
              <w:ind w:left="280"/>
              <w:spacing w:after="0"/>
              <w:rPr>
                <w:sz w:val="20"/>
                <w:szCs w:val="20"/>
                <w:color w:val="auto"/>
              </w:rPr>
            </w:pPr>
            <w:r>
              <w:rPr>
                <w:rFonts w:ascii="Times New Roman" w:cs="Times New Roman" w:eastAsia="Times New Roman" w:hAnsi="Times New Roman"/>
                <w:sz w:val="8"/>
                <w:szCs w:val="8"/>
                <w:b w:val="1"/>
                <w:bCs w:val="1"/>
                <w:color w:val="auto"/>
              </w:rPr>
              <w:t>Shares</w:t>
            </w:r>
          </w:p>
        </w:tc>
        <w:tc>
          <w:tcPr>
            <w:tcW w:w="240" w:type="dxa"/>
            <w:vAlign w:val="bottom"/>
          </w:tcPr>
          <w:p>
            <w:pPr>
              <w:spacing w:after="0"/>
              <w:rPr>
                <w:sz w:val="5"/>
                <w:szCs w:val="5"/>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rPr>
              <w:t>Amount</w:t>
            </w:r>
          </w:p>
        </w:tc>
        <w:tc>
          <w:tcPr>
            <w:tcW w:w="240" w:type="dxa"/>
            <w:vAlign w:val="bottom"/>
          </w:tcPr>
          <w:p>
            <w:pPr>
              <w:spacing w:after="0"/>
              <w:rPr>
                <w:sz w:val="5"/>
                <w:szCs w:val="5"/>
                <w:color w:val="auto"/>
              </w:rPr>
            </w:pPr>
          </w:p>
        </w:tc>
        <w:tc>
          <w:tcPr>
            <w:tcW w:w="1060" w:type="dxa"/>
            <w:vAlign w:val="bottom"/>
            <w:gridSpan w:val="2"/>
          </w:tcPr>
          <w:p>
            <w:pPr>
              <w:jc w:val="center"/>
              <w:ind w:right="340"/>
              <w:spacing w:after="0" w:line="64" w:lineRule="exact"/>
              <w:rPr>
                <w:sz w:val="20"/>
                <w:szCs w:val="20"/>
                <w:color w:val="auto"/>
              </w:rPr>
            </w:pPr>
            <w:r>
              <w:rPr>
                <w:rFonts w:ascii="Times New Roman" w:cs="Times New Roman" w:eastAsia="Times New Roman" w:hAnsi="Times New Roman"/>
                <w:sz w:val="7"/>
                <w:szCs w:val="7"/>
                <w:b w:val="1"/>
                <w:bCs w:val="1"/>
                <w:color w:val="auto"/>
              </w:rPr>
              <w:t>Paid-in</w:t>
            </w:r>
          </w:p>
        </w:tc>
        <w:tc>
          <w:tcPr>
            <w:tcW w:w="140" w:type="dxa"/>
            <w:vAlign w:val="bottom"/>
          </w:tcPr>
          <w:p>
            <w:pPr>
              <w:spacing w:after="0"/>
              <w:rPr>
                <w:sz w:val="5"/>
                <w:szCs w:val="5"/>
                <w:color w:val="auto"/>
              </w:rPr>
            </w:pPr>
          </w:p>
        </w:tc>
        <w:tc>
          <w:tcPr>
            <w:tcW w:w="1140" w:type="dxa"/>
            <w:vAlign w:val="bottom"/>
            <w:gridSpan w:val="2"/>
          </w:tcPr>
          <w:p>
            <w:pPr>
              <w:jc w:val="center"/>
              <w:ind w:right="220"/>
              <w:spacing w:after="0" w:line="64" w:lineRule="exact"/>
              <w:rPr>
                <w:sz w:val="20"/>
                <w:szCs w:val="20"/>
                <w:color w:val="auto"/>
              </w:rPr>
            </w:pPr>
            <w:r>
              <w:rPr>
                <w:rFonts w:ascii="Times New Roman" w:cs="Times New Roman" w:eastAsia="Times New Roman" w:hAnsi="Times New Roman"/>
                <w:sz w:val="7"/>
                <w:szCs w:val="7"/>
                <w:b w:val="1"/>
                <w:bCs w:val="1"/>
                <w:color w:val="auto"/>
              </w:rPr>
              <w:t>Accumulated Other</w:t>
            </w:r>
          </w:p>
        </w:tc>
        <w:tc>
          <w:tcPr>
            <w:tcW w:w="220" w:type="dxa"/>
            <w:vAlign w:val="bottom"/>
          </w:tcPr>
          <w:p>
            <w:pPr>
              <w:spacing w:after="0"/>
              <w:rPr>
                <w:sz w:val="5"/>
                <w:szCs w:val="5"/>
                <w:color w:val="auto"/>
              </w:rPr>
            </w:pPr>
          </w:p>
        </w:tc>
        <w:tc>
          <w:tcPr>
            <w:tcW w:w="1080" w:type="dxa"/>
            <w:vAlign w:val="bottom"/>
            <w:gridSpan w:val="2"/>
          </w:tcPr>
          <w:p>
            <w:pPr>
              <w:ind w:left="140"/>
              <w:spacing w:after="0" w:line="64"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220" w:type="dxa"/>
            <w:vAlign w:val="bottom"/>
          </w:tcPr>
          <w:p>
            <w:pPr>
              <w:spacing w:after="0"/>
              <w:rPr>
                <w:sz w:val="5"/>
                <w:szCs w:val="5"/>
                <w:color w:val="auto"/>
              </w:rPr>
            </w:pPr>
          </w:p>
        </w:tc>
        <w:tc>
          <w:tcPr>
            <w:tcW w:w="980" w:type="dxa"/>
            <w:vAlign w:val="bottom"/>
          </w:tcPr>
          <w:p>
            <w:pPr>
              <w:jc w:val="center"/>
              <w:ind w:right="153"/>
              <w:spacing w:after="0" w:line="64"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18"/>
        </w:trPr>
        <w:tc>
          <w:tcPr>
            <w:tcW w:w="9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40" w:type="dxa"/>
            <w:vAlign w:val="bottom"/>
          </w:tcPr>
          <w:p>
            <w:pPr>
              <w:spacing w:after="0"/>
              <w:rPr>
                <w:sz w:val="10"/>
                <w:szCs w:val="10"/>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Comprehensive Loss</w:t>
            </w:r>
          </w:p>
        </w:tc>
        <w:tc>
          <w:tcPr>
            <w:tcW w:w="220" w:type="dxa"/>
            <w:vAlign w:val="bottom"/>
          </w:tcPr>
          <w:p>
            <w:pPr>
              <w:spacing w:after="0"/>
              <w:rPr>
                <w:sz w:val="10"/>
                <w:szCs w:val="10"/>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220" w:type="dxa"/>
            <w:vAlign w:val="bottom"/>
          </w:tcPr>
          <w:p>
            <w:pPr>
              <w:spacing w:after="0"/>
              <w:rPr>
                <w:sz w:val="10"/>
                <w:szCs w:val="10"/>
                <w:color w:val="auto"/>
              </w:rPr>
            </w:pPr>
          </w:p>
        </w:tc>
        <w:tc>
          <w:tcPr>
            <w:tcW w:w="980" w:type="dxa"/>
            <w:vAlign w:val="bottom"/>
          </w:tcPr>
          <w:p>
            <w:pPr>
              <w:jc w:val="center"/>
              <w:ind w:right="173"/>
              <w:spacing w:after="0"/>
              <w:rPr>
                <w:sz w:val="20"/>
                <w:szCs w:val="20"/>
                <w:color w:val="auto"/>
              </w:rPr>
            </w:pPr>
            <w:r>
              <w:rPr>
                <w:rFonts w:ascii="Times New Roman" w:cs="Times New Roman" w:eastAsia="Times New Roman" w:hAnsi="Times New Roman"/>
                <w:sz w:val="8"/>
                <w:szCs w:val="8"/>
                <w:b w:val="1"/>
                <w:bCs w:val="1"/>
                <w:color w:val="auto"/>
              </w:rPr>
              <w:t>Equity</w:t>
            </w:r>
          </w:p>
        </w:tc>
        <w:tc>
          <w:tcPr>
            <w:tcW w:w="0" w:type="dxa"/>
            <w:vAlign w:val="bottom"/>
          </w:tcPr>
          <w:p>
            <w:pPr>
              <w:spacing w:after="0"/>
              <w:rPr>
                <w:sz w:val="1"/>
                <w:szCs w:val="1"/>
                <w:color w:val="auto"/>
              </w:rPr>
            </w:pPr>
          </w:p>
        </w:tc>
      </w:tr>
      <w:tr>
        <w:trPr>
          <w:trHeight w:val="136"/>
        </w:trPr>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28,513</w:t>
            </w:r>
          </w:p>
        </w:tc>
        <w:tc>
          <w:tcPr>
            <w:tcW w:w="100" w:type="dxa"/>
            <w:vAlign w:val="bottom"/>
          </w:tcPr>
          <w:p>
            <w:pPr>
              <w:spacing w:after="0"/>
              <w:rPr>
                <w:sz w:val="11"/>
                <w:szCs w:val="11"/>
                <w:color w:val="auto"/>
              </w:rPr>
            </w:pPr>
          </w:p>
        </w:tc>
        <w:tc>
          <w:tcPr>
            <w:tcW w:w="2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0"/>
                <w:szCs w:val="10"/>
                <w:color w:val="auto"/>
              </w:rPr>
              <w:t>29</w:t>
            </w:r>
          </w:p>
        </w:tc>
        <w:tc>
          <w:tcPr>
            <w:tcW w:w="100" w:type="dxa"/>
            <w:vAlign w:val="bottom"/>
          </w:tcPr>
          <w:p>
            <w:pPr>
              <w:spacing w:after="0"/>
              <w:rPr>
                <w:sz w:val="11"/>
                <w:szCs w:val="11"/>
                <w:color w:val="auto"/>
              </w:rPr>
            </w:pPr>
          </w:p>
        </w:tc>
        <w:tc>
          <w:tcPr>
            <w:tcW w:w="2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717,797</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(5,246)</w:t>
            </w:r>
          </w:p>
        </w:tc>
        <w:tc>
          <w:tcPr>
            <w:tcW w:w="80" w:type="dxa"/>
            <w:vAlign w:val="bottom"/>
          </w:tcPr>
          <w:p>
            <w:pPr>
              <w:spacing w:after="0"/>
              <w:rPr>
                <w:sz w:val="11"/>
                <w:szCs w:val="11"/>
                <w:color w:val="auto"/>
              </w:rPr>
            </w:pPr>
          </w:p>
        </w:tc>
        <w:tc>
          <w:tcPr>
            <w:tcW w:w="22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(450,477)</w:t>
            </w:r>
          </w:p>
        </w:tc>
        <w:tc>
          <w:tcPr>
            <w:tcW w:w="100" w:type="dxa"/>
            <w:vAlign w:val="bottom"/>
          </w:tcPr>
          <w:p>
            <w:pPr>
              <w:spacing w:after="0"/>
              <w:rPr>
                <w:sz w:val="11"/>
                <w:szCs w:val="11"/>
                <w:color w:val="auto"/>
              </w:rPr>
            </w:pPr>
          </w:p>
        </w:tc>
        <w:tc>
          <w:tcPr>
            <w:tcW w:w="2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262,103</w:t>
            </w:r>
          </w:p>
        </w:tc>
        <w:tc>
          <w:tcPr>
            <w:tcW w:w="0" w:type="dxa"/>
            <w:vAlign w:val="bottom"/>
          </w:tcPr>
          <w:p>
            <w:pPr>
              <w:spacing w:after="0"/>
              <w:rPr>
                <w:sz w:val="1"/>
                <w:szCs w:val="1"/>
                <w:color w:val="auto"/>
              </w:rPr>
            </w:pPr>
          </w:p>
        </w:tc>
      </w:tr>
      <w:tr>
        <w:trPr>
          <w:trHeight w:val="159"/>
        </w:trPr>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1,222</w:t>
            </w:r>
          </w:p>
        </w:tc>
        <w:tc>
          <w:tcPr>
            <w:tcW w:w="0" w:type="dxa"/>
            <w:vAlign w:val="bottom"/>
          </w:tcPr>
          <w:p>
            <w:pPr>
              <w:spacing w:after="0"/>
              <w:rPr>
                <w:sz w:val="1"/>
                <w:szCs w:val="1"/>
                <w:color w:val="auto"/>
              </w:rPr>
            </w:pPr>
          </w:p>
        </w:tc>
      </w:tr>
      <w:tr>
        <w:trPr>
          <w:trHeight w:val="159"/>
        </w:trPr>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9"/>
        </w:trPr>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(1,589)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(38,814)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(38,816)</w:t>
            </w:r>
          </w:p>
        </w:tc>
        <w:tc>
          <w:tcPr>
            <w:tcW w:w="0" w:type="dxa"/>
            <w:vAlign w:val="bottom"/>
          </w:tcPr>
          <w:p>
            <w:pPr>
              <w:spacing w:after="0"/>
              <w:rPr>
                <w:sz w:val="1"/>
                <w:szCs w:val="1"/>
                <w:color w:val="auto"/>
              </w:rPr>
            </w:pPr>
          </w:p>
        </w:tc>
      </w:tr>
      <w:tr>
        <w:trPr>
          <w:trHeight w:val="159"/>
        </w:trPr>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8,860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8,860</w:t>
            </w:r>
          </w:p>
        </w:tc>
        <w:tc>
          <w:tcPr>
            <w:tcW w:w="0" w:type="dxa"/>
            <w:vAlign w:val="bottom"/>
          </w:tcPr>
          <w:p>
            <w:pPr>
              <w:spacing w:after="0"/>
              <w:rPr>
                <w:sz w:val="1"/>
                <w:szCs w:val="1"/>
                <w:color w:val="auto"/>
              </w:rPr>
            </w:pPr>
          </w:p>
        </w:tc>
      </w:tr>
      <w:tr>
        <w:trPr>
          <w:trHeight w:val="159"/>
        </w:trPr>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3"/>
                <w:szCs w:val="1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1,979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1,979</w:t>
            </w:r>
          </w:p>
        </w:tc>
        <w:tc>
          <w:tcPr>
            <w:tcW w:w="0" w:type="dxa"/>
            <w:vAlign w:val="bottom"/>
          </w:tcPr>
          <w:p>
            <w:pPr>
              <w:spacing w:after="0"/>
              <w:rPr>
                <w:sz w:val="1"/>
                <w:szCs w:val="1"/>
                <w:color w:val="auto"/>
              </w:rPr>
            </w:pPr>
          </w:p>
        </w:tc>
      </w:tr>
      <w:tr>
        <w:trPr>
          <w:trHeight w:val="165"/>
        </w:trPr>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(44,255)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(44,255)</w:t>
            </w:r>
          </w:p>
        </w:tc>
        <w:tc>
          <w:tcPr>
            <w:tcW w:w="0" w:type="dxa"/>
            <w:vAlign w:val="bottom"/>
          </w:tcPr>
          <w:p>
            <w:pPr>
              <w:spacing w:after="0"/>
              <w:rPr>
                <w:sz w:val="1"/>
                <w:szCs w:val="1"/>
                <w:color w:val="auto"/>
              </w:rPr>
            </w:pPr>
          </w:p>
        </w:tc>
      </w:tr>
      <w:tr>
        <w:trPr>
          <w:trHeight w:val="130"/>
        </w:trPr>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27,018</w:t>
            </w:r>
          </w:p>
        </w:tc>
        <w:tc>
          <w:tcPr>
            <w:tcW w:w="10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0"/>
                <w:szCs w:val="10"/>
                <w:color w:val="auto"/>
              </w:rPr>
              <w:t>27</w:t>
            </w:r>
          </w:p>
        </w:tc>
        <w:tc>
          <w:tcPr>
            <w:tcW w:w="10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689,065</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(3,267)</w:t>
            </w:r>
          </w:p>
        </w:tc>
        <w:tc>
          <w:tcPr>
            <w:tcW w:w="8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(494,732)</w:t>
            </w:r>
          </w:p>
        </w:tc>
        <w:tc>
          <w:tcPr>
            <w:tcW w:w="10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191,093</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-828040</wp:posOffset>
            </wp:positionV>
            <wp:extent cx="7161530" cy="100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-626110</wp:posOffset>
            </wp:positionV>
            <wp:extent cx="7161530" cy="1009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-423545</wp:posOffset>
            </wp:positionV>
            <wp:extent cx="7161530" cy="1009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-221615</wp:posOffset>
            </wp:positionV>
            <wp:extent cx="7161530" cy="1009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200"/>
            <w:col w:w="7040"/>
          </w:cols>
          <w:pgMar w:left="320" w:top="812" w:right="319" w:bottom="1440" w:gutter="0" w:footer="0" w:header="0"/>
        </w:sectPr>
      </w:pP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unaudited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12" w:right="31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AnaptysBio,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0"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jc w:val="center"/>
        <w:ind w:left="782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840" w:type="dxa"/>
            <w:vAlign w:val="bottom"/>
            <w:tcBorders>
              <w:bottom w:val="single" w:sz="8" w:color="CFF0FC"/>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FF0FC"/>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57"/>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55"/>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0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80" w:type="dxa"/>
            <w:vAlign w:val="bottom"/>
          </w:tcPr>
          <w:p>
            <w:pPr>
              <w:jc w:val="right"/>
              <w:ind w:right="93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(43,936)</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(44,255)</w:t>
            </w:r>
          </w:p>
        </w:tc>
        <w:tc>
          <w:tcPr>
            <w:tcW w:w="0" w:type="dxa"/>
            <w:vAlign w:val="bottom"/>
          </w:tcPr>
          <w:p>
            <w:pPr>
              <w:spacing w:after="0"/>
              <w:rPr>
                <w:sz w:val="1"/>
                <w:szCs w:val="1"/>
                <w:color w:val="auto"/>
              </w:rPr>
            </w:pPr>
          </w:p>
        </w:tc>
      </w:tr>
      <w:tr>
        <w:trPr>
          <w:trHeight w:val="183"/>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10,131</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8,860</w:t>
            </w:r>
          </w:p>
        </w:tc>
        <w:tc>
          <w:tcPr>
            <w:tcW w:w="0" w:type="dxa"/>
            <w:vAlign w:val="bottom"/>
          </w:tcPr>
          <w:p>
            <w:pPr>
              <w:spacing w:after="0"/>
              <w:rPr>
                <w:sz w:val="1"/>
                <w:szCs w:val="1"/>
                <w:color w:val="auto"/>
              </w:rPr>
            </w:pPr>
          </w:p>
        </w:tc>
      </w:tr>
      <w:tr>
        <w:trPr>
          <w:trHeight w:val="168"/>
        </w:trPr>
        <w:tc>
          <w:tcPr>
            <w:tcW w:w="7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Accretion/amortization of investments, net</w:t>
            </w:r>
          </w:p>
        </w:tc>
        <w:tc>
          <w:tcPr>
            <w:tcW w:w="1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(2,191)</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Amortization of right-of-use assets – operating</w:t>
            </w:r>
          </w:p>
        </w:tc>
        <w:tc>
          <w:tcPr>
            <w:tcW w:w="10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0" w:type="dxa"/>
            <w:vAlign w:val="bottom"/>
          </w:tcPr>
          <w:p>
            <w:pPr>
              <w:spacing w:after="0"/>
              <w:rPr>
                <w:sz w:val="1"/>
                <w:szCs w:val="1"/>
                <w:color w:val="auto"/>
              </w:rPr>
            </w:pPr>
          </w:p>
        </w:tc>
      </w:tr>
      <w:tr>
        <w:trPr>
          <w:trHeight w:val="168"/>
        </w:trPr>
        <w:tc>
          <w:tcPr>
            <w:tcW w:w="7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Non-cash interest expense</w:t>
            </w:r>
          </w:p>
        </w:tc>
        <w:tc>
          <w:tcPr>
            <w:tcW w:w="1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4,336</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0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Receivables from collaborative partners</w:t>
            </w:r>
          </w:p>
        </w:tc>
        <w:tc>
          <w:tcPr>
            <w:tcW w:w="1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0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(1,566)</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68"/>
        </w:trPr>
        <w:tc>
          <w:tcPr>
            <w:tcW w:w="78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Accounts payable and other liabilities</w:t>
            </w:r>
          </w:p>
        </w:tc>
        <w:tc>
          <w:tcPr>
            <w:tcW w:w="1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8,533</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0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100" w:type="dxa"/>
            <w:vAlign w:val="bottom"/>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0" w:type="dxa"/>
            <w:vAlign w:val="bottom"/>
          </w:tcPr>
          <w:p>
            <w:pPr>
              <w:spacing w:after="0"/>
              <w:rPr>
                <w:sz w:val="1"/>
                <w:szCs w:val="1"/>
                <w:color w:val="auto"/>
              </w:rPr>
            </w:pPr>
          </w:p>
        </w:tc>
      </w:tr>
      <w:tr>
        <w:trPr>
          <w:trHeight w:val="158"/>
        </w:trPr>
        <w:tc>
          <w:tcPr>
            <w:tcW w:w="7840" w:type="dxa"/>
            <w:vAlign w:val="bottom"/>
            <w:tcBorders>
              <w:bottom w:val="single" w:sz="8" w:color="CFF0FC"/>
            </w:tcBorders>
          </w:tcPr>
          <w:p>
            <w:pPr>
              <w:ind w:left="600"/>
              <w:spacing w:after="0" w:line="146"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10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(37,253)</w:t>
            </w:r>
          </w:p>
        </w:tc>
        <w:tc>
          <w:tcPr>
            <w:tcW w:w="1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(24,568)</w:t>
            </w:r>
          </w:p>
        </w:tc>
        <w:tc>
          <w:tcPr>
            <w:tcW w:w="0" w:type="dxa"/>
            <w:vAlign w:val="bottom"/>
          </w:tcPr>
          <w:p>
            <w:pPr>
              <w:spacing w:after="0"/>
              <w:rPr>
                <w:sz w:val="1"/>
                <w:szCs w:val="1"/>
                <w:color w:val="auto"/>
              </w:rPr>
            </w:pPr>
          </w:p>
        </w:tc>
      </w:tr>
      <w:tr>
        <w:trPr>
          <w:trHeight w:val="152"/>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0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investments</w:t>
            </w:r>
          </w:p>
        </w:tc>
        <w:tc>
          <w:tcPr>
            <w:tcW w:w="1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(58,997)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(48,555)</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Sales and maturities of investments</w:t>
            </w:r>
          </w:p>
        </w:tc>
        <w:tc>
          <w:tcPr>
            <w:tcW w:w="10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127,640</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134,126</w:t>
            </w:r>
          </w:p>
        </w:tc>
        <w:tc>
          <w:tcPr>
            <w:tcW w:w="0" w:type="dxa"/>
            <w:vAlign w:val="bottom"/>
          </w:tcPr>
          <w:p>
            <w:pPr>
              <w:spacing w:after="0"/>
              <w:rPr>
                <w:sz w:val="1"/>
                <w:szCs w:val="1"/>
                <w:color w:val="auto"/>
              </w:rPr>
            </w:pPr>
          </w:p>
        </w:tc>
      </w:tr>
      <w:tr>
        <w:trPr>
          <w:trHeight w:val="168"/>
        </w:trPr>
        <w:tc>
          <w:tcPr>
            <w:tcW w:w="78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10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0" w:type="dxa"/>
            <w:vAlign w:val="bottom"/>
          </w:tcPr>
          <w:p>
            <w:pPr>
              <w:spacing w:after="0"/>
              <w:rPr>
                <w:sz w:val="1"/>
                <w:szCs w:val="1"/>
                <w:color w:val="auto"/>
              </w:rPr>
            </w:pPr>
          </w:p>
        </w:tc>
      </w:tr>
      <w:tr>
        <w:trPr>
          <w:trHeight w:val="163"/>
        </w:trPr>
        <w:tc>
          <w:tcPr>
            <w:tcW w:w="7840" w:type="dxa"/>
            <w:vAlign w:val="bottom"/>
            <w:shd w:val="clear" w:color="auto" w:fill="CFF0FC"/>
          </w:tcPr>
          <w:p>
            <w:pPr>
              <w:ind w:left="600"/>
              <w:spacing w:after="0" w:line="147" w:lineRule="exact"/>
              <w:rPr>
                <w:sz w:val="20"/>
                <w:szCs w:val="20"/>
                <w:color w:val="auto"/>
              </w:rPr>
            </w:pPr>
            <w:r>
              <w:rPr>
                <w:rFonts w:ascii="Times New Roman" w:cs="Times New Roman" w:eastAsia="Times New Roman" w:hAnsi="Times New Roman"/>
                <w:sz w:val="13"/>
                <w:szCs w:val="13"/>
                <w:color w:val="auto"/>
              </w:rPr>
              <w:t>Net cash provided by investing activities</w:t>
            </w:r>
          </w:p>
        </w:tc>
        <w:tc>
          <w:tcPr>
            <w:tcW w:w="10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68,616</w:t>
            </w:r>
          </w:p>
        </w:tc>
        <w:tc>
          <w:tcPr>
            <w:tcW w:w="100" w:type="dxa"/>
            <w:vAlign w:val="bottom"/>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85,396</w:t>
            </w:r>
          </w:p>
        </w:tc>
        <w:tc>
          <w:tcPr>
            <w:tcW w:w="0" w:type="dxa"/>
            <w:vAlign w:val="bottom"/>
          </w:tcPr>
          <w:p>
            <w:pPr>
              <w:spacing w:after="0"/>
              <w:rPr>
                <w:sz w:val="1"/>
                <w:szCs w:val="1"/>
                <w:color w:val="auto"/>
              </w:rPr>
            </w:pPr>
          </w:p>
        </w:tc>
      </w:tr>
      <w:tr>
        <w:trPr>
          <w:trHeight w:val="149"/>
        </w:trPr>
        <w:tc>
          <w:tcPr>
            <w:tcW w:w="78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issuance of common stock</w:t>
            </w:r>
          </w:p>
        </w:tc>
        <w:tc>
          <w:tcPr>
            <w:tcW w:w="10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811</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1,265</w:t>
            </w:r>
          </w:p>
        </w:tc>
        <w:tc>
          <w:tcPr>
            <w:tcW w:w="0" w:type="dxa"/>
            <w:vAlign w:val="bottom"/>
          </w:tcPr>
          <w:p>
            <w:pPr>
              <w:spacing w:after="0"/>
              <w:rPr>
                <w:sz w:val="1"/>
                <w:szCs w:val="1"/>
                <w:color w:val="auto"/>
              </w:rPr>
            </w:pPr>
          </w:p>
        </w:tc>
      </w:tr>
      <w:tr>
        <w:trPr>
          <w:trHeight w:val="168"/>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 and retirements of common stock</w:t>
            </w:r>
          </w:p>
        </w:tc>
        <w:tc>
          <w:tcPr>
            <w:tcW w:w="10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(37,526)</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Payment for net share settlement of equity awards</w:t>
            </w:r>
          </w:p>
        </w:tc>
        <w:tc>
          <w:tcPr>
            <w:tcW w:w="10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(7,504)</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Repayment of liability for sale of future royalties</w:t>
            </w:r>
          </w:p>
        </w:tc>
        <w:tc>
          <w:tcPr>
            <w:tcW w:w="1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(1,270)</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Payments for debt issuance costs</w:t>
            </w:r>
          </w:p>
        </w:tc>
        <w:tc>
          <w:tcPr>
            <w:tcW w:w="10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58"/>
        </w:trPr>
        <w:tc>
          <w:tcPr>
            <w:tcW w:w="7840" w:type="dxa"/>
            <w:vAlign w:val="bottom"/>
            <w:tcBorders>
              <w:bottom w:val="single" w:sz="8" w:color="CFF0FC"/>
            </w:tcBorders>
          </w:tcPr>
          <w:p>
            <w:pPr>
              <w:ind w:left="600"/>
              <w:spacing w:after="0" w:line="146"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10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(13,633)</w:t>
            </w:r>
          </w:p>
        </w:tc>
        <w:tc>
          <w:tcPr>
            <w:tcW w:w="100" w:type="dxa"/>
            <w:vAlign w:val="bottom"/>
            <w:tcBorders>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(37,574)</w:t>
            </w:r>
          </w:p>
        </w:tc>
        <w:tc>
          <w:tcPr>
            <w:tcW w:w="0" w:type="dxa"/>
            <w:vAlign w:val="bottom"/>
          </w:tcPr>
          <w:p>
            <w:pPr>
              <w:spacing w:after="0"/>
              <w:rPr>
                <w:sz w:val="1"/>
                <w:szCs w:val="1"/>
                <w:color w:val="auto"/>
              </w:rPr>
            </w:pPr>
          </w:p>
        </w:tc>
      </w:tr>
      <w:tr>
        <w:trPr>
          <w:trHeight w:val="163"/>
        </w:trPr>
        <w:tc>
          <w:tcPr>
            <w:tcW w:w="7840" w:type="dxa"/>
            <w:vAlign w:val="bottom"/>
            <w:shd w:val="clear" w:color="auto" w:fill="CFF0FC"/>
          </w:tcPr>
          <w:p>
            <w:pPr>
              <w:ind w:left="780"/>
              <w:spacing w:after="0" w:line="147" w:lineRule="exact"/>
              <w:rPr>
                <w:sz w:val="20"/>
                <w:szCs w:val="20"/>
                <w:color w:val="auto"/>
              </w:rPr>
            </w:pPr>
            <w:r>
              <w:rPr>
                <w:rFonts w:ascii="Times New Roman" w:cs="Times New Roman" w:eastAsia="Times New Roman" w:hAnsi="Times New Roman"/>
                <w:sz w:val="13"/>
                <w:szCs w:val="13"/>
                <w:color w:val="auto"/>
              </w:rPr>
              <w:t>Net increase in cash and cash equivalents</w:t>
            </w:r>
          </w:p>
        </w:tc>
        <w:tc>
          <w:tcPr>
            <w:tcW w:w="10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17,730</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23,254</w:t>
            </w:r>
          </w:p>
        </w:tc>
        <w:tc>
          <w:tcPr>
            <w:tcW w:w="0" w:type="dxa"/>
            <w:vAlign w:val="bottom"/>
          </w:tcPr>
          <w:p>
            <w:pPr>
              <w:spacing w:after="0"/>
              <w:rPr>
                <w:sz w:val="1"/>
                <w:szCs w:val="1"/>
                <w:color w:val="auto"/>
              </w:rPr>
            </w:pPr>
          </w:p>
        </w:tc>
      </w:tr>
      <w:tr>
        <w:trPr>
          <w:trHeight w:val="168"/>
        </w:trPr>
        <w:tc>
          <w:tcPr>
            <w:tcW w:w="78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Cash and cash equivalents, beginning of period</w:t>
            </w:r>
          </w:p>
        </w:tc>
        <w:tc>
          <w:tcPr>
            <w:tcW w:w="10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35,965</w:t>
            </w:r>
          </w:p>
        </w:tc>
        <w:tc>
          <w:tcPr>
            <w:tcW w:w="1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71,308</w:t>
            </w:r>
          </w:p>
        </w:tc>
        <w:tc>
          <w:tcPr>
            <w:tcW w:w="0" w:type="dxa"/>
            <w:vAlign w:val="bottom"/>
          </w:tcPr>
          <w:p>
            <w:pPr>
              <w:spacing w:after="0"/>
              <w:rPr>
                <w:sz w:val="1"/>
                <w:szCs w:val="1"/>
                <w:color w:val="auto"/>
              </w:rPr>
            </w:pPr>
          </w:p>
        </w:tc>
      </w:tr>
      <w:tr>
        <w:trPr>
          <w:trHeight w:val="185"/>
        </w:trPr>
        <w:tc>
          <w:tcPr>
            <w:tcW w:w="7840" w:type="dxa"/>
            <w:vAlign w:val="bottom"/>
            <w:tcBorders>
              <w:bottom w:val="single" w:sz="8" w:color="CFF0FC"/>
            </w:tcBorders>
            <w:shd w:val="clear" w:color="auto" w:fill="CFF0FC"/>
          </w:tcPr>
          <w:p>
            <w:pPr>
              <w:ind w:left="20"/>
              <w:spacing w:after="0" w:line="147" w:lineRule="exact"/>
              <w:rPr>
                <w:sz w:val="20"/>
                <w:szCs w:val="20"/>
                <w:color w:val="auto"/>
              </w:rPr>
            </w:pPr>
            <w:r>
              <w:rPr>
                <w:rFonts w:ascii="Times New Roman" w:cs="Times New Roman" w:eastAsia="Times New Roman" w:hAnsi="Times New Roman"/>
                <w:sz w:val="13"/>
                <w:szCs w:val="13"/>
                <w:color w:val="auto"/>
              </w:rPr>
              <w:t>Cash and cash equivalents, end of period</w:t>
            </w:r>
          </w:p>
        </w:tc>
        <w:tc>
          <w:tcPr>
            <w:tcW w:w="1080" w:type="dxa"/>
            <w:vAlign w:val="bottom"/>
            <w:tcBorders>
              <w:bottom w:val="single" w:sz="8" w:color="auto"/>
            </w:tcBorders>
            <w:shd w:val="clear" w:color="auto" w:fill="CFF0FC"/>
          </w:tcPr>
          <w:p>
            <w:pPr>
              <w:jc w:val="right"/>
              <w:ind w:right="93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53,695</w:t>
            </w:r>
          </w:p>
        </w:tc>
        <w:tc>
          <w:tcPr>
            <w:tcW w:w="10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94,562</w:t>
            </w:r>
          </w:p>
        </w:tc>
        <w:tc>
          <w:tcPr>
            <w:tcW w:w="0" w:type="dxa"/>
            <w:vAlign w:val="bottom"/>
          </w:tcPr>
          <w:p>
            <w:pPr>
              <w:spacing w:after="0"/>
              <w:rPr>
                <w:sz w:val="1"/>
                <w:szCs w:val="1"/>
                <w:color w:val="auto"/>
              </w:rPr>
            </w:pPr>
          </w:p>
        </w:tc>
      </w:tr>
      <w:tr>
        <w:trPr>
          <w:trHeight w:val="20"/>
        </w:trPr>
        <w:tc>
          <w:tcPr>
            <w:tcW w:w="784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84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Non-cash investing and financing activities:</w:t>
            </w:r>
          </w:p>
        </w:tc>
        <w:tc>
          <w:tcPr>
            <w:tcW w:w="10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Amounts accrued for property and equipment</w:t>
            </w:r>
          </w:p>
        </w:tc>
        <w:tc>
          <w:tcPr>
            <w:tcW w:w="1080" w:type="dxa"/>
            <w:vAlign w:val="bottom"/>
          </w:tcPr>
          <w:p>
            <w:pPr>
              <w:jc w:val="right"/>
              <w:ind w:right="938"/>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Amounts accrued for repurchases of common stock</w:t>
            </w:r>
          </w:p>
        </w:tc>
        <w:tc>
          <w:tcPr>
            <w:tcW w:w="1080" w:type="dxa"/>
            <w:vAlign w:val="bottom"/>
            <w:shd w:val="clear" w:color="auto" w:fill="CFF0FC"/>
          </w:tcPr>
          <w:p>
            <w:pPr>
              <w:jc w:val="right"/>
              <w:ind w:right="938"/>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1,290</w:t>
            </w:r>
          </w:p>
        </w:tc>
        <w:tc>
          <w:tcPr>
            <w:tcW w:w="0" w:type="dxa"/>
            <w:vAlign w:val="bottom"/>
          </w:tcPr>
          <w:p>
            <w:pPr>
              <w:spacing w:after="0"/>
              <w:rPr>
                <w:sz w:val="1"/>
                <w:szCs w:val="1"/>
                <w:color w:val="auto"/>
              </w:rPr>
            </w:pPr>
          </w:p>
        </w:tc>
      </w:tr>
      <w:tr>
        <w:trPr>
          <w:trHeight w:val="165"/>
        </w:trPr>
        <w:tc>
          <w:tcPr>
            <w:tcW w:w="7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Receivable related to issuance of common stock, upon exercise of stock options</w:t>
            </w:r>
          </w:p>
        </w:tc>
        <w:tc>
          <w:tcPr>
            <w:tcW w:w="1080" w:type="dxa"/>
            <w:vAlign w:val="bottom"/>
          </w:tcPr>
          <w:p>
            <w:pPr>
              <w:jc w:val="right"/>
              <w:ind w:right="938"/>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AnaptysBio,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Consolidated Financial Statements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Description of the Business</w:t>
      </w:r>
    </w:p>
    <w:p>
      <w:pPr>
        <w:spacing w:after="0" w:line="170" w:lineRule="exact"/>
        <w:rPr>
          <w:sz w:val="20"/>
          <w:szCs w:val="20"/>
          <w:color w:val="auto"/>
        </w:rPr>
      </w:pPr>
    </w:p>
    <w:p>
      <w:pPr>
        <w:ind w:right="40" w:firstLine="446"/>
        <w:spacing w:after="0" w:line="239" w:lineRule="auto"/>
        <w:rPr>
          <w:sz w:val="20"/>
          <w:szCs w:val="20"/>
          <w:color w:val="auto"/>
        </w:rPr>
      </w:pPr>
      <w:r>
        <w:rPr>
          <w:rFonts w:ascii="Times New Roman" w:cs="Times New Roman" w:eastAsia="Times New Roman" w:hAnsi="Times New Roman"/>
          <w:sz w:val="14"/>
          <w:szCs w:val="14"/>
          <w:color w:val="auto"/>
        </w:rPr>
        <w:t>AnaptysBio, Inc. (“we,” “us,” “our,” or the “Company”) was incorporated in the state of Delaware in November 2005. We are a clinical-stage biotechnology company focused on delivering innovative immunology therapeutics. We are developing immune cell modulating antibodies, including two wholly owned checkpoint agonists in clinical-stage development, for autoimmune and inflammatory diseases: rosnilimab, our PD-1 agonist in a Phase 2b trial for the treatment of moderate-to-severe rheumatoid arthritis (“RA”) and a Phase 2 trial for the treatment of moderate-to-severe ulcerative colitis (“UC”); and ANB032, our BTLA agonist, in a Phase 2b trial for the treatment of moderate-to-severe atopic dermatitis (“AD”). We also have other preclinical immune cell modulator candidates for the treatment of autoimmune and inflammatory diseases in our portfolio, including ANB033, an anti-CD122 antagonist antibody, and ANB101, a BDCA2 modulator antibody. In addition, we have developed two cytokine antagonists that we are exploring options for out-licensing: imsidolimab, our anti-IL-36R antibody, that has completed Phase 3 trials for the treatment of generalized pustular psoriasis (“GPP”), and etokimab, our anti-IL-33 antagonist that is Phase 2/3 ready. We have also discovered multiple therapeutic antibodies licensed to GlaxoSmithKline, Inc. (“GSK”) in a financial collaboration for immuno-oncology, including an anti-PD-1 antagonist antibody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(dostarlimab-gxly) or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and an anti-TIM-3 antagonist antibody (cobolimab, GSK4069889). We currently recognize revenue from milestones and royalties achieved under our immuno-oncology collaboration with GSK.</w:t>
      </w:r>
    </w:p>
    <w:p>
      <w:pPr>
        <w:spacing w:after="0" w:line="74" w:lineRule="exact"/>
        <w:rPr>
          <w:sz w:val="20"/>
          <w:szCs w:val="20"/>
          <w:color w:val="auto"/>
        </w:rPr>
      </w:pPr>
    </w:p>
    <w:p>
      <w:pPr>
        <w:ind w:firstLine="446"/>
        <w:spacing w:after="0" w:line="258" w:lineRule="auto"/>
        <w:rPr>
          <w:sz w:val="20"/>
          <w:szCs w:val="20"/>
          <w:color w:val="auto"/>
        </w:rPr>
      </w:pPr>
      <w:r>
        <w:rPr>
          <w:rFonts w:ascii="Times New Roman" w:cs="Times New Roman" w:eastAsia="Times New Roman" w:hAnsi="Times New Roman"/>
          <w:sz w:val="14"/>
          <w:szCs w:val="14"/>
          <w:color w:val="auto"/>
        </w:rPr>
        <w:t>Since our inception, we have devoted our primary effort to research and development activities. Our financial support has been provided primarily from the sale of our common stock, royalty monetizations,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AnaptysBio management believes our currently available resources will provide sufficient funds to enable us to meet our operating plans for at least the next twelve months from the issuance of our consolidated financial statements. The accompanying consolidated financial statements do not include any adjustments that might be necessary if we are unable to continue as a going concern.</w:t>
      </w:r>
    </w:p>
    <w:p>
      <w:pPr>
        <w:spacing w:after="0" w:line="230" w:lineRule="exact"/>
        <w:rPr>
          <w:sz w:val="20"/>
          <w:szCs w:val="20"/>
          <w:color w:val="auto"/>
        </w:rPr>
      </w:pPr>
    </w:p>
    <w:p>
      <w:pPr>
        <w:ind w:left="200" w:right="8480" w:hanging="195"/>
        <w:spacing w:after="0" w:line="381" w:lineRule="auto"/>
        <w:tabs>
          <w:tab w:leader="none" w:pos="15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Summary of Significant Accounting Policies </w:t>
      </w:r>
      <w:r>
        <w:rPr>
          <w:rFonts w:ascii="Times New Roman" w:cs="Times New Roman" w:eastAsia="Times New Roman" w:hAnsi="Times New Roman"/>
          <w:sz w:val="14"/>
          <w:szCs w:val="14"/>
          <w:b w:val="1"/>
          <w:bCs w:val="1"/>
          <w:i w:val="1"/>
          <w:iCs w:val="1"/>
          <w:color w:val="auto"/>
        </w:rPr>
        <w:t>Basis of Presentation</w:t>
      </w:r>
    </w:p>
    <w:p>
      <w:pPr>
        <w:ind w:right="80" w:firstLine="382"/>
        <w:spacing w:after="0" w:line="259" w:lineRule="auto"/>
        <w:rPr>
          <w:sz w:val="20"/>
          <w:szCs w:val="20"/>
          <w:color w:val="auto"/>
        </w:rPr>
      </w:pPr>
      <w:r>
        <w:rPr>
          <w:rFonts w:ascii="Times New Roman" w:cs="Times New Roman" w:eastAsia="Times New Roman" w:hAnsi="Times New Roman"/>
          <w:sz w:val="14"/>
          <w:szCs w:val="14"/>
          <w:color w:val="auto"/>
        </w:rPr>
        <w:t>The accompanying unaudited consolidated financial statements have been prepared pursuant to the rules and regulations of the Securities and Exchange Commission (the “SEC”). Certain information and note disclosures normally included in annual financial statements prepared in accordance with U.S. generally accepted accounting principles (“U.S. GAAP”) have been omitted. The accompanying unaudited consolidated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Operating results for the three months ended March 31, 2024 are not necessarily indicative of the results that may be expected for the year ending December 31, 2024. The financial statements should be read in conjunction with our audited financial statements for the year ended December 31, 2023 included in our Annual Report on Form 10-K.</w:t>
      </w:r>
    </w:p>
    <w:p>
      <w:pPr>
        <w:spacing w:after="0" w:line="1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Basis of Consolidation</w:t>
      </w:r>
    </w:p>
    <w:p>
      <w:pPr>
        <w:spacing w:after="0" w:line="96" w:lineRule="exact"/>
        <w:rPr>
          <w:sz w:val="20"/>
          <w:szCs w:val="20"/>
          <w:color w:val="auto"/>
        </w:rPr>
      </w:pPr>
    </w:p>
    <w:p>
      <w:pPr>
        <w:ind w:right="820" w:firstLine="382"/>
        <w:spacing w:after="0" w:line="287"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us and our wholly owned Australian subsidiary. All intercompany accounts and transactions have been eliminated in consolidation. We operate in one reportable segment, and our functional and reporting currency is the U.S. dollar.</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6" w:lineRule="exact"/>
        <w:rPr>
          <w:sz w:val="20"/>
          <w:szCs w:val="20"/>
          <w:color w:val="auto"/>
        </w:rPr>
      </w:pPr>
    </w:p>
    <w:p>
      <w:pPr>
        <w:ind w:right="240" w:firstLine="382"/>
        <w:spacing w:after="0" w:line="287" w:lineRule="auto"/>
        <w:rPr>
          <w:sz w:val="20"/>
          <w:szCs w:val="20"/>
          <w:color w:val="auto"/>
        </w:rPr>
      </w:pPr>
      <w:r>
        <w:rPr>
          <w:rFonts w:ascii="Times New Roman" w:cs="Times New Roman" w:eastAsia="Times New Roman" w:hAnsi="Times New Roman"/>
          <w:sz w:val="14"/>
          <w:szCs w:val="14"/>
          <w:color w:val="auto"/>
        </w:rPr>
        <w:t>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9" w:name="page10"/>
    <w:bookmarkEnd w:id="9"/>
    <w:p>
      <w:pPr>
        <w:ind w:right="80"/>
        <w:spacing w:after="0" w:line="264" w:lineRule="auto"/>
        <w:rPr>
          <w:sz w:val="20"/>
          <w:szCs w:val="20"/>
          <w:color w:val="auto"/>
        </w:rPr>
      </w:pPr>
      <w:r>
        <w:rPr>
          <w:rFonts w:ascii="Times New Roman" w:cs="Times New Roman" w:eastAsia="Times New Roman" w:hAnsi="Times New Roman"/>
          <w:sz w:val="14"/>
          <w:szCs w:val="14"/>
          <w:color w:val="auto"/>
        </w:rPr>
        <w:t>the reporting periods. Actual results could differ from those estimates. We base our estimates and assumptions on historical experience when available and on various factors that we believe to be reasonable under the circumstances. Significant estimates relied upon in preparing these financial statements include estimates related to revenue recognition, accrued research and development expenses, stock-based compensation, and the liability related to the sale of future royalties. We evaluate our estimates and assumptions on an ongoing basis. Our actual results could differ from these estimates under different assumptions or conditions.</w:t>
      </w:r>
    </w:p>
    <w:p>
      <w:pPr>
        <w:spacing w:after="0" w:line="1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Net Loss Per Common Share</w:t>
      </w:r>
    </w:p>
    <w:p>
      <w:pPr>
        <w:spacing w:after="0" w:line="96"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spacing w:after="0" w:line="51" w:lineRule="exact"/>
        <w:rPr>
          <w:sz w:val="20"/>
          <w:szCs w:val="20"/>
          <w:color w:val="auto"/>
        </w:rPr>
      </w:pPr>
    </w:p>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 sets forth the weighted-average outstanding potentially dilutive securities that have been excluded in the calculation of diluted net loss per share because to do so would be anti-dilutive (in common stock equivalent shares):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40" w:type="dxa"/>
            <w:vAlign w:val="bottom"/>
          </w:tcPr>
          <w:p>
            <w:pPr>
              <w:spacing w:after="0"/>
              <w:rPr>
                <w:sz w:val="11"/>
                <w:szCs w:val="11"/>
                <w:color w:val="auto"/>
              </w:rPr>
            </w:pPr>
          </w:p>
        </w:tc>
        <w:tc>
          <w:tcPr>
            <w:tcW w:w="2160" w:type="dxa"/>
            <w:vAlign w:val="bottom"/>
            <w:gridSpan w:val="3"/>
          </w:tcPr>
          <w:p>
            <w:pPr>
              <w:ind w:left="100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80" w:type="dxa"/>
            <w:vAlign w:val="bottom"/>
          </w:tcPr>
          <w:p>
            <w:pPr>
              <w:spacing w:after="0"/>
              <w:rPr>
                <w:sz w:val="11"/>
                <w:szCs w:val="11"/>
                <w:color w:val="auto"/>
              </w:rPr>
            </w:pPr>
          </w:p>
        </w:tc>
      </w:tr>
      <w:tr>
        <w:trPr>
          <w:trHeight w:val="150"/>
        </w:trPr>
        <w:tc>
          <w:tcPr>
            <w:tcW w:w="8240" w:type="dxa"/>
            <w:vAlign w:val="bottom"/>
          </w:tcPr>
          <w:p>
            <w:pPr>
              <w:spacing w:after="0"/>
              <w:rPr>
                <w:sz w:val="13"/>
                <w:szCs w:val="13"/>
                <w:color w:val="auto"/>
              </w:rPr>
            </w:pPr>
          </w:p>
        </w:tc>
        <w:tc>
          <w:tcPr>
            <w:tcW w:w="216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80" w:type="dxa"/>
            <w:vAlign w:val="bottom"/>
            <w:tcBorders>
              <w:bottom w:val="single" w:sz="8" w:color="auto"/>
            </w:tcBorders>
          </w:tcPr>
          <w:p>
            <w:pPr>
              <w:spacing w:after="0"/>
              <w:rPr>
                <w:sz w:val="13"/>
                <w:szCs w:val="13"/>
                <w:color w:val="auto"/>
              </w:rPr>
            </w:pPr>
          </w:p>
        </w:tc>
      </w:tr>
      <w:tr>
        <w:trPr>
          <w:trHeight w:val="154"/>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6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16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6,078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4,555</w:t>
            </w:r>
          </w:p>
        </w:tc>
      </w:tr>
      <w:tr>
        <w:trPr>
          <w:trHeight w:val="18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16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1,002</w:t>
            </w:r>
          </w:p>
        </w:tc>
        <w:tc>
          <w:tcPr>
            <w:tcW w:w="100" w:type="dxa"/>
            <w:vAlign w:val="bottom"/>
            <w:tcBorders>
              <w:bottom w:val="single" w:sz="8" w:color="CFF0FC"/>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w:t>
            </w:r>
          </w:p>
        </w:tc>
      </w:tr>
      <w:tr>
        <w:trPr>
          <w:trHeight w:val="196"/>
        </w:trPr>
        <w:tc>
          <w:tcPr>
            <w:tcW w:w="8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64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7,080</w:t>
            </w:r>
          </w:p>
        </w:tc>
        <w:tc>
          <w:tcPr>
            <w:tcW w:w="10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4,982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Accounting Pronouncements</w:t>
      </w:r>
    </w:p>
    <w:p>
      <w:pPr>
        <w:spacing w:after="0" w:line="96" w:lineRule="exact"/>
        <w:rPr>
          <w:sz w:val="20"/>
          <w:szCs w:val="20"/>
          <w:color w:val="auto"/>
        </w:rPr>
      </w:pPr>
    </w:p>
    <w:p>
      <w:pPr>
        <w:ind w:right="320" w:firstLine="446"/>
        <w:spacing w:after="0" w:line="287" w:lineRule="auto"/>
        <w:rPr>
          <w:sz w:val="20"/>
          <w:szCs w:val="20"/>
          <w:color w:val="auto"/>
        </w:rPr>
      </w:pPr>
      <w:r>
        <w:rPr>
          <w:rFonts w:ascii="Times New Roman" w:cs="Times New Roman" w:eastAsia="Times New Roman" w:hAnsi="Times New Roman"/>
          <w:sz w:val="14"/>
          <w:szCs w:val="14"/>
          <w:color w:val="auto"/>
        </w:rPr>
        <w:t>We have implemented all new accounting pronouncements that are in effect and may have an impact on our consolidated financial statements. Unless otherwise discussed, we believe the impact of any recently issued and not yet effective pronouncements will not have a material impact on our consolidated financial statements.</w:t>
      </w:r>
    </w:p>
    <w:p>
      <w:pPr>
        <w:spacing w:after="0" w:line="1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 Not Yet Adopted</w:t>
      </w:r>
    </w:p>
    <w:p>
      <w:pPr>
        <w:spacing w:after="0" w:line="94" w:lineRule="exact"/>
        <w:rPr>
          <w:sz w:val="20"/>
          <w:szCs w:val="20"/>
          <w:color w:val="auto"/>
        </w:rPr>
      </w:pPr>
    </w:p>
    <w:p>
      <w:pPr>
        <w:ind w:right="20" w:firstLine="446"/>
        <w:spacing w:after="0" w:line="265" w:lineRule="auto"/>
        <w:rPr>
          <w:sz w:val="20"/>
          <w:szCs w:val="20"/>
          <w:color w:val="auto"/>
        </w:rPr>
      </w:pPr>
      <w:r>
        <w:rPr>
          <w:rFonts w:ascii="Times New Roman" w:cs="Times New Roman" w:eastAsia="Times New Roman" w:hAnsi="Times New Roman"/>
          <w:sz w:val="14"/>
          <w:szCs w:val="14"/>
          <w:color w:val="auto"/>
        </w:rPr>
        <w:t xml:space="preserve">In November 2023, the Financial Accounting Standards Board (“FASB”) issued Accounting Standard Update (“ASU”) 2023-07, </w:t>
      </w:r>
      <w:r>
        <w:rPr>
          <w:rFonts w:ascii="Times New Roman" w:cs="Times New Roman" w:eastAsia="Times New Roman" w:hAnsi="Times New Roman"/>
          <w:sz w:val="14"/>
          <w:szCs w:val="14"/>
          <w:i w:val="1"/>
          <w:iCs w:val="1"/>
          <w:color w:val="auto"/>
        </w:rPr>
        <w:t>Segment Reporting (Topic 280): Improvements to Reportable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Segment Disclosures</w:t>
      </w:r>
      <w:r>
        <w:rPr>
          <w:rFonts w:ascii="Times New Roman" w:cs="Times New Roman" w:eastAsia="Times New Roman" w:hAnsi="Times New Roman"/>
          <w:sz w:val="14"/>
          <w:szCs w:val="14"/>
          <w:color w:val="auto"/>
        </w:rPr>
        <w:t>, which requires enhanced disclosure of significant segment expenses on an annual and interim basis. The guidance will be effective for fiscal years beginning after December 15,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2023, and interim periods within fiscal years beginning December 15, 2024, with early adoption permitted. Upon adoption, the guidance should be applied retrospectively to all prior periods presented in the financial statements. We are currently assessing the impact that this standard will have on our consolidated financial statements.</w:t>
      </w:r>
    </w:p>
    <w:p>
      <w:pPr>
        <w:spacing w:after="0" w:line="53" w:lineRule="exact"/>
        <w:rPr>
          <w:sz w:val="20"/>
          <w:szCs w:val="20"/>
          <w:color w:val="auto"/>
        </w:rPr>
      </w:pPr>
    </w:p>
    <w:p>
      <w:pPr>
        <w:ind w:right="200" w:firstLine="446"/>
        <w:spacing w:after="0" w:line="265" w:lineRule="auto"/>
        <w:rPr>
          <w:sz w:val="20"/>
          <w:szCs w:val="20"/>
          <w:color w:val="auto"/>
        </w:rPr>
      </w:pPr>
      <w:r>
        <w:rPr>
          <w:rFonts w:ascii="Times New Roman" w:cs="Times New Roman" w:eastAsia="Times New Roman" w:hAnsi="Times New Roman"/>
          <w:sz w:val="14"/>
          <w:szCs w:val="14"/>
          <w:color w:val="auto"/>
        </w:rPr>
        <w:t xml:space="preserve">In December 2023, the FASB issued ASU No. 2023-09, </w:t>
      </w:r>
      <w:r>
        <w:rPr>
          <w:rFonts w:ascii="Times New Roman" w:cs="Times New Roman" w:eastAsia="Times New Roman" w:hAnsi="Times New Roman"/>
          <w:sz w:val="14"/>
          <w:szCs w:val="14"/>
          <w:i w:val="1"/>
          <w:iCs w:val="1"/>
          <w:color w:val="auto"/>
        </w:rPr>
        <w:t>Income Taxes (Topic 740): Improvements to Income Tax Disclosures Income Taxes</w:t>
      </w:r>
      <w:r>
        <w:rPr>
          <w:rFonts w:ascii="Times New Roman" w:cs="Times New Roman" w:eastAsia="Times New Roman" w:hAnsi="Times New Roman"/>
          <w:sz w:val="14"/>
          <w:szCs w:val="14"/>
          <w:color w:val="auto"/>
        </w:rPr>
        <w:t>,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after December 15, 2024. Early adoption is permitted. Upon adoption, the guidance can be applied prospectively or retrospectively. We are currently assessing the impact that this standard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10" w:name="page11"/>
    <w:bookmarkEnd w:id="10"/>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Balance Sheet Accounts and Supplemental Disclosures</w:t>
      </w:r>
    </w:p>
    <w:p>
      <w:pPr>
        <w:spacing w:after="0" w:line="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p>
      <w:pPr>
        <w:spacing w:after="0" w:line="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Property and equipment, net consist of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60" w:type="dxa"/>
            <w:vAlign w:val="bottom"/>
          </w:tcPr>
          <w:p>
            <w:pPr>
              <w:spacing w:after="0"/>
              <w:rPr>
                <w:sz w:val="13"/>
                <w:szCs w:val="13"/>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20" w:type="dxa"/>
            <w:vAlign w:val="bottom"/>
          </w:tcPr>
          <w:p>
            <w:pPr>
              <w:spacing w:after="0"/>
              <w:rPr>
                <w:sz w:val="13"/>
                <w:szCs w:val="13"/>
                <w:color w:val="auto"/>
              </w:rPr>
            </w:pPr>
          </w:p>
        </w:tc>
        <w:tc>
          <w:tcPr>
            <w:tcW w:w="1360" w:type="dxa"/>
            <w:vAlign w:val="bottom"/>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80"/>
        </w:trPr>
        <w:tc>
          <w:tcPr>
            <w:tcW w:w="79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260" w:type="dxa"/>
            <w:vAlign w:val="bottom"/>
            <w:tcBorders>
              <w:top w:val="single" w:sz="8" w:color="auto"/>
            </w:tcBorders>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6,482</w:t>
            </w:r>
          </w:p>
        </w:tc>
        <w:tc>
          <w:tcPr>
            <w:tcW w:w="10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6,473</w:t>
            </w:r>
          </w:p>
        </w:tc>
        <w:tc>
          <w:tcPr>
            <w:tcW w:w="0" w:type="dxa"/>
            <w:vAlign w:val="bottom"/>
          </w:tcPr>
          <w:p>
            <w:pPr>
              <w:spacing w:after="0"/>
              <w:rPr>
                <w:sz w:val="1"/>
                <w:szCs w:val="1"/>
                <w:color w:val="auto"/>
              </w:rPr>
            </w:pPr>
          </w:p>
        </w:tc>
      </w:tr>
      <w:tr>
        <w:trPr>
          <w:trHeight w:val="18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Office furniture and equipment</w:t>
            </w: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0" w:type="dxa"/>
            <w:vAlign w:val="bottom"/>
          </w:tcPr>
          <w:p>
            <w:pPr>
              <w:spacing w:after="0"/>
              <w:rPr>
                <w:sz w:val="1"/>
                <w:szCs w:val="1"/>
                <w:color w:val="auto"/>
              </w:rPr>
            </w:pPr>
          </w:p>
        </w:tc>
      </w:tr>
      <w:tr>
        <w:trPr>
          <w:trHeight w:val="180"/>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26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71"/>
        </w:trPr>
        <w:tc>
          <w:tcPr>
            <w:tcW w:w="7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and equipment, gross</w:t>
            </w: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8,316</w:t>
            </w:r>
          </w:p>
        </w:tc>
        <w:tc>
          <w:tcPr>
            <w:tcW w:w="0" w:type="dxa"/>
            <w:vAlign w:val="bottom"/>
          </w:tcPr>
          <w:p>
            <w:pPr>
              <w:spacing w:after="0"/>
              <w:rPr>
                <w:sz w:val="1"/>
                <w:szCs w:val="1"/>
                <w:color w:val="auto"/>
              </w:rPr>
            </w:pPr>
          </w:p>
        </w:tc>
      </w:tr>
      <w:tr>
        <w:trPr>
          <w:trHeight w:val="180"/>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6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(6,359)</w:t>
            </w:r>
          </w:p>
        </w:tc>
        <w:tc>
          <w:tcPr>
            <w:tcW w:w="10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(6,218)</w:t>
            </w:r>
          </w:p>
        </w:tc>
        <w:tc>
          <w:tcPr>
            <w:tcW w:w="0" w:type="dxa"/>
            <w:vAlign w:val="bottom"/>
          </w:tcPr>
          <w:p>
            <w:pPr>
              <w:spacing w:after="0"/>
              <w:rPr>
                <w:sz w:val="1"/>
                <w:szCs w:val="1"/>
                <w:color w:val="auto"/>
              </w:rPr>
            </w:pPr>
          </w:p>
        </w:tc>
      </w:tr>
      <w:tr>
        <w:trPr>
          <w:trHeight w:val="171"/>
        </w:trPr>
        <w:tc>
          <w:tcPr>
            <w:tcW w:w="7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2,098</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Accrued Expenses</w:t>
            </w: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7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Accrued expenses consist of the following:</w:t>
            </w: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79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60" w:type="dxa"/>
            <w:vAlign w:val="bottom"/>
          </w:tcPr>
          <w:p>
            <w:pPr>
              <w:spacing w:after="0"/>
              <w:rPr>
                <w:sz w:val="21"/>
                <w:szCs w:val="21"/>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20" w:type="dxa"/>
            <w:vAlign w:val="bottom"/>
          </w:tcPr>
          <w:p>
            <w:pPr>
              <w:spacing w:after="0"/>
              <w:rPr>
                <w:sz w:val="21"/>
                <w:szCs w:val="21"/>
                <w:color w:val="auto"/>
              </w:rPr>
            </w:pPr>
          </w:p>
        </w:tc>
        <w:tc>
          <w:tcPr>
            <w:tcW w:w="1360" w:type="dxa"/>
            <w:vAlign w:val="bottom"/>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80"/>
        </w:trPr>
        <w:tc>
          <w:tcPr>
            <w:tcW w:w="79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Accrued compensation and related expenses</w:t>
            </w:r>
          </w:p>
        </w:tc>
        <w:tc>
          <w:tcPr>
            <w:tcW w:w="260" w:type="dxa"/>
            <w:vAlign w:val="bottom"/>
            <w:tcBorders>
              <w:top w:val="single" w:sz="8" w:color="auto"/>
            </w:tcBorders>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4,159</w:t>
            </w:r>
          </w:p>
        </w:tc>
        <w:tc>
          <w:tcPr>
            <w:tcW w:w="10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7,201</w:t>
            </w:r>
          </w:p>
        </w:tc>
        <w:tc>
          <w:tcPr>
            <w:tcW w:w="0" w:type="dxa"/>
            <w:vAlign w:val="bottom"/>
          </w:tcPr>
          <w:p>
            <w:pPr>
              <w:spacing w:after="0"/>
              <w:rPr>
                <w:sz w:val="1"/>
                <w:szCs w:val="1"/>
                <w:color w:val="auto"/>
              </w:rPr>
            </w:pPr>
          </w:p>
        </w:tc>
      </w:tr>
      <w:tr>
        <w:trPr>
          <w:trHeight w:val="18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professional fees and other expenses</w:t>
            </w: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0" w:type="dxa"/>
            <w:vAlign w:val="bottom"/>
          </w:tcPr>
          <w:p>
            <w:pPr>
              <w:spacing w:after="0"/>
              <w:rPr>
                <w:sz w:val="1"/>
                <w:szCs w:val="1"/>
                <w:color w:val="auto"/>
              </w:rPr>
            </w:pPr>
          </w:p>
        </w:tc>
      </w:tr>
      <w:tr>
        <w:trPr>
          <w:trHeight w:val="180"/>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Accrued research, development and manufacturing expenses</w:t>
            </w: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20,106</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21,898</w:t>
            </w:r>
          </w:p>
        </w:tc>
        <w:tc>
          <w:tcPr>
            <w:tcW w:w="0" w:type="dxa"/>
            <w:vAlign w:val="bottom"/>
          </w:tcPr>
          <w:p>
            <w:pPr>
              <w:spacing w:after="0"/>
              <w:rPr>
                <w:sz w:val="1"/>
                <w:szCs w:val="1"/>
                <w:color w:val="auto"/>
              </w:rPr>
            </w:pPr>
          </w:p>
        </w:tc>
      </w:tr>
      <w:tr>
        <w:trPr>
          <w:trHeight w:val="180"/>
        </w:trPr>
        <w:tc>
          <w:tcPr>
            <w:tcW w:w="79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Accrued for repurchases of common stock</w:t>
            </w: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196"/>
        </w:trPr>
        <w:tc>
          <w:tcPr>
            <w:tcW w:w="79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Total accrued expenses</w:t>
            </w:r>
          </w:p>
        </w:tc>
        <w:tc>
          <w:tcPr>
            <w:tcW w:w="260" w:type="dxa"/>
            <w:vAlign w:val="bottom"/>
            <w:tcBorders>
              <w:bottom w:val="single" w:sz="8" w:color="auto"/>
            </w:tcBorders>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25,903</w:t>
            </w:r>
          </w:p>
        </w:tc>
        <w:tc>
          <w:tcPr>
            <w:tcW w:w="1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30,967</w:t>
            </w: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Collaborative Research and Development Agreements</w:t>
      </w:r>
    </w:p>
    <w:p>
      <w:pPr>
        <w:spacing w:after="0" w:line="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GSK Collaboration</w:t>
      </w:r>
    </w:p>
    <w:p>
      <w:pPr>
        <w:spacing w:after="0" w:line="85" w:lineRule="exact"/>
        <w:rPr>
          <w:sz w:val="20"/>
          <w:szCs w:val="20"/>
          <w:color w:val="auto"/>
        </w:rPr>
      </w:pPr>
    </w:p>
    <w:p>
      <w:pPr>
        <w:ind w:right="100" w:firstLine="382"/>
        <w:spacing w:after="0"/>
        <w:rPr>
          <w:sz w:val="20"/>
          <w:szCs w:val="20"/>
          <w:color w:val="auto"/>
        </w:rPr>
      </w:pPr>
      <w:r>
        <w:rPr>
          <w:rFonts w:ascii="Times New Roman" w:cs="Times New Roman" w:eastAsia="Times New Roman" w:hAnsi="Times New Roman"/>
          <w:sz w:val="14"/>
          <w:szCs w:val="14"/>
          <w:color w:val="auto"/>
        </w:rPr>
        <w:t xml:space="preserve">In March 2014, we entered into a Collaboration and Exclusive License Agreement with GSK (the “GSK Agreement”) with TESARO, Inc. (“Tesaro”), an oncology-focused biopharmaceutical company now a part of GSK (Tesaro and GSK are hereinafter referred to, collectively, as “GSK”). Currently, under the GSK Agreement, GSK is developing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as a monotherapy for various solid tumor indications. In addition, GSK is developing dostarlimab in combination with additional therapies under the collaboration, including with another development program from the GSK Agreement: cobolimab, an anti-TIM-3 antibody, in 2L NSCLC. In October 2023, Amendment No. 5 to the GSK Agreement was agreed by both parties to terminate the anti-LAG-3 antagonist antibody development program under the GSK Agreement. In accordance with the GSK Agreement and the amendment, we have regained full global rights to the anti-LAG-3 antagonist antibody development program.</w:t>
      </w:r>
    </w:p>
    <w:p>
      <w:pPr>
        <w:spacing w:after="0" w:line="74" w:lineRule="exact"/>
        <w:rPr>
          <w:sz w:val="20"/>
          <w:szCs w:val="20"/>
          <w:color w:val="auto"/>
        </w:rPr>
      </w:pPr>
    </w:p>
    <w:p>
      <w:pPr>
        <w:ind w:right="80" w:firstLine="382"/>
        <w:spacing w:after="0" w:line="258" w:lineRule="auto"/>
        <w:rPr>
          <w:sz w:val="20"/>
          <w:szCs w:val="20"/>
          <w:color w:val="auto"/>
        </w:rPr>
      </w:pPr>
      <w:r>
        <w:rPr>
          <w:rFonts w:ascii="Times New Roman" w:cs="Times New Roman" w:eastAsia="Times New Roman" w:hAnsi="Times New Roman"/>
          <w:sz w:val="14"/>
          <w:szCs w:val="14"/>
          <w:color w:val="auto"/>
        </w:rPr>
        <w:t xml:space="preserve">For each remaining development program under the GSK Agreement, we are eligible to receive milestone payments if certain preclinical and clinical trial events are achieved by GSK, if certain U.S. and European regulatory submissions and approvals in multiple indications are achieved, and upon the achievement of specified levels of annual worldwide net sales. We will also be eligible to receive tiered 4-8% royalties related to worldwide net sales of products developed under the collaboration. On October 23, 2020, Amendment No. 3 to the GSK Agreement (the “Amendment”) was agreed to by both parties to permit GSK to conduct development and commercialization in combination with any third-party molecules of Zejula, an oral, once-daily poly (ADP-ribose) polymerase (PARP) inhibitor (“Zejula”). Under the Amendment, we were granted increased royalties upon sales of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equal to 8% of Net Sales (as defined in the GSK Agreement) below $1.0 billion and from 12% up to 25% of Net Sales above $1.0 billion.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w:t>
      </w:r>
    </w:p>
    <w:p>
      <w:pPr>
        <w:spacing w:after="0" w:line="62" w:lineRule="exact"/>
        <w:rPr>
          <w:sz w:val="20"/>
          <w:szCs w:val="20"/>
          <w:color w:val="auto"/>
        </w:rPr>
      </w:pPr>
    </w:p>
    <w:p>
      <w:pPr>
        <w:ind w:right="160" w:firstLine="382"/>
        <w:spacing w:after="0" w:line="287" w:lineRule="auto"/>
        <w:rPr>
          <w:sz w:val="20"/>
          <w:szCs w:val="20"/>
          <w:color w:val="auto"/>
        </w:rPr>
      </w:pPr>
      <w:r>
        <w:rPr>
          <w:rFonts w:ascii="Times New Roman" w:cs="Times New Roman" w:eastAsia="Times New Roman" w:hAnsi="Times New Roman"/>
          <w:sz w:val="14"/>
          <w:szCs w:val="14"/>
          <w:color w:val="auto"/>
        </w:rPr>
        <w:t>We assessed these arrangements in accordance with ASC 606 and concluded that the contract counterparty, GSK, is a customer. We identified the following material promises under the GSK Agreement: (1) the licenses under certain patent rights and transfer of certain development and regulatory information, (2) research and development (“R&amp;D”) services, and (3)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1" w:name="page12"/>
    <w:bookmarkEnd w:id="11"/>
    <w:p>
      <w:pPr>
        <w:ind w:right="120"/>
        <w:spacing w:after="0" w:line="264" w:lineRule="auto"/>
        <w:rPr>
          <w:sz w:val="20"/>
          <w:szCs w:val="20"/>
          <w:color w:val="auto"/>
        </w:rPr>
      </w:pPr>
      <w:r>
        <w:rPr>
          <w:rFonts w:ascii="Times New Roman" w:cs="Times New Roman" w:eastAsia="Times New Roman" w:hAnsi="Times New Roman"/>
          <w:sz w:val="14"/>
          <w:szCs w:val="14"/>
          <w:color w:val="auto"/>
        </w:rPr>
        <w:t>steering committee meetings. We considered the research and discovery capabilities of GSK for these specific programs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joint steering committee participation would not have been provided without the R&amp;D services and GSK Agreement. Based on these assessments, we identified all services to be interrelated and therefore concluded that the promises should be combined into a single performance obligation at the inception of the arrangement.</w:t>
      </w:r>
    </w:p>
    <w:p>
      <w:pPr>
        <w:spacing w:after="0" w:line="56" w:lineRule="exact"/>
        <w:rPr>
          <w:sz w:val="20"/>
          <w:szCs w:val="20"/>
          <w:color w:val="auto"/>
        </w:rPr>
      </w:pPr>
    </w:p>
    <w:p>
      <w:pPr>
        <w:ind w:right="220" w:firstLine="382"/>
        <w:spacing w:after="0" w:line="287" w:lineRule="auto"/>
        <w:rPr>
          <w:sz w:val="20"/>
          <w:szCs w:val="20"/>
          <w:color w:val="auto"/>
        </w:rPr>
      </w:pPr>
      <w:r>
        <w:rPr>
          <w:rFonts w:ascii="Times New Roman" w:cs="Times New Roman" w:eastAsia="Times New Roman" w:hAnsi="Times New Roman"/>
          <w:sz w:val="14"/>
          <w:szCs w:val="14"/>
          <w:color w:val="auto"/>
        </w:rPr>
        <w:t>As of March 31, 2024, the transaction price for the GSK Agreement and Amendments includes the upfront payment, research reimbursement revenue and milestones and royalties earned to date, which are allocated in their entirety to the single performance obligation.</w:t>
      </w:r>
    </w:p>
    <w:p>
      <w:pPr>
        <w:spacing w:after="0" w:line="37"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 xml:space="preserve">We recognized $7.2 million in royalty revenue during the three months ended March 31, 2024 related to GSK’s net sales of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and Zejula during the period, which we estimate based on either GSK’s prior sales experience or actuals. Of the royalty revenue recognized during the three months ended March 31, 2024, $6.2 million is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non-cash revenue related to the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Royalty Monetization Agreement and $1.0 million is Zejula non-cash revenue related to the Zejula Royalty Monetization Agreement, each of such agreements as described in Note 5. We recognized $1.4 million in royalty revenue during the three months ended March 31, 2023, related to GSK’s net sales of Zejula and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during the period based on GSK’s prior sales experience or actuals. Of the royalty revenue recognized during the three months ended March 31, 2023, $0.6 million is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non-cash revenue related to the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Royalty Monetization Agreement and $0.8 million is Zejula non-cash revenue related to the Zejula Royalty Monetization Agreement. GSK reports sales information to us on a one quarter lag and differences between actual and estimated royalty revenues will be adjusted in the following quarter. All royalty revenue related to Zejula global net sales starting July 2022 will be paid directly to a wholly owned subsidiary of DRI Healthcare Trust (“DRI”) pursuant to the Zejula Royalty Monetization Agreement, as described in Note 5.</w:t>
      </w:r>
    </w:p>
    <w:p>
      <w:pPr>
        <w:spacing w:after="0" w:line="60"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No clinical milestones were recognized during the three months ended March 31, 2024 and 2023.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GSK’s efforts. Any consideration related to sales-based milestones, including royalties, will be recognized when the related sales occur as they were determined to relate predominantly to the intellectual property license granted to GSK and therefore have also been excluded from the transaction price. We will re-evaluate the variable transaction price in each reporting period and as uncertain events are resolved or other changes in circumstances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12" w:name="page13"/>
    <w:bookmarkEnd w:id="12"/>
    <w:p>
      <w:pPr>
        <w:ind w:left="380"/>
        <w:spacing w:after="0"/>
        <w:rPr>
          <w:sz w:val="20"/>
          <w:szCs w:val="20"/>
          <w:color w:val="auto"/>
        </w:rPr>
      </w:pPr>
      <w:r>
        <w:rPr>
          <w:rFonts w:ascii="Times New Roman" w:cs="Times New Roman" w:eastAsia="Times New Roman" w:hAnsi="Times New Roman"/>
          <w:sz w:val="14"/>
          <w:szCs w:val="14"/>
          <w:color w:val="auto"/>
        </w:rPr>
        <w:t>Milestones under the GSK Agreement are as follows:</w:t>
      </w:r>
    </w:p>
    <w:p>
      <w:pPr>
        <w:spacing w:after="0" w:line="110" w:lineRule="exact"/>
        <w:rPr>
          <w:sz w:val="20"/>
          <w:szCs w:val="20"/>
          <w:color w:val="auto"/>
        </w:rPr>
      </w:pPr>
    </w:p>
    <w:tbl>
      <w:tblPr>
        <w:tblLayout w:type="fixed"/>
        <w:tblInd w:w="320" w:type="dxa"/>
        <w:tblCellMar>
          <w:top w:w="0" w:type="dxa"/>
          <w:left w:w="0" w:type="dxa"/>
          <w:bottom w:w="0" w:type="dxa"/>
          <w:right w:w="0" w:type="dxa"/>
        </w:tblCellMar>
      </w:tblPr>
      <w:tr>
        <w:trPr>
          <w:trHeight w:val="136"/>
        </w:trPr>
        <w:tc>
          <w:tcPr>
            <w:tcW w:w="5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80" w:type="dxa"/>
            <w:vAlign w:val="bottom"/>
          </w:tcPr>
          <w:p>
            <w:pPr>
              <w:jc w:val="center"/>
              <w:ind w:right="803"/>
              <w:spacing w:after="0"/>
              <w:rPr>
                <w:sz w:val="20"/>
                <w:szCs w:val="20"/>
                <w:color w:val="auto"/>
              </w:rPr>
            </w:pPr>
            <w:r>
              <w:rPr>
                <w:rFonts w:ascii="Times New Roman" w:cs="Times New Roman" w:eastAsia="Times New Roman" w:hAnsi="Times New Roman"/>
                <w:sz w:val="11"/>
                <w:szCs w:val="11"/>
                <w:b w:val="1"/>
                <w:bCs w:val="1"/>
                <w:color w:val="auto"/>
              </w:rPr>
              <w:t>Anti-PD-1</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20" w:type="dxa"/>
            <w:vAlign w:val="bottom"/>
            <w:gridSpan w:val="2"/>
          </w:tcPr>
          <w:p>
            <w:pPr>
              <w:jc w:val="center"/>
              <w:ind w:right="823"/>
              <w:spacing w:after="0"/>
              <w:rPr>
                <w:sz w:val="20"/>
                <w:szCs w:val="20"/>
                <w:color w:val="auto"/>
              </w:rPr>
            </w:pPr>
            <w:r>
              <w:rPr>
                <w:rFonts w:ascii="Times New Roman" w:cs="Times New Roman" w:eastAsia="Times New Roman" w:hAnsi="Times New Roman"/>
                <w:sz w:val="11"/>
                <w:szCs w:val="11"/>
                <w:b w:val="1"/>
                <w:bCs w:val="1"/>
                <w:color w:val="auto"/>
              </w:rPr>
              <w:t>Anti-TIM-3</w:t>
            </w:r>
          </w:p>
        </w:tc>
      </w:tr>
      <w:tr>
        <w:trPr>
          <w:trHeight w:val="150"/>
        </w:trPr>
        <w:tc>
          <w:tcPr>
            <w:tcW w:w="5840" w:type="dxa"/>
            <w:vAlign w:val="bottom"/>
          </w:tcPr>
          <w:p>
            <w:pPr>
              <w:spacing w:after="0"/>
              <w:rPr>
                <w:sz w:val="13"/>
                <w:szCs w:val="13"/>
                <w:color w:val="auto"/>
              </w:rPr>
            </w:pPr>
          </w:p>
        </w:tc>
        <w:tc>
          <w:tcPr>
            <w:tcW w:w="2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b w:val="1"/>
                <w:bCs w:val="1"/>
                <w:i w:val="1"/>
                <w:iCs w:val="1"/>
                <w:color w:val="auto"/>
              </w:rPr>
              <w:t>Jemperli</w:t>
            </w:r>
            <w:r>
              <w:rPr>
                <w:rFonts w:ascii="Times New Roman" w:cs="Times New Roman" w:eastAsia="Times New Roman" w:hAnsi="Times New Roman"/>
                <w:sz w:val="11"/>
                <w:szCs w:val="11"/>
                <w:b w:val="1"/>
                <w:bCs w:val="1"/>
                <w:color w:val="auto"/>
              </w:rPr>
              <w:t>/Dostarlimab)</w:t>
            </w:r>
          </w:p>
        </w:tc>
        <w:tc>
          <w:tcPr>
            <w:tcW w:w="100" w:type="dxa"/>
            <w:vAlign w:val="bottom"/>
          </w:tcPr>
          <w:p>
            <w:pPr>
              <w:spacing w:after="0"/>
              <w:rPr>
                <w:sz w:val="13"/>
                <w:szCs w:val="13"/>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(GSK4069889A/Cobolimab)</w:t>
            </w:r>
          </w:p>
        </w:tc>
      </w:tr>
      <w:tr>
        <w:trPr>
          <w:trHeight w:val="154"/>
        </w:trPr>
        <w:tc>
          <w:tcPr>
            <w:tcW w:w="5840" w:type="dxa"/>
            <w:vAlign w:val="bottom"/>
          </w:tcPr>
          <w:p>
            <w:pPr>
              <w:ind w:left="2540"/>
              <w:spacing w:after="0"/>
              <w:rPr>
                <w:sz w:val="20"/>
                <w:szCs w:val="20"/>
                <w:color w:val="auto"/>
              </w:rPr>
            </w:pPr>
            <w:r>
              <w:rPr>
                <w:rFonts w:ascii="Times New Roman" w:cs="Times New Roman" w:eastAsia="Times New Roman" w:hAnsi="Times New Roman"/>
                <w:sz w:val="11"/>
                <w:szCs w:val="11"/>
                <w:b w:val="1"/>
                <w:bCs w:val="1"/>
                <w:color w:val="auto"/>
              </w:rPr>
              <w:t>Milestone Event</w:t>
            </w:r>
          </w:p>
        </w:tc>
        <w:tc>
          <w:tcPr>
            <w:tcW w:w="88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8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Quarter Recognized</w:t>
            </w:r>
          </w:p>
        </w:tc>
        <w:tc>
          <w:tcPr>
            <w:tcW w:w="100" w:type="dxa"/>
            <w:vAlign w:val="bottom"/>
          </w:tcPr>
          <w:p>
            <w:pPr>
              <w:spacing w:after="0"/>
              <w:rPr>
                <w:sz w:val="13"/>
                <w:szCs w:val="13"/>
                <w:color w:val="auto"/>
              </w:rPr>
            </w:pPr>
          </w:p>
        </w:tc>
        <w:tc>
          <w:tcPr>
            <w:tcW w:w="84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40" w:type="dxa"/>
            <w:vAlign w:val="bottom"/>
          </w:tcPr>
          <w:p>
            <w:pPr>
              <w:spacing w:after="0"/>
              <w:rPr>
                <w:sz w:val="13"/>
                <w:szCs w:val="13"/>
                <w:color w:val="auto"/>
              </w:rPr>
            </w:pPr>
          </w:p>
        </w:tc>
        <w:tc>
          <w:tcPr>
            <w:tcW w:w="11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Quarter Recognized</w:t>
            </w:r>
          </w:p>
        </w:tc>
      </w:tr>
      <w:tr>
        <w:trPr>
          <w:trHeight w:val="334"/>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 xml:space="preserve">Initiated </w:t>
            </w:r>
            <w:r>
              <w:rPr>
                <w:rFonts w:ascii="Times New Roman" w:cs="Times New Roman" w:eastAsia="Times New Roman" w:hAnsi="Times New Roman"/>
                <w:sz w:val="11"/>
                <w:szCs w:val="11"/>
                <w:i w:val="1"/>
                <w:iCs w:val="1"/>
                <w:color w:val="auto"/>
              </w:rPr>
              <w:t>in vivo</w:t>
            </w:r>
            <w:r>
              <w:rPr>
                <w:rFonts w:ascii="Times New Roman" w:cs="Times New Roman" w:eastAsia="Times New Roman" w:hAnsi="Times New Roman"/>
                <w:sz w:val="11"/>
                <w:szCs w:val="11"/>
                <w:color w:val="auto"/>
              </w:rPr>
              <w:t xml:space="preserve"> toxicology studies using good laboratory practices (GLPs)</w:t>
            </w:r>
          </w:p>
        </w:tc>
        <w:tc>
          <w:tcPr>
            <w:tcW w:w="880" w:type="dxa"/>
            <w:vAlign w:val="bottom"/>
            <w:shd w:val="clear" w:color="auto" w:fill="CFF0FC"/>
          </w:tcPr>
          <w:p>
            <w:pPr>
              <w:jc w:val="center"/>
              <w:ind w:left="243"/>
              <w:spacing w:after="0"/>
              <w:rPr>
                <w:sz w:val="20"/>
                <w:szCs w:val="20"/>
                <w:color w:val="auto"/>
              </w:rPr>
            </w:pPr>
            <w:r>
              <w:rPr>
                <w:rFonts w:ascii="Times New Roman" w:cs="Times New Roman" w:eastAsia="Times New Roman" w:hAnsi="Times New Roman"/>
                <w:sz w:val="11"/>
                <w:szCs w:val="11"/>
                <w:color w:val="auto"/>
              </w:rPr>
              <w:t>$1.0M</w:t>
            </w:r>
          </w:p>
        </w:tc>
        <w:tc>
          <w:tcPr>
            <w:tcW w:w="1480" w:type="dxa"/>
            <w:vAlign w:val="bottom"/>
            <w:shd w:val="clear" w:color="auto" w:fill="CFF0FC"/>
          </w:tcPr>
          <w:p>
            <w:pPr>
              <w:jc w:val="center"/>
              <w:ind w:left="263"/>
              <w:spacing w:after="0"/>
              <w:rPr>
                <w:sz w:val="20"/>
                <w:szCs w:val="20"/>
                <w:color w:val="auto"/>
              </w:rPr>
            </w:pPr>
            <w:r>
              <w:rPr>
                <w:rFonts w:ascii="Times New Roman" w:cs="Times New Roman" w:eastAsia="Times New Roman" w:hAnsi="Times New Roman"/>
                <w:sz w:val="11"/>
                <w:szCs w:val="11"/>
                <w:color w:val="auto"/>
              </w:rPr>
              <w:t>Q2'15</w:t>
            </w:r>
          </w:p>
        </w:tc>
        <w:tc>
          <w:tcPr>
            <w:tcW w:w="100" w:type="dxa"/>
            <w:vAlign w:val="bottom"/>
            <w:shd w:val="clear" w:color="auto" w:fill="CCEEFF"/>
          </w:tcPr>
          <w:p>
            <w:pPr>
              <w:spacing w:after="0"/>
              <w:rPr>
                <w:sz w:val="24"/>
                <w:szCs w:val="24"/>
                <w:color w:val="auto"/>
              </w:rPr>
            </w:pPr>
          </w:p>
        </w:tc>
        <w:tc>
          <w:tcPr>
            <w:tcW w:w="840" w:type="dxa"/>
            <w:vAlign w:val="bottom"/>
            <w:shd w:val="clear" w:color="auto" w:fill="CFF0FC"/>
          </w:tcPr>
          <w:p>
            <w:pPr>
              <w:jc w:val="center"/>
              <w:ind w:left="283"/>
              <w:spacing w:after="0"/>
              <w:rPr>
                <w:sz w:val="20"/>
                <w:szCs w:val="20"/>
                <w:color w:val="auto"/>
              </w:rPr>
            </w:pPr>
            <w:r>
              <w:rPr>
                <w:rFonts w:ascii="Times New Roman" w:cs="Times New Roman" w:eastAsia="Times New Roman" w:hAnsi="Times New Roman"/>
                <w:sz w:val="11"/>
                <w:szCs w:val="11"/>
                <w:color w:val="auto"/>
              </w:rPr>
              <w:t>$1.0M</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Q4'15</w:t>
            </w:r>
          </w:p>
        </w:tc>
      </w:tr>
      <w:tr>
        <w:trPr>
          <w:trHeight w:val="153"/>
        </w:trPr>
        <w:tc>
          <w:tcPr>
            <w:tcW w:w="5840" w:type="dxa"/>
            <w:vAlign w:val="bottom"/>
          </w:tcPr>
          <w:p>
            <w:pPr>
              <w:spacing w:after="0"/>
              <w:rPr>
                <w:sz w:val="20"/>
                <w:szCs w:val="20"/>
                <w:color w:val="auto"/>
              </w:rPr>
            </w:pPr>
            <w:r>
              <w:rPr>
                <w:rFonts w:ascii="Times New Roman" w:cs="Times New Roman" w:eastAsia="Times New Roman" w:hAnsi="Times New Roman"/>
                <w:sz w:val="11"/>
                <w:szCs w:val="11"/>
                <w:color w:val="auto"/>
              </w:rPr>
              <w:t>IND clearance from the FDA</w:t>
            </w:r>
          </w:p>
        </w:tc>
        <w:tc>
          <w:tcPr>
            <w:tcW w:w="880" w:type="dxa"/>
            <w:vAlign w:val="bottom"/>
          </w:tcPr>
          <w:p>
            <w:pPr>
              <w:jc w:val="center"/>
              <w:ind w:left="243"/>
              <w:spacing w:after="0"/>
              <w:rPr>
                <w:sz w:val="20"/>
                <w:szCs w:val="20"/>
                <w:color w:val="auto"/>
              </w:rPr>
            </w:pPr>
            <w:r>
              <w:rPr>
                <w:rFonts w:ascii="Times New Roman" w:cs="Times New Roman" w:eastAsia="Times New Roman" w:hAnsi="Times New Roman"/>
                <w:sz w:val="11"/>
                <w:szCs w:val="11"/>
                <w:color w:val="auto"/>
              </w:rPr>
              <w:t>$4.0M</w:t>
            </w:r>
          </w:p>
        </w:tc>
        <w:tc>
          <w:tcPr>
            <w:tcW w:w="1480" w:type="dxa"/>
            <w:vAlign w:val="bottom"/>
          </w:tcPr>
          <w:p>
            <w:pPr>
              <w:jc w:val="center"/>
              <w:ind w:left="263"/>
              <w:spacing w:after="0"/>
              <w:rPr>
                <w:sz w:val="20"/>
                <w:szCs w:val="20"/>
                <w:color w:val="auto"/>
              </w:rPr>
            </w:pPr>
            <w:r>
              <w:rPr>
                <w:rFonts w:ascii="Times New Roman" w:cs="Times New Roman" w:eastAsia="Times New Roman" w:hAnsi="Times New Roman"/>
                <w:sz w:val="11"/>
                <w:szCs w:val="11"/>
                <w:color w:val="auto"/>
              </w:rPr>
              <w:t>Q1'16</w:t>
            </w:r>
          </w:p>
        </w:tc>
        <w:tc>
          <w:tcPr>
            <w:tcW w:w="100" w:type="dxa"/>
            <w:vAlign w:val="bottom"/>
          </w:tcPr>
          <w:p>
            <w:pPr>
              <w:spacing w:after="0"/>
              <w:rPr>
                <w:sz w:val="13"/>
                <w:szCs w:val="13"/>
                <w:color w:val="auto"/>
              </w:rPr>
            </w:pPr>
          </w:p>
        </w:tc>
        <w:tc>
          <w:tcPr>
            <w:tcW w:w="840" w:type="dxa"/>
            <w:vAlign w:val="bottom"/>
          </w:tcPr>
          <w:p>
            <w:pPr>
              <w:jc w:val="center"/>
              <w:ind w:left="283"/>
              <w:spacing w:after="0"/>
              <w:rPr>
                <w:sz w:val="20"/>
                <w:szCs w:val="20"/>
                <w:color w:val="auto"/>
              </w:rPr>
            </w:pPr>
            <w:r>
              <w:rPr>
                <w:rFonts w:ascii="Times New Roman" w:cs="Times New Roman" w:eastAsia="Times New Roman" w:hAnsi="Times New Roman"/>
                <w:sz w:val="11"/>
                <w:szCs w:val="11"/>
                <w:color w:val="auto"/>
              </w:rPr>
              <w:t>$4.0M</w:t>
            </w:r>
          </w:p>
        </w:tc>
        <w:tc>
          <w:tcPr>
            <w:tcW w:w="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Q2'16</w:t>
            </w:r>
          </w:p>
        </w:tc>
      </w:tr>
      <w:tr>
        <w:trPr>
          <w:trHeight w:val="165"/>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Phase 2 clinical trial initiation</w:t>
            </w:r>
          </w:p>
        </w:tc>
        <w:tc>
          <w:tcPr>
            <w:tcW w:w="880" w:type="dxa"/>
            <w:vAlign w:val="bottom"/>
            <w:shd w:val="clear" w:color="auto" w:fill="CFF0FC"/>
          </w:tcPr>
          <w:p>
            <w:pPr>
              <w:jc w:val="center"/>
              <w:ind w:left="243"/>
              <w:spacing w:after="0"/>
              <w:rPr>
                <w:sz w:val="20"/>
                <w:szCs w:val="20"/>
                <w:color w:val="auto"/>
              </w:rPr>
            </w:pPr>
            <w:r>
              <w:rPr>
                <w:rFonts w:ascii="Times New Roman" w:cs="Times New Roman" w:eastAsia="Times New Roman" w:hAnsi="Times New Roman"/>
                <w:sz w:val="11"/>
                <w:szCs w:val="11"/>
                <w:color w:val="auto"/>
              </w:rPr>
              <w:t>$3.0M</w:t>
            </w:r>
          </w:p>
        </w:tc>
        <w:tc>
          <w:tcPr>
            <w:tcW w:w="1480" w:type="dxa"/>
            <w:vAlign w:val="bottom"/>
            <w:shd w:val="clear" w:color="auto" w:fill="CFF0FC"/>
          </w:tcPr>
          <w:p>
            <w:pPr>
              <w:jc w:val="center"/>
              <w:ind w:left="263"/>
              <w:spacing w:after="0"/>
              <w:rPr>
                <w:sz w:val="20"/>
                <w:szCs w:val="20"/>
                <w:color w:val="auto"/>
              </w:rPr>
            </w:pPr>
            <w:r>
              <w:rPr>
                <w:rFonts w:ascii="Times New Roman" w:cs="Times New Roman" w:eastAsia="Times New Roman" w:hAnsi="Times New Roman"/>
                <w:sz w:val="11"/>
                <w:szCs w:val="11"/>
                <w:color w:val="auto"/>
              </w:rPr>
              <w:t>Q2'17</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center"/>
              <w:ind w:left="283"/>
              <w:spacing w:after="0"/>
              <w:rPr>
                <w:sz w:val="20"/>
                <w:szCs w:val="20"/>
                <w:color w:val="auto"/>
              </w:rPr>
            </w:pPr>
            <w:r>
              <w:rPr>
                <w:rFonts w:ascii="Times New Roman" w:cs="Times New Roman" w:eastAsia="Times New Roman" w:hAnsi="Times New Roman"/>
                <w:sz w:val="11"/>
                <w:szCs w:val="11"/>
                <w:color w:val="auto"/>
              </w:rPr>
              <w:t>$3.0M</w:t>
            </w: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Q4'17</w:t>
            </w:r>
          </w:p>
        </w:tc>
      </w:tr>
      <w:tr>
        <w:trPr>
          <w:trHeight w:val="153"/>
        </w:trPr>
        <w:tc>
          <w:tcPr>
            <w:tcW w:w="5840" w:type="dxa"/>
            <w:vAlign w:val="bottom"/>
          </w:tcPr>
          <w:p>
            <w:pPr>
              <w:spacing w:after="0"/>
              <w:rPr>
                <w:sz w:val="20"/>
                <w:szCs w:val="20"/>
                <w:color w:val="auto"/>
              </w:rPr>
            </w:pPr>
            <w:r>
              <w:rPr>
                <w:rFonts w:ascii="Times New Roman" w:cs="Times New Roman" w:eastAsia="Times New Roman" w:hAnsi="Times New Roman"/>
                <w:sz w:val="11"/>
                <w:szCs w:val="11"/>
                <w:color w:val="auto"/>
              </w:rPr>
              <w:t>Phase 3 clinical trial initiation - first indication</w:t>
            </w:r>
          </w:p>
        </w:tc>
        <w:tc>
          <w:tcPr>
            <w:tcW w:w="880" w:type="dxa"/>
            <w:vAlign w:val="bottom"/>
          </w:tcPr>
          <w:p>
            <w:pPr>
              <w:jc w:val="center"/>
              <w:ind w:left="243"/>
              <w:spacing w:after="0"/>
              <w:rPr>
                <w:sz w:val="20"/>
                <w:szCs w:val="20"/>
                <w:color w:val="auto"/>
              </w:rPr>
            </w:pPr>
            <w:r>
              <w:rPr>
                <w:rFonts w:ascii="Times New Roman" w:cs="Times New Roman" w:eastAsia="Times New Roman" w:hAnsi="Times New Roman"/>
                <w:sz w:val="11"/>
                <w:szCs w:val="11"/>
                <w:color w:val="auto"/>
              </w:rPr>
              <w:t>$5.0M</w:t>
            </w:r>
          </w:p>
        </w:tc>
        <w:tc>
          <w:tcPr>
            <w:tcW w:w="1480" w:type="dxa"/>
            <w:vAlign w:val="bottom"/>
          </w:tcPr>
          <w:p>
            <w:pPr>
              <w:jc w:val="center"/>
              <w:ind w:left="263"/>
              <w:spacing w:after="0"/>
              <w:rPr>
                <w:sz w:val="20"/>
                <w:szCs w:val="20"/>
                <w:color w:val="auto"/>
              </w:rPr>
            </w:pPr>
            <w:r>
              <w:rPr>
                <w:rFonts w:ascii="Times New Roman" w:cs="Times New Roman" w:eastAsia="Times New Roman" w:hAnsi="Times New Roman"/>
                <w:sz w:val="11"/>
                <w:szCs w:val="11"/>
                <w:color w:val="auto"/>
              </w:rPr>
              <w:t>Q3'18</w:t>
            </w:r>
          </w:p>
        </w:tc>
        <w:tc>
          <w:tcPr>
            <w:tcW w:w="100" w:type="dxa"/>
            <w:vAlign w:val="bottom"/>
          </w:tcPr>
          <w:p>
            <w:pPr>
              <w:spacing w:after="0"/>
              <w:rPr>
                <w:sz w:val="13"/>
                <w:szCs w:val="13"/>
                <w:color w:val="auto"/>
              </w:rPr>
            </w:pPr>
          </w:p>
        </w:tc>
        <w:tc>
          <w:tcPr>
            <w:tcW w:w="840" w:type="dxa"/>
            <w:vAlign w:val="bottom"/>
          </w:tcPr>
          <w:p>
            <w:pPr>
              <w:jc w:val="center"/>
              <w:ind w:left="283"/>
              <w:spacing w:after="0"/>
              <w:rPr>
                <w:sz w:val="20"/>
                <w:szCs w:val="20"/>
                <w:color w:val="auto"/>
              </w:rPr>
            </w:pPr>
            <w:r>
              <w:rPr>
                <w:rFonts w:ascii="Times New Roman" w:cs="Times New Roman" w:eastAsia="Times New Roman" w:hAnsi="Times New Roman"/>
                <w:sz w:val="11"/>
                <w:szCs w:val="11"/>
                <w:color w:val="auto"/>
              </w:rPr>
              <w:t>$5.0M</w:t>
            </w:r>
          </w:p>
        </w:tc>
        <w:tc>
          <w:tcPr>
            <w:tcW w:w="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Q4'22</w:t>
            </w:r>
          </w:p>
        </w:tc>
      </w:tr>
      <w:tr>
        <w:trPr>
          <w:trHeight w:val="165"/>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Phase 3 clinical trial initiation - second indication</w:t>
            </w:r>
          </w:p>
        </w:tc>
        <w:tc>
          <w:tcPr>
            <w:tcW w:w="880" w:type="dxa"/>
            <w:vAlign w:val="bottom"/>
            <w:shd w:val="clear" w:color="auto" w:fill="CFF0FC"/>
          </w:tcPr>
          <w:p>
            <w:pPr>
              <w:jc w:val="center"/>
              <w:ind w:left="243"/>
              <w:spacing w:after="0"/>
              <w:rPr>
                <w:sz w:val="20"/>
                <w:szCs w:val="20"/>
                <w:color w:val="auto"/>
              </w:rPr>
            </w:pPr>
            <w:r>
              <w:rPr>
                <w:rFonts w:ascii="Times New Roman" w:cs="Times New Roman" w:eastAsia="Times New Roman" w:hAnsi="Times New Roman"/>
                <w:sz w:val="11"/>
                <w:szCs w:val="11"/>
                <w:color w:val="auto"/>
              </w:rPr>
              <w:t>$5.0M</w:t>
            </w:r>
          </w:p>
        </w:tc>
        <w:tc>
          <w:tcPr>
            <w:tcW w:w="1480" w:type="dxa"/>
            <w:vAlign w:val="bottom"/>
            <w:shd w:val="clear" w:color="auto" w:fill="CFF0FC"/>
          </w:tcPr>
          <w:p>
            <w:pPr>
              <w:jc w:val="center"/>
              <w:ind w:left="263"/>
              <w:spacing w:after="0"/>
              <w:rPr>
                <w:sz w:val="20"/>
                <w:szCs w:val="20"/>
                <w:color w:val="auto"/>
              </w:rPr>
            </w:pPr>
            <w:r>
              <w:rPr>
                <w:rFonts w:ascii="Times New Roman" w:cs="Times New Roman" w:eastAsia="Times New Roman" w:hAnsi="Times New Roman"/>
                <w:sz w:val="11"/>
                <w:szCs w:val="11"/>
                <w:color w:val="auto"/>
              </w:rPr>
              <w:t>Q2'19</w:t>
            </w:r>
          </w:p>
        </w:tc>
        <w:tc>
          <w:tcPr>
            <w:tcW w:w="100" w:type="dxa"/>
            <w:vAlign w:val="bottom"/>
            <w:shd w:val="clear" w:color="auto" w:fill="CFF0FC"/>
          </w:tcPr>
          <w:p>
            <w:pPr>
              <w:spacing w:after="0"/>
              <w:rPr>
                <w:sz w:val="14"/>
                <w:szCs w:val="14"/>
                <w:color w:val="auto"/>
              </w:rPr>
            </w:pPr>
          </w:p>
        </w:tc>
        <w:tc>
          <w:tcPr>
            <w:tcW w:w="840" w:type="dxa"/>
            <w:vAlign w:val="bottom"/>
            <w:shd w:val="clear" w:color="auto" w:fill="CCEEFF"/>
          </w:tcPr>
          <w:p>
            <w:pPr>
              <w:jc w:val="center"/>
              <w:ind w:left="283"/>
              <w:spacing w:after="0"/>
              <w:rPr>
                <w:sz w:val="20"/>
                <w:szCs w:val="20"/>
                <w:color w:val="auto"/>
              </w:rPr>
            </w:pPr>
            <w:r>
              <w:rPr>
                <w:rFonts w:ascii="Times New Roman" w:cs="Times New Roman" w:eastAsia="Times New Roman" w:hAnsi="Times New Roman"/>
                <w:sz w:val="11"/>
                <w:szCs w:val="11"/>
                <w:color w:val="auto"/>
              </w:rPr>
              <w:t>$5.0M</w:t>
            </w:r>
          </w:p>
        </w:tc>
        <w:tc>
          <w:tcPr>
            <w:tcW w:w="340" w:type="dxa"/>
            <w:vAlign w:val="bottom"/>
            <w:shd w:val="clear" w:color="auto" w:fill="CCEEFF"/>
          </w:tcPr>
          <w:p>
            <w:pPr>
              <w:spacing w:after="0"/>
              <w:rPr>
                <w:sz w:val="14"/>
                <w:szCs w:val="14"/>
                <w:color w:val="auto"/>
              </w:rPr>
            </w:pPr>
          </w:p>
        </w:tc>
        <w:tc>
          <w:tcPr>
            <w:tcW w:w="1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r>
      <w:tr>
        <w:trPr>
          <w:trHeight w:val="159"/>
        </w:trPr>
        <w:tc>
          <w:tcPr>
            <w:tcW w:w="5840" w:type="dxa"/>
            <w:vAlign w:val="bottom"/>
          </w:tcPr>
          <w:p>
            <w:pPr>
              <w:spacing w:after="0" w:line="159" w:lineRule="exact"/>
              <w:rPr>
                <w:sz w:val="20"/>
                <w:szCs w:val="20"/>
                <w:color w:val="auto"/>
              </w:rPr>
            </w:pPr>
            <w:r>
              <w:rPr>
                <w:rFonts w:ascii="Times New Roman" w:cs="Times New Roman" w:eastAsia="Times New Roman" w:hAnsi="Times New Roman"/>
                <w:sz w:val="11"/>
                <w:szCs w:val="11"/>
                <w:color w:val="auto"/>
              </w:rPr>
              <w:t>Filing of the first BLA</w:t>
            </w: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1"/>
                <w:szCs w:val="11"/>
                <w:color w:val="auto"/>
              </w:rPr>
              <w:t xml:space="preserve"> - first indication</w:t>
            </w:r>
          </w:p>
        </w:tc>
        <w:tc>
          <w:tcPr>
            <w:tcW w:w="880" w:type="dxa"/>
            <w:vAlign w:val="bottom"/>
          </w:tcPr>
          <w:p>
            <w:pPr>
              <w:jc w:val="center"/>
              <w:ind w:left="263"/>
              <w:spacing w:after="0"/>
              <w:rPr>
                <w:sz w:val="20"/>
                <w:szCs w:val="20"/>
                <w:color w:val="auto"/>
              </w:rPr>
            </w:pPr>
            <w:r>
              <w:rPr>
                <w:rFonts w:ascii="Times New Roman" w:cs="Times New Roman" w:eastAsia="Times New Roman" w:hAnsi="Times New Roman"/>
                <w:sz w:val="11"/>
                <w:szCs w:val="11"/>
                <w:color w:val="auto"/>
              </w:rPr>
              <w:t>$10.0M</w:t>
            </w:r>
          </w:p>
        </w:tc>
        <w:tc>
          <w:tcPr>
            <w:tcW w:w="1480" w:type="dxa"/>
            <w:vAlign w:val="bottom"/>
          </w:tcPr>
          <w:p>
            <w:pPr>
              <w:jc w:val="center"/>
              <w:ind w:left="263"/>
              <w:spacing w:after="0"/>
              <w:rPr>
                <w:sz w:val="20"/>
                <w:szCs w:val="20"/>
                <w:color w:val="auto"/>
              </w:rPr>
            </w:pPr>
            <w:r>
              <w:rPr>
                <w:rFonts w:ascii="Times New Roman" w:cs="Times New Roman" w:eastAsia="Times New Roman" w:hAnsi="Times New Roman"/>
                <w:sz w:val="11"/>
                <w:szCs w:val="11"/>
                <w:color w:val="auto"/>
              </w:rPr>
              <w:t>Q1'20</w:t>
            </w:r>
          </w:p>
        </w:tc>
        <w:tc>
          <w:tcPr>
            <w:tcW w:w="100" w:type="dxa"/>
            <w:vAlign w:val="bottom"/>
          </w:tcPr>
          <w:p>
            <w:pPr>
              <w:spacing w:after="0"/>
              <w:rPr>
                <w:sz w:val="13"/>
                <w:szCs w:val="13"/>
                <w:color w:val="auto"/>
              </w:rPr>
            </w:pPr>
          </w:p>
        </w:tc>
        <w:tc>
          <w:tcPr>
            <w:tcW w:w="840" w:type="dxa"/>
            <w:vAlign w:val="bottom"/>
          </w:tcPr>
          <w:p>
            <w:pPr>
              <w:jc w:val="center"/>
              <w:ind w:left="283"/>
              <w:spacing w:after="0"/>
              <w:rPr>
                <w:sz w:val="20"/>
                <w:szCs w:val="20"/>
                <w:color w:val="auto"/>
              </w:rPr>
            </w:pPr>
            <w:r>
              <w:rPr>
                <w:rFonts w:ascii="Times New Roman" w:cs="Times New Roman" w:eastAsia="Times New Roman" w:hAnsi="Times New Roman"/>
                <w:sz w:val="11"/>
                <w:szCs w:val="11"/>
                <w:color w:val="auto"/>
                <w:w w:val="98"/>
              </w:rPr>
              <w:t>$10.0M</w:t>
            </w:r>
          </w:p>
        </w:tc>
        <w:tc>
          <w:tcPr>
            <w:tcW w:w="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r>
      <w:tr>
        <w:trPr>
          <w:trHeight w:val="159"/>
        </w:trPr>
        <w:tc>
          <w:tcPr>
            <w:tcW w:w="58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1"/>
                <w:szCs w:val="11"/>
                <w:color w:val="auto"/>
              </w:rPr>
              <w:t>Filing of the first MAA</w:t>
            </w: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1"/>
                <w:szCs w:val="11"/>
                <w:color w:val="auto"/>
              </w:rPr>
              <w:t xml:space="preserve"> - first indication</w:t>
            </w:r>
          </w:p>
        </w:tc>
        <w:tc>
          <w:tcPr>
            <w:tcW w:w="880" w:type="dxa"/>
            <w:vAlign w:val="bottom"/>
            <w:shd w:val="clear" w:color="auto" w:fill="CCEEFF"/>
          </w:tcPr>
          <w:p>
            <w:pPr>
              <w:jc w:val="center"/>
              <w:ind w:left="243"/>
              <w:spacing w:after="0"/>
              <w:rPr>
                <w:sz w:val="20"/>
                <w:szCs w:val="20"/>
                <w:color w:val="auto"/>
              </w:rPr>
            </w:pPr>
            <w:r>
              <w:rPr>
                <w:rFonts w:ascii="Times New Roman" w:cs="Times New Roman" w:eastAsia="Times New Roman" w:hAnsi="Times New Roman"/>
                <w:sz w:val="11"/>
                <w:szCs w:val="11"/>
                <w:color w:val="auto"/>
              </w:rPr>
              <w:t>$5.0M</w:t>
            </w:r>
          </w:p>
        </w:tc>
        <w:tc>
          <w:tcPr>
            <w:tcW w:w="1480" w:type="dxa"/>
            <w:vAlign w:val="bottom"/>
            <w:shd w:val="clear" w:color="auto" w:fill="CCEEFF"/>
          </w:tcPr>
          <w:p>
            <w:pPr>
              <w:jc w:val="center"/>
              <w:ind w:left="263"/>
              <w:spacing w:after="0"/>
              <w:rPr>
                <w:sz w:val="20"/>
                <w:szCs w:val="20"/>
                <w:color w:val="auto"/>
              </w:rPr>
            </w:pPr>
            <w:r>
              <w:rPr>
                <w:rFonts w:ascii="Times New Roman" w:cs="Times New Roman" w:eastAsia="Times New Roman" w:hAnsi="Times New Roman"/>
                <w:sz w:val="11"/>
                <w:szCs w:val="11"/>
                <w:color w:val="auto"/>
              </w:rPr>
              <w:t>Q1'20</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center"/>
              <w:ind w:left="283"/>
              <w:spacing w:after="0"/>
              <w:rPr>
                <w:sz w:val="20"/>
                <w:szCs w:val="20"/>
                <w:color w:val="auto"/>
              </w:rPr>
            </w:pPr>
            <w:r>
              <w:rPr>
                <w:rFonts w:ascii="Times New Roman" w:cs="Times New Roman" w:eastAsia="Times New Roman" w:hAnsi="Times New Roman"/>
                <w:sz w:val="11"/>
                <w:szCs w:val="11"/>
                <w:color w:val="auto"/>
              </w:rPr>
              <w:t>$5.0M</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r>
      <w:tr>
        <w:trPr>
          <w:trHeight w:val="153"/>
        </w:trPr>
        <w:tc>
          <w:tcPr>
            <w:tcW w:w="5840" w:type="dxa"/>
            <w:vAlign w:val="bottom"/>
          </w:tcPr>
          <w:p>
            <w:pPr>
              <w:spacing w:after="0"/>
              <w:rPr>
                <w:sz w:val="20"/>
                <w:szCs w:val="20"/>
                <w:color w:val="auto"/>
              </w:rPr>
            </w:pPr>
            <w:r>
              <w:rPr>
                <w:rFonts w:ascii="Times New Roman" w:cs="Times New Roman" w:eastAsia="Times New Roman" w:hAnsi="Times New Roman"/>
                <w:sz w:val="11"/>
                <w:szCs w:val="11"/>
                <w:color w:val="auto"/>
              </w:rPr>
              <w:t>Filing of the first BLA - second indication</w:t>
            </w:r>
          </w:p>
        </w:tc>
        <w:tc>
          <w:tcPr>
            <w:tcW w:w="880" w:type="dxa"/>
            <w:vAlign w:val="bottom"/>
          </w:tcPr>
          <w:p>
            <w:pPr>
              <w:jc w:val="center"/>
              <w:ind w:left="263"/>
              <w:spacing w:after="0"/>
              <w:rPr>
                <w:sz w:val="20"/>
                <w:szCs w:val="20"/>
                <w:color w:val="auto"/>
              </w:rPr>
            </w:pPr>
            <w:r>
              <w:rPr>
                <w:rFonts w:ascii="Times New Roman" w:cs="Times New Roman" w:eastAsia="Times New Roman" w:hAnsi="Times New Roman"/>
                <w:sz w:val="11"/>
                <w:szCs w:val="11"/>
                <w:color w:val="auto"/>
              </w:rPr>
              <w:t>$10.0M</w:t>
            </w:r>
          </w:p>
        </w:tc>
        <w:tc>
          <w:tcPr>
            <w:tcW w:w="1480" w:type="dxa"/>
            <w:vAlign w:val="bottom"/>
          </w:tcPr>
          <w:p>
            <w:pPr>
              <w:jc w:val="center"/>
              <w:ind w:left="263"/>
              <w:spacing w:after="0"/>
              <w:rPr>
                <w:sz w:val="20"/>
                <w:szCs w:val="20"/>
                <w:color w:val="auto"/>
              </w:rPr>
            </w:pPr>
            <w:r>
              <w:rPr>
                <w:rFonts w:ascii="Times New Roman" w:cs="Times New Roman" w:eastAsia="Times New Roman" w:hAnsi="Times New Roman"/>
                <w:sz w:val="11"/>
                <w:szCs w:val="11"/>
                <w:color w:val="auto"/>
              </w:rPr>
              <w:t>Q1'21</w:t>
            </w:r>
          </w:p>
        </w:tc>
        <w:tc>
          <w:tcPr>
            <w:tcW w:w="100" w:type="dxa"/>
            <w:vAlign w:val="bottom"/>
          </w:tcPr>
          <w:p>
            <w:pPr>
              <w:spacing w:after="0"/>
              <w:rPr>
                <w:sz w:val="13"/>
                <w:szCs w:val="13"/>
                <w:color w:val="auto"/>
              </w:rPr>
            </w:pPr>
          </w:p>
        </w:tc>
        <w:tc>
          <w:tcPr>
            <w:tcW w:w="840" w:type="dxa"/>
            <w:vAlign w:val="bottom"/>
          </w:tcPr>
          <w:p>
            <w:pPr>
              <w:jc w:val="center"/>
              <w:ind w:left="283"/>
              <w:spacing w:after="0"/>
              <w:rPr>
                <w:sz w:val="20"/>
                <w:szCs w:val="20"/>
                <w:color w:val="auto"/>
              </w:rPr>
            </w:pPr>
            <w:r>
              <w:rPr>
                <w:rFonts w:ascii="Times New Roman" w:cs="Times New Roman" w:eastAsia="Times New Roman" w:hAnsi="Times New Roman"/>
                <w:sz w:val="11"/>
                <w:szCs w:val="11"/>
                <w:color w:val="auto"/>
                <w:w w:val="98"/>
              </w:rPr>
              <w:t>$10.0M</w:t>
            </w:r>
          </w:p>
        </w:tc>
        <w:tc>
          <w:tcPr>
            <w:tcW w:w="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r>
      <w:tr>
        <w:trPr>
          <w:trHeight w:val="165"/>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First BLA approval - first indication</w:t>
            </w:r>
          </w:p>
        </w:tc>
        <w:tc>
          <w:tcPr>
            <w:tcW w:w="880" w:type="dxa"/>
            <w:vAlign w:val="bottom"/>
            <w:shd w:val="clear" w:color="auto" w:fill="CCEEFF"/>
          </w:tcPr>
          <w:p>
            <w:pPr>
              <w:jc w:val="center"/>
              <w:ind w:left="263"/>
              <w:spacing w:after="0"/>
              <w:rPr>
                <w:sz w:val="20"/>
                <w:szCs w:val="20"/>
                <w:color w:val="auto"/>
              </w:rPr>
            </w:pPr>
            <w:r>
              <w:rPr>
                <w:rFonts w:ascii="Times New Roman" w:cs="Times New Roman" w:eastAsia="Times New Roman" w:hAnsi="Times New Roman"/>
                <w:sz w:val="11"/>
                <w:szCs w:val="11"/>
                <w:color w:val="auto"/>
              </w:rPr>
              <w:t>$20.0M</w:t>
            </w:r>
          </w:p>
        </w:tc>
        <w:tc>
          <w:tcPr>
            <w:tcW w:w="1480" w:type="dxa"/>
            <w:vAlign w:val="bottom"/>
            <w:shd w:val="clear" w:color="auto" w:fill="CCEEFF"/>
          </w:tcPr>
          <w:p>
            <w:pPr>
              <w:jc w:val="center"/>
              <w:ind w:left="263"/>
              <w:spacing w:after="0"/>
              <w:rPr>
                <w:sz w:val="20"/>
                <w:szCs w:val="20"/>
                <w:color w:val="auto"/>
              </w:rPr>
            </w:pPr>
            <w:r>
              <w:rPr>
                <w:rFonts w:ascii="Times New Roman" w:cs="Times New Roman" w:eastAsia="Times New Roman" w:hAnsi="Times New Roman"/>
                <w:sz w:val="11"/>
                <w:szCs w:val="11"/>
                <w:color w:val="auto"/>
              </w:rPr>
              <w:t>Q2'21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center"/>
              <w:ind w:left="283"/>
              <w:spacing w:after="0"/>
              <w:rPr>
                <w:sz w:val="20"/>
                <w:szCs w:val="20"/>
                <w:color w:val="auto"/>
              </w:rPr>
            </w:pPr>
            <w:r>
              <w:rPr>
                <w:rFonts w:ascii="Times New Roman" w:cs="Times New Roman" w:eastAsia="Times New Roman" w:hAnsi="Times New Roman"/>
                <w:sz w:val="11"/>
                <w:szCs w:val="11"/>
                <w:color w:val="auto"/>
                <w:w w:val="98"/>
              </w:rPr>
              <w:t>$20.0M</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r>
      <w:tr>
        <w:trPr>
          <w:trHeight w:val="155"/>
        </w:trPr>
        <w:tc>
          <w:tcPr>
            <w:tcW w:w="5840" w:type="dxa"/>
            <w:vAlign w:val="bottom"/>
          </w:tcPr>
          <w:p>
            <w:pPr>
              <w:spacing w:after="0"/>
              <w:rPr>
                <w:sz w:val="20"/>
                <w:szCs w:val="20"/>
                <w:color w:val="auto"/>
              </w:rPr>
            </w:pPr>
            <w:r>
              <w:rPr>
                <w:rFonts w:ascii="Times New Roman" w:cs="Times New Roman" w:eastAsia="Times New Roman" w:hAnsi="Times New Roman"/>
                <w:sz w:val="11"/>
                <w:szCs w:val="11"/>
                <w:color w:val="auto"/>
              </w:rPr>
              <w:t>First MAA approval - first indication</w:t>
            </w:r>
          </w:p>
        </w:tc>
        <w:tc>
          <w:tcPr>
            <w:tcW w:w="880" w:type="dxa"/>
            <w:vAlign w:val="bottom"/>
          </w:tcPr>
          <w:p>
            <w:pPr>
              <w:jc w:val="center"/>
              <w:ind w:left="263"/>
              <w:spacing w:after="0"/>
              <w:rPr>
                <w:sz w:val="20"/>
                <w:szCs w:val="20"/>
                <w:color w:val="auto"/>
              </w:rPr>
            </w:pPr>
            <w:r>
              <w:rPr>
                <w:rFonts w:ascii="Times New Roman" w:cs="Times New Roman" w:eastAsia="Times New Roman" w:hAnsi="Times New Roman"/>
                <w:sz w:val="11"/>
                <w:szCs w:val="11"/>
                <w:color w:val="auto"/>
              </w:rPr>
              <w:t>$10.0M</w:t>
            </w:r>
          </w:p>
        </w:tc>
        <w:tc>
          <w:tcPr>
            <w:tcW w:w="1480" w:type="dxa"/>
            <w:vAlign w:val="bottom"/>
          </w:tcPr>
          <w:p>
            <w:pPr>
              <w:jc w:val="center"/>
              <w:ind w:left="263"/>
              <w:spacing w:after="0"/>
              <w:rPr>
                <w:sz w:val="20"/>
                <w:szCs w:val="20"/>
                <w:color w:val="auto"/>
              </w:rPr>
            </w:pPr>
            <w:r>
              <w:rPr>
                <w:rFonts w:ascii="Times New Roman" w:cs="Times New Roman" w:eastAsia="Times New Roman" w:hAnsi="Times New Roman"/>
                <w:sz w:val="11"/>
                <w:szCs w:val="11"/>
                <w:color w:val="auto"/>
              </w:rPr>
              <w:t>Q2'21</w:t>
            </w:r>
          </w:p>
        </w:tc>
        <w:tc>
          <w:tcPr>
            <w:tcW w:w="100" w:type="dxa"/>
            <w:vAlign w:val="bottom"/>
          </w:tcPr>
          <w:p>
            <w:pPr>
              <w:spacing w:after="0"/>
              <w:rPr>
                <w:sz w:val="13"/>
                <w:szCs w:val="13"/>
                <w:color w:val="auto"/>
              </w:rPr>
            </w:pPr>
          </w:p>
        </w:tc>
        <w:tc>
          <w:tcPr>
            <w:tcW w:w="840" w:type="dxa"/>
            <w:vAlign w:val="bottom"/>
          </w:tcPr>
          <w:p>
            <w:pPr>
              <w:jc w:val="center"/>
              <w:ind w:left="283"/>
              <w:spacing w:after="0"/>
              <w:rPr>
                <w:sz w:val="20"/>
                <w:szCs w:val="20"/>
                <w:color w:val="auto"/>
              </w:rPr>
            </w:pPr>
            <w:r>
              <w:rPr>
                <w:rFonts w:ascii="Times New Roman" w:cs="Times New Roman" w:eastAsia="Times New Roman" w:hAnsi="Times New Roman"/>
                <w:sz w:val="11"/>
                <w:szCs w:val="11"/>
                <w:color w:val="auto"/>
                <w:w w:val="98"/>
              </w:rPr>
              <w:t>$10.0M</w:t>
            </w:r>
          </w:p>
        </w:tc>
        <w:tc>
          <w:tcPr>
            <w:tcW w:w="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r>
      <w:tr>
        <w:trPr>
          <w:trHeight w:val="163"/>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First BLA approval - second indication</w:t>
            </w:r>
          </w:p>
        </w:tc>
        <w:tc>
          <w:tcPr>
            <w:tcW w:w="880" w:type="dxa"/>
            <w:vAlign w:val="bottom"/>
            <w:shd w:val="clear" w:color="auto" w:fill="CCEEFF"/>
          </w:tcPr>
          <w:p>
            <w:pPr>
              <w:jc w:val="center"/>
              <w:ind w:left="263"/>
              <w:spacing w:after="0"/>
              <w:rPr>
                <w:sz w:val="20"/>
                <w:szCs w:val="20"/>
                <w:color w:val="auto"/>
              </w:rPr>
            </w:pPr>
            <w:r>
              <w:rPr>
                <w:rFonts w:ascii="Times New Roman" w:cs="Times New Roman" w:eastAsia="Times New Roman" w:hAnsi="Times New Roman"/>
                <w:sz w:val="11"/>
                <w:szCs w:val="11"/>
                <w:color w:val="auto"/>
              </w:rPr>
              <w:t>$20.0M</w:t>
            </w:r>
          </w:p>
        </w:tc>
        <w:tc>
          <w:tcPr>
            <w:tcW w:w="1480" w:type="dxa"/>
            <w:vAlign w:val="bottom"/>
            <w:shd w:val="clear" w:color="auto" w:fill="CCEEFF"/>
          </w:tcPr>
          <w:p>
            <w:pPr>
              <w:jc w:val="center"/>
              <w:ind w:left="263"/>
              <w:spacing w:after="0"/>
              <w:rPr>
                <w:sz w:val="20"/>
                <w:szCs w:val="20"/>
                <w:color w:val="auto"/>
              </w:rPr>
            </w:pPr>
            <w:r>
              <w:rPr>
                <w:rFonts w:ascii="Times New Roman" w:cs="Times New Roman" w:eastAsia="Times New Roman" w:hAnsi="Times New Roman"/>
                <w:sz w:val="11"/>
                <w:szCs w:val="11"/>
                <w:color w:val="auto"/>
              </w:rPr>
              <w:t>Q3'21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center"/>
              <w:ind w:left="283"/>
              <w:spacing w:after="0"/>
              <w:rPr>
                <w:sz w:val="20"/>
                <w:szCs w:val="20"/>
                <w:color w:val="auto"/>
              </w:rPr>
            </w:pPr>
            <w:r>
              <w:rPr>
                <w:rFonts w:ascii="Times New Roman" w:cs="Times New Roman" w:eastAsia="Times New Roman" w:hAnsi="Times New Roman"/>
                <w:sz w:val="11"/>
                <w:szCs w:val="11"/>
                <w:color w:val="auto"/>
                <w:w w:val="98"/>
              </w:rPr>
              <w:t>$20.0M</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r>
      <w:tr>
        <w:trPr>
          <w:trHeight w:val="159"/>
        </w:trPr>
        <w:tc>
          <w:tcPr>
            <w:tcW w:w="5840" w:type="dxa"/>
            <w:vAlign w:val="bottom"/>
          </w:tcPr>
          <w:p>
            <w:pPr>
              <w:spacing w:after="0" w:line="159" w:lineRule="exact"/>
              <w:rPr>
                <w:sz w:val="20"/>
                <w:szCs w:val="20"/>
                <w:color w:val="auto"/>
              </w:rPr>
            </w:pPr>
            <w:r>
              <w:rPr>
                <w:rFonts w:ascii="Times New Roman" w:cs="Times New Roman" w:eastAsia="Times New Roman" w:hAnsi="Times New Roman"/>
                <w:sz w:val="11"/>
                <w:szCs w:val="11"/>
                <w:color w:val="auto"/>
              </w:rPr>
              <w:t>Filing of the first MAA - second indication</w:t>
            </w:r>
            <w:r>
              <w:rPr>
                <w:rFonts w:ascii="Times New Roman" w:cs="Times New Roman" w:eastAsia="Times New Roman" w:hAnsi="Times New Roman"/>
                <w:sz w:val="14"/>
                <w:szCs w:val="14"/>
                <w:color w:val="auto"/>
                <w:vertAlign w:val="superscript"/>
              </w:rPr>
              <w:t>(3)</w:t>
            </w:r>
          </w:p>
        </w:tc>
        <w:tc>
          <w:tcPr>
            <w:tcW w:w="880" w:type="dxa"/>
            <w:vAlign w:val="bottom"/>
          </w:tcPr>
          <w:p>
            <w:pPr>
              <w:jc w:val="center"/>
              <w:ind w:left="243"/>
              <w:spacing w:after="0"/>
              <w:rPr>
                <w:sz w:val="20"/>
                <w:szCs w:val="20"/>
                <w:color w:val="auto"/>
              </w:rPr>
            </w:pPr>
            <w:r>
              <w:rPr>
                <w:rFonts w:ascii="Times New Roman" w:cs="Times New Roman" w:eastAsia="Times New Roman" w:hAnsi="Times New Roman"/>
                <w:sz w:val="11"/>
                <w:szCs w:val="11"/>
                <w:color w:val="auto"/>
              </w:rPr>
              <w:t>$5.0M</w:t>
            </w:r>
          </w:p>
        </w:tc>
        <w:tc>
          <w:tcPr>
            <w:tcW w:w="1480" w:type="dxa"/>
            <w:vAlign w:val="bottom"/>
          </w:tcPr>
          <w:p>
            <w:pPr>
              <w:jc w:val="center"/>
              <w:ind w:left="26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center"/>
              <w:ind w:left="283"/>
              <w:spacing w:after="0"/>
              <w:rPr>
                <w:sz w:val="20"/>
                <w:szCs w:val="20"/>
                <w:color w:val="auto"/>
              </w:rPr>
            </w:pPr>
            <w:r>
              <w:rPr>
                <w:rFonts w:ascii="Times New Roman" w:cs="Times New Roman" w:eastAsia="Times New Roman" w:hAnsi="Times New Roman"/>
                <w:sz w:val="11"/>
                <w:szCs w:val="11"/>
                <w:color w:val="auto"/>
              </w:rPr>
              <w:t>$5.0M</w:t>
            </w:r>
          </w:p>
        </w:tc>
        <w:tc>
          <w:tcPr>
            <w:tcW w:w="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r>
      <w:tr>
        <w:trPr>
          <w:trHeight w:val="159"/>
        </w:trPr>
        <w:tc>
          <w:tcPr>
            <w:tcW w:w="58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1"/>
                <w:szCs w:val="11"/>
                <w:color w:val="auto"/>
              </w:rPr>
              <w:t>First MAA approval - second indication</w:t>
            </w:r>
            <w:r>
              <w:rPr>
                <w:rFonts w:ascii="Times New Roman" w:cs="Times New Roman" w:eastAsia="Times New Roman" w:hAnsi="Times New Roman"/>
                <w:sz w:val="14"/>
                <w:szCs w:val="14"/>
                <w:color w:val="auto"/>
                <w:vertAlign w:val="superscript"/>
              </w:rPr>
              <w:t>(3)</w:t>
            </w:r>
          </w:p>
        </w:tc>
        <w:tc>
          <w:tcPr>
            <w:tcW w:w="880" w:type="dxa"/>
            <w:vAlign w:val="bottom"/>
            <w:shd w:val="clear" w:color="auto" w:fill="CCEEFF"/>
          </w:tcPr>
          <w:p>
            <w:pPr>
              <w:jc w:val="center"/>
              <w:ind w:left="263"/>
              <w:spacing w:after="0"/>
              <w:rPr>
                <w:sz w:val="20"/>
                <w:szCs w:val="20"/>
                <w:color w:val="auto"/>
              </w:rPr>
            </w:pPr>
            <w:r>
              <w:rPr>
                <w:rFonts w:ascii="Times New Roman" w:cs="Times New Roman" w:eastAsia="Times New Roman" w:hAnsi="Times New Roman"/>
                <w:sz w:val="11"/>
                <w:szCs w:val="11"/>
                <w:color w:val="auto"/>
              </w:rPr>
              <w:t>$10.0M</w:t>
            </w:r>
          </w:p>
        </w:tc>
        <w:tc>
          <w:tcPr>
            <w:tcW w:w="1480" w:type="dxa"/>
            <w:vAlign w:val="bottom"/>
            <w:shd w:val="clear" w:color="auto" w:fill="CCEEFF"/>
          </w:tcPr>
          <w:p>
            <w:pPr>
              <w:jc w:val="center"/>
              <w:ind w:left="26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center"/>
              <w:ind w:left="283"/>
              <w:spacing w:after="0"/>
              <w:rPr>
                <w:sz w:val="20"/>
                <w:szCs w:val="20"/>
                <w:color w:val="auto"/>
              </w:rPr>
            </w:pPr>
            <w:r>
              <w:rPr>
                <w:rFonts w:ascii="Times New Roman" w:cs="Times New Roman" w:eastAsia="Times New Roman" w:hAnsi="Times New Roman"/>
                <w:sz w:val="11"/>
                <w:szCs w:val="11"/>
                <w:color w:val="auto"/>
                <w:w w:val="98"/>
              </w:rPr>
              <w:t>$10.0M</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r>
      <w:tr>
        <w:trPr>
          <w:trHeight w:val="159"/>
        </w:trPr>
        <w:tc>
          <w:tcPr>
            <w:tcW w:w="5840" w:type="dxa"/>
            <w:vAlign w:val="bottom"/>
          </w:tcPr>
          <w:p>
            <w:pPr>
              <w:spacing w:after="0" w:line="159" w:lineRule="exact"/>
              <w:rPr>
                <w:sz w:val="20"/>
                <w:szCs w:val="20"/>
                <w:color w:val="auto"/>
              </w:rPr>
            </w:pPr>
            <w:r>
              <w:rPr>
                <w:rFonts w:ascii="Times New Roman" w:cs="Times New Roman" w:eastAsia="Times New Roman" w:hAnsi="Times New Roman"/>
                <w:sz w:val="11"/>
                <w:szCs w:val="11"/>
                <w:color w:val="auto"/>
              </w:rPr>
              <w:t>First commercial sales milestone</w:t>
            </w:r>
            <w:r>
              <w:rPr>
                <w:rFonts w:ascii="Times New Roman" w:cs="Times New Roman" w:eastAsia="Times New Roman" w:hAnsi="Times New Roman"/>
                <w:sz w:val="14"/>
                <w:szCs w:val="14"/>
                <w:color w:val="auto"/>
                <w:vertAlign w:val="superscript"/>
              </w:rPr>
              <w:t>(3)</w:t>
            </w:r>
          </w:p>
        </w:tc>
        <w:tc>
          <w:tcPr>
            <w:tcW w:w="880" w:type="dxa"/>
            <w:vAlign w:val="bottom"/>
          </w:tcPr>
          <w:p>
            <w:pPr>
              <w:jc w:val="center"/>
              <w:ind w:left="263"/>
              <w:spacing w:after="0"/>
              <w:rPr>
                <w:sz w:val="20"/>
                <w:szCs w:val="20"/>
                <w:color w:val="auto"/>
              </w:rPr>
            </w:pPr>
            <w:r>
              <w:rPr>
                <w:rFonts w:ascii="Times New Roman" w:cs="Times New Roman" w:eastAsia="Times New Roman" w:hAnsi="Times New Roman"/>
                <w:sz w:val="11"/>
                <w:szCs w:val="11"/>
                <w:color w:val="auto"/>
              </w:rPr>
              <w:t>$15.0M</w:t>
            </w:r>
          </w:p>
        </w:tc>
        <w:tc>
          <w:tcPr>
            <w:tcW w:w="1480" w:type="dxa"/>
            <w:vAlign w:val="bottom"/>
          </w:tcPr>
          <w:p>
            <w:pPr>
              <w:jc w:val="center"/>
              <w:ind w:left="26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center"/>
              <w:ind w:left="283"/>
              <w:spacing w:after="0"/>
              <w:rPr>
                <w:sz w:val="20"/>
                <w:szCs w:val="20"/>
                <w:color w:val="auto"/>
              </w:rPr>
            </w:pPr>
            <w:r>
              <w:rPr>
                <w:rFonts w:ascii="Times New Roman" w:cs="Times New Roman" w:eastAsia="Times New Roman" w:hAnsi="Times New Roman"/>
                <w:sz w:val="11"/>
                <w:szCs w:val="11"/>
                <w:color w:val="auto"/>
                <w:w w:val="98"/>
              </w:rPr>
              <w:t>$15.0M</w:t>
            </w:r>
          </w:p>
        </w:tc>
        <w:tc>
          <w:tcPr>
            <w:tcW w:w="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r>
      <w:tr>
        <w:trPr>
          <w:trHeight w:val="159"/>
        </w:trPr>
        <w:tc>
          <w:tcPr>
            <w:tcW w:w="58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1"/>
                <w:szCs w:val="11"/>
                <w:color w:val="auto"/>
              </w:rPr>
              <w:t>Second commercial sales milestone</w:t>
            </w:r>
            <w:r>
              <w:rPr>
                <w:rFonts w:ascii="Times New Roman" w:cs="Times New Roman" w:eastAsia="Times New Roman" w:hAnsi="Times New Roman"/>
                <w:sz w:val="14"/>
                <w:szCs w:val="14"/>
                <w:color w:val="auto"/>
                <w:vertAlign w:val="superscript"/>
              </w:rPr>
              <w:t>(3)</w:t>
            </w:r>
          </w:p>
        </w:tc>
        <w:tc>
          <w:tcPr>
            <w:tcW w:w="880" w:type="dxa"/>
            <w:vAlign w:val="bottom"/>
            <w:shd w:val="clear" w:color="auto" w:fill="CCEEFF"/>
          </w:tcPr>
          <w:p>
            <w:pPr>
              <w:jc w:val="center"/>
              <w:ind w:left="263"/>
              <w:spacing w:after="0"/>
              <w:rPr>
                <w:sz w:val="20"/>
                <w:szCs w:val="20"/>
                <w:color w:val="auto"/>
              </w:rPr>
            </w:pPr>
            <w:r>
              <w:rPr>
                <w:rFonts w:ascii="Times New Roman" w:cs="Times New Roman" w:eastAsia="Times New Roman" w:hAnsi="Times New Roman"/>
                <w:sz w:val="11"/>
                <w:szCs w:val="11"/>
                <w:color w:val="auto"/>
              </w:rPr>
              <w:t>$25.0M</w:t>
            </w:r>
          </w:p>
        </w:tc>
        <w:tc>
          <w:tcPr>
            <w:tcW w:w="1480" w:type="dxa"/>
            <w:vAlign w:val="bottom"/>
            <w:shd w:val="clear" w:color="auto" w:fill="CCEEFF"/>
          </w:tcPr>
          <w:p>
            <w:pPr>
              <w:jc w:val="center"/>
              <w:ind w:left="26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center"/>
              <w:ind w:left="283"/>
              <w:spacing w:after="0"/>
              <w:rPr>
                <w:sz w:val="20"/>
                <w:szCs w:val="20"/>
                <w:color w:val="auto"/>
              </w:rPr>
            </w:pPr>
            <w:r>
              <w:rPr>
                <w:rFonts w:ascii="Times New Roman" w:cs="Times New Roman" w:eastAsia="Times New Roman" w:hAnsi="Times New Roman"/>
                <w:sz w:val="11"/>
                <w:szCs w:val="11"/>
                <w:color w:val="auto"/>
                <w:w w:val="98"/>
              </w:rPr>
              <w:t>$25.0M</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r>
      <w:tr>
        <w:trPr>
          <w:trHeight w:val="159"/>
        </w:trPr>
        <w:tc>
          <w:tcPr>
            <w:tcW w:w="5840" w:type="dxa"/>
            <w:vAlign w:val="bottom"/>
          </w:tcPr>
          <w:p>
            <w:pPr>
              <w:spacing w:after="0" w:line="159" w:lineRule="exact"/>
              <w:rPr>
                <w:sz w:val="20"/>
                <w:szCs w:val="20"/>
                <w:color w:val="auto"/>
              </w:rPr>
            </w:pPr>
            <w:r>
              <w:rPr>
                <w:rFonts w:ascii="Times New Roman" w:cs="Times New Roman" w:eastAsia="Times New Roman" w:hAnsi="Times New Roman"/>
                <w:sz w:val="11"/>
                <w:szCs w:val="11"/>
                <w:color w:val="auto"/>
              </w:rPr>
              <w:t>Third commercial sales milestone</w:t>
            </w:r>
            <w:r>
              <w:rPr>
                <w:rFonts w:ascii="Times New Roman" w:cs="Times New Roman" w:eastAsia="Times New Roman" w:hAnsi="Times New Roman"/>
                <w:sz w:val="14"/>
                <w:szCs w:val="14"/>
                <w:color w:val="auto"/>
                <w:vertAlign w:val="superscript"/>
              </w:rPr>
              <w:t>(3)</w:t>
            </w:r>
          </w:p>
        </w:tc>
        <w:tc>
          <w:tcPr>
            <w:tcW w:w="880" w:type="dxa"/>
            <w:vAlign w:val="bottom"/>
          </w:tcPr>
          <w:p>
            <w:pPr>
              <w:jc w:val="center"/>
              <w:ind w:left="263"/>
              <w:spacing w:after="0"/>
              <w:rPr>
                <w:sz w:val="20"/>
                <w:szCs w:val="20"/>
                <w:color w:val="auto"/>
              </w:rPr>
            </w:pPr>
            <w:r>
              <w:rPr>
                <w:rFonts w:ascii="Times New Roman" w:cs="Times New Roman" w:eastAsia="Times New Roman" w:hAnsi="Times New Roman"/>
                <w:sz w:val="11"/>
                <w:szCs w:val="11"/>
                <w:color w:val="auto"/>
              </w:rPr>
              <w:t>$50.0M</w:t>
            </w:r>
          </w:p>
        </w:tc>
        <w:tc>
          <w:tcPr>
            <w:tcW w:w="1480" w:type="dxa"/>
            <w:vAlign w:val="bottom"/>
          </w:tcPr>
          <w:p>
            <w:pPr>
              <w:jc w:val="center"/>
              <w:ind w:left="26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center"/>
              <w:ind w:left="283"/>
              <w:spacing w:after="0"/>
              <w:rPr>
                <w:sz w:val="20"/>
                <w:szCs w:val="20"/>
                <w:color w:val="auto"/>
              </w:rPr>
            </w:pPr>
            <w:r>
              <w:rPr>
                <w:rFonts w:ascii="Times New Roman" w:cs="Times New Roman" w:eastAsia="Times New Roman" w:hAnsi="Times New Roman"/>
                <w:sz w:val="11"/>
                <w:szCs w:val="11"/>
                <w:color w:val="auto"/>
                <w:w w:val="98"/>
              </w:rPr>
              <w:t>$50.0M</w:t>
            </w:r>
          </w:p>
        </w:tc>
        <w:tc>
          <w:tcPr>
            <w:tcW w:w="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r>
      <w:tr>
        <w:trPr>
          <w:trHeight w:val="15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Fourth commercial sales milestone</w:t>
            </w:r>
          </w:p>
        </w:tc>
        <w:tc>
          <w:tcPr>
            <w:tcW w:w="880" w:type="dxa"/>
            <w:vAlign w:val="bottom"/>
            <w:shd w:val="clear" w:color="auto" w:fill="CCEEFF"/>
          </w:tcPr>
          <w:p>
            <w:pPr>
              <w:jc w:val="center"/>
              <w:ind w:left="263"/>
              <w:spacing w:after="0"/>
              <w:rPr>
                <w:sz w:val="20"/>
                <w:szCs w:val="20"/>
                <w:color w:val="auto"/>
              </w:rPr>
            </w:pPr>
            <w:r>
              <w:rPr>
                <w:rFonts w:ascii="Times New Roman" w:cs="Times New Roman" w:eastAsia="Times New Roman" w:hAnsi="Times New Roman"/>
                <w:sz w:val="11"/>
                <w:szCs w:val="11"/>
                <w:color w:val="auto"/>
              </w:rPr>
              <w:t>$75.0M</w:t>
            </w:r>
          </w:p>
        </w:tc>
        <w:tc>
          <w:tcPr>
            <w:tcW w:w="1480" w:type="dxa"/>
            <w:vAlign w:val="bottom"/>
            <w:shd w:val="clear" w:color="auto" w:fill="CCEEFF"/>
          </w:tcPr>
          <w:p>
            <w:pPr>
              <w:jc w:val="center"/>
              <w:ind w:left="26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center"/>
              <w:ind w:left="283"/>
              <w:spacing w:after="0"/>
              <w:rPr>
                <w:sz w:val="20"/>
                <w:szCs w:val="20"/>
                <w:color w:val="auto"/>
              </w:rPr>
            </w:pPr>
            <w:r>
              <w:rPr>
                <w:rFonts w:ascii="Times New Roman" w:cs="Times New Roman" w:eastAsia="Times New Roman" w:hAnsi="Times New Roman"/>
                <w:sz w:val="11"/>
                <w:szCs w:val="11"/>
                <w:color w:val="auto"/>
                <w:w w:val="98"/>
              </w:rPr>
              <w:t>$75.0M</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r>
      <w:tr>
        <w:trPr>
          <w:trHeight w:val="212"/>
        </w:trPr>
        <w:tc>
          <w:tcPr>
            <w:tcW w:w="5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5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Milestones recognized through March 31, 2024</w:t>
            </w:r>
          </w:p>
        </w:tc>
        <w:tc>
          <w:tcPr>
            <w:tcW w:w="880" w:type="dxa"/>
            <w:vAlign w:val="bottom"/>
            <w:shd w:val="clear" w:color="auto" w:fill="CCEEFF"/>
          </w:tcPr>
          <w:p>
            <w:pPr>
              <w:jc w:val="center"/>
              <w:ind w:left="263"/>
              <w:spacing w:after="0"/>
              <w:rPr>
                <w:sz w:val="20"/>
                <w:szCs w:val="20"/>
                <w:color w:val="auto"/>
              </w:rPr>
            </w:pPr>
            <w:r>
              <w:rPr>
                <w:rFonts w:ascii="Times New Roman" w:cs="Times New Roman" w:eastAsia="Times New Roman" w:hAnsi="Times New Roman"/>
                <w:sz w:val="11"/>
                <w:szCs w:val="11"/>
                <w:color w:val="auto"/>
              </w:rPr>
              <w:t>$93.0M</w:t>
            </w:r>
          </w:p>
        </w:tc>
        <w:tc>
          <w:tcPr>
            <w:tcW w:w="1480" w:type="dxa"/>
            <w:vAlign w:val="bottom"/>
            <w:shd w:val="clear" w:color="auto" w:fill="CCEEFF"/>
          </w:tcPr>
          <w:p>
            <w:pPr>
              <w:jc w:val="center"/>
              <w:ind w:left="26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center"/>
              <w:ind w:left="283"/>
              <w:spacing w:after="0"/>
              <w:rPr>
                <w:sz w:val="20"/>
                <w:szCs w:val="20"/>
                <w:color w:val="auto"/>
              </w:rPr>
            </w:pPr>
            <w:r>
              <w:rPr>
                <w:rFonts w:ascii="Times New Roman" w:cs="Times New Roman" w:eastAsia="Times New Roman" w:hAnsi="Times New Roman"/>
                <w:sz w:val="11"/>
                <w:szCs w:val="11"/>
                <w:color w:val="auto"/>
                <w:w w:val="98"/>
              </w:rPr>
              <w:t>$13.0M</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r>
      <w:tr>
        <w:trPr>
          <w:trHeight w:val="147"/>
        </w:trPr>
        <w:tc>
          <w:tcPr>
            <w:tcW w:w="5840" w:type="dxa"/>
            <w:vAlign w:val="bottom"/>
          </w:tcPr>
          <w:p>
            <w:pPr>
              <w:spacing w:after="0"/>
              <w:rPr>
                <w:sz w:val="20"/>
                <w:szCs w:val="20"/>
                <w:color w:val="auto"/>
              </w:rPr>
            </w:pPr>
            <w:r>
              <w:rPr>
                <w:rFonts w:ascii="Times New Roman" w:cs="Times New Roman" w:eastAsia="Times New Roman" w:hAnsi="Times New Roman"/>
                <w:sz w:val="11"/>
                <w:szCs w:val="11"/>
                <w:color w:val="auto"/>
              </w:rPr>
              <w:t>Milestones that may be recognized in the future</w:t>
            </w:r>
          </w:p>
        </w:tc>
        <w:tc>
          <w:tcPr>
            <w:tcW w:w="880" w:type="dxa"/>
            <w:vAlign w:val="bottom"/>
          </w:tcPr>
          <w:p>
            <w:pPr>
              <w:jc w:val="center"/>
              <w:ind w:left="263"/>
              <w:spacing w:after="0"/>
              <w:rPr>
                <w:sz w:val="20"/>
                <w:szCs w:val="20"/>
                <w:color w:val="auto"/>
              </w:rPr>
            </w:pPr>
            <w:r>
              <w:rPr>
                <w:rFonts w:ascii="Times New Roman" w:cs="Times New Roman" w:eastAsia="Times New Roman" w:hAnsi="Times New Roman"/>
                <w:sz w:val="11"/>
                <w:szCs w:val="11"/>
                <w:color w:val="auto"/>
                <w:w w:val="99"/>
              </w:rPr>
              <w:t>$180.0M</w:t>
            </w:r>
          </w:p>
        </w:tc>
        <w:tc>
          <w:tcPr>
            <w:tcW w:w="1480" w:type="dxa"/>
            <w:vAlign w:val="bottom"/>
          </w:tcPr>
          <w:p>
            <w:pPr>
              <w:jc w:val="center"/>
              <w:ind w:left="26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tcPr>
          <w:p>
            <w:pPr>
              <w:jc w:val="center"/>
              <w:ind w:left="283"/>
              <w:spacing w:after="0"/>
              <w:rPr>
                <w:sz w:val="20"/>
                <w:szCs w:val="20"/>
                <w:color w:val="auto"/>
              </w:rPr>
            </w:pPr>
            <w:r>
              <w:rPr>
                <w:rFonts w:ascii="Times New Roman" w:cs="Times New Roman" w:eastAsia="Times New Roman" w:hAnsi="Times New Roman"/>
                <w:sz w:val="11"/>
                <w:szCs w:val="11"/>
                <w:color w:val="auto"/>
              </w:rPr>
              <w:t>$260.0M</w:t>
            </w:r>
          </w:p>
        </w:tc>
        <w:tc>
          <w:tcPr>
            <w:tcW w:w="34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r>
    </w:tbl>
    <w:p>
      <w:pPr>
        <w:spacing w:after="0" w:line="102" w:lineRule="exact"/>
        <w:rPr>
          <w:sz w:val="20"/>
          <w:szCs w:val="20"/>
          <w:color w:val="auto"/>
        </w:rPr>
      </w:pPr>
    </w:p>
    <w:p>
      <w:pPr>
        <w:ind w:left="340" w:hanging="303"/>
        <w:spacing w:after="0"/>
        <w:tabs>
          <w:tab w:leader="none" w:pos="34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Biologics License Application (“BLA”)</w:t>
      </w:r>
    </w:p>
    <w:p>
      <w:pPr>
        <w:spacing w:after="0" w:line="12" w:lineRule="exact"/>
        <w:rPr>
          <w:rFonts w:ascii="Times New Roman" w:cs="Times New Roman" w:eastAsia="Times New Roman" w:hAnsi="Times New Roman"/>
          <w:sz w:val="18"/>
          <w:szCs w:val="18"/>
          <w:color w:val="auto"/>
          <w:vertAlign w:val="superscript"/>
        </w:rPr>
      </w:pPr>
    </w:p>
    <w:p>
      <w:pPr>
        <w:ind w:left="340" w:hanging="303"/>
        <w:spacing w:after="0" w:line="194" w:lineRule="auto"/>
        <w:tabs>
          <w:tab w:leader="none" w:pos="34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Marketing Authorization Application (“MAA”)</w:t>
      </w:r>
    </w:p>
    <w:p>
      <w:pPr>
        <w:spacing w:after="0" w:line="13" w:lineRule="exact"/>
        <w:rPr>
          <w:rFonts w:ascii="Times New Roman" w:cs="Times New Roman" w:eastAsia="Times New Roman" w:hAnsi="Times New Roman"/>
          <w:sz w:val="18"/>
          <w:szCs w:val="18"/>
          <w:color w:val="auto"/>
          <w:vertAlign w:val="superscript"/>
        </w:rPr>
      </w:pPr>
    </w:p>
    <w:p>
      <w:pPr>
        <w:ind w:left="360" w:hanging="323"/>
        <w:spacing w:after="0" w:line="220" w:lineRule="auto"/>
        <w:tabs>
          <w:tab w:leader="none" w:pos="35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For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the filing and approval of the first MAA for a second indication and first three commercial sales milestones are included as part of the royalty monetization agreement with Sagard (as defined below), see Note 5. Cash is generally received within 30 days of milestone achievement.</w:t>
      </w:r>
    </w:p>
    <w:p>
      <w:pPr>
        <w:spacing w:after="0" w:line="1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Centessa</w:t>
      </w:r>
    </w:p>
    <w:p>
      <w:pPr>
        <w:spacing w:after="0" w:line="96"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On November 24, 2023, we entered into an exclusive license agreement (as amended, the “Centessa Agreement”) with Centessa Pharmaceuticals (UK) Limited (“Centessa”), pursuant to which we acquired the exclusive global development and commercialization rights to a blood dendritic cell antigen 2 (BDCA2) modulator antibody portfolio, including lead asset CBS004 (renamed ANB101), CBS008 (renamed ANB102) and the related family of backup antibodies, for the treatment of autoimmune and inflammatory diseases.</w:t>
      </w:r>
    </w:p>
    <w:p>
      <w:pPr>
        <w:spacing w:after="0" w:line="51" w:lineRule="exact"/>
        <w:rPr>
          <w:sz w:val="20"/>
          <w:szCs w:val="20"/>
          <w:color w:val="auto"/>
        </w:rPr>
      </w:pPr>
    </w:p>
    <w:p>
      <w:pPr>
        <w:ind w:right="60" w:firstLine="382"/>
        <w:spacing w:after="0" w:line="270" w:lineRule="auto"/>
        <w:rPr>
          <w:sz w:val="20"/>
          <w:szCs w:val="20"/>
          <w:color w:val="auto"/>
        </w:rPr>
      </w:pPr>
      <w:r>
        <w:rPr>
          <w:rFonts w:ascii="Times New Roman" w:cs="Times New Roman" w:eastAsia="Times New Roman" w:hAnsi="Times New Roman"/>
          <w:sz w:val="14"/>
          <w:szCs w:val="14"/>
          <w:color w:val="auto"/>
        </w:rPr>
        <w:t>In connection with the Centessa Agreement, we paid Centessa an upfront cash payment of $4.0 million and an additional cash payment of $3.0 million as reimbursement to Centessa for manufacturing costs incurred. There were $0.3 million in transaction costs incurred. The total transaction amount of $7.3 million was expensed as in-process research and development and classified as an operating activity in the statement of cash flows. We accounted for the transaction as an asset acquisition as the set of acquired assets did not constitute a business.</w:t>
      </w:r>
    </w:p>
    <w:p>
      <w:pPr>
        <w:spacing w:after="0" w:line="51" w:lineRule="exact"/>
        <w:rPr>
          <w:sz w:val="20"/>
          <w:szCs w:val="20"/>
          <w:color w:val="auto"/>
        </w:rPr>
      </w:pPr>
    </w:p>
    <w:p>
      <w:pPr>
        <w:ind w:right="120" w:firstLine="382"/>
        <w:spacing w:after="0" w:line="287" w:lineRule="auto"/>
        <w:rPr>
          <w:sz w:val="20"/>
          <w:szCs w:val="20"/>
          <w:color w:val="auto"/>
        </w:rPr>
      </w:pPr>
      <w:r>
        <w:rPr>
          <w:rFonts w:ascii="Times New Roman" w:cs="Times New Roman" w:eastAsia="Times New Roman" w:hAnsi="Times New Roman"/>
          <w:sz w:val="14"/>
          <w:szCs w:val="14"/>
          <w:color w:val="auto"/>
        </w:rPr>
        <w:t>Under the terms of the agreement, Centessa may be entitled to receive potential future payments of up to $10.0 million upon the achievement of a certain event-based milestone and would be entitled to receive on a product-by-product and country-by-country basis, a royalty of low single digits on annual net sales of any product in the territory in each calendar year.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color w:val="auto"/>
        </w:rPr>
        <w:t>March 31, 2024, achievement of the milestone is not probable and, therefore, we have not recognized a liability for the associated $10.0 million contingent consideration.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Sale of Future Royalties</w:t>
      </w:r>
    </w:p>
    <w:p>
      <w:pPr>
        <w:spacing w:after="0" w:line="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Jemperli Royalty Monetization Agreement</w:t>
      </w:r>
    </w:p>
    <w:p>
      <w:pPr>
        <w:spacing w:after="0" w:line="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 October 2021, we signed a royalty monetization agreement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Royalty Monetization Agreement”) with Sagard Healthcare Royalty Partners, LP (“Sagard”). Under the terms of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Jemperli </w:t>
      </w:r>
      <w:r>
        <w:rPr>
          <w:rFonts w:ascii="Times New Roman" w:cs="Times New Roman" w:eastAsia="Times New Roman" w:hAnsi="Times New Roman"/>
          <w:sz w:val="14"/>
          <w:szCs w:val="14"/>
          <w:color w:val="auto"/>
        </w:rPr>
        <w:t>Royalty Monetization Agreement, we received $250.0 million in exchange for royalties and milestones payable to us under our GSK collaboration on annual global net sales of</w:t>
      </w:r>
      <w:r>
        <w:rPr>
          <w:rFonts w:ascii="Times New Roman" w:cs="Times New Roman" w:eastAsia="Times New Roman" w:hAnsi="Times New Roman"/>
          <w:sz w:val="14"/>
          <w:szCs w:val="14"/>
          <w:i w:val="1"/>
          <w:iCs w:val="1"/>
          <w:color w:val="auto"/>
        </w:rPr>
        <w:t xml:space="preserve"> Jemperli</w:t>
      </w:r>
    </w:p>
    <w:p>
      <w:pPr>
        <w:spacing w:after="0" w:line="221" w:lineRule="auto"/>
        <w:rPr>
          <w:sz w:val="20"/>
          <w:szCs w:val="20"/>
          <w:color w:val="auto"/>
        </w:rPr>
      </w:pPr>
      <w:r>
        <w:rPr>
          <w:rFonts w:ascii="Times New Roman" w:cs="Times New Roman" w:eastAsia="Times New Roman" w:hAnsi="Times New Roman"/>
          <w:sz w:val="14"/>
          <w:szCs w:val="14"/>
          <w:color w:val="auto"/>
        </w:rPr>
        <w:t xml:space="preserve">below $1.0 billion starting in October 2021 (not including any combination products that contain both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and another Development Antibody (as defined in the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Royalty Monetization</w:t>
      </w:r>
    </w:p>
    <w:p>
      <w:pPr>
        <w:spacing w:after="0" w:line="221" w:lineRule="auto"/>
        <w:rPr>
          <w:sz w:val="20"/>
          <w:szCs w:val="20"/>
          <w:color w:val="auto"/>
        </w:rPr>
      </w:pPr>
      <w:r>
        <w:rPr>
          <w:rFonts w:ascii="Times New Roman" w:cs="Times New Roman" w:eastAsia="Times New Roman" w:hAnsi="Times New Roman"/>
          <w:sz w:val="14"/>
          <w:szCs w:val="14"/>
          <w:color w:val="auto"/>
        </w:rPr>
        <w:t xml:space="preserve">Agreement)). The aggregate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royalties and milestones to be received by Sagard under the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Royalty Monetization Agreement is capped at certain fixed multiples of the upfront</w:t>
      </w:r>
    </w:p>
    <w:p>
      <w:pPr>
        <w:spacing w:after="0" w:line="222" w:lineRule="auto"/>
        <w:rPr>
          <w:sz w:val="20"/>
          <w:szCs w:val="20"/>
          <w:color w:val="auto"/>
        </w:rPr>
      </w:pPr>
      <w:r>
        <w:rPr>
          <w:rFonts w:ascii="Times New Roman" w:cs="Times New Roman" w:eastAsia="Times New Roman" w:hAnsi="Times New Roman"/>
          <w:sz w:val="14"/>
          <w:szCs w:val="14"/>
          <w:color w:val="auto"/>
        </w:rPr>
        <w:t>payment based on time. Once Sagard receives an aggregate amount of either $312.5 million (125% of the upfront) by the end of 2026, $337.5 million (135% of the upfront) during 2027, or</w:t>
      </w:r>
    </w:p>
    <w:p>
      <w:pPr>
        <w:spacing w:after="0" w:line="237" w:lineRule="auto"/>
        <w:rPr>
          <w:sz w:val="20"/>
          <w:szCs w:val="20"/>
          <w:color w:val="auto"/>
        </w:rPr>
      </w:pPr>
      <w:r>
        <w:rPr>
          <w:rFonts w:ascii="Times New Roman" w:cs="Times New Roman" w:eastAsia="Times New Roman" w:hAnsi="Times New Roman"/>
          <w:sz w:val="14"/>
          <w:szCs w:val="14"/>
          <w:color w:val="auto"/>
        </w:rPr>
        <w:t xml:space="preserve">$412.5 million (165% of the upfront) at any time after 2027, the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Royalty Monetization Agreement will expire resulting in us regaining all subsequent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royalties and milestones. As</w:t>
      </w:r>
    </w:p>
    <w:p>
      <w:pPr>
        <w:spacing w:after="0"/>
        <w:rPr>
          <w:sz w:val="20"/>
          <w:szCs w:val="20"/>
          <w:color w:val="auto"/>
        </w:rPr>
      </w:pPr>
      <w:r>
        <w:rPr>
          <w:rFonts w:ascii="Times New Roman" w:cs="Times New Roman" w:eastAsia="Times New Roman" w:hAnsi="Times New Roman"/>
          <w:sz w:val="14"/>
          <w:szCs w:val="14"/>
          <w:color w:val="auto"/>
        </w:rPr>
        <w:t>of March 31, 2024, Sagard has received a total of $16.4 million in royalties and milestones.</w:t>
      </w:r>
    </w:p>
    <w:p>
      <w:pPr>
        <w:spacing w:after="0" w:line="65" w:lineRule="exact"/>
        <w:rPr>
          <w:sz w:val="20"/>
          <w:szCs w:val="20"/>
          <w:color w:val="auto"/>
        </w:rPr>
      </w:pPr>
    </w:p>
    <w:p>
      <w:pPr>
        <w:ind w:right="140" w:firstLine="350"/>
        <w:spacing w:after="0" w:line="271" w:lineRule="auto"/>
        <w:rPr>
          <w:sz w:val="20"/>
          <w:szCs w:val="20"/>
          <w:color w:val="auto"/>
        </w:rPr>
      </w:pPr>
      <w:r>
        <w:rPr>
          <w:rFonts w:ascii="Times New Roman" w:cs="Times New Roman" w:eastAsia="Times New Roman" w:hAnsi="Times New Roman"/>
          <w:sz w:val="14"/>
          <w:szCs w:val="14"/>
          <w:color w:val="auto"/>
        </w:rPr>
        <w:t xml:space="preserve">The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Royalty Monetization Agreement includes a call option pursuant to which at any time after December 1, 2024, we may reacquire our interest in the specified royalties by paying Sagard (in cash) a specified amount as described in the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Royalty Monetization Agreement. The exercise of this call option is at our sole discretion, which we currently do not anticipate exercising.</w:t>
      </w:r>
    </w:p>
    <w:p>
      <w:pPr>
        <w:spacing w:after="0" w:line="51" w:lineRule="exact"/>
        <w:rPr>
          <w:sz w:val="20"/>
          <w:szCs w:val="20"/>
          <w:color w:val="auto"/>
        </w:rPr>
      </w:pPr>
    </w:p>
    <w:p>
      <w:pPr>
        <w:ind w:right="240" w:firstLine="350"/>
        <w:spacing w:after="0" w:line="264" w:lineRule="auto"/>
        <w:rPr>
          <w:sz w:val="20"/>
          <w:szCs w:val="20"/>
          <w:color w:val="auto"/>
        </w:rPr>
      </w:pPr>
      <w:r>
        <w:rPr>
          <w:rFonts w:ascii="Times New Roman" w:cs="Times New Roman" w:eastAsia="Times New Roman" w:hAnsi="Times New Roman"/>
          <w:sz w:val="14"/>
          <w:szCs w:val="14"/>
          <w:color w:val="auto"/>
        </w:rPr>
        <w:t xml:space="preserve">The proceeds received from Sagard of $250.0 million were recorded as a liability, net of transaction costs of $0.4 million, which will be amortized over the estimated life of the arrangement using the effective interest rate method. The aggregate future estimated payments, less the $249.6 million, net of proceeds, will be recognized as non-cash interest expense over the life of the agreement. Royalty and milestone revenue will be recognized as earned on net sales of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and these payments to Sagard will be recorded as a reduction of the liability when paid. As such payments are made to Sagard, the balance of the liability will be effectively repaid over the life of the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Royalty Monetization Agreement.</w:t>
      </w:r>
    </w:p>
    <w:p>
      <w:pPr>
        <w:spacing w:after="0" w:line="54" w:lineRule="exact"/>
        <w:rPr>
          <w:sz w:val="20"/>
          <w:szCs w:val="20"/>
          <w:color w:val="auto"/>
        </w:rPr>
      </w:pPr>
    </w:p>
    <w:p>
      <w:pPr>
        <w:ind w:right="80" w:firstLine="350"/>
        <w:spacing w:after="0" w:line="265" w:lineRule="auto"/>
        <w:rPr>
          <w:sz w:val="20"/>
          <w:szCs w:val="20"/>
          <w:color w:val="auto"/>
        </w:rPr>
      </w:pPr>
      <w:r>
        <w:rPr>
          <w:rFonts w:ascii="Times New Roman" w:cs="Times New Roman" w:eastAsia="Times New Roman" w:hAnsi="Times New Roman"/>
          <w:sz w:val="14"/>
          <w:szCs w:val="14"/>
          <w:color w:val="auto"/>
        </w:rPr>
        <w:t xml:space="preserve">We estimate the effective interest rate used to record non-cash interest expense under the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Royalty Monetization Agreement based on the estimate of future royalty payments to be received by Sagard. As of March 31, 2024, the estimated effective rate under the agreement was 10.0%. Over the life of the arrangement, the actual effective interest rate will be affected by the amount and the timing of the royalty payments received by Sagard and changes in our forecasted royalties. At each reporting date, we will reassess our estimate of total future royalty payments to be received and if such payments are materially different than our original estimates, we will prospectively adjust the imputed interest rate and the related amortization of the royalty obligation.</w:t>
      </w:r>
    </w:p>
    <w:p>
      <w:pPr>
        <w:spacing w:after="0" w:line="53" w:lineRule="exact"/>
        <w:rPr>
          <w:sz w:val="20"/>
          <w:szCs w:val="20"/>
          <w:color w:val="auto"/>
        </w:rPr>
      </w:pPr>
    </w:p>
    <w:p>
      <w:pPr>
        <w:ind w:right="100" w:firstLine="350"/>
        <w:spacing w:after="0" w:line="271" w:lineRule="auto"/>
        <w:rPr>
          <w:sz w:val="20"/>
          <w:szCs w:val="20"/>
          <w:color w:val="auto"/>
        </w:rPr>
      </w:pPr>
      <w:r>
        <w:rPr>
          <w:rFonts w:ascii="Times New Roman" w:cs="Times New Roman" w:eastAsia="Times New Roman" w:hAnsi="Times New Roman"/>
          <w:sz w:val="14"/>
          <w:szCs w:val="14"/>
          <w:color w:val="auto"/>
        </w:rPr>
        <w:t xml:space="preserve">We recognized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non-cash royalty revenue of approximately $6.2 million and $0.6 million during the three months ended March 31, 2024 and three months ended March 31, 2023, respectively, and non-cash interest expense of approximately $6.1 million and $4.0 million during the three months ended March 31, 2024 and three months ended March 31, 2023, respectively. The interest and amortization of issuance costs are reflected as non-cash interest expense for the sale of future royalties in the Consolidated Statements of Operations.</w:t>
      </w:r>
    </w:p>
    <w:p>
      <w:pPr>
        <w:spacing w:after="0" w:line="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shows the activity within the liability account for the three months ended March 31, 2024: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March 31, 2024</w:t>
            </w:r>
          </w:p>
        </w:tc>
      </w:tr>
      <w:tr>
        <w:trPr>
          <w:trHeight w:val="18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Liability related to sale of future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royalties and milestones – balance at 12/31/2023</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278,090</w:t>
            </w:r>
          </w:p>
        </w:tc>
      </w:tr>
      <w:tr>
        <w:trPr>
          <w:trHeight w:val="180"/>
        </w:trPr>
        <w:tc>
          <w:tcPr>
            <w:tcW w:w="9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costs related to the sale of future royalties</w:t>
            </w:r>
          </w:p>
        </w:tc>
        <w:tc>
          <w:tcPr>
            <w:tcW w:w="3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Amortization of issuance costs</w:t>
            </w:r>
          </w:p>
        </w:tc>
        <w:tc>
          <w:tcPr>
            <w:tcW w:w="36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9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Royalty and milestone payments to Sagard</w:t>
            </w:r>
          </w:p>
        </w:tc>
        <w:tc>
          <w:tcPr>
            <w:tcW w:w="3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(5,978)</w:t>
            </w:r>
          </w:p>
        </w:tc>
      </w:tr>
      <w:tr>
        <w:trPr>
          <w:trHeight w:val="180"/>
        </w:trPr>
        <w:tc>
          <w:tcPr>
            <w:tcW w:w="9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Non-cash interest expense recognized</w:t>
            </w:r>
          </w:p>
        </w:tc>
        <w:tc>
          <w:tcPr>
            <w:tcW w:w="3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6,073</w:t>
            </w:r>
          </w:p>
        </w:tc>
      </w:tr>
      <w:tr>
        <w:trPr>
          <w:trHeight w:val="171"/>
        </w:trPr>
        <w:tc>
          <w:tcPr>
            <w:tcW w:w="9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Liability related to sale of future royalties and milestones – ending balance</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278,199</w:t>
            </w:r>
          </w:p>
        </w:tc>
      </w:tr>
      <w:tr>
        <w:trPr>
          <w:trHeight w:val="20"/>
        </w:trPr>
        <w:tc>
          <w:tcPr>
            <w:tcW w:w="9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On May 8, 2024, we entered into an amendment to the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Royalty Monetization Agreement with Sagard. For more information about this amendment, see Note 10 — Subsequent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14" w:name="page15"/>
    <w:bookmarkEnd w:id="14"/>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Zejula Royalty Monetization Agreement</w:t>
      </w:r>
    </w:p>
    <w:p>
      <w:pPr>
        <w:spacing w:after="0" w:line="96"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In October 2020, in connection with Amendment No. 3 to the GSK Agreement, GSK agreed, under the terms of a settlement agreement (the “GSK Settlement Agreement”), to pay us a royalty on all GSK net sales of Zejula starting January 1, 2021. Under the GSK Settlement Agreement, the royalty is paid at a rate of 1.0% but is subject to reduction due to royalties paid to third parties, with a minimum royalty payable under the GSK Settlement Agreement of 0.5% of global net sales of Zejula. The current effective royalty rate is 0.5%.</w:t>
      </w:r>
    </w:p>
    <w:p>
      <w:pPr>
        <w:spacing w:after="0" w:line="51" w:lineRule="exact"/>
        <w:rPr>
          <w:sz w:val="20"/>
          <w:szCs w:val="20"/>
          <w:color w:val="auto"/>
        </w:rPr>
      </w:pPr>
    </w:p>
    <w:p>
      <w:pPr>
        <w:ind w:right="100" w:firstLine="350"/>
        <w:spacing w:after="0" w:line="264" w:lineRule="auto"/>
        <w:rPr>
          <w:sz w:val="20"/>
          <w:szCs w:val="20"/>
          <w:color w:val="auto"/>
        </w:rPr>
      </w:pPr>
      <w:r>
        <w:rPr>
          <w:rFonts w:ascii="Times New Roman" w:cs="Times New Roman" w:eastAsia="Times New Roman" w:hAnsi="Times New Roman"/>
          <w:sz w:val="14"/>
          <w:szCs w:val="14"/>
          <w:color w:val="auto"/>
        </w:rPr>
        <w:t>In September 2022, we signed a purchase and sale agreement (the “Zejula Royalty Monetization Agreement”) with a wholly owned subsidiary of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 In addition, under the Zejula Royalty Monetization Agreement, we are entitled to receive an additional $10.0 million payment from DRI if Zejula is approved by the U.S. Food and Drug Administration for the treatment of endometrial cancer on or prior to December 31, 2025.</w:t>
      </w:r>
    </w:p>
    <w:p>
      <w:pPr>
        <w:spacing w:after="0" w:line="56" w:lineRule="exact"/>
        <w:rPr>
          <w:sz w:val="20"/>
          <w:szCs w:val="20"/>
          <w:color w:val="auto"/>
        </w:rPr>
      </w:pPr>
    </w:p>
    <w:p>
      <w:pPr>
        <w:ind w:right="60" w:firstLine="350"/>
        <w:spacing w:after="0" w:line="264" w:lineRule="auto"/>
        <w:rPr>
          <w:sz w:val="20"/>
          <w:szCs w:val="20"/>
          <w:color w:val="auto"/>
        </w:rPr>
      </w:pPr>
      <w:r>
        <w:rPr>
          <w:rFonts w:ascii="Times New Roman" w:cs="Times New Roman" w:eastAsia="Times New Roman" w:hAnsi="Times New Roman"/>
          <w:sz w:val="14"/>
          <w:szCs w:val="14"/>
          <w:color w:val="auto"/>
        </w:rPr>
        <w:t>The proceeds received from DRI of $35.0 million were recorded as a liability, net of transaction costs of $0.2 million, which will be amortized over the estimated life of the arrangement using the effective interest rate method. Royalty revenue will be recognized as earned on net sales of Zejula, and these royalty payments to DRI will be recorded as a reduction of the liability when paid. The aggregate future estimated payments, less the $34.8 million, of net proceeds, will be recorded as non-cash interest expense over the life of the agreement. As such payments are made to DRI, the balance of the liability will be effectively repaid over the life of the Zejula Royalty Monetization Agreement.</w:t>
      </w:r>
    </w:p>
    <w:p>
      <w:pPr>
        <w:spacing w:after="0" w:line="56" w:lineRule="exact"/>
        <w:rPr>
          <w:sz w:val="20"/>
          <w:szCs w:val="20"/>
          <w:color w:val="auto"/>
        </w:rPr>
      </w:pPr>
    </w:p>
    <w:p>
      <w:pPr>
        <w:ind w:right="160" w:firstLine="350"/>
        <w:spacing w:after="0" w:line="264" w:lineRule="auto"/>
        <w:rPr>
          <w:sz w:val="20"/>
          <w:szCs w:val="20"/>
          <w:color w:val="auto"/>
        </w:rPr>
      </w:pPr>
      <w:r>
        <w:rPr>
          <w:rFonts w:ascii="Times New Roman" w:cs="Times New Roman" w:eastAsia="Times New Roman" w:hAnsi="Times New Roman"/>
          <w:sz w:val="14"/>
          <w:szCs w:val="14"/>
          <w:color w:val="auto"/>
        </w:rPr>
        <w:t>We estimate the effective interest rate used to record non-cash interest expense under the Zejula Royalty Monetization Agreement based on the estimate of future royalty payments to be received by DRI. As of March 31, 2024, the estimated effective rate under the agreement was 2.9%. Over the life of the arrangement, the actual effective interest rate will be affected by the amount and the timing of the royalty payments received by DRI and the changes in our forecasted royalties. At each reporting date, we will reassess our estimate of total future royalty payments to be received and if such payments are materially different than our original estimates, we will prospectively adjust the imputed interest rate and the related amortization of the royalty obligation.</w:t>
      </w:r>
    </w:p>
    <w:p>
      <w:pPr>
        <w:spacing w:after="0" w:line="56" w:lineRule="exact"/>
        <w:rPr>
          <w:sz w:val="20"/>
          <w:szCs w:val="20"/>
          <w:color w:val="auto"/>
        </w:rPr>
      </w:pPr>
    </w:p>
    <w:p>
      <w:pPr>
        <w:ind w:right="100" w:firstLine="350"/>
        <w:spacing w:after="0" w:line="270" w:lineRule="auto"/>
        <w:rPr>
          <w:sz w:val="20"/>
          <w:szCs w:val="20"/>
          <w:color w:val="auto"/>
        </w:rPr>
      </w:pPr>
      <w:r>
        <w:rPr>
          <w:rFonts w:ascii="Times New Roman" w:cs="Times New Roman" w:eastAsia="Times New Roman" w:hAnsi="Times New Roman"/>
          <w:sz w:val="14"/>
          <w:szCs w:val="14"/>
          <w:color w:val="auto"/>
        </w:rPr>
        <w:t>We recognized Zejula non-cash royalty revenue of approximately $1.0 million and $0.8 million during the three months ended March 31, 2024 and three months ended March 31, 2023, respectively, and non-cash interest expense of approximately $0.2 million and $0.4 million during the three months ended March 31, 2024 and three months ended March 31, 2023, respectively. The interest and amortization of issuance costs is reflected as non-cash interest expense for the sale of future royalties in the Consolidated Statements of Operations.</w:t>
      </w:r>
    </w:p>
    <w:p>
      <w:pPr>
        <w:sectPr>
          <w:pgSz w:w="11900" w:h="16838" w:orient="portrait"/>
          <w:cols w:equalWidth="0" w:num="1">
            <w:col w:w="11280"/>
          </w:cols>
          <w:pgMar w:left="300" w:top="1311" w:right="319" w:bottom="1440" w:gutter="0" w:footer="0" w:header="0"/>
        </w:sectPr>
      </w:pPr>
    </w:p>
    <w:p>
      <w:pPr>
        <w:spacing w:after="0" w:line="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shows the activity within the liability account for the three months ended March 31, 2024:</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1212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8" w:lineRule="exact"/>
        <w:rPr>
          <w:sz w:val="20"/>
          <w:szCs w:val="20"/>
          <w:color w:val="auto"/>
        </w:rPr>
      </w:pPr>
    </w:p>
    <w:p>
      <w:pPr>
        <w:ind w:left="100" w:right="3540" w:hanging="84"/>
        <w:spacing w:after="0" w:line="271" w:lineRule="auto"/>
        <w:rPr>
          <w:sz w:val="20"/>
          <w:szCs w:val="20"/>
          <w:color w:val="auto"/>
        </w:rPr>
      </w:pPr>
      <w:r>
        <w:rPr>
          <w:rFonts w:ascii="Times New Roman" w:cs="Times New Roman" w:eastAsia="Times New Roman" w:hAnsi="Times New Roman"/>
          <w:sz w:val="14"/>
          <w:szCs w:val="14"/>
          <w:color w:val="auto"/>
        </w:rPr>
        <w:t>Liability related to sale of future Zejula royalties and milestones – balance at 12/31/2023 Amortization of issuance costs</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Royalty and milestone payments to DRI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Non-cash interest expense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4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Liability related to sale of future royalties and milestones – ending balance</w:t>
      </w:r>
    </w:p>
    <w:p>
      <w:pPr>
        <w:spacing w:after="0" w:line="346" w:lineRule="exact"/>
        <w:rPr>
          <w:sz w:val="20"/>
          <w:szCs w:val="20"/>
          <w:color w:val="auto"/>
        </w:rPr>
      </w:pPr>
    </w:p>
    <w:p>
      <w:pPr>
        <w:ind w:left="200" w:right="4740" w:hanging="195"/>
        <w:spacing w:after="0" w:line="381" w:lineRule="auto"/>
        <w:tabs>
          <w:tab w:leader="none" w:pos="15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Fair Value Measurements and Available for Sale Investments </w:t>
      </w:r>
      <w:r>
        <w:rPr>
          <w:rFonts w:ascii="Times New Roman" w:cs="Times New Roman" w:eastAsia="Times New Roman" w:hAnsi="Times New Roman"/>
          <w:sz w:val="14"/>
          <w:szCs w:val="14"/>
          <w:b w:val="1"/>
          <w:bCs w:val="1"/>
          <w:i w:val="1"/>
          <w:iCs w:val="1"/>
          <w:color w:val="auto"/>
        </w:rPr>
        <w:t>Fair Value Measurements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3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March 31, 2024</w:t>
            </w:r>
          </w:p>
        </w:tc>
      </w:tr>
      <w:tr>
        <w:trPr>
          <w:trHeight w:val="176"/>
        </w:trPr>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32,717</w:t>
            </w:r>
          </w:p>
        </w:tc>
      </w:tr>
      <w:tr>
        <w:trPr>
          <w:trHeight w:val="180"/>
        </w:trPr>
        <w:tc>
          <w:tcPr>
            <w:tcW w:w="3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3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w:t>
            </w:r>
          </w:p>
        </w:tc>
      </w:tr>
      <w:tr>
        <w:trPr>
          <w:trHeight w:val="184"/>
        </w:trPr>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r>
      <w:tr>
        <w:trPr>
          <w:trHeight w:val="171"/>
        </w:trPr>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31,985</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813" w:lineRule="exact"/>
        <w:rPr>
          <w:sz w:val="20"/>
          <w:szCs w:val="20"/>
          <w:color w:val="auto"/>
        </w:rPr>
      </w:pPr>
    </w:p>
    <w:p>
      <w:pPr>
        <w:sectPr>
          <w:pgSz w:w="11900" w:h="16838" w:orient="portrait"/>
          <w:cols w:equalWidth="0" w:num="2">
            <w:col w:w="8580" w:space="720"/>
            <w:col w:w="1980"/>
          </w:cols>
          <w:pgMar w:left="300" w:top="1311" w:right="319" w:bottom="1440" w:gutter="0" w:footer="0" w:header="0"/>
          <w:type w:val="continuous"/>
        </w:sectPr>
      </w:pPr>
    </w:p>
    <w:p>
      <w:pPr>
        <w:ind w:right="180" w:firstLine="382"/>
        <w:spacing w:after="0" w:line="287" w:lineRule="auto"/>
        <w:rPr>
          <w:sz w:val="20"/>
          <w:szCs w:val="20"/>
          <w:color w:val="auto"/>
        </w:rPr>
      </w:pPr>
      <w:r>
        <w:rPr>
          <w:rFonts w:ascii="Times New Roman" w:cs="Times New Roman" w:eastAsia="Times New Roman" w:hAnsi="Times New Roman"/>
          <w:sz w:val="14"/>
          <w:szCs w:val="14"/>
          <w:color w:val="auto"/>
        </w:rPr>
        <w:t>Our financial instruments consist principally of cash, cash equivalents, short-term and long-term investments, receivables, and accounts payable. Certain of our financial assets and liabilities have been recorded at fair value in the consolidated balance sheet in accordance with the accounting standards for fair value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type w:val="continuous"/>
        </w:sectPr>
      </w:pPr>
    </w:p>
    <w:bookmarkStart w:id="15" w:name="page16"/>
    <w:bookmarkEnd w:id="15"/>
    <w:p>
      <w:pPr>
        <w:jc w:val="both"/>
        <w:ind w:right="20" w:firstLine="382"/>
        <w:spacing w:after="0" w:line="270"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Level 1 – Observable inputs that reflect quoted prices (unadjusted) for identical assets or liabilities in active markets.</w:t>
      </w:r>
    </w:p>
    <w:p>
      <w:pPr>
        <w:spacing w:after="0" w:line="94" w:lineRule="exact"/>
        <w:rPr>
          <w:sz w:val="20"/>
          <w:szCs w:val="20"/>
          <w:color w:val="auto"/>
        </w:rPr>
      </w:pPr>
    </w:p>
    <w:p>
      <w:pPr>
        <w:ind w:right="180" w:firstLine="382"/>
        <w:spacing w:after="0" w:line="287" w:lineRule="auto"/>
        <w:rPr>
          <w:sz w:val="20"/>
          <w:szCs w:val="20"/>
          <w:color w:val="auto"/>
        </w:rPr>
      </w:pPr>
      <w:r>
        <w:rPr>
          <w:rFonts w:ascii="Times New Roman" w:cs="Times New Roman" w:eastAsia="Times New Roman" w:hAnsi="Times New Roman"/>
          <w:sz w:val="14"/>
          <w:szCs w:val="14"/>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Level 3 – Unobservable inputs that are supported by little or no market activities, therefore requiring an entity to develop its own assumptions.</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Assets and Liabilities Measured at Fair Value on a Recurring Basis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our assets and liabilities that require fair value measurements on a recurring basis and their respective input levels based on the fair value hierarchy: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Fair Value Measurements at End of Period Using:</w:t>
            </w: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29"/>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Quoted Market</w:t>
            </w:r>
          </w:p>
        </w:tc>
        <w:tc>
          <w:tcPr>
            <w:tcW w:w="200" w:type="dxa"/>
            <w:vAlign w:val="bottom"/>
          </w:tcPr>
          <w:p>
            <w:pPr>
              <w:spacing w:after="0"/>
              <w:rPr>
                <w:sz w:val="11"/>
                <w:szCs w:val="11"/>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260" w:type="dxa"/>
            <w:vAlign w:val="bottom"/>
          </w:tcPr>
          <w:p>
            <w:pPr>
              <w:spacing w:after="0"/>
              <w:rPr>
                <w:sz w:val="11"/>
                <w:szCs w:val="11"/>
                <w:color w:val="auto"/>
              </w:rPr>
            </w:pPr>
          </w:p>
        </w:tc>
        <w:tc>
          <w:tcPr>
            <w:tcW w:w="1240" w:type="dxa"/>
            <w:vAlign w:val="bottom"/>
          </w:tcPr>
          <w:p>
            <w:pPr>
              <w:jc w:val="center"/>
              <w:ind w:right="173"/>
              <w:spacing w:after="0"/>
              <w:rPr>
                <w:sz w:val="20"/>
                <w:szCs w:val="20"/>
                <w:color w:val="auto"/>
              </w:rPr>
            </w:pPr>
            <w:r>
              <w:rPr>
                <w:rFonts w:ascii="Times New Roman" w:cs="Times New Roman" w:eastAsia="Times New Roman" w:hAnsi="Times New Roman"/>
                <w:sz w:val="11"/>
                <w:szCs w:val="11"/>
                <w:b w:val="1"/>
                <w:bCs w:val="1"/>
                <w:color w:val="auto"/>
              </w:rPr>
              <w:t>Significant</w:t>
            </w:r>
          </w:p>
        </w:tc>
      </w:tr>
      <w:tr>
        <w:trPr>
          <w:trHeight w:val="127"/>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Prices for</w:t>
            </w:r>
          </w:p>
        </w:tc>
        <w:tc>
          <w:tcPr>
            <w:tcW w:w="200" w:type="dxa"/>
            <w:vAlign w:val="bottom"/>
          </w:tcPr>
          <w:p>
            <w:pPr>
              <w:spacing w:after="0"/>
              <w:rPr>
                <w:sz w:val="11"/>
                <w:szCs w:val="11"/>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Other Observable</w:t>
            </w:r>
          </w:p>
        </w:tc>
        <w:tc>
          <w:tcPr>
            <w:tcW w:w="260" w:type="dxa"/>
            <w:vAlign w:val="bottom"/>
          </w:tcPr>
          <w:p>
            <w:pPr>
              <w:spacing w:after="0"/>
              <w:rPr>
                <w:sz w:val="11"/>
                <w:szCs w:val="11"/>
                <w:color w:val="auto"/>
              </w:rPr>
            </w:pPr>
          </w:p>
        </w:tc>
        <w:tc>
          <w:tcPr>
            <w:tcW w:w="1240" w:type="dxa"/>
            <w:vAlign w:val="bottom"/>
          </w:tcPr>
          <w:p>
            <w:pPr>
              <w:jc w:val="center"/>
              <w:ind w:right="193"/>
              <w:spacing w:after="0"/>
              <w:rPr>
                <w:sz w:val="20"/>
                <w:szCs w:val="20"/>
                <w:color w:val="auto"/>
              </w:rPr>
            </w:pPr>
            <w:r>
              <w:rPr>
                <w:rFonts w:ascii="Times New Roman" w:cs="Times New Roman" w:eastAsia="Times New Roman" w:hAnsi="Times New Roman"/>
                <w:sz w:val="11"/>
                <w:szCs w:val="11"/>
                <w:b w:val="1"/>
                <w:bCs w:val="1"/>
                <w:color w:val="auto"/>
              </w:rPr>
              <w:t>Unobservable</w:t>
            </w:r>
          </w:p>
        </w:tc>
      </w:tr>
      <w:tr>
        <w:trPr>
          <w:trHeight w:val="127"/>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Fair</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Identical Assets</w:t>
            </w:r>
          </w:p>
        </w:tc>
        <w:tc>
          <w:tcPr>
            <w:tcW w:w="200" w:type="dxa"/>
            <w:vAlign w:val="bottom"/>
          </w:tcPr>
          <w:p>
            <w:pPr>
              <w:spacing w:after="0"/>
              <w:rPr>
                <w:sz w:val="11"/>
                <w:szCs w:val="11"/>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Inputs</w:t>
            </w:r>
          </w:p>
        </w:tc>
        <w:tc>
          <w:tcPr>
            <w:tcW w:w="260" w:type="dxa"/>
            <w:vAlign w:val="bottom"/>
          </w:tcPr>
          <w:p>
            <w:pPr>
              <w:spacing w:after="0"/>
              <w:rPr>
                <w:sz w:val="11"/>
                <w:szCs w:val="11"/>
                <w:color w:val="auto"/>
              </w:rPr>
            </w:pPr>
          </w:p>
        </w:tc>
        <w:tc>
          <w:tcPr>
            <w:tcW w:w="1240" w:type="dxa"/>
            <w:vAlign w:val="bottom"/>
          </w:tcPr>
          <w:p>
            <w:pPr>
              <w:jc w:val="center"/>
              <w:ind w:right="193"/>
              <w:spacing w:after="0"/>
              <w:rPr>
                <w:sz w:val="20"/>
                <w:szCs w:val="20"/>
                <w:color w:val="auto"/>
              </w:rPr>
            </w:pPr>
            <w:r>
              <w:rPr>
                <w:rFonts w:ascii="Times New Roman" w:cs="Times New Roman" w:eastAsia="Times New Roman" w:hAnsi="Times New Roman"/>
                <w:sz w:val="11"/>
                <w:szCs w:val="11"/>
                <w:b w:val="1"/>
                <w:bCs w:val="1"/>
                <w:color w:val="auto"/>
                <w:w w:val="97"/>
              </w:rPr>
              <w:t>Inputs</w:t>
            </w:r>
          </w:p>
        </w:tc>
      </w:tr>
      <w:tr>
        <w:trPr>
          <w:trHeight w:val="158"/>
        </w:trPr>
        <w:tc>
          <w:tcPr>
            <w:tcW w:w="20" w:type="dxa"/>
            <w:vAlign w:val="bottom"/>
          </w:tcPr>
          <w:p>
            <w:pPr>
              <w:spacing w:after="0"/>
              <w:rPr>
                <w:sz w:val="13"/>
                <w:szCs w:val="13"/>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Value</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Pr>
          <w:p>
            <w:pPr>
              <w:spacing w:after="0"/>
              <w:rPr>
                <w:sz w:val="13"/>
                <w:szCs w:val="13"/>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60" w:type="dxa"/>
            <w:vAlign w:val="bottom"/>
          </w:tcPr>
          <w:p>
            <w:pPr>
              <w:spacing w:after="0"/>
              <w:rPr>
                <w:sz w:val="13"/>
                <w:szCs w:val="13"/>
                <w:color w:val="auto"/>
              </w:rPr>
            </w:pPr>
          </w:p>
        </w:tc>
        <w:tc>
          <w:tcPr>
            <w:tcW w:w="1240" w:type="dxa"/>
            <w:vAlign w:val="bottom"/>
          </w:tcPr>
          <w:p>
            <w:pPr>
              <w:jc w:val="center"/>
              <w:ind w:right="193"/>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50"/>
        </w:trPr>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120" w:type="dxa"/>
            <w:vAlign w:val="bottom"/>
            <w:tcBorders>
              <w:top w:val="single" w:sz="8" w:color="CFF0FC"/>
              <w:bottom w:val="single" w:sz="8" w:color="auto"/>
            </w:tcBorders>
            <w:shd w:val="clear" w:color="auto" w:fill="CFF0FC"/>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8"/>
              </w:rPr>
              <w:t>At March 31, 2024</w:t>
            </w:r>
          </w:p>
        </w:tc>
        <w:tc>
          <w:tcPr>
            <w:tcW w:w="3780" w:type="dxa"/>
            <w:vAlign w:val="bottom"/>
            <w:tcBorders>
              <w:top w:val="single" w:sz="8" w:color="CFF0FC"/>
              <w:bottom w:val="single" w:sz="8" w:color="CFF0FC"/>
            </w:tcBorders>
            <w:gridSpan w:val="2"/>
            <w:shd w:val="clear" w:color="auto" w:fill="CFF0FC"/>
          </w:tcPr>
          <w:p>
            <w:pPr>
              <w:spacing w:after="0"/>
              <w:rPr>
                <w:sz w:val="13"/>
                <w:szCs w:val="13"/>
                <w:color w:val="auto"/>
              </w:rPr>
            </w:pPr>
          </w:p>
        </w:tc>
        <w:tc>
          <w:tcPr>
            <w:tcW w:w="960" w:type="dxa"/>
            <w:vAlign w:val="bottom"/>
            <w:tcBorders>
              <w:top w:val="single" w:sz="8" w:color="auto"/>
              <w:bottom w:val="single" w:sz="8" w:color="CFF0FC"/>
            </w:tcBorders>
            <w:shd w:val="clear" w:color="auto" w:fill="CFF0FC"/>
          </w:tcPr>
          <w:p>
            <w:pPr>
              <w:spacing w:after="0"/>
              <w:rPr>
                <w:sz w:val="13"/>
                <w:szCs w:val="13"/>
                <w:color w:val="auto"/>
              </w:rPr>
            </w:pPr>
          </w:p>
        </w:tc>
        <w:tc>
          <w:tcPr>
            <w:tcW w:w="560" w:type="dxa"/>
            <w:vAlign w:val="bottom"/>
            <w:tcBorders>
              <w:top w:val="single" w:sz="8" w:color="auto"/>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CFF0FC"/>
            </w:tcBorders>
            <w:shd w:val="clear" w:color="auto" w:fill="CFF0FC"/>
          </w:tcPr>
          <w:p>
            <w:pPr>
              <w:spacing w:after="0"/>
              <w:rPr>
                <w:sz w:val="13"/>
                <w:szCs w:val="13"/>
                <w:color w:val="auto"/>
              </w:rPr>
            </w:pPr>
          </w:p>
        </w:tc>
        <w:tc>
          <w:tcPr>
            <w:tcW w:w="1280" w:type="dxa"/>
            <w:vAlign w:val="bottom"/>
            <w:tcBorders>
              <w:top w:val="single" w:sz="8" w:color="auto"/>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CFF0FC"/>
            </w:tcBorders>
            <w:shd w:val="clear" w:color="auto" w:fill="CFF0FC"/>
          </w:tcPr>
          <w:p>
            <w:pPr>
              <w:spacing w:after="0"/>
              <w:rPr>
                <w:sz w:val="13"/>
                <w:szCs w:val="13"/>
                <w:color w:val="auto"/>
              </w:rPr>
            </w:pPr>
          </w:p>
        </w:tc>
        <w:tc>
          <w:tcPr>
            <w:tcW w:w="1300" w:type="dxa"/>
            <w:vAlign w:val="bottom"/>
            <w:tcBorders>
              <w:top w:val="single" w:sz="8" w:color="auto"/>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CFF0FC"/>
            </w:tcBorders>
            <w:shd w:val="clear" w:color="auto" w:fill="CFF0FC"/>
          </w:tcPr>
          <w:p>
            <w:pPr>
              <w:spacing w:after="0"/>
              <w:rPr>
                <w:sz w:val="13"/>
                <w:szCs w:val="13"/>
                <w:color w:val="auto"/>
              </w:rPr>
            </w:pPr>
          </w:p>
        </w:tc>
        <w:tc>
          <w:tcPr>
            <w:tcW w:w="1240" w:type="dxa"/>
            <w:vAlign w:val="bottom"/>
            <w:tcBorders>
              <w:top w:val="single" w:sz="8" w:color="auto"/>
              <w:bottom w:val="single" w:sz="8" w:color="CFF0FC"/>
            </w:tcBorders>
            <w:shd w:val="clear" w:color="auto" w:fill="CFF0FC"/>
          </w:tcPr>
          <w:p>
            <w:pPr>
              <w:spacing w:after="0"/>
              <w:rPr>
                <w:sz w:val="13"/>
                <w:szCs w:val="13"/>
                <w:color w:val="auto"/>
              </w:rPr>
            </w:pPr>
          </w:p>
        </w:tc>
      </w:tr>
      <w:tr>
        <w:trPr>
          <w:trHeight w:val="202"/>
        </w:trPr>
        <w:tc>
          <w:tcPr>
            <w:tcW w:w="20" w:type="dxa"/>
            <w:vAlign w:val="bottom"/>
          </w:tcPr>
          <w:p>
            <w:pPr>
              <w:spacing w:after="0"/>
              <w:rPr>
                <w:sz w:val="17"/>
                <w:szCs w:val="17"/>
                <w:color w:val="auto"/>
              </w:rPr>
            </w:pPr>
          </w:p>
        </w:tc>
        <w:tc>
          <w:tcPr>
            <w:tcW w:w="4900" w:type="dxa"/>
            <w:vAlign w:val="bottom"/>
            <w:gridSpan w:val="3"/>
          </w:tcPr>
          <w:p>
            <w:pPr>
              <w:spacing w:after="0" w:line="201" w:lineRule="exact"/>
              <w:rPr>
                <w:sz w:val="20"/>
                <w:szCs w:val="20"/>
                <w:color w:val="auto"/>
              </w:rPr>
            </w:pPr>
            <w:r>
              <w:rPr>
                <w:rFonts w:ascii="Times New Roman" w:cs="Times New Roman" w:eastAsia="Times New Roman" w:hAnsi="Times New Roman"/>
                <w:sz w:val="14"/>
                <w:szCs w:val="14"/>
                <w:color w:val="auto"/>
              </w:rPr>
              <w:t>Money market funds</w:t>
            </w:r>
            <w:r>
              <w:rPr>
                <w:rFonts w:ascii="Times New Roman" w:cs="Times New Roman" w:eastAsia="Times New Roman" w:hAnsi="Times New Roman"/>
                <w:sz w:val="18"/>
                <w:szCs w:val="18"/>
                <w:color w:val="auto"/>
                <w:vertAlign w:val="superscript"/>
              </w:rPr>
              <w:t>(1)</w:t>
            </w:r>
          </w:p>
        </w:tc>
        <w:tc>
          <w:tcPr>
            <w:tcW w:w="960" w:type="dxa"/>
            <w:vAlign w:val="bottom"/>
          </w:tcPr>
          <w:p>
            <w:pPr>
              <w:jc w:val="right"/>
              <w:ind w:right="79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42,780</w:t>
            </w:r>
          </w:p>
        </w:tc>
        <w:tc>
          <w:tcPr>
            <w:tcW w:w="10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42,780</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20" w:type="dxa"/>
            <w:vAlign w:val="bottom"/>
            <w:shd w:val="clear" w:color="auto" w:fill="CFF0FC"/>
          </w:tcPr>
          <w:p>
            <w:pPr>
              <w:spacing w:after="0"/>
              <w:rPr>
                <w:sz w:val="17"/>
                <w:szCs w:val="17"/>
                <w:color w:val="auto"/>
              </w:rPr>
            </w:pPr>
          </w:p>
        </w:tc>
        <w:tc>
          <w:tcPr>
            <w:tcW w:w="4900" w:type="dxa"/>
            <w:vAlign w:val="bottom"/>
            <w:gridSpan w:val="3"/>
            <w:shd w:val="clear" w:color="auto" w:fill="CFF0FC"/>
          </w:tcPr>
          <w:p>
            <w:pPr>
              <w:spacing w:after="0" w:line="201" w:lineRule="exact"/>
              <w:rPr>
                <w:sz w:val="20"/>
                <w:szCs w:val="20"/>
                <w:color w:val="auto"/>
              </w:rPr>
            </w:pPr>
            <w:r>
              <w:rPr>
                <w:rFonts w:ascii="Times New Roman" w:cs="Times New Roman" w:eastAsia="Times New Roman" w:hAnsi="Times New Roman"/>
                <w:sz w:val="14"/>
                <w:szCs w:val="14"/>
                <w:color w:val="auto"/>
              </w:rPr>
              <w:t>Mutual funds</w:t>
            </w:r>
            <w:r>
              <w:rPr>
                <w:rFonts w:ascii="Times New Roman" w:cs="Times New Roman" w:eastAsia="Times New Roman" w:hAnsi="Times New Roman"/>
                <w:sz w:val="18"/>
                <w:szCs w:val="18"/>
                <w:color w:val="auto"/>
                <w:vertAlign w:val="superscript"/>
              </w:rPr>
              <w:t>(1)</w:t>
            </w: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6,293</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6,293</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20" w:type="dxa"/>
            <w:vAlign w:val="bottom"/>
          </w:tcPr>
          <w:p>
            <w:pPr>
              <w:spacing w:after="0"/>
              <w:rPr>
                <w:sz w:val="17"/>
                <w:szCs w:val="17"/>
                <w:color w:val="auto"/>
              </w:rPr>
            </w:pPr>
          </w:p>
        </w:tc>
        <w:tc>
          <w:tcPr>
            <w:tcW w:w="4900" w:type="dxa"/>
            <w:vAlign w:val="bottom"/>
            <w:gridSpan w:val="3"/>
          </w:tcPr>
          <w:p>
            <w:pPr>
              <w:spacing w:after="0" w:line="201" w:lineRule="exact"/>
              <w:rPr>
                <w:sz w:val="20"/>
                <w:szCs w:val="20"/>
                <w:color w:val="auto"/>
              </w:rPr>
            </w:pPr>
            <w:r>
              <w:rPr>
                <w:rFonts w:ascii="Times New Roman" w:cs="Times New Roman" w:eastAsia="Times New Roman" w:hAnsi="Times New Roman"/>
                <w:sz w:val="14"/>
                <w:szCs w:val="14"/>
                <w:color w:val="auto"/>
              </w:rPr>
              <w:t>U.S. Treasury securities</w:t>
            </w:r>
            <w:r>
              <w:rPr>
                <w:rFonts w:ascii="Times New Roman" w:cs="Times New Roman" w:eastAsia="Times New Roman" w:hAnsi="Times New Roman"/>
                <w:sz w:val="18"/>
                <w:szCs w:val="18"/>
                <w:color w:val="auto"/>
                <w:vertAlign w:val="superscript"/>
              </w:rPr>
              <w:t>(2)</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277,359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277,359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20" w:type="dxa"/>
            <w:vAlign w:val="bottom"/>
            <w:shd w:val="clear" w:color="auto" w:fill="CFF0FC"/>
          </w:tcPr>
          <w:p>
            <w:pPr>
              <w:spacing w:after="0"/>
              <w:rPr>
                <w:sz w:val="17"/>
                <w:szCs w:val="17"/>
                <w:color w:val="auto"/>
              </w:rPr>
            </w:pPr>
          </w:p>
        </w:tc>
        <w:tc>
          <w:tcPr>
            <w:tcW w:w="4900" w:type="dxa"/>
            <w:vAlign w:val="bottom"/>
            <w:gridSpan w:val="3"/>
            <w:shd w:val="clear" w:color="auto" w:fill="CFF0FC"/>
          </w:tcPr>
          <w:p>
            <w:pPr>
              <w:spacing w:after="0" w:line="201" w:lineRule="exact"/>
              <w:rPr>
                <w:sz w:val="20"/>
                <w:szCs w:val="20"/>
                <w:color w:val="auto"/>
              </w:rPr>
            </w:pPr>
            <w:r>
              <w:rPr>
                <w:rFonts w:ascii="Times New Roman" w:cs="Times New Roman" w:eastAsia="Times New Roman" w:hAnsi="Times New Roman"/>
                <w:sz w:val="14"/>
                <w:szCs w:val="14"/>
                <w:color w:val="auto"/>
              </w:rPr>
              <w:t>Certificates of deposit</w:t>
            </w:r>
            <w:r>
              <w:rPr>
                <w:rFonts w:ascii="Times New Roman" w:cs="Times New Roman" w:eastAsia="Times New Roman" w:hAnsi="Times New Roman"/>
                <w:sz w:val="18"/>
                <w:szCs w:val="18"/>
                <w:color w:val="auto"/>
                <w:vertAlign w:val="superscript"/>
              </w:rPr>
              <w:t>(2)</w:t>
            </w: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20" w:type="dxa"/>
            <w:vAlign w:val="bottom"/>
          </w:tcPr>
          <w:p>
            <w:pPr>
              <w:spacing w:after="0"/>
              <w:rPr>
                <w:sz w:val="17"/>
                <w:szCs w:val="17"/>
                <w:color w:val="auto"/>
              </w:rPr>
            </w:pPr>
          </w:p>
        </w:tc>
        <w:tc>
          <w:tcPr>
            <w:tcW w:w="4900" w:type="dxa"/>
            <w:vAlign w:val="bottom"/>
            <w:gridSpan w:val="3"/>
          </w:tcPr>
          <w:p>
            <w:pPr>
              <w:spacing w:after="0" w:line="201" w:lineRule="exact"/>
              <w:rPr>
                <w:sz w:val="20"/>
                <w:szCs w:val="20"/>
                <w:color w:val="auto"/>
              </w:rPr>
            </w:pPr>
            <w:r>
              <w:rPr>
                <w:rFonts w:ascii="Times New Roman" w:cs="Times New Roman" w:eastAsia="Times New Roman" w:hAnsi="Times New Roman"/>
                <w:sz w:val="14"/>
                <w:szCs w:val="14"/>
                <w:color w:val="auto"/>
              </w:rPr>
              <w:t>Agency securities</w:t>
            </w:r>
            <w:r>
              <w:rPr>
                <w:rFonts w:ascii="Times New Roman" w:cs="Times New Roman" w:eastAsia="Times New Roman" w:hAnsi="Times New Roman"/>
                <w:sz w:val="18"/>
                <w:szCs w:val="18"/>
                <w:color w:val="auto"/>
                <w:vertAlign w:val="superscript"/>
              </w:rPr>
              <w:t>(2)</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20" w:type="dxa"/>
            <w:vAlign w:val="bottom"/>
            <w:shd w:val="clear" w:color="auto" w:fill="CFF0FC"/>
          </w:tcPr>
          <w:p>
            <w:pPr>
              <w:spacing w:after="0"/>
              <w:rPr>
                <w:sz w:val="17"/>
                <w:szCs w:val="17"/>
                <w:color w:val="auto"/>
              </w:rPr>
            </w:pPr>
          </w:p>
        </w:tc>
        <w:tc>
          <w:tcPr>
            <w:tcW w:w="4900" w:type="dxa"/>
            <w:vAlign w:val="bottom"/>
            <w:gridSpan w:val="3"/>
            <w:shd w:val="clear" w:color="auto" w:fill="CFF0FC"/>
          </w:tcPr>
          <w:p>
            <w:pPr>
              <w:spacing w:after="0" w:line="201" w:lineRule="exact"/>
              <w:rPr>
                <w:sz w:val="20"/>
                <w:szCs w:val="20"/>
                <w:color w:val="auto"/>
              </w:rPr>
            </w:pPr>
            <w:r>
              <w:rPr>
                <w:rFonts w:ascii="Times New Roman" w:cs="Times New Roman" w:eastAsia="Times New Roman" w:hAnsi="Times New Roman"/>
                <w:sz w:val="14"/>
                <w:szCs w:val="14"/>
                <w:color w:val="auto"/>
              </w:rPr>
              <w:t>Commercial and corporate obligations</w:t>
            </w:r>
            <w:r>
              <w:rPr>
                <w:rFonts w:ascii="Times New Roman" w:cs="Times New Roman" w:eastAsia="Times New Roman" w:hAnsi="Times New Roman"/>
                <w:sz w:val="18"/>
                <w:szCs w:val="18"/>
                <w:color w:val="auto"/>
                <w:vertAlign w:val="superscript"/>
              </w:rPr>
              <w:t>(2)</w:t>
            </w: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29,204</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29,204</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154"/>
        </w:trPr>
        <w:tc>
          <w:tcPr>
            <w:tcW w:w="20" w:type="dxa"/>
            <w:vAlign w:val="bottom"/>
          </w:tcPr>
          <w:p>
            <w:pPr>
              <w:spacing w:after="0"/>
              <w:rPr>
                <w:sz w:val="13"/>
                <w:szCs w:val="13"/>
                <w:color w:val="auto"/>
              </w:rPr>
            </w:pPr>
          </w:p>
        </w:tc>
        <w:tc>
          <w:tcPr>
            <w:tcW w:w="4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At December 31, 2023</w:t>
            </w: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08"/>
        </w:trPr>
        <w:tc>
          <w:tcPr>
            <w:tcW w:w="20" w:type="dxa"/>
            <w:vAlign w:val="bottom"/>
            <w:shd w:val="clear" w:color="auto" w:fill="CFF0FC"/>
          </w:tcPr>
          <w:p>
            <w:pPr>
              <w:spacing w:after="0"/>
              <w:rPr>
                <w:sz w:val="18"/>
                <w:szCs w:val="18"/>
                <w:color w:val="auto"/>
              </w:rPr>
            </w:pPr>
          </w:p>
        </w:tc>
        <w:tc>
          <w:tcPr>
            <w:tcW w:w="132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w w:val="99"/>
              </w:rPr>
              <w:t>Money market funds</w:t>
            </w:r>
            <w:r>
              <w:rPr>
                <w:rFonts w:ascii="Times New Roman" w:cs="Times New Roman" w:eastAsia="Times New Roman" w:hAnsi="Times New Roman"/>
                <w:sz w:val="18"/>
                <w:szCs w:val="18"/>
                <w:color w:val="auto"/>
                <w:w w:val="99"/>
                <w:vertAlign w:val="superscript"/>
              </w:rPr>
              <w:t>(1)</w:t>
            </w:r>
          </w:p>
        </w:tc>
        <w:tc>
          <w:tcPr>
            <w:tcW w:w="35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27,789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27,789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20" w:type="dxa"/>
            <w:vAlign w:val="bottom"/>
          </w:tcPr>
          <w:p>
            <w:pPr>
              <w:spacing w:after="0"/>
              <w:rPr>
                <w:sz w:val="17"/>
                <w:szCs w:val="17"/>
                <w:color w:val="auto"/>
              </w:rPr>
            </w:pPr>
          </w:p>
        </w:tc>
        <w:tc>
          <w:tcPr>
            <w:tcW w:w="4900" w:type="dxa"/>
            <w:vAlign w:val="bottom"/>
            <w:gridSpan w:val="3"/>
          </w:tcPr>
          <w:p>
            <w:pPr>
              <w:spacing w:after="0" w:line="201" w:lineRule="exact"/>
              <w:rPr>
                <w:sz w:val="20"/>
                <w:szCs w:val="20"/>
                <w:color w:val="auto"/>
              </w:rPr>
            </w:pPr>
            <w:r>
              <w:rPr>
                <w:rFonts w:ascii="Times New Roman" w:cs="Times New Roman" w:eastAsia="Times New Roman" w:hAnsi="Times New Roman"/>
                <w:sz w:val="14"/>
                <w:szCs w:val="14"/>
                <w:color w:val="auto"/>
              </w:rPr>
              <w:t>Mutual funds</w:t>
            </w:r>
            <w:r>
              <w:rPr>
                <w:rFonts w:ascii="Times New Roman" w:cs="Times New Roman" w:eastAsia="Times New Roman" w:hAnsi="Times New Roman"/>
                <w:sz w:val="18"/>
                <w:szCs w:val="18"/>
                <w:color w:val="auto"/>
                <w:vertAlign w:val="superscript"/>
              </w:rPr>
              <w:t>(1)</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20" w:type="dxa"/>
            <w:vAlign w:val="bottom"/>
            <w:shd w:val="clear" w:color="auto" w:fill="CFF0FC"/>
          </w:tcPr>
          <w:p>
            <w:pPr>
              <w:spacing w:after="0"/>
              <w:rPr>
                <w:sz w:val="17"/>
                <w:szCs w:val="17"/>
                <w:color w:val="auto"/>
              </w:rPr>
            </w:pPr>
          </w:p>
        </w:tc>
        <w:tc>
          <w:tcPr>
            <w:tcW w:w="4900" w:type="dxa"/>
            <w:vAlign w:val="bottom"/>
            <w:gridSpan w:val="3"/>
            <w:shd w:val="clear" w:color="auto" w:fill="CFF0FC"/>
          </w:tcPr>
          <w:p>
            <w:pPr>
              <w:spacing w:after="0" w:line="201" w:lineRule="exact"/>
              <w:rPr>
                <w:sz w:val="20"/>
                <w:szCs w:val="20"/>
                <w:color w:val="auto"/>
              </w:rPr>
            </w:pPr>
            <w:r>
              <w:rPr>
                <w:rFonts w:ascii="Times New Roman" w:cs="Times New Roman" w:eastAsia="Times New Roman" w:hAnsi="Times New Roman"/>
                <w:sz w:val="14"/>
                <w:szCs w:val="14"/>
                <w:color w:val="auto"/>
              </w:rPr>
              <w:t>U.S. Treasury securities</w:t>
            </w:r>
            <w:r>
              <w:rPr>
                <w:rFonts w:ascii="Times New Roman" w:cs="Times New Roman" w:eastAsia="Times New Roman" w:hAnsi="Times New Roman"/>
                <w:sz w:val="18"/>
                <w:szCs w:val="18"/>
                <w:color w:val="auto"/>
                <w:vertAlign w:val="superscript"/>
              </w:rPr>
              <w:t>(2)</w:t>
            </w: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325,714</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325,714</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20" w:type="dxa"/>
            <w:vAlign w:val="bottom"/>
          </w:tcPr>
          <w:p>
            <w:pPr>
              <w:spacing w:after="0"/>
              <w:rPr>
                <w:sz w:val="17"/>
                <w:szCs w:val="17"/>
                <w:color w:val="auto"/>
              </w:rPr>
            </w:pPr>
          </w:p>
        </w:tc>
        <w:tc>
          <w:tcPr>
            <w:tcW w:w="4900" w:type="dxa"/>
            <w:vAlign w:val="bottom"/>
            <w:gridSpan w:val="3"/>
          </w:tcPr>
          <w:p>
            <w:pPr>
              <w:spacing w:after="0" w:line="201" w:lineRule="exact"/>
              <w:rPr>
                <w:sz w:val="20"/>
                <w:szCs w:val="20"/>
                <w:color w:val="auto"/>
              </w:rPr>
            </w:pPr>
            <w:r>
              <w:rPr>
                <w:rFonts w:ascii="Times New Roman" w:cs="Times New Roman" w:eastAsia="Times New Roman" w:hAnsi="Times New Roman"/>
                <w:sz w:val="14"/>
                <w:szCs w:val="14"/>
                <w:color w:val="auto"/>
              </w:rPr>
              <w:t>Certificates of deposit</w:t>
            </w:r>
            <w:r>
              <w:rPr>
                <w:rFonts w:ascii="Times New Roman" w:cs="Times New Roman" w:eastAsia="Times New Roman" w:hAnsi="Times New Roman"/>
                <w:sz w:val="18"/>
                <w:szCs w:val="18"/>
                <w:color w:val="auto"/>
                <w:vertAlign w:val="superscript"/>
              </w:rPr>
              <w:t>(2)</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FF0FC"/>
          </w:tcPr>
          <w:p>
            <w:pPr>
              <w:spacing w:after="0"/>
              <w:rPr>
                <w:sz w:val="15"/>
                <w:szCs w:val="15"/>
                <w:color w:val="auto"/>
              </w:rPr>
            </w:pPr>
          </w:p>
        </w:tc>
        <w:tc>
          <w:tcPr>
            <w:tcW w:w="4900" w:type="dxa"/>
            <w:vAlign w:val="bottom"/>
            <w:gridSpan w:val="3"/>
            <w:shd w:val="clear" w:color="auto" w:fill="CFF0FC"/>
          </w:tcPr>
          <w:p>
            <w:pPr>
              <w:ind w:left="20"/>
              <w:spacing w:after="0" w:line="181" w:lineRule="exact"/>
              <w:rPr>
                <w:sz w:val="20"/>
                <w:szCs w:val="20"/>
                <w:color w:val="auto"/>
              </w:rPr>
            </w:pPr>
            <w:r>
              <w:rPr>
                <w:rFonts w:ascii="Times New Roman" w:cs="Times New Roman" w:eastAsia="Times New Roman" w:hAnsi="Times New Roman"/>
                <w:sz w:val="14"/>
                <w:szCs w:val="14"/>
                <w:color w:val="auto"/>
              </w:rPr>
              <w:t>Agency securities</w:t>
            </w:r>
            <w:r>
              <w:rPr>
                <w:rFonts w:ascii="Times New Roman" w:cs="Times New Roman" w:eastAsia="Times New Roman" w:hAnsi="Times New Roman"/>
                <w:sz w:val="18"/>
                <w:szCs w:val="18"/>
                <w:color w:val="auto"/>
                <w:vertAlign w:val="superscript"/>
              </w:rPr>
              <w:t>(2)</w:t>
            </w:r>
          </w:p>
        </w:tc>
        <w:tc>
          <w:tcPr>
            <w:tcW w:w="9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20,253</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20,253</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246"/>
        </w:trPr>
        <w:tc>
          <w:tcPr>
            <w:tcW w:w="20" w:type="dxa"/>
            <w:vAlign w:val="bottom"/>
          </w:tcPr>
          <w:p>
            <w:pPr>
              <w:spacing w:after="0"/>
              <w:rPr>
                <w:sz w:val="21"/>
                <w:szCs w:val="21"/>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Commercial and corporate obligations</w:t>
            </w:r>
            <w:r>
              <w:rPr>
                <w:rFonts w:ascii="Times New Roman" w:cs="Times New Roman" w:eastAsia="Times New Roman" w:hAnsi="Times New Roman"/>
                <w:sz w:val="18"/>
                <w:szCs w:val="18"/>
                <w:color w:val="auto"/>
                <w:vertAlign w:val="superscript"/>
              </w:rPr>
              <w:t>(2)</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r>
    </w:tbl>
    <w:p>
      <w:pPr>
        <w:spacing w:after="0" w:line="45" w:lineRule="exact"/>
        <w:rPr>
          <w:sz w:val="20"/>
          <w:szCs w:val="20"/>
          <w:color w:val="auto"/>
        </w:rPr>
      </w:pPr>
    </w:p>
    <w:p>
      <w:pPr>
        <w:ind w:left="220" w:hanging="183"/>
        <w:spacing w:after="0"/>
        <w:tabs>
          <w:tab w:leader="none" w:pos="22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cash and cash equivalents in the accompanying consolidated balance sheets.</w:t>
      </w:r>
    </w:p>
    <w:p>
      <w:pPr>
        <w:spacing w:after="0" w:line="22" w:lineRule="exact"/>
        <w:rPr>
          <w:rFonts w:ascii="Times New Roman" w:cs="Times New Roman" w:eastAsia="Times New Roman" w:hAnsi="Times New Roman"/>
          <w:sz w:val="18"/>
          <w:szCs w:val="18"/>
          <w:color w:val="auto"/>
          <w:vertAlign w:val="superscript"/>
        </w:rPr>
      </w:pPr>
    </w:p>
    <w:p>
      <w:pPr>
        <w:ind w:left="240" w:hanging="203"/>
        <w:spacing w:after="0" w:line="194" w:lineRule="auto"/>
        <w:tabs>
          <w:tab w:leader="none" w:pos="24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short-term or long-term investments in the accompanying consolidated balance sheets depending on the respective maturity date.</w:t>
      </w:r>
    </w:p>
    <w:p>
      <w:pPr>
        <w:spacing w:after="0" w:line="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methods and assumptions were used to estimate the fair value of our financial instruments for which it is practicable to estimate that value:</w:t>
      </w:r>
    </w:p>
    <w:p>
      <w:pPr>
        <w:spacing w:after="0" w:line="92" w:lineRule="exact"/>
        <w:rPr>
          <w:sz w:val="20"/>
          <w:szCs w:val="20"/>
          <w:color w:val="auto"/>
        </w:rPr>
      </w:pPr>
    </w:p>
    <w:p>
      <w:pPr>
        <w:ind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Marketable Securities. </w:t>
      </w:r>
      <w:r>
        <w:rPr>
          <w:rFonts w:ascii="Times New Roman" w:cs="Times New Roman" w:eastAsia="Times New Roman" w:hAnsi="Times New Roman"/>
          <w:sz w:val="14"/>
          <w:szCs w:val="14"/>
          <w:color w:val="auto"/>
        </w:rPr>
        <w:t>For fair values determined by Level 1 inputs, which utilize quoted prices in active markets for identical assets, the level of judgment required to estimate fair value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relatively low. For fair values determined by Level 2 inputs, which utilize quoted prices in less active markets for similar assets, the level of judgment required to estimate fair value is also considered relatively low.</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Fair Value of Other Financial Instruments</w:t>
      </w:r>
    </w:p>
    <w:p>
      <w:pPr>
        <w:spacing w:after="0" w:line="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carrying amounts of certain of our financial instruments, including cash and cash equivalents, accounts payable, and accrued expenses approximate fair value due to their short-term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3" w:right="339" w:bottom="1440" w:gutter="0" w:footer="0" w:header="0"/>
        </w:sectPr>
      </w:pPr>
    </w:p>
    <w:bookmarkStart w:id="16" w:name="page17"/>
    <w:bookmarkEnd w:id="16"/>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Available for Sale Investments</w:t>
      </w:r>
    </w:p>
    <w:p>
      <w:pPr>
        <w:spacing w:after="0" w:line="96" w:lineRule="exact"/>
        <w:rPr>
          <w:sz w:val="20"/>
          <w:szCs w:val="20"/>
          <w:color w:val="auto"/>
        </w:rPr>
      </w:pPr>
    </w:p>
    <w:p>
      <w:pPr>
        <w:ind w:right="40" w:firstLine="382"/>
        <w:spacing w:after="0" w:line="270" w:lineRule="auto"/>
        <w:rPr>
          <w:sz w:val="20"/>
          <w:szCs w:val="20"/>
          <w:color w:val="auto"/>
        </w:rPr>
      </w:pPr>
      <w:r>
        <w:rPr>
          <w:rFonts w:ascii="Times New Roman" w:cs="Times New Roman" w:eastAsia="Times New Roman" w:hAnsi="Times New Roman"/>
          <w:sz w:val="14"/>
          <w:szCs w:val="14"/>
          <w:color w:val="auto"/>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short-term and long-term investments as of March 31, 2024 are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Pr>
          <w:p>
            <w:pPr>
              <w:spacing w:after="0"/>
              <w:rPr>
                <w:sz w:val="11"/>
                <w:szCs w:val="11"/>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200" w:type="dxa"/>
            <w:vAlign w:val="bottom"/>
          </w:tcPr>
          <w:p>
            <w:pPr>
              <w:spacing w:after="0"/>
              <w:rPr>
                <w:sz w:val="11"/>
                <w:szCs w:val="11"/>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80" w:type="dxa"/>
            <w:vAlign w:val="bottom"/>
          </w:tcPr>
          <w:p>
            <w:pPr>
              <w:spacing w:after="0"/>
              <w:rPr>
                <w:sz w:val="11"/>
                <w:szCs w:val="11"/>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80" w:type="dxa"/>
            <w:vAlign w:val="bottom"/>
          </w:tcPr>
          <w:p>
            <w:pPr>
              <w:spacing w:after="0"/>
              <w:rPr>
                <w:sz w:val="11"/>
                <w:szCs w:val="11"/>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53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Unrealized Gains</w:t>
            </w:r>
          </w:p>
        </w:tc>
        <w:tc>
          <w:tcPr>
            <w:tcW w:w="18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Unrealized Losses</w:t>
            </w:r>
          </w:p>
        </w:tc>
        <w:tc>
          <w:tcPr>
            <w:tcW w:w="280" w:type="dxa"/>
            <w:vAlign w:val="bottom"/>
          </w:tcPr>
          <w:p>
            <w:pPr>
              <w:spacing w:after="0"/>
              <w:rPr>
                <w:sz w:val="13"/>
                <w:szCs w:val="13"/>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76"/>
        </w:trPr>
        <w:tc>
          <w:tcPr>
            <w:tcW w:w="5300" w:type="dxa"/>
            <w:vAlign w:val="bottom"/>
            <w:tcBorders>
              <w:top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Agency securities</w:t>
            </w:r>
            <w:r>
              <w:rPr>
                <w:rFonts w:ascii="Times New Roman" w:cs="Times New Roman" w:eastAsia="Times New Roman" w:hAnsi="Times New Roman"/>
                <w:sz w:val="18"/>
                <w:szCs w:val="18"/>
                <w:color w:val="auto"/>
                <w:vertAlign w:val="superscript"/>
              </w:rPr>
              <w:t>(1)</w:t>
            </w: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9,657</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9,634</w:t>
            </w:r>
          </w:p>
        </w:tc>
        <w:tc>
          <w:tcPr>
            <w:tcW w:w="0" w:type="dxa"/>
            <w:vAlign w:val="bottom"/>
          </w:tcPr>
          <w:p>
            <w:pPr>
              <w:spacing w:after="0"/>
              <w:rPr>
                <w:sz w:val="1"/>
                <w:szCs w:val="1"/>
                <w:color w:val="auto"/>
              </w:rPr>
            </w:pPr>
          </w:p>
        </w:tc>
      </w:tr>
      <w:tr>
        <w:trPr>
          <w:trHeight w:val="180"/>
        </w:trPr>
        <w:tc>
          <w:tcPr>
            <w:tcW w:w="53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Certificates of deposit</w:t>
            </w:r>
            <w:r>
              <w:rPr>
                <w:rFonts w:ascii="Times New Roman" w:cs="Times New Roman" w:eastAsia="Times New Roman" w:hAnsi="Times New Roman"/>
                <w:sz w:val="18"/>
                <w:szCs w:val="18"/>
                <w:color w:val="auto"/>
                <w:vertAlign w:val="superscript"/>
              </w:rPr>
              <w:t>(2)</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180"/>
        </w:trPr>
        <w:tc>
          <w:tcPr>
            <w:tcW w:w="53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Commercial and corporate obligations</w:t>
            </w:r>
            <w:r>
              <w:rPr>
                <w:rFonts w:ascii="Times New Roman" w:cs="Times New Roman" w:eastAsia="Times New Roman" w:hAnsi="Times New Roman"/>
                <w:sz w:val="18"/>
                <w:szCs w:val="18"/>
                <w:color w:val="auto"/>
                <w:vertAlign w:val="superscript"/>
              </w:rPr>
              <w:t>(3)</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29,204</w:t>
            </w:r>
          </w:p>
        </w:tc>
        <w:tc>
          <w:tcPr>
            <w:tcW w:w="0" w:type="dxa"/>
            <w:vAlign w:val="bottom"/>
          </w:tcPr>
          <w:p>
            <w:pPr>
              <w:spacing w:after="0"/>
              <w:rPr>
                <w:sz w:val="1"/>
                <w:szCs w:val="1"/>
                <w:color w:val="auto"/>
              </w:rPr>
            </w:pPr>
          </w:p>
        </w:tc>
      </w:tr>
      <w:tr>
        <w:trPr>
          <w:trHeight w:val="180"/>
        </w:trPr>
        <w:tc>
          <w:tcPr>
            <w:tcW w:w="530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U.S. Treasury securities</w:t>
            </w:r>
            <w:r>
              <w:rPr>
                <w:rFonts w:ascii="Times New Roman" w:cs="Times New Roman" w:eastAsia="Times New Roman" w:hAnsi="Times New Roman"/>
                <w:sz w:val="18"/>
                <w:szCs w:val="18"/>
                <w:color w:val="auto"/>
                <w:vertAlign w:val="superscript"/>
              </w:rPr>
              <w:t>(4)</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277,748</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277,359</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available for sale investments</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316,860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316,443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6201410</wp:posOffset>
            </wp:positionH>
            <wp:positionV relativeFrom="paragraph">
              <wp:posOffset>-26035</wp:posOffset>
            </wp:positionV>
            <wp:extent cx="6032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-26035</wp:posOffset>
            </wp:positionV>
            <wp:extent cx="6032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433197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31970" cy="698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-147320</wp:posOffset>
            </wp:positionV>
            <wp:extent cx="6032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-147320</wp:posOffset>
            </wp:positionV>
            <wp:extent cx="6032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-262255</wp:posOffset>
            </wp:positionV>
            <wp:extent cx="4331970" cy="1212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31970" cy="121285"/>
                    </a:xfrm>
                    <a:prstGeom prst="rect">
                      <a:avLst/>
                    </a:prstGeom>
                    <a:noFill/>
                  </pic:spPr>
                </pic:pic>
              </a:graphicData>
            </a:graphic>
          </wp:anchor>
        </w:drawing>
      </w:r>
    </w:p>
    <w:p>
      <w:pPr>
        <w:spacing w:after="0" w:line="38" w:lineRule="exact"/>
        <w:rPr>
          <w:sz w:val="20"/>
          <w:szCs w:val="20"/>
          <w:color w:val="auto"/>
        </w:rPr>
      </w:pPr>
    </w:p>
    <w:p>
      <w:pPr>
        <w:ind w:left="220" w:hanging="183"/>
        <w:spacing w:after="0"/>
        <w:tabs>
          <w:tab w:leader="none" w:pos="22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Of our outstanding agency securities, $9.6 million have maturity dates of less than one year and $0.0 million have maturity dates between one to two years as of March 31, 2024.</w:t>
      </w:r>
    </w:p>
    <w:p>
      <w:pPr>
        <w:spacing w:after="0" w:line="33" w:lineRule="exact"/>
        <w:rPr>
          <w:rFonts w:ascii="Times New Roman" w:cs="Times New Roman" w:eastAsia="Times New Roman" w:hAnsi="Times New Roman"/>
          <w:sz w:val="18"/>
          <w:szCs w:val="18"/>
          <w:color w:val="auto"/>
          <w:vertAlign w:val="superscript"/>
        </w:rPr>
      </w:pPr>
    </w:p>
    <w:p>
      <w:pPr>
        <w:ind w:left="240" w:hanging="203"/>
        <w:spacing w:after="0" w:line="194" w:lineRule="auto"/>
        <w:tabs>
          <w:tab w:leader="none" w:pos="24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Of our outstanding certificates of deposit, $0.2 million have maturity dates of less than one year and $0.0 million have a maturity date of between one to two years as of March 31, 2024.</w:t>
      </w:r>
    </w:p>
    <w:p>
      <w:pPr>
        <w:spacing w:after="0" w:line="23" w:lineRule="exact"/>
        <w:rPr>
          <w:rFonts w:ascii="Times New Roman" w:cs="Times New Roman" w:eastAsia="Times New Roman" w:hAnsi="Times New Roman"/>
          <w:sz w:val="18"/>
          <w:szCs w:val="18"/>
          <w:color w:val="auto"/>
          <w:vertAlign w:val="superscript"/>
        </w:rPr>
      </w:pPr>
    </w:p>
    <w:p>
      <w:pPr>
        <w:ind w:left="360" w:right="540" w:hanging="323"/>
        <w:spacing w:after="0" w:line="220" w:lineRule="auto"/>
        <w:tabs>
          <w:tab w:leader="none" w:pos="24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Of our outstanding commercial and corporate obligations, $28.6 million have maturity dates of less than one year and $0.6 million have a maturity date of between one to two years as of March 31, 2024.</w:t>
      </w:r>
    </w:p>
    <w:p>
      <w:pPr>
        <w:ind w:left="220" w:hanging="183"/>
        <w:spacing w:after="0" w:line="233" w:lineRule="auto"/>
        <w:tabs>
          <w:tab w:leader="none" w:pos="22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Of our outstanding U.S. Treasury securities, $262.5 million have maturity dates of less than one year and $14.9 million have a maturity date of between one to two years as of March 31, 2024.</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aggregate market value, cost basis, and gross unrealized gains and losses of available for sale investments by security type, classified in short-term and long-term investments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2023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Pr>
          <w:p>
            <w:pPr>
              <w:spacing w:after="0"/>
              <w:rPr>
                <w:sz w:val="11"/>
                <w:szCs w:val="11"/>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180" w:type="dxa"/>
            <w:vAlign w:val="bottom"/>
          </w:tcPr>
          <w:p>
            <w:pPr>
              <w:spacing w:after="0"/>
              <w:rPr>
                <w:sz w:val="11"/>
                <w:szCs w:val="11"/>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80" w:type="dxa"/>
            <w:vAlign w:val="bottom"/>
          </w:tcPr>
          <w:p>
            <w:pPr>
              <w:spacing w:after="0"/>
              <w:rPr>
                <w:sz w:val="11"/>
                <w:szCs w:val="11"/>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80" w:type="dxa"/>
            <w:vAlign w:val="bottom"/>
          </w:tcPr>
          <w:p>
            <w:pPr>
              <w:spacing w:after="0"/>
              <w:rPr>
                <w:sz w:val="11"/>
                <w:szCs w:val="11"/>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52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Unrealized Gains</w:t>
            </w:r>
          </w:p>
        </w:tc>
        <w:tc>
          <w:tcPr>
            <w:tcW w:w="18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Unrealized Losses</w:t>
            </w:r>
          </w:p>
        </w:tc>
        <w:tc>
          <w:tcPr>
            <w:tcW w:w="280" w:type="dxa"/>
            <w:vAlign w:val="bottom"/>
          </w:tcPr>
          <w:p>
            <w:pPr>
              <w:spacing w:after="0"/>
              <w:rPr>
                <w:sz w:val="13"/>
                <w:szCs w:val="13"/>
                <w:color w:val="auto"/>
              </w:rPr>
            </w:pPr>
          </w:p>
        </w:tc>
        <w:tc>
          <w:tcPr>
            <w:tcW w:w="1160" w:type="dxa"/>
            <w:vAlign w:val="bottom"/>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75"/>
        </w:trPr>
        <w:tc>
          <w:tcPr>
            <w:tcW w:w="5240" w:type="dxa"/>
            <w:vAlign w:val="bottom"/>
            <w:tcBorders>
              <w:top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Agency securities</w:t>
            </w:r>
            <w:r>
              <w:rPr>
                <w:rFonts w:ascii="Times New Roman" w:cs="Times New Roman" w:eastAsia="Times New Roman" w:hAnsi="Times New Roman"/>
                <w:sz w:val="18"/>
                <w:szCs w:val="18"/>
                <w:color w:val="auto"/>
                <w:vertAlign w:val="superscript"/>
              </w:rPr>
              <w:t>(1)</w:t>
            </w:r>
          </w:p>
        </w:tc>
        <w:tc>
          <w:tcPr>
            <w:tcW w:w="280" w:type="dxa"/>
            <w:vAlign w:val="bottom"/>
            <w:tcBorders>
              <w:top w:val="single" w:sz="8" w:color="auto"/>
            </w:tcBorders>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20,322</w:t>
            </w:r>
          </w:p>
        </w:tc>
        <w:tc>
          <w:tcPr>
            <w:tcW w:w="1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20,253</w:t>
            </w:r>
          </w:p>
        </w:tc>
        <w:tc>
          <w:tcPr>
            <w:tcW w:w="0" w:type="dxa"/>
            <w:vAlign w:val="bottom"/>
          </w:tcPr>
          <w:p>
            <w:pPr>
              <w:spacing w:after="0"/>
              <w:rPr>
                <w:sz w:val="1"/>
                <w:szCs w:val="1"/>
                <w:color w:val="auto"/>
              </w:rPr>
            </w:pPr>
          </w:p>
        </w:tc>
      </w:tr>
      <w:tr>
        <w:trPr>
          <w:trHeight w:val="180"/>
        </w:trPr>
        <w:tc>
          <w:tcPr>
            <w:tcW w:w="52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Certificates of deposit</w:t>
            </w:r>
            <w:r>
              <w:rPr>
                <w:rFonts w:ascii="Times New Roman" w:cs="Times New Roman" w:eastAsia="Times New Roman" w:hAnsi="Times New Roman"/>
                <w:sz w:val="18"/>
                <w:szCs w:val="18"/>
                <w:color w:val="auto"/>
                <w:vertAlign w:val="superscript"/>
              </w:rPr>
              <w:t>(2)</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Commercial and corporate obligations</w:t>
            </w:r>
            <w:r>
              <w:rPr>
                <w:rFonts w:ascii="Times New Roman" w:cs="Times New Roman" w:eastAsia="Times New Roman" w:hAnsi="Times New Roman"/>
                <w:sz w:val="18"/>
                <w:szCs w:val="18"/>
                <w:color w:val="auto"/>
                <w:vertAlign w:val="superscript"/>
              </w:rPr>
              <w:t>(3)</w:t>
            </w:r>
          </w:p>
        </w:tc>
        <w:tc>
          <w:tcPr>
            <w:tcW w:w="2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35,760</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35,754</w:t>
            </w:r>
          </w:p>
        </w:tc>
        <w:tc>
          <w:tcPr>
            <w:tcW w:w="0" w:type="dxa"/>
            <w:vAlign w:val="bottom"/>
          </w:tcPr>
          <w:p>
            <w:pPr>
              <w:spacing w:after="0"/>
              <w:rPr>
                <w:sz w:val="1"/>
                <w:szCs w:val="1"/>
                <w:color w:val="auto"/>
              </w:rPr>
            </w:pPr>
          </w:p>
        </w:tc>
      </w:tr>
      <w:tr>
        <w:trPr>
          <w:trHeight w:val="180"/>
        </w:trPr>
        <w:tc>
          <w:tcPr>
            <w:tcW w:w="5240" w:type="dxa"/>
            <w:vAlign w:val="bottom"/>
            <w:tcBorders>
              <w:bottom w:val="single" w:sz="8" w:color="CFF0FC"/>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U.S. Treasury securities</w:t>
            </w:r>
            <w:r>
              <w:rPr>
                <w:rFonts w:ascii="Times New Roman" w:cs="Times New Roman" w:eastAsia="Times New Roman" w:hAnsi="Times New Roman"/>
                <w:sz w:val="18"/>
                <w:szCs w:val="18"/>
                <w:color w:val="auto"/>
                <w:vertAlign w:val="superscript"/>
              </w:rPr>
              <w:t>(4)</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326,227</w:t>
            </w:r>
          </w:p>
        </w:tc>
        <w:tc>
          <w:tcPr>
            <w:tcW w:w="1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325,714</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available for sale investments</w:t>
            </w:r>
          </w:p>
        </w:tc>
        <w:tc>
          <w:tcPr>
            <w:tcW w:w="280" w:type="dxa"/>
            <w:vAlign w:val="bottom"/>
            <w:tcBorders>
              <w:bottom w:val="single" w:sz="8" w:color="auto"/>
            </w:tcBorders>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382,555</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381,965</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6181090</wp:posOffset>
            </wp:positionH>
            <wp:positionV relativeFrom="paragraph">
              <wp:posOffset>-147320</wp:posOffset>
            </wp:positionV>
            <wp:extent cx="6032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-147320</wp:posOffset>
            </wp:positionV>
            <wp:extent cx="6032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-262255</wp:posOffset>
            </wp:positionV>
            <wp:extent cx="4298315" cy="1212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98315" cy="121285"/>
                    </a:xfrm>
                    <a:prstGeom prst="rect">
                      <a:avLst/>
                    </a:prstGeom>
                    <a:noFill/>
                  </pic:spPr>
                </pic:pic>
              </a:graphicData>
            </a:graphic>
          </wp:anchor>
        </w:drawing>
      </w:r>
    </w:p>
    <w:p>
      <w:pPr>
        <w:spacing w:after="0" w:line="38" w:lineRule="exact"/>
        <w:rPr>
          <w:sz w:val="20"/>
          <w:szCs w:val="20"/>
          <w:color w:val="auto"/>
        </w:rPr>
      </w:pPr>
    </w:p>
    <w:p>
      <w:pPr>
        <w:ind w:left="280" w:hanging="243"/>
        <w:spacing w:after="0"/>
        <w:tabs>
          <w:tab w:leader="none" w:pos="28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Of our outstanding agency securities, $20.3 million have maturity dates of less than one year and $0.0 million have a maturity date of between one to two years as of December 31, 2023.</w:t>
      </w:r>
    </w:p>
    <w:p>
      <w:pPr>
        <w:spacing w:after="0" w:line="33" w:lineRule="exact"/>
        <w:rPr>
          <w:rFonts w:ascii="Times New Roman" w:cs="Times New Roman" w:eastAsia="Times New Roman" w:hAnsi="Times New Roman"/>
          <w:sz w:val="18"/>
          <w:szCs w:val="18"/>
          <w:color w:val="auto"/>
          <w:vertAlign w:val="superscript"/>
        </w:rPr>
      </w:pPr>
    </w:p>
    <w:p>
      <w:pPr>
        <w:ind w:left="260" w:hanging="223"/>
        <w:spacing w:after="0" w:line="194" w:lineRule="auto"/>
        <w:tabs>
          <w:tab w:leader="none" w:pos="26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Of our outstanding certificates of deposit, $0.2 million have a maturity date of less than one year and $0.0 million have a maturity date of between one to two years as of December 31, 2023.</w:t>
      </w:r>
    </w:p>
    <w:p>
      <w:pPr>
        <w:spacing w:after="0" w:line="34" w:lineRule="exact"/>
        <w:rPr>
          <w:rFonts w:ascii="Times New Roman" w:cs="Times New Roman" w:eastAsia="Times New Roman" w:hAnsi="Times New Roman"/>
          <w:sz w:val="18"/>
          <w:szCs w:val="18"/>
          <w:color w:val="auto"/>
          <w:vertAlign w:val="superscript"/>
        </w:rPr>
      </w:pPr>
    </w:p>
    <w:p>
      <w:pPr>
        <w:ind w:left="360" w:right="380" w:hanging="323"/>
        <w:spacing w:after="0" w:line="220" w:lineRule="auto"/>
        <w:tabs>
          <w:tab w:leader="none" w:pos="325"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Of our outstanding commercial and corporate obligations, $25.8 million have maturity dates of less than one year and $10.0 million have a maturity date of between one to two years as of December 31, 2023.</w:t>
      </w:r>
    </w:p>
    <w:p>
      <w:pPr>
        <w:spacing w:after="0" w:line="7" w:lineRule="exact"/>
        <w:rPr>
          <w:rFonts w:ascii="Times New Roman" w:cs="Times New Roman" w:eastAsia="Times New Roman" w:hAnsi="Times New Roman"/>
          <w:sz w:val="18"/>
          <w:szCs w:val="18"/>
          <w:color w:val="auto"/>
          <w:vertAlign w:val="superscript"/>
        </w:rPr>
      </w:pPr>
    </w:p>
    <w:p>
      <w:pPr>
        <w:ind w:left="360" w:right="280" w:hanging="323"/>
        <w:spacing w:after="0" w:line="230" w:lineRule="auto"/>
        <w:tabs>
          <w:tab w:leader="none" w:pos="325"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Of our outstanding U.S. Treasury securities, $308.6 million have maturity dates of less than one year and $17.1 million have a maturity date of between one to two years as of December 31, 2023.</w:t>
      </w:r>
    </w:p>
    <w:p>
      <w:pPr>
        <w:spacing w:after="0" w:line="157" w:lineRule="exact"/>
        <w:rPr>
          <w:sz w:val="20"/>
          <w:szCs w:val="20"/>
          <w:color w:val="auto"/>
        </w:rPr>
      </w:pPr>
    </w:p>
    <w:p>
      <w:pPr>
        <w:ind w:right="100"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tables present gross unrealized losses and fair values for those investments that were in an unrealized loss position as of March 31, 2024 and December 31, 2023, aggregated by investment category and the length of time that individual securities have been in a continuous loss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sectPr>
      </w:pPr>
    </w:p>
    <w:bookmarkStart w:id="17" w:name="page18"/>
    <w:bookmarkEnd w:id="17"/>
    <w:p>
      <w:pPr>
        <w:spacing w:after="0" w:line="60"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4"/>
          </w:tcPr>
          <w:p>
            <w:pPr>
              <w:jc w:val="right"/>
              <w:ind w:right="733"/>
              <w:spacing w:after="0"/>
              <w:rPr>
                <w:sz w:val="20"/>
                <w:szCs w:val="20"/>
                <w:color w:val="auto"/>
              </w:rPr>
            </w:pPr>
            <w:r>
              <w:rPr>
                <w:rFonts w:ascii="Times New Roman" w:cs="Times New Roman" w:eastAsia="Times New Roman" w:hAnsi="Times New Roman"/>
                <w:sz w:val="11"/>
                <w:szCs w:val="11"/>
                <w:b w:val="1"/>
                <w:bCs w:val="1"/>
                <w:color w:val="auto"/>
              </w:rPr>
              <w:t>Less than 12 Months</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right"/>
              <w:ind w:right="733"/>
              <w:spacing w:after="0"/>
              <w:rPr>
                <w:sz w:val="20"/>
                <w:szCs w:val="20"/>
                <w:color w:val="auto"/>
              </w:rPr>
            </w:pPr>
            <w:r>
              <w:rPr>
                <w:rFonts w:ascii="Times New Roman" w:cs="Times New Roman" w:eastAsia="Times New Roman" w:hAnsi="Times New Roman"/>
                <w:sz w:val="11"/>
                <w:szCs w:val="11"/>
                <w:b w:val="1"/>
                <w:bCs w:val="1"/>
                <w:color w:val="auto"/>
              </w:rPr>
              <w:t>12 Months or Greater</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40" w:type="dxa"/>
            <w:vAlign w:val="bottom"/>
          </w:tcPr>
          <w:p>
            <w:pPr>
              <w:spacing w:after="0"/>
              <w:rPr>
                <w:sz w:val="9"/>
                <w:szCs w:val="9"/>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40" w:type="dxa"/>
            <w:vAlign w:val="bottom"/>
          </w:tcPr>
          <w:p>
            <w:pPr>
              <w:spacing w:after="0"/>
              <w:rPr>
                <w:sz w:val="9"/>
                <w:szCs w:val="9"/>
                <w:color w:val="auto"/>
              </w:rPr>
            </w:pPr>
          </w:p>
        </w:tc>
        <w:tc>
          <w:tcPr>
            <w:tcW w:w="122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rPr>
              <w:t>Gross</w:t>
            </w:r>
          </w:p>
        </w:tc>
        <w:tc>
          <w:tcPr>
            <w:tcW w:w="240" w:type="dxa"/>
            <w:vAlign w:val="bottom"/>
          </w:tcPr>
          <w:p>
            <w:pPr>
              <w:spacing w:after="0"/>
              <w:rPr>
                <w:sz w:val="9"/>
                <w:szCs w:val="9"/>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40" w:type="dxa"/>
            <w:vAlign w:val="bottom"/>
          </w:tcPr>
          <w:p>
            <w:pPr>
              <w:spacing w:after="0"/>
              <w:rPr>
                <w:sz w:val="9"/>
                <w:szCs w:val="9"/>
                <w:color w:val="auto"/>
              </w:rPr>
            </w:pPr>
          </w:p>
        </w:tc>
        <w:tc>
          <w:tcPr>
            <w:tcW w:w="122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rPr>
              <w:t>Gross</w:t>
            </w:r>
          </w:p>
        </w:tc>
        <w:tc>
          <w:tcPr>
            <w:tcW w:w="240" w:type="dxa"/>
            <w:vAlign w:val="bottom"/>
          </w:tcPr>
          <w:p>
            <w:pPr>
              <w:spacing w:after="0"/>
              <w:rPr>
                <w:sz w:val="9"/>
                <w:szCs w:val="9"/>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40" w:type="dxa"/>
            <w:vAlign w:val="bottom"/>
          </w:tcPr>
          <w:p>
            <w:pPr>
              <w:spacing w:after="0"/>
              <w:rPr>
                <w:sz w:val="9"/>
                <w:szCs w:val="9"/>
                <w:color w:val="auto"/>
              </w:rPr>
            </w:pPr>
          </w:p>
        </w:tc>
        <w:tc>
          <w:tcPr>
            <w:tcW w:w="1160" w:type="dxa"/>
            <w:vAlign w:val="bottom"/>
          </w:tcPr>
          <w:p>
            <w:pPr>
              <w:jc w:val="center"/>
              <w:ind w:right="93"/>
              <w:spacing w:after="0" w:line="115" w:lineRule="exact"/>
              <w:rPr>
                <w:sz w:val="20"/>
                <w:szCs w:val="20"/>
                <w:color w:val="auto"/>
              </w:rPr>
            </w:pPr>
            <w:r>
              <w:rPr>
                <w:rFonts w:ascii="Times New Roman" w:cs="Times New Roman" w:eastAsia="Times New Roman" w:hAnsi="Times New Roman"/>
                <w:sz w:val="11"/>
                <w:szCs w:val="11"/>
                <w:b w:val="1"/>
                <w:bCs w:val="1"/>
                <w:color w:val="auto"/>
              </w:rPr>
              <w:t>Gross</w:t>
            </w:r>
          </w:p>
        </w:tc>
        <w:tc>
          <w:tcPr>
            <w:tcW w:w="0" w:type="dxa"/>
            <w:vAlign w:val="bottom"/>
          </w:tcPr>
          <w:p>
            <w:pPr>
              <w:spacing w:after="0"/>
              <w:rPr>
                <w:sz w:val="1"/>
                <w:szCs w:val="1"/>
                <w:color w:val="auto"/>
              </w:rPr>
            </w:pPr>
          </w:p>
        </w:tc>
      </w:tr>
      <w:tr>
        <w:trPr>
          <w:trHeight w:val="158"/>
        </w:trPr>
        <w:tc>
          <w:tcPr>
            <w:tcW w:w="30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Unrealized Losses</w:t>
            </w:r>
          </w:p>
        </w:tc>
        <w:tc>
          <w:tcPr>
            <w:tcW w:w="2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Unrealized Losses</w:t>
            </w:r>
          </w:p>
        </w:tc>
        <w:tc>
          <w:tcPr>
            <w:tcW w:w="2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1"/>
                <w:szCs w:val="11"/>
                <w:b w:val="1"/>
                <w:bCs w:val="1"/>
                <w:color w:val="auto"/>
              </w:rPr>
              <w:t>Unrealized Losses</w:t>
            </w:r>
          </w:p>
        </w:tc>
        <w:tc>
          <w:tcPr>
            <w:tcW w:w="0" w:type="dxa"/>
            <w:vAlign w:val="bottom"/>
          </w:tcPr>
          <w:p>
            <w:pPr>
              <w:spacing w:after="0"/>
              <w:rPr>
                <w:sz w:val="1"/>
                <w:szCs w:val="1"/>
                <w:color w:val="auto"/>
              </w:rPr>
            </w:pPr>
          </w:p>
        </w:tc>
      </w:tr>
      <w:tr>
        <w:trPr>
          <w:trHeight w:val="180"/>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securities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and corporate obligations</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197,715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59,916</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257,631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204,250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72,201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276,451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3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80" w:type="dxa"/>
            <w:vAlign w:val="bottom"/>
            <w:gridSpan w:val="5"/>
          </w:tcPr>
          <w:p>
            <w:pPr>
              <w:jc w:val="right"/>
              <w:ind w:right="900"/>
              <w:spacing w:after="0"/>
              <w:rPr>
                <w:sz w:val="20"/>
                <w:szCs w:val="20"/>
                <w:color w:val="auto"/>
              </w:rPr>
            </w:pPr>
            <w:r>
              <w:rPr>
                <w:rFonts w:ascii="Times New Roman" w:cs="Times New Roman" w:eastAsia="Times New Roman" w:hAnsi="Times New Roman"/>
                <w:sz w:val="11"/>
                <w:szCs w:val="11"/>
                <w:b w:val="1"/>
                <w:bCs w:val="1"/>
                <w:color w:val="auto"/>
              </w:rPr>
              <w:t>Less than 12 Months</w:t>
            </w:r>
          </w:p>
        </w:tc>
        <w:tc>
          <w:tcPr>
            <w:tcW w:w="240" w:type="dxa"/>
            <w:vAlign w:val="bottom"/>
          </w:tcPr>
          <w:p>
            <w:pPr>
              <w:spacing w:after="0"/>
              <w:rPr>
                <w:sz w:val="13"/>
                <w:szCs w:val="13"/>
                <w:color w:val="auto"/>
              </w:rPr>
            </w:pPr>
          </w:p>
        </w:tc>
        <w:tc>
          <w:tcPr>
            <w:tcW w:w="2500" w:type="dxa"/>
            <w:vAlign w:val="bottom"/>
            <w:gridSpan w:val="5"/>
          </w:tcPr>
          <w:p>
            <w:pPr>
              <w:jc w:val="right"/>
              <w:ind w:right="900"/>
              <w:spacing w:after="0"/>
              <w:rPr>
                <w:sz w:val="20"/>
                <w:szCs w:val="20"/>
                <w:color w:val="auto"/>
              </w:rPr>
            </w:pPr>
            <w:r>
              <w:rPr>
                <w:rFonts w:ascii="Times New Roman" w:cs="Times New Roman" w:eastAsia="Times New Roman" w:hAnsi="Times New Roman"/>
                <w:sz w:val="11"/>
                <w:szCs w:val="11"/>
                <w:b w:val="1"/>
                <w:bCs w:val="1"/>
                <w:color w:val="auto"/>
              </w:rPr>
              <w:t>12 Months or Greater</w:t>
            </w:r>
          </w:p>
        </w:tc>
        <w:tc>
          <w:tcPr>
            <w:tcW w:w="24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center"/>
              <w:ind w:right="53"/>
              <w:spacing w:after="0" w:line="104" w:lineRule="exact"/>
              <w:rPr>
                <w:sz w:val="20"/>
                <w:szCs w:val="20"/>
                <w:color w:val="auto"/>
              </w:rPr>
            </w:pPr>
            <w:r>
              <w:rPr>
                <w:rFonts w:ascii="Times New Roman" w:cs="Times New Roman" w:eastAsia="Times New Roman" w:hAnsi="Times New Roman"/>
                <w:sz w:val="11"/>
                <w:szCs w:val="11"/>
                <w:b w:val="1"/>
                <w:bCs w:val="1"/>
                <w:color w:val="auto"/>
              </w:rPr>
              <w:t>Gross</w:t>
            </w:r>
          </w:p>
        </w:tc>
        <w:tc>
          <w:tcPr>
            <w:tcW w:w="1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center"/>
              <w:ind w:right="53"/>
              <w:spacing w:after="0" w:line="104" w:lineRule="exact"/>
              <w:rPr>
                <w:sz w:val="20"/>
                <w:szCs w:val="20"/>
                <w:color w:val="auto"/>
              </w:rPr>
            </w:pPr>
            <w:r>
              <w:rPr>
                <w:rFonts w:ascii="Times New Roman" w:cs="Times New Roman" w:eastAsia="Times New Roman" w:hAnsi="Times New Roman"/>
                <w:sz w:val="11"/>
                <w:szCs w:val="11"/>
                <w:b w:val="1"/>
                <w:bCs w:val="1"/>
                <w:color w:val="auto"/>
              </w:rPr>
              <w:t>Gross</w:t>
            </w:r>
          </w:p>
        </w:tc>
        <w:tc>
          <w:tcPr>
            <w:tcW w:w="1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4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jc w:val="center"/>
              <w:ind w:right="93"/>
              <w:spacing w:after="0" w:line="104" w:lineRule="exact"/>
              <w:rPr>
                <w:sz w:val="20"/>
                <w:szCs w:val="20"/>
                <w:color w:val="auto"/>
              </w:rPr>
            </w:pPr>
            <w:r>
              <w:rPr>
                <w:rFonts w:ascii="Times New Roman" w:cs="Times New Roman" w:eastAsia="Times New Roman" w:hAnsi="Times New Roman"/>
                <w:sz w:val="11"/>
                <w:szCs w:val="11"/>
                <w:b w:val="1"/>
                <w:bCs w:val="1"/>
                <w:color w:val="auto"/>
              </w:rPr>
              <w:t>Gross</w:t>
            </w:r>
          </w:p>
        </w:tc>
        <w:tc>
          <w:tcPr>
            <w:tcW w:w="0" w:type="dxa"/>
            <w:vAlign w:val="bottom"/>
          </w:tcPr>
          <w:p>
            <w:pPr>
              <w:spacing w:after="0"/>
              <w:rPr>
                <w:sz w:val="1"/>
                <w:szCs w:val="1"/>
                <w:color w:val="auto"/>
              </w:rPr>
            </w:pPr>
          </w:p>
        </w:tc>
      </w:tr>
      <w:tr>
        <w:trPr>
          <w:trHeight w:val="153"/>
        </w:trPr>
        <w:tc>
          <w:tcPr>
            <w:tcW w:w="30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Unrealized Losses</w:t>
            </w:r>
          </w:p>
        </w:tc>
        <w:tc>
          <w:tcPr>
            <w:tcW w:w="2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Unrealized Losses</w:t>
            </w:r>
          </w:p>
        </w:tc>
        <w:tc>
          <w:tcPr>
            <w:tcW w:w="2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1"/>
                <w:szCs w:val="11"/>
                <w:b w:val="1"/>
                <w:bCs w:val="1"/>
                <w:color w:val="auto"/>
              </w:rPr>
              <w:t>Unrealized Losses</w:t>
            </w:r>
          </w:p>
        </w:tc>
        <w:tc>
          <w:tcPr>
            <w:tcW w:w="0" w:type="dxa"/>
            <w:vAlign w:val="bottom"/>
          </w:tcPr>
          <w:p>
            <w:pPr>
              <w:spacing w:after="0"/>
              <w:rPr>
                <w:sz w:val="1"/>
                <w:szCs w:val="1"/>
                <w:color w:val="auto"/>
              </w:rPr>
            </w:pPr>
          </w:p>
        </w:tc>
      </w:tr>
      <w:tr>
        <w:trPr>
          <w:trHeight w:val="175"/>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securities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2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and corporate obligations</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80"/>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98,840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99,000</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197,840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106,530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132,167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238,697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right="120" w:firstLine="382"/>
        <w:spacing w:after="0" w:line="270" w:lineRule="auto"/>
        <w:rPr>
          <w:sz w:val="20"/>
          <w:szCs w:val="20"/>
          <w:color w:val="auto"/>
        </w:rPr>
      </w:pPr>
      <w:r>
        <w:rPr>
          <w:rFonts w:ascii="Times New Roman" w:cs="Times New Roman" w:eastAsia="Times New Roman" w:hAnsi="Times New Roman"/>
          <w:sz w:val="14"/>
          <w:szCs w:val="14"/>
          <w:color w:val="auto"/>
        </w:rPr>
        <w:t>As of March 31, 2024 and December 31, 2023, unrealized losses on available-for-sale investments were $0.4 million and $0.8 million, respectively, with unrealized losses of $0.2 million, on available for sale investments that were in an unrealized loss position for greater than 12 months as of March 31, 2024. We do not intend to sell the investments and it is not more likely than not that we will be required to sell the investments before recovery of their amortized cost basis, accordingly, no allowance for credit losses was recorded.</w:t>
      </w:r>
    </w:p>
    <w:p>
      <w:pPr>
        <w:spacing w:after="0" w:line="219" w:lineRule="exact"/>
        <w:rPr>
          <w:sz w:val="20"/>
          <w:szCs w:val="20"/>
          <w:color w:val="auto"/>
        </w:rPr>
      </w:pPr>
    </w:p>
    <w:p>
      <w:pPr>
        <w:ind w:left="200" w:right="9860" w:hanging="195"/>
        <w:spacing w:after="0" w:line="381" w:lineRule="auto"/>
        <w:tabs>
          <w:tab w:leader="none" w:pos="15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Stockholders’ Equity </w:t>
      </w:r>
      <w:r>
        <w:rPr>
          <w:rFonts w:ascii="Times New Roman" w:cs="Times New Roman" w:eastAsia="Times New Roman" w:hAnsi="Times New Roman"/>
          <w:sz w:val="14"/>
          <w:szCs w:val="14"/>
          <w:b w:val="1"/>
          <w:bCs w:val="1"/>
          <w:i w:val="1"/>
          <w:iCs w:val="1"/>
          <w:color w:val="auto"/>
        </w:rPr>
        <w:t>Common Stock</w:t>
      </w:r>
    </w:p>
    <w:p>
      <w:pPr>
        <w:ind w:left="380"/>
        <w:spacing w:after="0"/>
        <w:rPr>
          <w:sz w:val="20"/>
          <w:szCs w:val="20"/>
          <w:color w:val="auto"/>
        </w:rPr>
      </w:pPr>
      <w:r>
        <w:rPr>
          <w:rFonts w:ascii="Times New Roman" w:cs="Times New Roman" w:eastAsia="Times New Roman" w:hAnsi="Times New Roman"/>
          <w:sz w:val="14"/>
          <w:szCs w:val="14"/>
          <w:color w:val="auto"/>
        </w:rPr>
        <w:t>Of the 500,000,000 shares of common stock authorized, 27,316,644 shares were issued and outstanding as of March 31, 2024.</w:t>
      </w:r>
    </w:p>
    <w:p>
      <w:pPr>
        <w:spacing w:after="0" w:line="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Stock Repurchase Program</w:t>
      </w:r>
    </w:p>
    <w:p>
      <w:pPr>
        <w:spacing w:after="0" w:line="96" w:lineRule="exact"/>
        <w:rPr>
          <w:sz w:val="20"/>
          <w:szCs w:val="20"/>
          <w:color w:val="auto"/>
        </w:rPr>
      </w:pPr>
    </w:p>
    <w:p>
      <w:pPr>
        <w:ind w:right="260" w:firstLine="446"/>
        <w:spacing w:after="0" w:line="287" w:lineRule="auto"/>
        <w:rPr>
          <w:sz w:val="20"/>
          <w:szCs w:val="20"/>
          <w:color w:val="auto"/>
        </w:rPr>
      </w:pPr>
      <w:r>
        <w:rPr>
          <w:rFonts w:ascii="Times New Roman" w:cs="Times New Roman" w:eastAsia="Times New Roman" w:hAnsi="Times New Roman"/>
          <w:sz w:val="14"/>
          <w:szCs w:val="14"/>
          <w:color w:val="auto"/>
        </w:rPr>
        <w:t>In January 2023, our Board of Directors authorized a stock repurchase program (the “Repurchase Program”) to repurchase up to $50.0 million of our outstanding common stock, par value $0.001 per share. The Repurchase Program was completed in May 2023.</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following table presents the repurchase activity from January 1, 2023 through May 5, 2023, the end date of the Repurchase Program:</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jc w:val="center"/>
              <w:ind w:right="56"/>
              <w:spacing w:after="0"/>
              <w:rPr>
                <w:sz w:val="20"/>
                <w:szCs w:val="20"/>
                <w:color w:val="auto"/>
              </w:rPr>
            </w:pPr>
            <w:r>
              <w:rPr>
                <w:rFonts w:ascii="Times New Roman" w:cs="Times New Roman" w:eastAsia="Times New Roman" w:hAnsi="Times New Roman"/>
                <w:sz w:val="11"/>
                <w:szCs w:val="11"/>
                <w:b w:val="1"/>
                <w:bCs w:val="1"/>
                <w:color w:val="auto"/>
              </w:rPr>
              <w:t>Approximate dollar value of</w:t>
            </w:r>
          </w:p>
        </w:tc>
        <w:tc>
          <w:tcPr>
            <w:tcW w:w="0" w:type="dxa"/>
            <w:vAlign w:val="bottom"/>
          </w:tcPr>
          <w:p>
            <w:pPr>
              <w:spacing w:after="0"/>
              <w:rPr>
                <w:sz w:val="1"/>
                <w:szCs w:val="1"/>
                <w:color w:val="auto"/>
              </w:rPr>
            </w:pPr>
          </w:p>
        </w:tc>
      </w:tr>
      <w:tr>
        <w:trPr>
          <w:trHeight w:val="117"/>
        </w:trPr>
        <w:tc>
          <w:tcPr>
            <w:tcW w:w="5980" w:type="dxa"/>
            <w:vAlign w:val="bottom"/>
          </w:tcPr>
          <w:p>
            <w:pPr>
              <w:spacing w:after="0"/>
              <w:rPr>
                <w:sz w:val="10"/>
                <w:szCs w:val="10"/>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Total number of shares purchased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Average price paid per share</w:t>
            </w:r>
          </w:p>
        </w:tc>
        <w:tc>
          <w:tcPr>
            <w:tcW w:w="120" w:type="dxa"/>
            <w:vAlign w:val="bottom"/>
          </w:tcPr>
          <w:p>
            <w:pPr>
              <w:spacing w:after="0"/>
              <w:rPr>
                <w:sz w:val="10"/>
                <w:szCs w:val="10"/>
                <w:color w:val="auto"/>
              </w:rPr>
            </w:pPr>
          </w:p>
        </w:tc>
        <w:tc>
          <w:tcPr>
            <w:tcW w:w="1580" w:type="dxa"/>
            <w:vAlign w:val="bottom"/>
          </w:tcPr>
          <w:p>
            <w:pPr>
              <w:jc w:val="center"/>
              <w:ind w:right="56"/>
              <w:spacing w:after="0" w:line="117" w:lineRule="exact"/>
              <w:rPr>
                <w:sz w:val="20"/>
                <w:szCs w:val="20"/>
                <w:color w:val="auto"/>
              </w:rPr>
            </w:pPr>
            <w:r>
              <w:rPr>
                <w:rFonts w:ascii="Times New Roman" w:cs="Times New Roman" w:eastAsia="Times New Roman" w:hAnsi="Times New Roman"/>
                <w:sz w:val="11"/>
                <w:szCs w:val="11"/>
                <w:b w:val="1"/>
                <w:bCs w:val="1"/>
                <w:color w:val="auto"/>
              </w:rPr>
              <w:t>shares purchased</w:t>
            </w:r>
          </w:p>
        </w:tc>
        <w:tc>
          <w:tcPr>
            <w:tcW w:w="0" w:type="dxa"/>
            <w:vAlign w:val="bottom"/>
          </w:tcPr>
          <w:p>
            <w:pPr>
              <w:spacing w:after="0"/>
              <w:rPr>
                <w:sz w:val="1"/>
                <w:szCs w:val="1"/>
                <w:color w:val="auto"/>
              </w:rPr>
            </w:pPr>
          </w:p>
        </w:tc>
      </w:tr>
      <w:tr>
        <w:trPr>
          <w:trHeight w:val="153"/>
        </w:trPr>
        <w:tc>
          <w:tcPr>
            <w:tcW w:w="598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ind w:right="5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75"/>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Quarter 2023</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1,589,424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38,456</w:t>
            </w:r>
          </w:p>
        </w:tc>
        <w:tc>
          <w:tcPr>
            <w:tcW w:w="0" w:type="dxa"/>
            <w:vAlign w:val="bottom"/>
          </w:tcPr>
          <w:p>
            <w:pPr>
              <w:spacing w:after="0"/>
              <w:rPr>
                <w:sz w:val="1"/>
                <w:szCs w:val="1"/>
                <w:color w:val="auto"/>
              </w:rPr>
            </w:pPr>
          </w:p>
        </w:tc>
      </w:tr>
      <w:tr>
        <w:trPr>
          <w:trHeight w:val="18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Second Quarter 2023</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534,790</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21.59</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11,544</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2,124,214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8" w:name="page19"/>
    <w:bookmarkEnd w:id="18"/>
    <w:p>
      <w:pPr>
        <w:ind w:right="220" w:firstLine="446"/>
        <w:spacing w:after="0" w:line="287" w:lineRule="auto"/>
        <w:rPr>
          <w:sz w:val="20"/>
          <w:szCs w:val="20"/>
          <w:color w:val="auto"/>
        </w:rPr>
      </w:pPr>
      <w:r>
        <w:rPr>
          <w:rFonts w:ascii="Times New Roman" w:cs="Times New Roman" w:eastAsia="Times New Roman" w:hAnsi="Times New Roman"/>
          <w:sz w:val="14"/>
          <w:szCs w:val="14"/>
          <w:color w:val="auto"/>
        </w:rPr>
        <w:t>The repurchased common stock was subsequently retired after the repurchase and the par value of the shares was charged to common stock. The excess of the repurchase price over the par value was applied against additional paid in capital.</w:t>
      </w:r>
    </w:p>
    <w:p>
      <w:pPr>
        <w:spacing w:after="0" w:line="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Open Market Sales Agreement</w:t>
      </w:r>
    </w:p>
    <w:p>
      <w:pPr>
        <w:spacing w:after="0" w:line="96" w:lineRule="exact"/>
        <w:rPr>
          <w:sz w:val="20"/>
          <w:szCs w:val="20"/>
          <w:color w:val="auto"/>
        </w:rPr>
      </w:pPr>
    </w:p>
    <w:p>
      <w:pPr>
        <w:ind w:right="500" w:firstLine="446"/>
        <w:spacing w:after="0" w:line="287" w:lineRule="auto"/>
        <w:rPr>
          <w:sz w:val="20"/>
          <w:szCs w:val="20"/>
          <w:color w:val="auto"/>
        </w:rPr>
      </w:pPr>
      <w:r>
        <w:rPr>
          <w:rFonts w:ascii="Times New Roman" w:cs="Times New Roman" w:eastAsia="Times New Roman" w:hAnsi="Times New Roman"/>
          <w:sz w:val="14"/>
          <w:szCs w:val="14"/>
          <w:color w:val="auto"/>
        </w:rPr>
        <w:t>In November 2022, we entered into the Cowen Sales Agreement with Cowen, through which we may offer and sell shares of our common stock, having an aggregate offering of up to $150.0 million through Cowen as our sales agent. As of March 31, 2024, we had sold no shares under this agreement.</w:t>
      </w:r>
    </w:p>
    <w:p>
      <w:pPr>
        <w:spacing w:after="0" w:line="207" w:lineRule="exact"/>
        <w:rPr>
          <w:sz w:val="20"/>
          <w:szCs w:val="20"/>
          <w:color w:val="auto"/>
        </w:rPr>
      </w:pPr>
    </w:p>
    <w:p>
      <w:pPr>
        <w:ind w:left="200" w:right="9500" w:hanging="195"/>
        <w:spacing w:after="0" w:line="381" w:lineRule="auto"/>
        <w:tabs>
          <w:tab w:leader="none" w:pos="15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Equity Incentive Plans </w:t>
      </w:r>
      <w:r>
        <w:rPr>
          <w:rFonts w:ascii="Times New Roman" w:cs="Times New Roman" w:eastAsia="Times New Roman" w:hAnsi="Times New Roman"/>
          <w:sz w:val="14"/>
          <w:szCs w:val="14"/>
          <w:b w:val="1"/>
          <w:bCs w:val="1"/>
          <w:i w:val="1"/>
          <w:iCs w:val="1"/>
          <w:color w:val="auto"/>
        </w:rPr>
        <w:t>2017 Equity Incentive Plan</w:t>
      </w: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In January 2017, our Board of Directors and stockholders approved and adopted the 2017 Equity Incentive Plan (the “2017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1,063,871 shares as of January 1, 2024. As of March 31, 2024, 1,065,471 shares were available for future issuance.</w:t>
      </w:r>
    </w:p>
    <w:p>
      <w:pPr>
        <w:spacing w:after="0" w:line="1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96" w:lineRule="exact"/>
        <w:rPr>
          <w:sz w:val="20"/>
          <w:szCs w:val="20"/>
          <w:color w:val="auto"/>
        </w:rPr>
      </w:pPr>
    </w:p>
    <w:p>
      <w:pPr>
        <w:ind w:right="260" w:firstLine="382"/>
        <w:spacing w:after="0" w:line="264" w:lineRule="auto"/>
        <w:rPr>
          <w:sz w:val="20"/>
          <w:szCs w:val="20"/>
          <w:color w:val="auto"/>
        </w:rPr>
      </w:pPr>
      <w:r>
        <w:rPr>
          <w:rFonts w:ascii="Times New Roman" w:cs="Times New Roman" w:eastAsia="Times New Roman" w:hAnsi="Times New Roman"/>
          <w:sz w:val="14"/>
          <w:szCs w:val="14"/>
          <w:color w:val="auto"/>
        </w:rPr>
        <w:t>In January 2017, our Board of Directors and stockholders approved and adopted the 2017 Employee Stock Purchase Plan (“ESPP”).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265,967 shares as of January 1, 2024. As of March 31, 2024, 98,000 shares have been issued under the ESPP and 2,000,807 shares were available for future issuance.</w:t>
      </w:r>
    </w:p>
    <w:p>
      <w:pPr>
        <w:spacing w:after="0" w:line="1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96" w:lineRule="exact"/>
        <w:rPr>
          <w:sz w:val="20"/>
          <w:szCs w:val="20"/>
          <w:color w:val="auto"/>
        </w:rPr>
      </w:pPr>
    </w:p>
    <w:p>
      <w:pPr>
        <w:jc w:val="both"/>
        <w:ind w:right="80" w:firstLine="382"/>
        <w:spacing w:after="0" w:line="270" w:lineRule="auto"/>
        <w:rPr>
          <w:sz w:val="20"/>
          <w:szCs w:val="20"/>
          <w:color w:val="auto"/>
        </w:rPr>
      </w:pPr>
      <w:r>
        <w:rPr>
          <w:rFonts w:ascii="Times New Roman" w:cs="Times New Roman" w:eastAsia="Times New Roman" w:hAnsi="Times New Roman"/>
          <w:sz w:val="14"/>
          <w:szCs w:val="14"/>
          <w:color w:val="auto"/>
        </w:rPr>
        <w:t>Stock options granted to employees and non-employees generally vest over a four-year period while stock options granted to directors generally vest over a one year period. Each stock option award has a maximum term of 10 years from the date of grant, subject to earlier cancellation prior to vesting upon cessation of service to us. A summary of the activity related to stock option awards during the three months ended March 31, 2024 is as follows:</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27"/>
        </w:trPr>
        <w:tc>
          <w:tcPr>
            <w:tcW w:w="48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3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8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Remaining</w:t>
            </w:r>
          </w:p>
        </w:tc>
        <w:tc>
          <w:tcPr>
            <w:tcW w:w="300" w:type="dxa"/>
            <w:vAlign w:val="bottom"/>
          </w:tcPr>
          <w:p>
            <w:pPr>
              <w:spacing w:after="0"/>
              <w:rPr>
                <w:sz w:val="11"/>
                <w:szCs w:val="11"/>
                <w:color w:val="auto"/>
              </w:rPr>
            </w:pPr>
          </w:p>
        </w:tc>
        <w:tc>
          <w:tcPr>
            <w:tcW w:w="1240" w:type="dxa"/>
            <w:vAlign w:val="bottom"/>
          </w:tcPr>
          <w:p>
            <w:pPr>
              <w:jc w:val="center"/>
              <w:ind w:right="237"/>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27"/>
        </w:trPr>
        <w:tc>
          <w:tcPr>
            <w:tcW w:w="4840" w:type="dxa"/>
            <w:vAlign w:val="bottom"/>
          </w:tcPr>
          <w:p>
            <w:pPr>
              <w:spacing w:after="0"/>
              <w:rPr>
                <w:sz w:val="11"/>
                <w:szCs w:val="1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Contractual</w:t>
            </w:r>
          </w:p>
        </w:tc>
        <w:tc>
          <w:tcPr>
            <w:tcW w:w="300" w:type="dxa"/>
            <w:vAlign w:val="bottom"/>
          </w:tcPr>
          <w:p>
            <w:pPr>
              <w:spacing w:after="0"/>
              <w:rPr>
                <w:sz w:val="11"/>
                <w:szCs w:val="11"/>
                <w:color w:val="auto"/>
              </w:rPr>
            </w:pPr>
          </w:p>
        </w:tc>
        <w:tc>
          <w:tcPr>
            <w:tcW w:w="1240" w:type="dxa"/>
            <w:vAlign w:val="bottom"/>
          </w:tcPr>
          <w:p>
            <w:pPr>
              <w:jc w:val="center"/>
              <w:ind w:right="237"/>
              <w:spacing w:after="0"/>
              <w:rPr>
                <w:sz w:val="20"/>
                <w:szCs w:val="20"/>
                <w:color w:val="auto"/>
              </w:rPr>
            </w:pPr>
            <w:r>
              <w:rPr>
                <w:rFonts w:ascii="Times New Roman" w:cs="Times New Roman" w:eastAsia="Times New Roman" w:hAnsi="Times New Roman"/>
                <w:sz w:val="11"/>
                <w:szCs w:val="11"/>
                <w:b w:val="1"/>
                <w:bCs w:val="1"/>
                <w:color w:val="auto"/>
              </w:rPr>
              <w:t>Intrinsic</w:t>
            </w:r>
          </w:p>
        </w:tc>
        <w:tc>
          <w:tcPr>
            <w:tcW w:w="0" w:type="dxa"/>
            <w:vAlign w:val="bottom"/>
          </w:tcPr>
          <w:p>
            <w:pPr>
              <w:spacing w:after="0"/>
              <w:rPr>
                <w:sz w:val="1"/>
                <w:szCs w:val="1"/>
                <w:color w:val="auto"/>
              </w:rPr>
            </w:pPr>
          </w:p>
        </w:tc>
      </w:tr>
      <w:tr>
        <w:trPr>
          <w:trHeight w:val="127"/>
        </w:trPr>
        <w:tc>
          <w:tcPr>
            <w:tcW w:w="4840" w:type="dxa"/>
            <w:vAlign w:val="bottom"/>
          </w:tcPr>
          <w:p>
            <w:pPr>
              <w:spacing w:after="0"/>
              <w:rPr>
                <w:sz w:val="11"/>
                <w:szCs w:val="1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Subject to</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Price per</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Term</w:t>
            </w:r>
          </w:p>
        </w:tc>
        <w:tc>
          <w:tcPr>
            <w:tcW w:w="300" w:type="dxa"/>
            <w:vAlign w:val="bottom"/>
          </w:tcPr>
          <w:p>
            <w:pPr>
              <w:spacing w:after="0"/>
              <w:rPr>
                <w:sz w:val="11"/>
                <w:szCs w:val="11"/>
                <w:color w:val="auto"/>
              </w:rPr>
            </w:pPr>
          </w:p>
        </w:tc>
        <w:tc>
          <w:tcPr>
            <w:tcW w:w="1240" w:type="dxa"/>
            <w:vAlign w:val="bottom"/>
          </w:tcPr>
          <w:p>
            <w:pPr>
              <w:jc w:val="center"/>
              <w:ind w:right="237"/>
              <w:spacing w:after="0"/>
              <w:rPr>
                <w:sz w:val="20"/>
                <w:szCs w:val="20"/>
                <w:color w:val="auto"/>
              </w:rPr>
            </w:pPr>
            <w:r>
              <w:rPr>
                <w:rFonts w:ascii="Times New Roman" w:cs="Times New Roman" w:eastAsia="Times New Roman" w:hAnsi="Times New Roman"/>
                <w:sz w:val="11"/>
                <w:szCs w:val="11"/>
                <w:b w:val="1"/>
                <w:bCs w:val="1"/>
                <w:color w:val="auto"/>
                <w:w w:val="97"/>
              </w:rPr>
              <w:t>Value (in</w:t>
            </w:r>
          </w:p>
        </w:tc>
        <w:tc>
          <w:tcPr>
            <w:tcW w:w="0" w:type="dxa"/>
            <w:vAlign w:val="bottom"/>
          </w:tcPr>
          <w:p>
            <w:pPr>
              <w:spacing w:after="0"/>
              <w:rPr>
                <w:sz w:val="1"/>
                <w:szCs w:val="1"/>
                <w:color w:val="auto"/>
              </w:rPr>
            </w:pPr>
          </w:p>
        </w:tc>
      </w:tr>
      <w:tr>
        <w:trPr>
          <w:trHeight w:val="158"/>
        </w:trPr>
        <w:tc>
          <w:tcPr>
            <w:tcW w:w="484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Share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300" w:type="dxa"/>
            <w:vAlign w:val="bottom"/>
          </w:tcPr>
          <w:p>
            <w:pPr>
              <w:spacing w:after="0"/>
              <w:rPr>
                <w:sz w:val="13"/>
                <w:szCs w:val="13"/>
                <w:color w:val="auto"/>
              </w:rPr>
            </w:pPr>
          </w:p>
        </w:tc>
        <w:tc>
          <w:tcPr>
            <w:tcW w:w="1240" w:type="dxa"/>
            <w:vAlign w:val="bottom"/>
          </w:tcPr>
          <w:p>
            <w:pPr>
              <w:jc w:val="center"/>
              <w:ind w:right="237"/>
              <w:spacing w:after="0"/>
              <w:rPr>
                <w:sz w:val="20"/>
                <w:szCs w:val="20"/>
                <w:color w:val="auto"/>
              </w:rPr>
            </w:pPr>
            <w:r>
              <w:rPr>
                <w:rFonts w:ascii="Times New Roman" w:cs="Times New Roman" w:eastAsia="Times New Roman" w:hAnsi="Times New Roman"/>
                <w:sz w:val="11"/>
                <w:szCs w:val="11"/>
                <w:b w:val="1"/>
                <w:bCs w:val="1"/>
                <w:color w:val="auto"/>
              </w:rPr>
              <w:t>thousands)</w:t>
            </w:r>
          </w:p>
        </w:tc>
        <w:tc>
          <w:tcPr>
            <w:tcW w:w="0" w:type="dxa"/>
            <w:vAlign w:val="bottom"/>
          </w:tcPr>
          <w:p>
            <w:pPr>
              <w:spacing w:after="0"/>
              <w:rPr>
                <w:sz w:val="1"/>
                <w:szCs w:val="1"/>
                <w:color w:val="auto"/>
              </w:rPr>
            </w:pPr>
          </w:p>
        </w:tc>
      </w:tr>
      <w:tr>
        <w:trPr>
          <w:trHeight w:val="180"/>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4,225,615</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5,827</w:t>
            </w:r>
          </w:p>
        </w:tc>
        <w:tc>
          <w:tcPr>
            <w:tcW w:w="0" w:type="dxa"/>
            <w:vAlign w:val="bottom"/>
          </w:tcPr>
          <w:p>
            <w:pPr>
              <w:spacing w:after="0"/>
              <w:rPr>
                <w:sz w:val="1"/>
                <w:szCs w:val="1"/>
                <w:color w:val="auto"/>
              </w:rPr>
            </w:pPr>
          </w:p>
        </w:tc>
      </w:tr>
      <w:tr>
        <w:trPr>
          <w:trHeight w:val="180"/>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1,975,327</w:t>
            </w:r>
          </w:p>
        </w:tc>
        <w:tc>
          <w:tcPr>
            <w:tcW w:w="30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w:t>
            </w: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(53,078)</w:t>
            </w:r>
          </w:p>
        </w:tc>
        <w:tc>
          <w:tcPr>
            <w:tcW w:w="30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Forfeitures and cancellations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(73,608)</w:t>
            </w:r>
          </w:p>
        </w:tc>
        <w:tc>
          <w:tcPr>
            <w:tcW w:w="300" w:type="dxa"/>
            <w:vAlign w:val="bottom"/>
            <w:tcBorders>
              <w:bottom w:val="single" w:sz="8" w:color="CCEEFF"/>
            </w:tcBorders>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44.19</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March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6,074,256</w:t>
            </w:r>
          </w:p>
        </w:tc>
        <w:tc>
          <w:tcPr>
            <w:tcW w:w="300" w:type="dxa"/>
            <w:vAlign w:val="bottom"/>
            <w:tcBorders>
              <w:bottom w:val="single" w:sz="8" w:color="CCEEFF"/>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Exercisable at March 31, 2024</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gridSpan w:val="2"/>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29.36</w:t>
            </w: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5,322</w:t>
            </w:r>
          </w:p>
        </w:tc>
        <w:tc>
          <w:tcPr>
            <w:tcW w:w="0" w:type="dxa"/>
            <w:vAlign w:val="bottom"/>
          </w:tcPr>
          <w:p>
            <w:pPr>
              <w:spacing w:after="0" w:line="20" w:lineRule="exact"/>
              <w:rPr>
                <w:sz w:val="1"/>
                <w:szCs w:val="1"/>
                <w:color w:val="auto"/>
              </w:rPr>
            </w:pPr>
          </w:p>
        </w:tc>
      </w:tr>
      <w:tr>
        <w:trPr>
          <w:trHeight w:val="146"/>
        </w:trPr>
        <w:tc>
          <w:tcPr>
            <w:tcW w:w="4840" w:type="dxa"/>
            <w:vAlign w:val="bottom"/>
            <w:vMerge w:val="continue"/>
          </w:tcPr>
          <w:p>
            <w:pPr>
              <w:spacing w:after="0"/>
              <w:rPr>
                <w:sz w:val="12"/>
                <w:szCs w:val="12"/>
                <w:color w:val="auto"/>
              </w:rPr>
            </w:pPr>
          </w:p>
        </w:tc>
        <w:tc>
          <w:tcPr>
            <w:tcW w:w="1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2,452,748</w:t>
            </w:r>
          </w:p>
        </w:tc>
        <w:tc>
          <w:tcPr>
            <w:tcW w:w="30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Total cash received from the exercise of stock options was approximately $0.8 million during the three months ended March 31, 2024.</w:t>
      </w:r>
    </w:p>
    <w:p>
      <w:pPr>
        <w:spacing w:after="0" w:line="1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Time-Based Restricted Stock Units</w:t>
      </w:r>
    </w:p>
    <w:p>
      <w:pPr>
        <w:spacing w:after="0" w:line="96" w:lineRule="exact"/>
        <w:rPr>
          <w:sz w:val="20"/>
          <w:szCs w:val="20"/>
          <w:color w:val="auto"/>
        </w:rPr>
      </w:pPr>
    </w:p>
    <w:p>
      <w:pPr>
        <w:ind w:right="360" w:firstLine="191"/>
        <w:spacing w:after="0" w:line="287" w:lineRule="auto"/>
        <w:rPr>
          <w:sz w:val="20"/>
          <w:szCs w:val="20"/>
          <w:color w:val="auto"/>
        </w:rPr>
      </w:pPr>
      <w:r>
        <w:rPr>
          <w:rFonts w:ascii="Times New Roman" w:cs="Times New Roman" w:eastAsia="Times New Roman" w:hAnsi="Times New Roman"/>
          <w:sz w:val="14"/>
          <w:szCs w:val="14"/>
          <w:color w:val="auto"/>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color w:val="auto"/>
        </w:rPr>
        <w:t>straight-line basis. The RSUs do not entitle the participants to the rights of holders of common stock, such as voting rights, until the shares are issued.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Weighted-Average</w:t>
            </w: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5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Remaining</w:t>
            </w:r>
          </w:p>
        </w:tc>
        <w:tc>
          <w:tcPr>
            <w:tcW w:w="320" w:type="dxa"/>
            <w:vAlign w:val="bottom"/>
          </w:tcPr>
          <w:p>
            <w:pPr>
              <w:spacing w:after="0"/>
              <w:rPr>
                <w:sz w:val="12"/>
                <w:szCs w:val="12"/>
                <w:color w:val="auto"/>
              </w:rPr>
            </w:pPr>
          </w:p>
        </w:tc>
        <w:tc>
          <w:tcPr>
            <w:tcW w:w="1160" w:type="dxa"/>
            <w:vAlign w:val="bottom"/>
          </w:tcPr>
          <w:p>
            <w:pPr>
              <w:jc w:val="center"/>
              <w:ind w:right="217"/>
              <w:spacing w:after="0"/>
              <w:rPr>
                <w:sz w:val="20"/>
                <w:szCs w:val="20"/>
                <w:color w:val="auto"/>
              </w:rPr>
            </w:pPr>
            <w:r>
              <w:rPr>
                <w:rFonts w:ascii="Times New Roman" w:cs="Times New Roman" w:eastAsia="Times New Roman" w:hAnsi="Times New Roman"/>
                <w:sz w:val="11"/>
                <w:szCs w:val="11"/>
                <w:b w:val="1"/>
                <w:bCs w:val="1"/>
                <w:color w:val="auto"/>
                <w:w w:val="99"/>
              </w:rPr>
              <w:t>Aggregate</w:t>
            </w: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Number of Restricted Stock</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vMerge w:val="restart"/>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Weighted-Average Grant</w:t>
            </w:r>
          </w:p>
        </w:tc>
        <w:tc>
          <w:tcPr>
            <w:tcW w:w="15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320" w:type="dxa"/>
            <w:vAlign w:val="bottom"/>
          </w:tcPr>
          <w:p>
            <w:pPr>
              <w:spacing w:after="0"/>
              <w:rPr>
                <w:sz w:val="10"/>
                <w:szCs w:val="10"/>
                <w:color w:val="auto"/>
              </w:rPr>
            </w:pPr>
          </w:p>
        </w:tc>
        <w:tc>
          <w:tcPr>
            <w:tcW w:w="1160" w:type="dxa"/>
            <w:vAlign w:val="bottom"/>
          </w:tcPr>
          <w:p>
            <w:pPr>
              <w:jc w:val="center"/>
              <w:ind w:right="217"/>
              <w:spacing w:after="0" w:line="117" w:lineRule="exact"/>
              <w:rPr>
                <w:sz w:val="20"/>
                <w:szCs w:val="20"/>
                <w:color w:val="auto"/>
              </w:rPr>
            </w:pPr>
            <w:r>
              <w:rPr>
                <w:rFonts w:ascii="Times New Roman" w:cs="Times New Roman" w:eastAsia="Times New Roman" w:hAnsi="Times New Roman"/>
                <w:sz w:val="11"/>
                <w:szCs w:val="11"/>
                <w:b w:val="1"/>
                <w:bCs w:val="1"/>
                <w:color w:val="auto"/>
                <w:w w:val="99"/>
              </w:rPr>
              <w:t>Intrinsic</w:t>
            </w: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5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w w:val="98"/>
              </w:rPr>
              <w:t>Term</w:t>
            </w:r>
          </w:p>
        </w:tc>
        <w:tc>
          <w:tcPr>
            <w:tcW w:w="320" w:type="dxa"/>
            <w:vAlign w:val="bottom"/>
          </w:tcPr>
          <w:p>
            <w:pPr>
              <w:spacing w:after="0"/>
              <w:rPr>
                <w:sz w:val="10"/>
                <w:szCs w:val="10"/>
                <w:color w:val="auto"/>
              </w:rPr>
            </w:pPr>
          </w:p>
        </w:tc>
        <w:tc>
          <w:tcPr>
            <w:tcW w:w="1160" w:type="dxa"/>
            <w:vAlign w:val="bottom"/>
          </w:tcPr>
          <w:p>
            <w:pPr>
              <w:jc w:val="center"/>
              <w:ind w:right="217"/>
              <w:spacing w:after="0" w:line="117" w:lineRule="exact"/>
              <w:rPr>
                <w:sz w:val="20"/>
                <w:szCs w:val="20"/>
                <w:color w:val="auto"/>
              </w:rPr>
            </w:pPr>
            <w:r>
              <w:rPr>
                <w:rFonts w:ascii="Times New Roman" w:cs="Times New Roman" w:eastAsia="Times New Roman" w:hAnsi="Times New Roman"/>
                <w:sz w:val="11"/>
                <w:szCs w:val="11"/>
                <w:b w:val="1"/>
                <w:bCs w:val="1"/>
                <w:color w:val="auto"/>
              </w:rPr>
              <w:t>Value (in</w:t>
            </w:r>
          </w:p>
        </w:tc>
        <w:tc>
          <w:tcPr>
            <w:tcW w:w="0" w:type="dxa"/>
            <w:vAlign w:val="bottom"/>
          </w:tcPr>
          <w:p>
            <w:pPr>
              <w:spacing w:after="0"/>
              <w:rPr>
                <w:sz w:val="1"/>
                <w:szCs w:val="1"/>
                <w:color w:val="auto"/>
              </w:rPr>
            </w:pPr>
          </w:p>
        </w:tc>
      </w:tr>
      <w:tr>
        <w:trPr>
          <w:trHeight w:val="155"/>
        </w:trPr>
        <w:tc>
          <w:tcPr>
            <w:tcW w:w="520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Date Fair Value</w:t>
            </w:r>
          </w:p>
        </w:tc>
        <w:tc>
          <w:tcPr>
            <w:tcW w:w="1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32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jc w:val="center"/>
              <w:ind w:right="217"/>
              <w:spacing w:after="0"/>
              <w:rPr>
                <w:sz w:val="20"/>
                <w:szCs w:val="20"/>
                <w:color w:val="auto"/>
              </w:rPr>
            </w:pPr>
            <w:r>
              <w:rPr>
                <w:rFonts w:ascii="Times New Roman" w:cs="Times New Roman" w:eastAsia="Times New Roman" w:hAnsi="Times New Roman"/>
                <w:sz w:val="11"/>
                <w:szCs w:val="11"/>
                <w:b w:val="1"/>
                <w:bCs w:val="1"/>
                <w:color w:val="auto"/>
              </w:rPr>
              <w:t>thousands)</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1,481,572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3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31,735</w:t>
            </w:r>
          </w:p>
        </w:tc>
        <w:tc>
          <w:tcPr>
            <w:tcW w:w="0" w:type="dxa"/>
            <w:vAlign w:val="bottom"/>
          </w:tcPr>
          <w:p>
            <w:pPr>
              <w:spacing w:after="0"/>
              <w:rPr>
                <w:sz w:val="1"/>
                <w:szCs w:val="1"/>
                <w:color w:val="auto"/>
              </w:rPr>
            </w:pPr>
          </w:p>
        </w:tc>
      </w:tr>
      <w:tr>
        <w:trPr>
          <w:trHeight w:val="180"/>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718,922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(1,014,242)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Forfeitures and cancellations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23.23</w:t>
            </w:r>
          </w:p>
        </w:tc>
        <w:tc>
          <w:tcPr>
            <w:tcW w:w="15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March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1,184,302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32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RSU expected to vest at March 31, 2024</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320" w:type="dxa"/>
            <w:vAlign w:val="bottom"/>
            <w:tcBorders>
              <w:top w:val="single" w:sz="8" w:color="CCEEFF"/>
              <w:bottom w:val="single" w:sz="8" w:color="CCEEFF"/>
            </w:tcBorders>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26,670</w:t>
            </w:r>
          </w:p>
        </w:tc>
        <w:tc>
          <w:tcPr>
            <w:tcW w:w="0" w:type="dxa"/>
            <w:vAlign w:val="bottom"/>
          </w:tcPr>
          <w:p>
            <w:pPr>
              <w:spacing w:after="0" w:line="20" w:lineRule="exact"/>
              <w:rPr>
                <w:sz w:val="1"/>
                <w:szCs w:val="1"/>
                <w:color w:val="auto"/>
              </w:rPr>
            </w:pPr>
          </w:p>
        </w:tc>
      </w:tr>
      <w:tr>
        <w:trPr>
          <w:trHeight w:val="146"/>
        </w:trPr>
        <w:tc>
          <w:tcPr>
            <w:tcW w:w="5200" w:type="dxa"/>
            <w:vAlign w:val="bottom"/>
            <w:vMerge w:val="continue"/>
          </w:tcPr>
          <w:p>
            <w:pPr>
              <w:spacing w:after="0"/>
              <w:rPr>
                <w:sz w:val="12"/>
                <w:szCs w:val="12"/>
                <w:color w:val="auto"/>
              </w:rPr>
            </w:pPr>
          </w:p>
        </w:tc>
        <w:tc>
          <w:tcPr>
            <w:tcW w:w="14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1,184,302</w:t>
            </w:r>
          </w:p>
        </w:tc>
        <w:tc>
          <w:tcPr>
            <w:tcW w:w="200" w:type="dxa"/>
            <w:vAlign w:val="bottom"/>
            <w:gridSpan w:val="2"/>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96"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4"/>
          <w:szCs w:val="14"/>
          <w:color w:val="auto"/>
        </w:rPr>
        <w:t>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 estimated fair values of stock option awards granted were determined on the date of grant using the Black-Scholes option valuation model with the following weighted-average assumptions:</w:t>
      </w:r>
    </w:p>
    <w:p>
      <w:pPr>
        <w:spacing w:after="0" w:line="75"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4"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44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Borders>
              <w:top w:val="single" w:sz="8" w:color="auto"/>
              <w:bottom w:val="single" w:sz="8" w:color="auto"/>
            </w:tcBorders>
          </w:tcPr>
          <w:p>
            <w:pPr>
              <w:spacing w:after="0"/>
              <w:rPr>
                <w:sz w:val="13"/>
                <w:szCs w:val="13"/>
                <w:color w:val="auto"/>
              </w:rPr>
            </w:pPr>
          </w:p>
        </w:tc>
      </w:tr>
      <w:tr>
        <w:trPr>
          <w:trHeight w:val="17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1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8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3.7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86.5</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1140" w:type="dxa"/>
            <w:vAlign w:val="bottom"/>
            <w:shd w:val="clear" w:color="auto" w:fill="CFF0FC"/>
          </w:tcPr>
          <w:p>
            <w:pPr>
              <w:spacing w:after="0"/>
              <w:rPr>
                <w:sz w:val="15"/>
                <w:szCs w:val="15"/>
                <w:color w:val="auto"/>
              </w:rPr>
            </w:pPr>
          </w:p>
        </w:tc>
        <w:tc>
          <w:tcPr>
            <w:tcW w:w="1340" w:type="dxa"/>
            <w:vAlign w:val="bottom"/>
            <w:gridSpan w:val="4"/>
            <w:shd w:val="clear" w:color="auto" w:fill="CFF0FC"/>
          </w:tcPr>
          <w:p>
            <w:pPr>
              <w:jc w:val="right"/>
              <w:ind w:right="740"/>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1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5.65</w:t>
            </w:r>
          </w:p>
        </w:tc>
        <w:tc>
          <w:tcPr>
            <w:tcW w:w="200" w:type="dxa"/>
            <w:vAlign w:val="bottom"/>
          </w:tcPr>
          <w:p>
            <w:pPr>
              <w:spacing w:after="0"/>
              <w:rPr>
                <w:sz w:val="15"/>
                <w:szCs w:val="15"/>
                <w:color w:val="auto"/>
              </w:rPr>
            </w:pPr>
          </w:p>
        </w:tc>
      </w:tr>
      <w:tr>
        <w:trPr>
          <w:trHeight w:val="180"/>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Weighted-average grant date fair value per share</w:t>
            </w:r>
          </w:p>
        </w:tc>
        <w:tc>
          <w:tcPr>
            <w:tcW w:w="11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15.12</w:t>
            </w:r>
          </w:p>
        </w:tc>
        <w:tc>
          <w:tcPr>
            <w:tcW w:w="88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16.88</w:t>
            </w:r>
          </w:p>
        </w:tc>
        <w:tc>
          <w:tcPr>
            <w:tcW w:w="200" w:type="dxa"/>
            <w:vAlign w:val="bottom"/>
            <w:shd w:val="clear" w:color="auto" w:fill="CFF0FC"/>
          </w:tcPr>
          <w:p>
            <w:pPr>
              <w:spacing w:after="0"/>
              <w:rPr>
                <w:sz w:val="15"/>
                <w:szCs w:val="15"/>
                <w:color w:val="auto"/>
              </w:rPr>
            </w:pPr>
          </w:p>
        </w:tc>
      </w:tr>
    </w:tbl>
    <w:p>
      <w:pPr>
        <w:spacing w:after="0" w:line="229" w:lineRule="exact"/>
        <w:rPr>
          <w:sz w:val="20"/>
          <w:szCs w:val="20"/>
          <w:color w:val="auto"/>
        </w:rPr>
      </w:pPr>
    </w:p>
    <w:p>
      <w:pPr>
        <w:jc w:val="both"/>
        <w:ind w:right="200" w:firstLine="382"/>
        <w:spacing w:after="0" w:line="264" w:lineRule="auto"/>
        <w:rPr>
          <w:sz w:val="20"/>
          <w:szCs w:val="20"/>
          <w:color w:val="auto"/>
        </w:rPr>
      </w:pPr>
      <w:r>
        <w:rPr>
          <w:rFonts w:ascii="Times New Roman" w:cs="Times New Roman" w:eastAsia="Times New Roman" w:hAnsi="Times New Roman"/>
          <w:sz w:val="14"/>
          <w:szCs w:val="14"/>
          <w:color w:val="auto"/>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historical option term. Expected volatility incorporates the historical volatility of our stock price.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20" w:name="page21"/>
    <w:bookmarkEnd w:id="20"/>
    <w:p>
      <w:pPr>
        <w:ind w:left="380"/>
        <w:spacing w:after="0"/>
        <w:rPr>
          <w:sz w:val="20"/>
          <w:szCs w:val="20"/>
          <w:color w:val="auto"/>
        </w:rPr>
      </w:pPr>
      <w:r>
        <w:rPr>
          <w:rFonts w:ascii="Times New Roman" w:cs="Times New Roman" w:eastAsia="Times New Roman" w:hAnsi="Times New Roman"/>
          <w:sz w:val="14"/>
          <w:szCs w:val="14"/>
          <w:color w:val="auto"/>
        </w:rPr>
        <w:t>Total non-cash stock-based compensation expense for all stock awards that was recognized in the consolidated statements of operations and comprehensive loss is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0" w:type="dxa"/>
            <w:vAlign w:val="bottom"/>
          </w:tcPr>
          <w:p>
            <w:pPr>
              <w:spacing w:after="0"/>
              <w:rPr>
                <w:sz w:val="11"/>
                <w:szCs w:val="11"/>
                <w:color w:val="auto"/>
              </w:rPr>
            </w:pPr>
          </w:p>
        </w:tc>
      </w:tr>
      <w:tr>
        <w:trPr>
          <w:trHeight w:val="150"/>
        </w:trPr>
        <w:tc>
          <w:tcPr>
            <w:tcW w:w="85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00" w:type="dxa"/>
            <w:vAlign w:val="bottom"/>
            <w:tcBorders>
              <w:bottom w:val="single" w:sz="8" w:color="auto"/>
            </w:tcBorders>
          </w:tcPr>
          <w:p>
            <w:pPr>
              <w:spacing w:after="0"/>
              <w:rPr>
                <w:sz w:val="13"/>
                <w:szCs w:val="13"/>
                <w:color w:val="auto"/>
              </w:rPr>
            </w:pPr>
          </w:p>
        </w:tc>
      </w:tr>
      <w:tr>
        <w:trPr>
          <w:trHeight w:val="154"/>
        </w:trPr>
        <w:tc>
          <w:tcPr>
            <w:tcW w:w="85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8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00" w:type="dxa"/>
            <w:vAlign w:val="bottom"/>
            <w:shd w:val="clear" w:color="auto" w:fill="CFF0FC"/>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3,454</w:t>
            </w: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2,770</w:t>
            </w:r>
          </w:p>
        </w:tc>
      </w:tr>
      <w:tr>
        <w:trPr>
          <w:trHeight w:val="180"/>
        </w:trPr>
        <w:tc>
          <w:tcPr>
            <w:tcW w:w="85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6,677</w:t>
            </w:r>
          </w:p>
        </w:tc>
        <w:tc>
          <w:tcPr>
            <w:tcW w:w="100" w:type="dxa"/>
            <w:vAlign w:val="bottom"/>
            <w:tcBorders>
              <w:bottom w:val="single" w:sz="8" w:color="CFF0FC"/>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6,090</w:t>
            </w:r>
          </w:p>
        </w:tc>
      </w:tr>
      <w:tr>
        <w:trPr>
          <w:trHeight w:val="196"/>
        </w:trPr>
        <w:tc>
          <w:tcPr>
            <w:tcW w:w="85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shd w:val="clear" w:color="auto" w:fill="CFF0FC"/>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10,131</w:t>
            </w:r>
          </w:p>
        </w:tc>
        <w:tc>
          <w:tcPr>
            <w:tcW w:w="10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8,860</w:t>
            </w:r>
          </w:p>
        </w:tc>
      </w:tr>
      <w:tr>
        <w:trPr>
          <w:trHeight w:val="20"/>
        </w:trPr>
        <w:tc>
          <w:tcPr>
            <w:tcW w:w="85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240" w:firstLine="382"/>
        <w:spacing w:after="0" w:line="270" w:lineRule="auto"/>
        <w:rPr>
          <w:sz w:val="20"/>
          <w:szCs w:val="20"/>
          <w:color w:val="auto"/>
        </w:rPr>
      </w:pPr>
      <w:r>
        <w:rPr>
          <w:rFonts w:ascii="Times New Roman" w:cs="Times New Roman" w:eastAsia="Times New Roman" w:hAnsi="Times New Roman"/>
          <w:sz w:val="14"/>
          <w:szCs w:val="14"/>
          <w:color w:val="auto"/>
        </w:rPr>
        <w:t>On March 21, 2022, we awarded our newly appointed Interim President and Chief Executive Officer RSUs for 887,043 shares of the Company’s common stock. The fair value of the award was recognized ratably to compensation expense over the stated 24-month requisite service period. During the three months ended March 31, 2024 and 2023, we recognized $2.6 million, and $2.9 million, respectively, of non-cash stock-based compensation cost related to the award.</w:t>
      </w:r>
    </w:p>
    <w:p>
      <w:pPr>
        <w:spacing w:after="0" w:line="51" w:lineRule="exact"/>
        <w:rPr>
          <w:sz w:val="20"/>
          <w:szCs w:val="20"/>
          <w:color w:val="auto"/>
        </w:rPr>
      </w:pPr>
    </w:p>
    <w:p>
      <w:pPr>
        <w:jc w:val="both"/>
        <w:ind w:right="20" w:firstLine="382"/>
        <w:spacing w:after="0" w:line="270" w:lineRule="auto"/>
        <w:rPr>
          <w:sz w:val="20"/>
          <w:szCs w:val="20"/>
          <w:color w:val="auto"/>
        </w:rPr>
      </w:pPr>
      <w:r>
        <w:rPr>
          <w:rFonts w:ascii="Times New Roman" w:cs="Times New Roman" w:eastAsia="Times New Roman" w:hAnsi="Times New Roman"/>
          <w:sz w:val="14"/>
          <w:szCs w:val="14"/>
          <w:color w:val="auto"/>
        </w:rPr>
        <w:t>At March 31, 2024, there was $56.0 million of unrecognized compensation cost related to unvested stock option awards, which is expected to be recognized over a remaining weighted-average vesting period of 3.08 years and $22.7 million of unrecognized cost related to unvested RSU awards, which is expected to be recognized over a period of 3.23 years and $0.1 million of unrecognized compensation cost related to the ESPP, which is expected to be recognized over a remaining weighted-average vesting period of 0.12 years.</w:t>
      </w:r>
    </w:p>
    <w:p>
      <w:pPr>
        <w:spacing w:after="0" w:line="219" w:lineRule="exact"/>
        <w:rPr>
          <w:sz w:val="20"/>
          <w:szCs w:val="20"/>
          <w:color w:val="auto"/>
        </w:rPr>
      </w:pPr>
    </w:p>
    <w:p>
      <w:pPr>
        <w:ind w:left="220" w:right="9140" w:hanging="215"/>
        <w:spacing w:after="0" w:line="381" w:lineRule="auto"/>
        <w:tabs>
          <w:tab w:leader="none" w:pos="139"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b w:val="1"/>
          <w:bCs w:val="1"/>
          <w:i w:val="1"/>
          <w:iCs w:val="1"/>
          <w:color w:val="auto"/>
        </w:rPr>
        <w:t>Operating Leases</w:t>
      </w:r>
    </w:p>
    <w:p>
      <w:pPr>
        <w:ind w:right="40" w:firstLine="382"/>
        <w:spacing w:after="0" w:line="256" w:lineRule="auto"/>
        <w:rPr>
          <w:sz w:val="20"/>
          <w:szCs w:val="20"/>
          <w:color w:val="auto"/>
        </w:rPr>
      </w:pPr>
      <w:r>
        <w:rPr>
          <w:rFonts w:ascii="Times New Roman" w:cs="Times New Roman" w:eastAsia="Times New Roman" w:hAnsi="Times New Roman"/>
          <w:sz w:val="14"/>
          <w:szCs w:val="14"/>
          <w:color w:val="auto"/>
        </w:rPr>
        <w:t>On May 4, 2020, we entered into a lease agreement with Wateridge Property Owner, LP, with respect to facilities in the building at 10770 Wateridge Circle, San Diego, California 92121 (the “Lease Agreement”). Under the Lease Agreement, we agreed to lease approximately 45,000 square feet of space for a term of 124 months, beginning on April 5, 2021. The terms of the Lease Agreement provide us with an option to extend the term of the lease for an additional five years, as well as a one-time option to terminate the lease after seven years with the payment of a termination fee. The exercise of the lease option is at our sole discretion, which we currently do not anticipate exercising and as such was not recognized as part of the ROU asset and lease liability. The monthly base rent was initially $4.20 per rentable square foot and is increased by 3% annually. Under the Lease Agreement, we are also responsible for our pro rata share of real estate taxes, building insurance, maintenance, direct expenses, and utilities. Upon lease commencement, on April 5, 2021, we recognized an ROU asset of $20.6 million, with a corresponding lease liability of</w:t>
      </w:r>
    </w:p>
    <w:p>
      <w:pPr>
        <w:spacing w:after="0" w:line="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4"/>
          <w:szCs w:val="14"/>
          <w:color w:val="auto"/>
        </w:rPr>
        <w:t>$20.7 million on the consolidated balance sheets. The ROU asset includes adjustments for prepayments, initial direct costs, and lease incentives. As of March 31, 2024, we have recorded $0.3 million as a security deposit in accordance with the terms of the Lease Agreement.</w:t>
      </w:r>
    </w:p>
    <w:p>
      <w:pPr>
        <w:spacing w:after="0" w:line="53" w:lineRule="exact"/>
        <w:rPr>
          <w:sz w:val="20"/>
          <w:szCs w:val="20"/>
          <w:color w:val="auto"/>
        </w:rPr>
      </w:pPr>
    </w:p>
    <w:p>
      <w:pPr>
        <w:jc w:val="both"/>
        <w:ind w:right="140" w:firstLine="382"/>
        <w:spacing w:after="0" w:line="264" w:lineRule="auto"/>
        <w:rPr>
          <w:sz w:val="20"/>
          <w:szCs w:val="20"/>
          <w:color w:val="auto"/>
        </w:rPr>
      </w:pPr>
      <w:r>
        <w:rPr>
          <w:rFonts w:ascii="Times New Roman" w:cs="Times New Roman" w:eastAsia="Times New Roman" w:hAnsi="Times New Roman"/>
          <w:sz w:val="14"/>
          <w:szCs w:val="14"/>
          <w:color w:val="auto"/>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the lease commencement date in determining the present value of future payments. The weighted-average discount rate used was 4.0% and the weighted-average remaining lease term is approximately 7.4 years.</w:t>
      </w:r>
    </w:p>
    <w:p>
      <w:pPr>
        <w:spacing w:after="0" w:line="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non-cancellable office lease costs are included in our consolidated statements of cash flow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3"/>
          </w:tcPr>
          <w:p>
            <w:pPr>
              <w:jc w:val="center"/>
              <w:ind w:left="438"/>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20" w:type="dxa"/>
            <w:vAlign w:val="bottom"/>
          </w:tcPr>
          <w:p>
            <w:pPr>
              <w:spacing w:after="0"/>
              <w:rPr>
                <w:sz w:val="10"/>
                <w:szCs w:val="10"/>
                <w:color w:val="auto"/>
              </w:rPr>
            </w:pPr>
          </w:p>
        </w:tc>
      </w:tr>
      <w:tr>
        <w:trPr>
          <w:trHeight w:val="154"/>
        </w:trPr>
        <w:tc>
          <w:tcPr>
            <w:tcW w:w="4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center"/>
              <w:ind w:left="438"/>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820" w:type="dxa"/>
            <w:vAlign w:val="bottom"/>
            <w:tcBorders>
              <w:bottom w:val="single" w:sz="8" w:color="auto"/>
            </w:tcBorders>
          </w:tcPr>
          <w:p>
            <w:pPr>
              <w:spacing w:after="0"/>
              <w:rPr>
                <w:sz w:val="13"/>
                <w:szCs w:val="13"/>
                <w:color w:val="auto"/>
              </w:rPr>
            </w:pPr>
          </w:p>
        </w:tc>
      </w:tr>
      <w:tr>
        <w:trPr>
          <w:trHeight w:val="150"/>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Leases</w:t>
            </w:r>
          </w:p>
        </w:tc>
        <w:tc>
          <w:tcPr>
            <w:tcW w:w="100" w:type="dxa"/>
            <w:vAlign w:val="bottom"/>
            <w:tcBorders>
              <w:bottom w:val="single" w:sz="8" w:color="CCEEFF"/>
            </w:tcBorders>
          </w:tcPr>
          <w:p>
            <w:pPr>
              <w:spacing w:after="0"/>
              <w:rPr>
                <w:sz w:val="13"/>
                <w:szCs w:val="13"/>
                <w:color w:val="auto"/>
              </w:rPr>
            </w:pP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Classification on the Cash Flow</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0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r>
      <w:tr>
        <w:trPr>
          <w:trHeight w:val="184"/>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8" w:right="3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9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At March 31, 2024, the future minimum annual obligations for the Company’s operating lease liabilities are as follows (in thousands):</w:t>
            </w: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6"/>
        </w:trPr>
        <w:tc>
          <w:tcPr>
            <w:tcW w:w="95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Years Ending December 31,</w:t>
            </w: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19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w:t>
            </w:r>
          </w:p>
        </w:tc>
      </w:tr>
      <w:tr>
        <w:trPr>
          <w:trHeight w:val="180"/>
        </w:trPr>
        <w:tc>
          <w:tcPr>
            <w:tcW w:w="9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2,531</w:t>
            </w:r>
          </w:p>
        </w:tc>
      </w:tr>
      <w:tr>
        <w:trPr>
          <w:trHeight w:val="18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2,607</w:t>
            </w:r>
          </w:p>
        </w:tc>
      </w:tr>
      <w:tr>
        <w:trPr>
          <w:trHeight w:val="180"/>
        </w:trPr>
        <w:tc>
          <w:tcPr>
            <w:tcW w:w="9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w:t>
            </w:r>
          </w:p>
        </w:tc>
      </w:tr>
      <w:tr>
        <w:trPr>
          <w:trHeight w:val="18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2,766</w:t>
            </w:r>
          </w:p>
        </w:tc>
      </w:tr>
      <w:tr>
        <w:trPr>
          <w:trHeight w:val="180"/>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7,788</w:t>
            </w:r>
          </w:p>
        </w:tc>
      </w:tr>
      <w:tr>
        <w:trPr>
          <w:trHeight w:val="171"/>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minimum payments required</w:t>
            </w:r>
          </w:p>
        </w:tc>
        <w:tc>
          <w:tcPr>
            <w:tcW w:w="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20,232</w:t>
            </w:r>
          </w:p>
        </w:tc>
      </w:tr>
      <w:tr>
        <w:trPr>
          <w:trHeight w:val="180"/>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(2,844)</w:t>
            </w:r>
          </w:p>
        </w:tc>
      </w:tr>
      <w:tr>
        <w:trPr>
          <w:trHeight w:val="196"/>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68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17,388</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Subsequent Event</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i w:val="1"/>
          <w:iCs w:val="1"/>
          <w:color w:val="auto"/>
        </w:rPr>
        <w:t>Amendment to Jemperli Royalty Monetization Agreement</w:t>
      </w:r>
    </w:p>
    <w:p>
      <w:pPr>
        <w:spacing w:after="0" w:line="94" w:lineRule="exact"/>
        <w:rPr>
          <w:sz w:val="20"/>
          <w:szCs w:val="20"/>
          <w:color w:val="auto"/>
        </w:rPr>
      </w:pPr>
    </w:p>
    <w:p>
      <w:pPr>
        <w:ind w:left="200" w:right="40" w:firstLine="223"/>
        <w:spacing w:after="0" w:line="271" w:lineRule="auto"/>
        <w:rPr>
          <w:sz w:val="20"/>
          <w:szCs w:val="20"/>
          <w:color w:val="auto"/>
        </w:rPr>
      </w:pPr>
      <w:r>
        <w:rPr>
          <w:rFonts w:ascii="Times New Roman" w:cs="Times New Roman" w:eastAsia="Times New Roman" w:hAnsi="Times New Roman"/>
          <w:sz w:val="14"/>
          <w:szCs w:val="14"/>
          <w:color w:val="auto"/>
        </w:rPr>
        <w:t xml:space="preserve">On May 8, 2024, we entered into an amendment to the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Royalty Monetization Agreement with Sagard (the “Amended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Royalty Monetization Agreement”) to monetize additional future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royalties under our GSK Agreement. Upon closing of the transaction, Sagard will pay us $50.0 million upfront in exchange for all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royalties payable to us under the GSK Agreement on annual global net sales.</w:t>
      </w:r>
    </w:p>
    <w:p>
      <w:pPr>
        <w:spacing w:after="0" w:line="49" w:lineRule="exact"/>
        <w:rPr>
          <w:sz w:val="20"/>
          <w:szCs w:val="20"/>
          <w:color w:val="auto"/>
        </w:rPr>
      </w:pPr>
    </w:p>
    <w:p>
      <w:pPr>
        <w:ind w:left="200" w:right="220" w:firstLine="223"/>
        <w:spacing w:after="0" w:line="271" w:lineRule="auto"/>
        <w:rPr>
          <w:sz w:val="20"/>
          <w:szCs w:val="20"/>
          <w:color w:val="auto"/>
        </w:rPr>
      </w:pPr>
      <w:r>
        <w:rPr>
          <w:rFonts w:ascii="Times New Roman" w:cs="Times New Roman" w:eastAsia="Times New Roman" w:hAnsi="Times New Roman"/>
          <w:sz w:val="14"/>
          <w:szCs w:val="14"/>
          <w:color w:val="auto"/>
        </w:rPr>
        <w:t xml:space="preserve">The aggregate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royalties and milestones to be received by Sagard under the Amended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Royalty Monetization Agreement has been increased to the following thresholds: an amount equal to $600.0 million, if received on or prior to March 31, 2031; or an amount equal to $675.0 million, if received on or after April 1, 2031. The Amended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Royalty Monetization Agreement will expire once Sagard receives either of the aggregate amounts resulting in us regaining all subsequent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royalties and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8" w:right="319" w:bottom="1440" w:gutter="0" w:footer="0" w:header="0"/>
        </w:sectPr>
      </w:pPr>
    </w:p>
    <w:bookmarkStart w:id="22" w:name="page23"/>
    <w:bookmarkEnd w:id="22"/>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1"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This Quarterly Report on Form 10-Q (“Quarterly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forward-looking statements in this report include, among other things, statements about:</w:t>
      </w:r>
    </w:p>
    <w:p>
      <w:pPr>
        <w:spacing w:after="0" w:line="94"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cost, and timing of our product candidate development activities and ongoing and planned clinical trials;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develop and commercialize antibodies, including our two checkpoint agonists in clinical-stage development: rosnilimab and ANB032;</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our product candidates;</w:t>
      </w:r>
    </w:p>
    <w:p>
      <w:pPr>
        <w:spacing w:after="0" w:line="93"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likelihood that the clinical data generated in any study we performed, are performing, or plan to perform in a non-U.S. jurisdiction will be subsequently accepted by the </w:t>
      </w:r>
      <w:r>
        <w:rPr>
          <w:rFonts w:ascii="Times New Roman" w:cs="Times New Roman" w:eastAsia="Times New Roman" w:hAnsi="Times New Roman"/>
          <w:sz w:val="14"/>
          <w:szCs w:val="14"/>
          <w:color w:val="231F20"/>
        </w:rPr>
        <w:t>U.S. Food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Drug Administration (“FDA”) </w:t>
      </w:r>
      <w:r>
        <w:rPr>
          <w:rFonts w:ascii="Times New Roman" w:cs="Times New Roman" w:eastAsia="Times New Roman" w:hAnsi="Times New Roman"/>
          <w:sz w:val="14"/>
          <w:szCs w:val="14"/>
          <w:color w:val="000000"/>
        </w:rPr>
        <w:t>and/or by foreign regulatory authorities outside of the jurisdiction where the study was being performed;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benefits and advantages of our product candidates and approaches versus those of our competitors;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competing therapies that are or may become available;</w:t>
      </w:r>
    </w:p>
    <w:p>
      <w:pPr>
        <w:spacing w:after="0" w:line="93" w:lineRule="exact"/>
        <w:rPr>
          <w:rFonts w:ascii="Times New Roman" w:cs="Times New Roman" w:eastAsia="Times New Roman" w:hAnsi="Times New Roman"/>
          <w:sz w:val="14"/>
          <w:szCs w:val="14"/>
          <w:color w:val="auto"/>
        </w:rPr>
      </w:pPr>
    </w:p>
    <w:p>
      <w:pPr>
        <w:ind w:left="520" w:right="44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and the ability to obtain and maintain regulatory approvals for our product candidates, partnered product candidates and/or product candidates for which we may receive royalties;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and clinical utility of any approved product candidates;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any approved product candidates, and our ability to serve those markets;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commercialization, marketing, and manufacturing capabilities and strategy;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obtain and maintain intellectual property protection for our product candidates;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U.S. and foreign countries;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political, economic or public health events on our business and the United States (“U.S.”) and global economies;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scientific or management personnel;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macro-economic factors, including volatility in equity markets, and fluctuations in interest rates and foreign exchange rates;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funding for our operations on favorable terms or at all, including funding necessary to complete further development and commercialization of our product candidates;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find a licensing partner for imsidolimab and etokimab;</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ability of our collaborators to develop and commercialize our partnered product candidates;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use of the net proceeds from our public offerings and other financing transactions;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expenses, future revenue, capital requirements, and needs for additional financing.</w:t>
      </w:r>
    </w:p>
    <w:p>
      <w:pPr>
        <w:spacing w:after="0" w:line="94"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These forward-looking statements are subject to a number of risks, uncertainties, and assumptions, including those described in Part II, Item 1A, “Risk Factors,” and elsewhere in this Quarterly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color w:val="auto"/>
        </w:rPr>
        <w:t>may not occur, and actual results could differ materially and adversely from those anticipated or implied in the forward-looking statements.</w:t>
      </w:r>
    </w:p>
    <w:p>
      <w:pPr>
        <w:spacing w:after="0" w:line="94" w:lineRule="exact"/>
        <w:rPr>
          <w:sz w:val="20"/>
          <w:szCs w:val="20"/>
          <w:color w:val="auto"/>
        </w:rPr>
      </w:pPr>
    </w:p>
    <w:p>
      <w:pPr>
        <w:jc w:val="both"/>
        <w:ind w:right="20" w:firstLine="382"/>
        <w:spacing w:after="0" w:line="270" w:lineRule="auto"/>
        <w:rPr>
          <w:sz w:val="20"/>
          <w:szCs w:val="20"/>
          <w:color w:val="auto"/>
        </w:rPr>
      </w:pPr>
      <w:r>
        <w:rPr>
          <w:rFonts w:ascii="Times New Roman" w:cs="Times New Roman" w:eastAsia="Times New Roman" w:hAnsi="Times New Roman"/>
          <w:sz w:val="14"/>
          <w:szCs w:val="14"/>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You should read this Quarterly Report with the understanding that our actual future results, levels of activity, performance, and events and circumstances may be materially different from what we expect.</w:t>
      </w:r>
    </w:p>
    <w:p>
      <w:pPr>
        <w:spacing w:after="0" w:line="39" w:lineRule="exact"/>
        <w:rPr>
          <w:sz w:val="20"/>
          <w:szCs w:val="20"/>
          <w:color w:val="auto"/>
        </w:rPr>
      </w:pPr>
    </w:p>
    <w:p>
      <w:pPr>
        <w:ind w:right="80" w:firstLine="382"/>
        <w:spacing w:after="0" w:line="264" w:lineRule="auto"/>
        <w:rPr>
          <w:sz w:val="20"/>
          <w:szCs w:val="20"/>
          <w:color w:val="auto"/>
        </w:rPr>
      </w:pPr>
      <w:r>
        <w:rPr>
          <w:rFonts w:ascii="Times New Roman" w:cs="Times New Roman" w:eastAsia="Times New Roman" w:hAnsi="Times New Roman"/>
          <w:sz w:val="14"/>
          <w:szCs w:val="14"/>
          <w:color w:val="auto"/>
        </w:rPr>
        <w:t>Unless the context indicates otherwise, as used in this Quarterly Report, the terms “AnaptysBio,” “Anaptys,” “company,” “we,” “us” and “our” refer to AnaptysBio, Inc., a Delaware corporation, and its subsidiaries taken as a whole, unless otherwise noted. AnaptysBio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13" w:right="359" w:bottom="1440" w:gutter="0" w:footer="0" w:header="0"/>
        </w:sectPr>
      </w:pPr>
    </w:p>
    <w:bookmarkStart w:id="24" w:name="page25"/>
    <w:bookmarkEnd w:id="24"/>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94" w:lineRule="exact"/>
        <w:rPr>
          <w:sz w:val="20"/>
          <w:szCs w:val="20"/>
          <w:color w:val="auto"/>
        </w:rPr>
      </w:pPr>
    </w:p>
    <w:p>
      <w:pPr>
        <w:ind w:right="60" w:firstLine="382"/>
        <w:spacing w:after="0" w:line="260"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together with our unaudited consolidated financial statements and related notes for the three months ended March 31, 2024, included in Part I, Item 1 of this report and with our audited consolidated financial statements and related notes thereto for the year ended December 31, 2023 included in our Annual Report on Form 10-K. This discussion and other sections of this Quarterly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Quarterly Report. You should also carefully read “Special Note Regarding Forward-Looking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ind w:right="40" w:firstLine="382"/>
        <w:spacing w:after="0" w:line="257" w:lineRule="auto"/>
        <w:rPr>
          <w:sz w:val="20"/>
          <w:szCs w:val="20"/>
          <w:color w:val="auto"/>
        </w:rPr>
      </w:pPr>
      <w:r>
        <w:rPr>
          <w:rFonts w:ascii="Times New Roman" w:cs="Times New Roman" w:eastAsia="Times New Roman" w:hAnsi="Times New Roman"/>
          <w:sz w:val="14"/>
          <w:szCs w:val="14"/>
          <w:color w:val="auto"/>
        </w:rPr>
        <w:t>We are a clinical-stage biotechnology company focused on delivering innovative immunology therapeutics. We are developing immune cell modulating antibodies, including two wholly owned checkpoint agonists in clinical-stage development, for autoimmune and inflammatory diseases: rosnilimab, our PD-1 agonist in a Phase 2b trial for the treatment of moderate-to-severe rheumatoid arthritis (“RA”) and a Phase 2 trial for the treatment of moderate-to-severe ulcerative colitis (“UC”); and ANB032, our BTLA agonist, in a Phase 2b trial for the treatment of moderate-to-severe atopic dermatitis (“AD”). We also have other preclinical immune cell modulator candidates for the treatment of autoimmune and inflammatory diseases in our portfolio, including ANB033, an anti-CD122 antagonist antibody, and ANB101, a BDCA2 modulator antibody. In addition, we have developed two cytokine antagonists that we are exploring options for out-licensing: imsidolimab, our anti-IL-36R antibody, that has completed Phase 3 trials for the treatment of generalized pustular psoriasis (“GPP”), and etokimab, our anti-IL-33 antagonist that is Phase 2/3 ready. We have also discovered multiple therapeutic antibodies licensed to GlaxoSmithKline, Inc. (“GSK”) in a financial collaboration for immuno-oncology, including an anti-PD-1 antagonist antibody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(dostarlimab-gxly) or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and an anti-TIM-3 antagonist antibody (cobolimab, GSK4069889). We currently recognize revenue from milestones and royalties achieved under our immuno-oncology collaboration with GSK.</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Wholly Owned Product Candidate Pipeline</w:t>
      </w:r>
    </w:p>
    <w:p>
      <w:pPr>
        <w:spacing w:after="0" w:line="96" w:lineRule="exact"/>
        <w:rPr>
          <w:sz w:val="20"/>
          <w:szCs w:val="20"/>
          <w:color w:val="auto"/>
        </w:rPr>
      </w:pPr>
    </w:p>
    <w:p>
      <w:pPr>
        <w:jc w:val="both"/>
        <w:ind w:right="40" w:firstLine="382"/>
        <w:spacing w:after="0" w:line="270" w:lineRule="auto"/>
        <w:rPr>
          <w:sz w:val="20"/>
          <w:szCs w:val="20"/>
          <w:color w:val="auto"/>
        </w:rPr>
      </w:pPr>
      <w:r>
        <w:rPr>
          <w:rFonts w:ascii="Times New Roman" w:cs="Times New Roman" w:eastAsia="Times New Roman" w:hAnsi="Times New Roman"/>
          <w:sz w:val="14"/>
          <w:szCs w:val="14"/>
          <w:color w:val="auto"/>
        </w:rPr>
        <w:t>Our immune cell modulating antibodies, including checkpoint agonists for PD-1 and BTLA, treat inflammatory disorders by down regulating immune responses mediated by multiple immune cell types including T cells, B cells, and dendritic cells. T cells require both antigen presentation to the T cell receptor and co-stimulation to be activated. When these interactions are inhibited, T cells can’t be effectively primed to expand and differentiate into inflammatory T cells. Inhibition of at least one of these signals is the basis of checkpoint agonism.</w:t>
      </w:r>
    </w:p>
    <w:p>
      <w:pPr>
        <w:spacing w:after="0" w:line="51"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We believe these molecules have potential applicability across a broad range of autoimmune and inflammatory diseases including dermatology, rheumatology, gastroenterology, respiratory, and neurology therapeutic areas.</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Rosnilimab</w:t>
      </w:r>
    </w:p>
    <w:p>
      <w:pPr>
        <w:spacing w:after="0" w:line="96" w:lineRule="exact"/>
        <w:rPr>
          <w:sz w:val="20"/>
          <w:szCs w:val="20"/>
          <w:color w:val="auto"/>
        </w:rPr>
      </w:pPr>
    </w:p>
    <w:p>
      <w:pPr>
        <w:ind w:right="240" w:firstLine="382"/>
        <w:spacing w:after="0" w:line="270" w:lineRule="auto"/>
        <w:rPr>
          <w:sz w:val="20"/>
          <w:szCs w:val="20"/>
          <w:color w:val="auto"/>
        </w:rPr>
      </w:pPr>
      <w:r>
        <w:rPr>
          <w:rFonts w:ascii="Times New Roman" w:cs="Times New Roman" w:eastAsia="Times New Roman" w:hAnsi="Times New Roman"/>
          <w:sz w:val="14"/>
          <w:szCs w:val="14"/>
          <w:color w:val="auto"/>
        </w:rPr>
        <w:t>PD-1, or programmed cell death protein 1, is an inhibitory checkpoint receptor that regulates T cell proliferation, and cytokine secretion. It is expressed preferentially on activated T cells, reducing the potential for off-target activity by rosnilimab. Genetic mutations in the PD-1 pathway are known to be associated with increased susceptibility to human inflammatory diseases which leads us to believe that rosnilimab is applicable to diseases where PD-1 checkpoint receptor function may be insufficient to maintain immune homeostasis.</w:t>
      </w:r>
    </w:p>
    <w:p>
      <w:pPr>
        <w:spacing w:after="0" w:line="51" w:lineRule="exact"/>
        <w:rPr>
          <w:sz w:val="20"/>
          <w:szCs w:val="20"/>
          <w:color w:val="auto"/>
        </w:rPr>
      </w:pPr>
    </w:p>
    <w:p>
      <w:pPr>
        <w:ind w:right="20" w:firstLine="382"/>
        <w:spacing w:after="0" w:line="248" w:lineRule="auto"/>
        <w:rPr>
          <w:sz w:val="20"/>
          <w:szCs w:val="20"/>
          <w:color w:val="auto"/>
        </w:rPr>
      </w:pPr>
      <w:r>
        <w:rPr>
          <w:rFonts w:ascii="Times New Roman" w:cs="Times New Roman" w:eastAsia="Times New Roman" w:hAnsi="Times New Roman"/>
          <w:sz w:val="14"/>
          <w:szCs w:val="14"/>
          <w:color w:val="auto"/>
        </w:rPr>
        <w:t>Rosnilimab is an IgG1 antibody that directly targets PD-1+ T cells, resulting in their agonism or depletion, broadly impacting pathogenic drivers of autoimmune and inflammatory diseases. An IgG1 PD-1 agonist acts through three distinct mechanisms; depletion of PD-1</w:t>
      </w:r>
      <w:r>
        <w:rPr>
          <w:rFonts w:ascii="Times New Roman" w:cs="Times New Roman" w:eastAsia="Times New Roman" w:hAnsi="Times New Roman"/>
          <w:sz w:val="18"/>
          <w:szCs w:val="18"/>
          <w:color w:val="auto"/>
          <w:vertAlign w:val="superscript"/>
        </w:rPr>
        <w:t>high</w:t>
      </w:r>
      <w:r>
        <w:rPr>
          <w:rFonts w:ascii="Times New Roman" w:cs="Times New Roman" w:eastAsia="Times New Roman" w:hAnsi="Times New Roman"/>
          <w:sz w:val="14"/>
          <w:szCs w:val="14"/>
          <w:color w:val="auto"/>
        </w:rPr>
        <w:t xml:space="preserve"> effector T cells, depletion of PD-1</w:t>
      </w:r>
      <w:r>
        <w:rPr>
          <w:rFonts w:ascii="Times New Roman" w:cs="Times New Roman" w:eastAsia="Times New Roman" w:hAnsi="Times New Roman"/>
          <w:sz w:val="18"/>
          <w:szCs w:val="18"/>
          <w:color w:val="auto"/>
          <w:vertAlign w:val="superscript"/>
        </w:rPr>
        <w:t>high</w:t>
      </w:r>
      <w:r>
        <w:rPr>
          <w:rFonts w:ascii="Times New Roman" w:cs="Times New Roman" w:eastAsia="Times New Roman" w:hAnsi="Times New Roman"/>
          <w:sz w:val="14"/>
          <w:szCs w:val="14"/>
          <w:color w:val="auto"/>
        </w:rPr>
        <w:t xml:space="preserve"> Tfh and Tph cells, and agonism of PD-1</w:t>
      </w:r>
      <w:r>
        <w:rPr>
          <w:rFonts w:ascii="Times New Roman" w:cs="Times New Roman" w:eastAsia="Times New Roman" w:hAnsi="Times New Roman"/>
          <w:sz w:val="18"/>
          <w:szCs w:val="18"/>
          <w:color w:val="auto"/>
          <w:vertAlign w:val="superscript"/>
        </w:rPr>
        <w:t>int</w:t>
      </w:r>
      <w:r>
        <w:rPr>
          <w:rFonts w:ascii="Times New Roman" w:cs="Times New Roman" w:eastAsia="Times New Roman" w:hAnsi="Times New Roman"/>
          <w:sz w:val="14"/>
          <w:szCs w:val="14"/>
          <w:color w:val="auto"/>
        </w:rPr>
        <w:t xml:space="preserve"> T cells. This drives specific immunological outcomes in both inflamed tissue and the periphery, such as reduction in T cell proliferation, migration, and cytokine secretion, and reduction of plasma cell generation and autoantibody levels. Rosnilimab is designed to enable formation of a tight immune synapse by binding to the PD-1 checkpoint receptor on a membrane-proximal epitope, and simultaneously anchoring to an Fc receptor, on an opposing cell, supporting crosslinking and excluding activating phosphatases such as CD45. Rosnilimab also facilitates depletion by bringing effector cells into closer proximity to pathogenically activated PD-1</w:t>
      </w:r>
      <w:r>
        <w:rPr>
          <w:rFonts w:ascii="Times New Roman" w:cs="Times New Roman" w:eastAsia="Times New Roman" w:hAnsi="Times New Roman"/>
          <w:sz w:val="18"/>
          <w:szCs w:val="18"/>
          <w:color w:val="auto"/>
          <w:vertAlign w:val="superscript"/>
        </w:rPr>
        <w:t>high</w:t>
      </w:r>
      <w:r>
        <w:rPr>
          <w:rFonts w:ascii="Times New Roman" w:cs="Times New Roman" w:eastAsia="Times New Roman" w:hAnsi="Times New Roman"/>
          <w:sz w:val="14"/>
          <w:szCs w:val="14"/>
          <w:color w:val="auto"/>
        </w:rPr>
        <w:t xml:space="preserve"> T cells.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5" w:name="page26"/>
    <w:bookmarkEnd w:id="25"/>
    <w:p>
      <w:pPr>
        <w:ind w:right="80" w:firstLine="382"/>
        <w:spacing w:after="0" w:line="271" w:lineRule="auto"/>
        <w:rPr>
          <w:sz w:val="20"/>
          <w:szCs w:val="20"/>
          <w:color w:val="auto"/>
        </w:rPr>
      </w:pPr>
      <w:r>
        <w:rPr>
          <w:rFonts w:ascii="Times New Roman" w:cs="Times New Roman" w:eastAsia="Times New Roman" w:hAnsi="Times New Roman"/>
          <w:sz w:val="14"/>
          <w:szCs w:val="14"/>
          <w:color w:val="auto"/>
        </w:rPr>
        <w:t xml:space="preserve">In in </w:t>
      </w:r>
      <w:r>
        <w:rPr>
          <w:rFonts w:ascii="Times New Roman" w:cs="Times New Roman" w:eastAsia="Times New Roman" w:hAnsi="Times New Roman"/>
          <w:sz w:val="14"/>
          <w:szCs w:val="14"/>
          <w:i w:val="1"/>
          <w:iCs w:val="1"/>
          <w:color w:val="auto"/>
        </w:rPr>
        <w:t>vitro</w:t>
      </w:r>
      <w:r>
        <w:rPr>
          <w:rFonts w:ascii="Times New Roman" w:cs="Times New Roman" w:eastAsia="Times New Roman" w:hAnsi="Times New Roman"/>
          <w:sz w:val="14"/>
          <w:szCs w:val="14"/>
          <w:color w:val="auto"/>
        </w:rPr>
        <w:t xml:space="preserve"> studies, when PD-1+ T cells were cocultured in the presence of NK cells, rosnilimab demonstrated potent depletion of PD-1+ T cells. In separate in </w:t>
      </w:r>
      <w:r>
        <w:rPr>
          <w:rFonts w:ascii="Times New Roman" w:cs="Times New Roman" w:eastAsia="Times New Roman" w:hAnsi="Times New Roman"/>
          <w:sz w:val="14"/>
          <w:szCs w:val="14"/>
          <w:i w:val="1"/>
          <w:iCs w:val="1"/>
          <w:color w:val="auto"/>
        </w:rPr>
        <w:t>vitro</w:t>
      </w:r>
      <w:r>
        <w:rPr>
          <w:rFonts w:ascii="Times New Roman" w:cs="Times New Roman" w:eastAsia="Times New Roman" w:hAnsi="Times New Roman"/>
          <w:sz w:val="14"/>
          <w:szCs w:val="14"/>
          <w:color w:val="auto"/>
        </w:rPr>
        <w:t xml:space="preserve"> studies, in which T cells were stimulated in the presence of only dendritic cells (in the absence of any cells capable of mediating depletion), rosnilimab demonstrated potent agonism properties such as a reduction in PD-1+T cell proliferation and reduction in secretion of inflammatory cytokines.</w:t>
      </w:r>
    </w:p>
    <w:p>
      <w:pPr>
        <w:spacing w:after="0" w:line="51" w:lineRule="exact"/>
        <w:rPr>
          <w:sz w:val="20"/>
          <w:szCs w:val="20"/>
          <w:color w:val="auto"/>
        </w:rPr>
      </w:pPr>
    </w:p>
    <w:p>
      <w:pPr>
        <w:ind w:right="220" w:firstLine="382"/>
        <w:spacing w:after="0" w:line="257" w:lineRule="auto"/>
        <w:rPr>
          <w:sz w:val="20"/>
          <w:szCs w:val="20"/>
          <w:color w:val="auto"/>
        </w:rPr>
      </w:pPr>
      <w:r>
        <w:rPr>
          <w:rFonts w:ascii="Times New Roman" w:cs="Times New Roman" w:eastAsia="Times New Roman" w:hAnsi="Times New Roman"/>
          <w:sz w:val="14"/>
          <w:szCs w:val="14"/>
          <w:color w:val="auto"/>
        </w:rPr>
        <w:t>We announced positive top-line data from a healthy volunteer Phase 1 trial of rosnilimab in November 2021. A total of 144 subjects were enrolled in the randomized, double-blind, placebo-controlled healthy volunteer Phase 1 trial, where single ascending dose (“SAD”) cohorts received subcutaneous or intravenous (“IV”) single doses of rosnilimab up to 600mg or placebo, while multiple ascending dose (“MAD”) cohorts received four weekly subcutaneous doses of rosnilimab ranging up to 400mg or placebo. Rosnilimab was generally well-tolerated and no dose limiting toxicities were observed. Two serious adverse events (“SAEs”) were reported in single dose cohorts, including obstructive pancreatitis in a placebo-dosed subject and COVID-19 infection in a rosnilimab-dosed subject leading to discontinuation. The COVID-19 infection was deemed unrelated to treatment. No SAEs were reported in subjects receiving multiple doses of rosnilimab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placebo</w:t>
      </w:r>
      <w:r>
        <w:rPr>
          <w:rFonts w:ascii="Times New Roman" w:cs="Times New Roman" w:eastAsia="Times New Roman" w:hAnsi="Times New Roman"/>
          <w:sz w:val="16"/>
          <w:szCs w:val="16"/>
          <w:color w:val="008080"/>
        </w:rPr>
        <w:t>.</w:t>
      </w:r>
    </w:p>
    <w:p>
      <w:pPr>
        <w:spacing w:after="0" w:line="88" w:lineRule="exact"/>
        <w:rPr>
          <w:sz w:val="20"/>
          <w:szCs w:val="20"/>
          <w:color w:val="auto"/>
        </w:rPr>
      </w:pPr>
    </w:p>
    <w:p>
      <w:pPr>
        <w:ind w:firstLine="382"/>
        <w:spacing w:after="0" w:line="237" w:lineRule="auto"/>
        <w:rPr>
          <w:sz w:val="20"/>
          <w:szCs w:val="20"/>
          <w:color w:val="auto"/>
        </w:rPr>
      </w:pPr>
      <w:r>
        <w:rPr>
          <w:rFonts w:ascii="Times New Roman" w:cs="Times New Roman" w:eastAsia="Times New Roman" w:hAnsi="Times New Roman"/>
          <w:sz w:val="14"/>
          <w:szCs w:val="14"/>
          <w:color w:val="auto"/>
        </w:rPr>
        <w:t>Rosnilimab demonstrated a favorable pharmacokinetic (“PK”) profile with an estimated two-week half-life for subcutaneous and IV routes of administration. Full PD-1 receptor occupancy was observed rapidly and was maintained for at least 30 days. Potent and sustained reduction was observed in peripheral PD-1+ T cells for &gt;30 days, including &gt;90% reduction of PD-1</w:t>
      </w:r>
      <w:r>
        <w:rPr>
          <w:rFonts w:ascii="Times New Roman" w:cs="Times New Roman" w:eastAsia="Times New Roman" w:hAnsi="Times New Roman"/>
          <w:sz w:val="18"/>
          <w:szCs w:val="18"/>
          <w:color w:val="auto"/>
          <w:vertAlign w:val="superscript"/>
        </w:rPr>
        <w:t>high</w:t>
      </w:r>
      <w:r>
        <w:rPr>
          <w:rFonts w:ascii="Times New Roman" w:cs="Times New Roman" w:eastAsia="Times New Roman" w:hAnsi="Times New Roman"/>
          <w:sz w:val="14"/>
          <w:szCs w:val="14"/>
          <w:color w:val="auto"/>
        </w:rPr>
        <w:t xml:space="preserve"> T cells and a &gt;50% reduction of PD-1+ T cells bringing the overall T cell composition to a less activated state, without meaningfully reducing overall T cell numbers.</w:t>
      </w:r>
    </w:p>
    <w:p>
      <w:pPr>
        <w:spacing w:after="0" w:line="72" w:lineRule="exact"/>
        <w:rPr>
          <w:sz w:val="20"/>
          <w:szCs w:val="20"/>
          <w:color w:val="auto"/>
        </w:rPr>
      </w:pPr>
    </w:p>
    <w:p>
      <w:pPr>
        <w:ind w:right="360" w:firstLine="382"/>
        <w:spacing w:after="0" w:line="264" w:lineRule="auto"/>
        <w:rPr>
          <w:sz w:val="20"/>
          <w:szCs w:val="20"/>
          <w:color w:val="auto"/>
        </w:rPr>
      </w:pPr>
      <w:r>
        <w:rPr>
          <w:rFonts w:ascii="Times New Roman" w:cs="Times New Roman" w:eastAsia="Times New Roman" w:hAnsi="Times New Roman"/>
          <w:sz w:val="14"/>
          <w:szCs w:val="14"/>
          <w:color w:val="auto"/>
        </w:rPr>
        <w:t>We also completed a randomized placebo-controlled 45-patient Phase 2 trial assessing a single 400mg monthly dose of rosnilimab over six months in moderate-to-severe alopecia areata patients. In January 2023, we reported interim results of blinded data which suggested that sufficient improvement in the severity of alopecia tool (SALT) endpoint necessary to justify further development in alopecia was not achieved. Furthermore, we reported safety and pharmacodynamics data suggesting that rosnilimab was generally well tolerated, with no dose limiting toxicities observed and no SAEs reported.</w:t>
      </w:r>
    </w:p>
    <w:p>
      <w:pPr>
        <w:spacing w:after="0" w:line="56"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4"/>
          <w:szCs w:val="14"/>
          <w:color w:val="auto"/>
        </w:rPr>
        <w:t>We are conducting a randomized placebo-controlled 420-patient global Phase 2b trial assessing three dose levels of subcutaneously administrated rosnilimab in moderate-to-severe RA for up to 28 weeks on well-established endpoints including ACR20/50/70 and DAS28-CRP. We anticipate reporting top-line data on the primary endpoint in the RA trial by mid 2025. We are also conducting a randomized placebo-controlled 130-patient, global Phase 2 trial assessing two dose levels of subcutaneously administered rosnilimab in moderate-to-severe UC for up to 24 weeks on well-established endpoints including clinical remission on the modified Mayo score (“mMS”), clinical response on the mMS and endoscopic remission. We anticipate reporting top-line data on the primary endpoint in the UC trial in the first half of 2026.</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ANB032</w:t>
      </w:r>
    </w:p>
    <w:p>
      <w:pPr>
        <w:spacing w:after="0" w:line="96" w:lineRule="exact"/>
        <w:rPr>
          <w:sz w:val="20"/>
          <w:szCs w:val="20"/>
          <w:color w:val="auto"/>
        </w:rPr>
      </w:pPr>
    </w:p>
    <w:p>
      <w:pPr>
        <w:ind w:right="580" w:firstLine="382"/>
        <w:spacing w:after="0" w:line="287" w:lineRule="auto"/>
        <w:rPr>
          <w:sz w:val="20"/>
          <w:szCs w:val="20"/>
          <w:color w:val="auto"/>
        </w:rPr>
      </w:pPr>
      <w:r>
        <w:rPr>
          <w:rFonts w:ascii="Times New Roman" w:cs="Times New Roman" w:eastAsia="Times New Roman" w:hAnsi="Times New Roman"/>
          <w:sz w:val="14"/>
          <w:szCs w:val="14"/>
          <w:color w:val="auto"/>
        </w:rPr>
        <w:t>BTLA, or B and T lymphocyte attenuator, is an inhibitory checkpoint receptor that regulates T cells, B cells, and dendritic cell function. BTLA is expressed only on immune cells and preferentially on activated immune cells, potentially enabling a broad mechanism of action while avoiding off-target activity.</w:t>
      </w:r>
    </w:p>
    <w:p>
      <w:pPr>
        <w:spacing w:after="0" w:line="39" w:lineRule="exact"/>
        <w:rPr>
          <w:sz w:val="20"/>
          <w:szCs w:val="20"/>
          <w:color w:val="auto"/>
        </w:rPr>
      </w:pPr>
    </w:p>
    <w:p>
      <w:pPr>
        <w:jc w:val="both"/>
        <w:ind w:right="20" w:firstLine="382"/>
        <w:spacing w:after="0" w:line="270" w:lineRule="auto"/>
        <w:rPr>
          <w:sz w:val="20"/>
          <w:szCs w:val="20"/>
          <w:color w:val="auto"/>
        </w:rPr>
      </w:pPr>
      <w:r>
        <w:rPr>
          <w:rFonts w:ascii="Times New Roman" w:cs="Times New Roman" w:eastAsia="Times New Roman" w:hAnsi="Times New Roman"/>
          <w:sz w:val="14"/>
          <w:szCs w:val="14"/>
          <w:color w:val="auto"/>
        </w:rPr>
        <w:t>ANB032 is an IgG4 non-depleting antibody that binds to BTLA, and is anticipated to down-modulate the activity of T cells, B cells and dendritic cells both in inflamed tissue and the periphery via: agonism resulting in inhibition of T cell expansion and migration, broad reduction of inflammatory Th1, Th2, Th17 and Th22 cytokines, and modulation of dendritic cells including inhibition of dendritic cell maturation, reduction in costimulatory molecule expression, and enhanced inducement of Tregs.</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 xml:space="preserve">In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studies, ANB032 demonstrated potent agonism and, in a murine model of GvHD, demonstrated superior disease-modification compared to control antibodies.</w:t>
      </w:r>
    </w:p>
    <w:p>
      <w:pPr>
        <w:spacing w:after="0" w:line="96"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We announced positive top-line data from a healthy volunteer Phase 1 trial of ANB032, under a CTN, in April 2022. A total of 96 subjects were enrolled in the randomized, double-blind, placebo-controlled healthy volunteer Phase 1 trial, where SAD cohorts received subcutaneous or IV single doses of ANB032 or placebo, while MAD cohorts received four weekly subcutaneous doses of ANB032 or placebo. ANB032 was generally well-tolerated and no dose limiting toxicities were observed. No SAEs were reported. ANB032 demonstrated a favorable PK profile with an estimated two-week half-life for subcutaneous and IV routes of administration. Full BTLA receptor occupancy was observed rapidly and was maintained for at least 30 days.</w:t>
      </w:r>
    </w:p>
    <w:p>
      <w:pPr>
        <w:spacing w:after="0" w:line="56" w:lineRule="exact"/>
        <w:rPr>
          <w:sz w:val="20"/>
          <w:szCs w:val="20"/>
          <w:color w:val="auto"/>
        </w:rPr>
      </w:pPr>
    </w:p>
    <w:p>
      <w:pPr>
        <w:ind w:right="120" w:firstLine="382"/>
        <w:spacing w:after="0" w:line="287" w:lineRule="auto"/>
        <w:rPr>
          <w:sz w:val="20"/>
          <w:szCs w:val="20"/>
          <w:color w:val="auto"/>
        </w:rPr>
      </w:pPr>
      <w:r>
        <w:rPr>
          <w:rFonts w:ascii="Times New Roman" w:cs="Times New Roman" w:eastAsia="Times New Roman" w:hAnsi="Times New Roman"/>
          <w:sz w:val="14"/>
          <w:szCs w:val="14"/>
          <w:color w:val="auto"/>
        </w:rPr>
        <w:t>While Th2 targeted therapies provide benefit to patients with chronic moderate-to-severe atopic dermatitis (“AD”), there is compelling evidence that AD is broader than a Th2 driven disease, as Th1, Th17, Th22 and other cell types,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26" w:name="page27"/>
    <w:bookmarkEnd w:id="26"/>
    <w:p>
      <w:pPr>
        <w:ind w:right="480"/>
        <w:spacing w:after="0" w:line="287" w:lineRule="auto"/>
        <w:rPr>
          <w:sz w:val="20"/>
          <w:szCs w:val="20"/>
          <w:color w:val="auto"/>
        </w:rPr>
      </w:pPr>
      <w:r>
        <w:rPr>
          <w:rFonts w:ascii="Times New Roman" w:cs="Times New Roman" w:eastAsia="Times New Roman" w:hAnsi="Times New Roman"/>
          <w:sz w:val="14"/>
          <w:szCs w:val="14"/>
          <w:color w:val="auto"/>
        </w:rPr>
        <w:t>dendritic cells, contribute significantly to the pathogenesis. ANB032 inhibition of inflammatory Th1, Th2, Th17 and Th22 activity, and modulation of additional cell types such as B cells and dendritic cells, creates the potential for broader, deeper and more durable responses than more narrowly targeted interventions.</w:t>
      </w:r>
    </w:p>
    <w:p>
      <w:pPr>
        <w:spacing w:after="0" w:line="39" w:lineRule="exact"/>
        <w:rPr>
          <w:sz w:val="20"/>
          <w:szCs w:val="20"/>
          <w:color w:val="auto"/>
        </w:rPr>
      </w:pPr>
    </w:p>
    <w:p>
      <w:pPr>
        <w:ind w:right="260" w:firstLine="382"/>
        <w:spacing w:after="0" w:line="270" w:lineRule="auto"/>
        <w:rPr>
          <w:sz w:val="20"/>
          <w:szCs w:val="20"/>
          <w:color w:val="auto"/>
        </w:rPr>
      </w:pPr>
      <w:r>
        <w:rPr>
          <w:rFonts w:ascii="Times New Roman" w:cs="Times New Roman" w:eastAsia="Times New Roman" w:hAnsi="Times New Roman"/>
          <w:sz w:val="14"/>
          <w:szCs w:val="14"/>
          <w:color w:val="auto"/>
        </w:rPr>
        <w:t>We are conducting a randomized placebo-controlled 160 patient global Phase 2b trial assessing three dose levels of subcutaneously administered ANB032 in moderate-to-severe AD for 12 weeks on well-established endpoints including EASI75, EASI90 and IGA 0/1 measured at week 14. Patients will then be followed for an additional 24 weeks after the final dose at week 12 to understand longer term safety as well as the potential for prolonged and sustained efficacy. We anticipate reporting top-line data on the primary endpoint from this trial by the end of 2024.</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ANB033</w:t>
      </w:r>
    </w:p>
    <w:p>
      <w:pPr>
        <w:spacing w:after="0" w:line="96" w:lineRule="exact"/>
        <w:rPr>
          <w:sz w:val="20"/>
          <w:szCs w:val="20"/>
          <w:color w:val="auto"/>
        </w:rPr>
      </w:pPr>
    </w:p>
    <w:p>
      <w:pPr>
        <w:ind w:right="140" w:firstLine="382"/>
        <w:spacing w:after="0" w:line="259" w:lineRule="auto"/>
        <w:rPr>
          <w:sz w:val="20"/>
          <w:szCs w:val="20"/>
          <w:color w:val="auto"/>
        </w:rPr>
      </w:pPr>
      <w:r>
        <w:rPr>
          <w:rFonts w:ascii="Times New Roman" w:cs="Times New Roman" w:eastAsia="Times New Roman" w:hAnsi="Times New Roman"/>
          <w:sz w:val="14"/>
          <w:szCs w:val="14"/>
          <w:color w:val="auto"/>
        </w:rPr>
        <w:t>ANB033 targets CD122, the common beta subunit shared by the IL-15 and IL-2 receptors. IL-15 and IL-2 signaling mediate the proliferation and survival of NK cells and certain CD8 T cell subsets. ANB033 is an antibody designed with an affinity to CD122 that inhibits IL-15 and IL-2 signaling through the low affinity IL-2 receptor (comprised of CD122 and the common gamma subunit, CD132) while sparing IL-2 signaling through the high affinity IL-2 receptor (comprised of CD122, CD132 and the alpha receptor subunit for IL-2, CD25) expressed by regulatory T cells. This leads to the potential to achieve and maintain remission of inflammation through the reduction of disease-causing NK cells and certain CD8 T cell subsets, while sparing regulatory T cells. By preventing the consumption of IL-2 by pathogenic cells that express the low affinity IL-2 receptor, circulating levels of IL-2 may increase, potentially enhancing regulatory T cell numbers that express the high affinity IL-2 receptor in the setting of inflammation. We anticipate submitting an IND for a Phase 1 clinical trial with ANB033 during the second quarter of 2024.</w:t>
      </w:r>
    </w:p>
    <w:p>
      <w:pPr>
        <w:spacing w:after="0" w:line="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ANB101</w:t>
      </w:r>
    </w:p>
    <w:p>
      <w:pPr>
        <w:spacing w:after="0" w:line="96"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Blood dendritic cell antigen 2 (“BDCA2”) is a molecule specifically expressed on plasmacytoid dendritic cells (“pDCs”), a class of immune cells which, while found in relatively small numbers in healthy patients, are enriched in patients with a variety of inflammatory diseases, that is critical to the regulation of toll-like receptor signaling and interferon secretion. pDCs are a key upstream node in the inflammatory cascade that serve as a bridge between innate and adaptive immunity. They have been shown to be prolific secretors of type I interferons, which drive activation of a variety of downstream cell types including T cells and monocytes. Together with their ability to present antigens to the adaptive immune system, this creates a pro-inflammatory environment for the establishment and perpetuation of autoimmune pathology. BDCA2 has been implicated in the pathophysiology of systemic lupus erythematosus (“SLE”), where there exists mechanistic clinical proof of concept for pDC modulation. ANB101 is a BDCA2 modulator antibody that targets pDCs and potently inhibits interferon secretion and modulates antigen presentation for the treatment of autoimmune and inflammatory diseases. We anticipate submitting an IND for a Phase 1 clinical trial with ANB101 during the second half of 2024.</w:t>
      </w:r>
    </w:p>
    <w:p>
      <w:pPr>
        <w:spacing w:after="0" w:line="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Imsidolimab</w:t>
      </w:r>
    </w:p>
    <w:p>
      <w:pPr>
        <w:spacing w:after="0" w:line="96" w:lineRule="exact"/>
        <w:rPr>
          <w:sz w:val="20"/>
          <w:szCs w:val="20"/>
          <w:color w:val="auto"/>
        </w:rPr>
      </w:pPr>
    </w:p>
    <w:p>
      <w:pPr>
        <w:jc w:val="both"/>
        <w:ind w:right="140" w:firstLine="382"/>
        <w:spacing w:after="0" w:line="270" w:lineRule="auto"/>
        <w:rPr>
          <w:sz w:val="20"/>
          <w:szCs w:val="20"/>
          <w:color w:val="auto"/>
        </w:rPr>
      </w:pPr>
      <w:r>
        <w:rPr>
          <w:rFonts w:ascii="Times New Roman" w:cs="Times New Roman" w:eastAsia="Times New Roman" w:hAnsi="Times New Roman"/>
          <w:sz w:val="14"/>
          <w:szCs w:val="14"/>
          <w:color w:val="auto"/>
        </w:rPr>
        <w:t>Imsidolimab is an IgG4 antibody that inhibits the function of the interleukin-36-receptor, or IL-36R, that is being developed for the treatment of GPP. We completed a Phase 1 clinical trial in healthy volunteers, which was presented at the European Academy of Allergy and Clinical Immunology in 2018, where imsidolimab was well-tolerated, no dose-limiting toxicities were observed, and no SAEs were reported. In July 2020, the FDA granted Orphan Drug Designation for imsidolimab for the treatment of patients with GPP.</w:t>
      </w:r>
    </w:p>
    <w:p>
      <w:pPr>
        <w:spacing w:after="0" w:line="51"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We completed two Phase 3 clinical trials for imsidolimab in GPP. The first randomized placebo-controlled trial, called GEMINI-1, in 45 patients, assessed two, single dose levels of intravenous (IV)-administered imsidolimab. As of October 2023, of the patients who received a single dose of 750mg IV imsidolimab, 53% achieved GPP Physician Global Assessment (“GPPPGA”) 0/1 (clear or almost clear) at Week 4, our primary endpoint, compared to 13% of patients on placebo (p=0.0131). Of the 15 patients who received a single dose of 300mg IV imsidolimab, 53% achieved GPPPGA 0/1 at Week 4.</w:t>
      </w:r>
    </w:p>
    <w:p>
      <w:pPr>
        <w:spacing w:after="0" w:line="56" w:lineRule="exact"/>
        <w:rPr>
          <w:sz w:val="20"/>
          <w:szCs w:val="20"/>
          <w:color w:val="auto"/>
        </w:rPr>
      </w:pPr>
    </w:p>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The GPPPGA assessment, representing a stringent and comprehensive characterization of disease severity, required satisfying an overall clinical response score of 0/1 collectively across each GPP disease attribute, including pustulation, erythema and scaling.</w:t>
      </w:r>
    </w:p>
    <w:p>
      <w:pPr>
        <w:spacing w:after="0" w:line="39" w:lineRule="exact"/>
        <w:rPr>
          <w:sz w:val="20"/>
          <w:szCs w:val="20"/>
          <w:color w:val="auto"/>
        </w:rPr>
      </w:pPr>
    </w:p>
    <w:p>
      <w:pPr>
        <w:ind w:right="20" w:firstLine="382"/>
        <w:spacing w:after="0" w:line="270" w:lineRule="auto"/>
        <w:rPr>
          <w:sz w:val="20"/>
          <w:szCs w:val="20"/>
          <w:color w:val="auto"/>
        </w:rPr>
      </w:pPr>
      <w:r>
        <w:rPr>
          <w:rFonts w:ascii="Times New Roman" w:cs="Times New Roman" w:eastAsia="Times New Roman" w:hAnsi="Times New Roman"/>
          <w:sz w:val="14"/>
          <w:szCs w:val="14"/>
          <w:color w:val="auto"/>
        </w:rPr>
        <w:t>Patients completing the GEMINI-1 trial were eligible to be subsequently enrolled in GEMINI-2, our second Phase 3 trial for imsidolimab in GPP, where they received monthly doses of 200mg subcutaneous (“SC”) imsidolimab or placebo. The objective of GEMINI-2 was to assess the safety and efficacy of imsidolimab for maintenance of response, and the prevention of GPP flares with monthly SC dosing.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3" w:right="339" w:bottom="1440" w:gutter="0" w:footer="0" w:header="0"/>
        </w:sectPr>
      </w:pPr>
    </w:p>
    <w:bookmarkStart w:id="27" w:name="page28"/>
    <w:bookmarkEnd w:id="27"/>
    <w:p>
      <w:pPr>
        <w:ind w:right="220" w:firstLine="382"/>
        <w:spacing w:after="0" w:line="264" w:lineRule="auto"/>
        <w:rPr>
          <w:sz w:val="20"/>
          <w:szCs w:val="20"/>
          <w:color w:val="auto"/>
        </w:rPr>
      </w:pPr>
      <w:r>
        <w:rPr>
          <w:rFonts w:ascii="Times New Roman" w:cs="Times New Roman" w:eastAsia="Times New Roman" w:hAnsi="Times New Roman"/>
          <w:sz w:val="14"/>
          <w:szCs w:val="14"/>
          <w:color w:val="auto"/>
        </w:rPr>
        <w:t>Sixteen GPPPGA 0/1 responder patients from GEMINI-1 were subsequently re-randomized to monthly maintenance dosing of either 200mg SC imsidolimab or placebo in the GEMINI-2 Phase 3 trial. Patients were followed for at least 24 weeks and up to a maximum of 92 weeks. Of the eight responding patients from GEMINI-1 who were re-randomized to monthly 200mg SC imsidolimab maintenance therapy, 100% maintained a GPPPGA score of 0/1 and none of them experienced a flare. Of the remaining eight responding patients from GEMINI-1 who were re-randomized to placebo, 25% maintained a GPPPGA score of 0/1 and 63% experienced a flare.</w:t>
      </w:r>
    </w:p>
    <w:p>
      <w:pPr>
        <w:spacing w:after="0" w:line="56"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Data from both trials demonstrate a consistent, favorable safety and tolerability profile with no treatment-related serious adverse events (“SAEs”) or SAEs leading to discontinuation reported in imsidolimab-treated patients. Additionally, the data demonstrated low incidence and no elevation of infections versus placebo; no cases reported of Drug Reaction with Eosinophilia and Systemic Symptoms (“DRESS”) or Guillain-Barre syndrome (“GBS”); no infusion reactions and overall incidence of anti-drug antibodies (“ADA”) was low and, when detected, determined to be non-neutralizing.</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intend to out-license imsidolimab in 2024.</w:t>
      </w:r>
    </w:p>
    <w:p>
      <w:pPr>
        <w:spacing w:after="0" w:line="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Etokimab</w:t>
      </w:r>
    </w:p>
    <w:p>
      <w:pPr>
        <w:spacing w:after="0" w:line="96"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Etokimab inhibits IL-33 function and acts upstream of key cell types involved in atopy and the subsequent release of Th2 cytokines. IL-33 is a pro-inflammatory cytokine that signals through the ST2 receptor, which multiple studies suggest serves as a central mediator of various immune responses leading to Th2-type inflammatory disorders, including asthma, COPD, atopic and other epithelial-driven diseases.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which are associated with atopic diseases. IL-33 also acts on Th2 effector cells and Innate Lymphoid Cell Type 2 (ILC2), two types of white blood cells that initiate and orchestrate atopic responses. We have no ongoing clinical trials of etokimab and etokimab is available to out-license.</w:t>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certain key information about our wholly owned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243840</wp:posOffset>
            </wp:positionV>
            <wp:extent cx="4608195" cy="26676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608195" cy="266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313"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Collaborative Programs</w:t>
      </w:r>
    </w:p>
    <w:p>
      <w:pPr>
        <w:spacing w:after="0" w:line="96"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Multiple Company-discovered antibody programs have been advanced to preclinical and clinical milestones under our collaborations. Our collaborations include an immuno-oncology-focused collaboration with GSK.</w:t>
      </w:r>
    </w:p>
    <w:p>
      <w:pPr>
        <w:spacing w:after="0" w:line="37"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 xml:space="preserve">Under the GSK Agreement, a BLA for our most advanced partnered program, which is an anti-PD-1 antagonist antibody called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(dostarlimab), was approved by the FDA in April 2021 for the treatment of advanced or recurrent deficient mismatch repair endometrial cancer (“dMMREC”). In February 2023, the FDA granted full approval for this indication (from an accelerated approval). In addition, in April 2021 the European Medicines Agency (“EMA”) granted conditional marketing authorization in the European Union (“EU”) for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for use in women with mismatch repair deficient (“dMMR”)/microsatellite instability-high (“MSI-H”) recurrent or advanced endometrial cancer who have progressed on or following prior treatment with a platinum containing regimen. A second FDA approval was received in August 2021 for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in pan-deficient mismatch repair tumors (PdMMRT). In July 2023, the FDA approved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in combination with chemotherapy for the treatment of adult patients with dMMR MSI-H primary advanced or recurrent endometrial cancer. In December 2023, the EMA approved, in the EU,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plus chemotherapy for dMMR/MSI-H primary advanced or recurrent endometrial cancer.</w:t>
      </w:r>
    </w:p>
    <w:p>
      <w:pPr>
        <w:spacing w:after="0" w:line="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Jemperli </w:t>
      </w:r>
      <w:r>
        <w:rPr>
          <w:rFonts w:ascii="Times New Roman" w:cs="Times New Roman" w:eastAsia="Times New Roman" w:hAnsi="Times New Roman"/>
          <w:sz w:val="14"/>
          <w:szCs w:val="14"/>
          <w:color w:val="auto"/>
        </w:rPr>
        <w:t>is in clinical trials for various solid tumor indications, including a Phase 3 trial in first-line ovarian cancer with top-line results expected in the second half of 2024.</w:t>
      </w:r>
    </w:p>
    <w:p>
      <w:pPr>
        <w:spacing w:after="0" w:line="96" w:lineRule="exact"/>
        <w:rPr>
          <w:sz w:val="20"/>
          <w:szCs w:val="20"/>
          <w:color w:val="auto"/>
        </w:rPr>
      </w:pPr>
    </w:p>
    <w:p>
      <w:pPr>
        <w:ind w:right="280" w:firstLine="382"/>
        <w:spacing w:after="0" w:line="270" w:lineRule="auto"/>
        <w:rPr>
          <w:sz w:val="20"/>
          <w:szCs w:val="20"/>
          <w:color w:val="auto"/>
        </w:rPr>
      </w:pPr>
      <w:r>
        <w:rPr>
          <w:rFonts w:ascii="Times New Roman" w:cs="Times New Roman" w:eastAsia="Times New Roman" w:hAnsi="Times New Roman"/>
          <w:sz w:val="14"/>
          <w:szCs w:val="14"/>
          <w:color w:val="auto"/>
        </w:rPr>
        <w:t>In addition, under the collaboration, GSK is developing dostarlimab in combination with another development program from the GSK Agreement, including cobolimab, an anti-TIM-3 antibody. GSK is conducting a Phase 3 trial, COSTAR Lung, which is a randomized, open label 3-arm trial comparing cobolimab plus dostarlimab plus docetaxel to dostarlimab plus docetaxel to docetaxel alone in patients with advanced non-small-cell lung cancer (“NSCLC”) who have progressed on prior anti-PD-(L)1 therapy and chemotherapy with top-line results expected in 2025.</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For more information about these collaborations, see Note 4 — Collaborative Research and Development Agreements in the accompanying notes to the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Operating Results</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Collaboration Revenue</w:t>
      </w:r>
    </w:p>
    <w:p>
      <w:pPr>
        <w:spacing w:after="0" w:line="96" w:lineRule="exact"/>
        <w:rPr>
          <w:sz w:val="20"/>
          <w:szCs w:val="20"/>
          <w:color w:val="auto"/>
        </w:rPr>
      </w:pPr>
    </w:p>
    <w:p>
      <w:pPr>
        <w:ind w:right="160" w:firstLine="382"/>
        <w:spacing w:after="0" w:line="287" w:lineRule="auto"/>
        <w:rPr>
          <w:sz w:val="20"/>
          <w:szCs w:val="20"/>
          <w:color w:val="auto"/>
        </w:rPr>
      </w:pPr>
      <w:r>
        <w:rPr>
          <w:rFonts w:ascii="Times New Roman" w:cs="Times New Roman" w:eastAsia="Times New Roman" w:hAnsi="Times New Roman"/>
          <w:sz w:val="14"/>
          <w:szCs w:val="14"/>
          <w:color w:val="auto"/>
        </w:rPr>
        <w:t>Our revenue has been derived from amortization of upfront license payments, research and development funding, milestone and royalty payments under collaboration and license agreements with our collaborators. From inception through March 31, 2024, we have recognized $262.4 million in revenue from our collaborators. We have not generated any revenue from product sales.</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w:t>
      </w:r>
    </w:p>
    <w:p>
      <w:pPr>
        <w:spacing w:after="0" w:line="96" w:lineRule="exact"/>
        <w:rPr>
          <w:sz w:val="20"/>
          <w:szCs w:val="20"/>
          <w:color w:val="auto"/>
        </w:rPr>
      </w:pPr>
    </w:p>
    <w:p>
      <w:pPr>
        <w:ind w:right="360" w:firstLine="382"/>
        <w:spacing w:after="0" w:line="287" w:lineRule="auto"/>
        <w:rPr>
          <w:sz w:val="20"/>
          <w:szCs w:val="20"/>
          <w:color w:val="auto"/>
        </w:rPr>
      </w:pPr>
      <w:r>
        <w:rPr>
          <w:rFonts w:ascii="Times New Roman" w:cs="Times New Roman" w:eastAsia="Times New Roman" w:hAnsi="Times New Roman"/>
          <w:sz w:val="14"/>
          <w:szCs w:val="14"/>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39" w:lineRule="exact"/>
        <w:rPr>
          <w:sz w:val="20"/>
          <w:szCs w:val="20"/>
          <w:color w:val="auto"/>
        </w:rPr>
      </w:pPr>
    </w:p>
    <w:p>
      <w:pPr>
        <w:ind w:left="700" w:right="40" w:hanging="313"/>
        <w:spacing w:after="0" w:line="287" w:lineRule="auto"/>
        <w:tabs>
          <w:tab w:leader="none" w:pos="69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 research and development expenses incurred under arrangements with third parties, such as contract research organizations (“CROs”), consultants, members of our scientific and therapeutic advisory boards, and contract manufacturing organizations (“CMOs”);</w:t>
      </w:r>
    </w:p>
    <w:p>
      <w:pPr>
        <w:spacing w:after="0" w:line="39"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Employee-related expenses, including salaries, benefits, travel, and stock-based compensation;</w:t>
      </w:r>
    </w:p>
    <w:p>
      <w:pPr>
        <w:spacing w:after="0" w:line="93" w:lineRule="exact"/>
        <w:rPr>
          <w:rFonts w:ascii="Times New Roman" w:cs="Times New Roman" w:eastAsia="Times New Roman" w:hAnsi="Times New Roman"/>
          <w:sz w:val="14"/>
          <w:szCs w:val="14"/>
          <w:color w:val="auto"/>
        </w:rPr>
      </w:pPr>
    </w:p>
    <w:p>
      <w:pPr>
        <w:ind w:left="700" w:right="380" w:hanging="313"/>
        <w:spacing w:after="0" w:line="287" w:lineRule="auto"/>
        <w:tabs>
          <w:tab w:leader="none" w:pos="69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Facilities, depreciation and other allocated expenses, which include direct and allocated expenses for rent and maintenance of facilities, depreciation of leasehold improvements and equipment, and laboratory supplies; and</w:t>
      </w:r>
    </w:p>
    <w:p>
      <w:pPr>
        <w:spacing w:after="0" w:line="39"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License and sub-license fees.</w:t>
      </w:r>
    </w:p>
    <w:p>
      <w:pPr>
        <w:spacing w:after="0" w:line="94" w:lineRule="exact"/>
        <w:rPr>
          <w:sz w:val="20"/>
          <w:szCs w:val="20"/>
          <w:color w:val="auto"/>
        </w:rPr>
      </w:pPr>
    </w:p>
    <w:p>
      <w:pPr>
        <w:ind w:right="180" w:firstLine="382"/>
        <w:spacing w:after="0" w:line="287" w:lineRule="auto"/>
        <w:rPr>
          <w:sz w:val="20"/>
          <w:szCs w:val="20"/>
          <w:color w:val="auto"/>
        </w:rPr>
      </w:pPr>
      <w:r>
        <w:rPr>
          <w:rFonts w:ascii="Times New Roman" w:cs="Times New Roman" w:eastAsia="Times New Roman" w:hAnsi="Times New Roman"/>
          <w:sz w:val="14"/>
          <w:szCs w:val="14"/>
          <w:color w:val="auto"/>
        </w:rPr>
        <w:t>We may also incur in-process research and development expenses as we acquire assets from other parties. Acquired in-process research and development costs that have no alternative future use are immediately expensed.</w:t>
      </w:r>
    </w:p>
    <w:p>
      <w:pPr>
        <w:spacing w:after="0" w:line="39" w:lineRule="exact"/>
        <w:rPr>
          <w:sz w:val="20"/>
          <w:szCs w:val="20"/>
          <w:color w:val="auto"/>
        </w:r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3" w:right="319" w:bottom="1440" w:gutter="0" w:footer="0" w:header="0"/>
        </w:sectPr>
      </w:pPr>
    </w:p>
    <w:bookmarkStart w:id="29" w:name="page30"/>
    <w:bookmarkEnd w:id="29"/>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toxicology and pharmacology studies, manufacturing, and clinical trials.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expect our research and development expenses to be higher for the foreseeable future as we continue to advance our product candidates.</w:t>
      </w:r>
    </w:p>
    <w:p>
      <w:pPr>
        <w:spacing w:after="0" w:line="1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w:t>
      </w:r>
    </w:p>
    <w:p>
      <w:pPr>
        <w:spacing w:after="0" w:line="96" w:lineRule="exact"/>
        <w:rPr>
          <w:sz w:val="20"/>
          <w:szCs w:val="20"/>
          <w:color w:val="auto"/>
        </w:rPr>
      </w:pPr>
    </w:p>
    <w:p>
      <w:pPr>
        <w:ind w:right="40" w:firstLine="382"/>
        <w:spacing w:after="0" w:line="270" w:lineRule="auto"/>
        <w:rPr>
          <w:sz w:val="20"/>
          <w:szCs w:val="20"/>
          <w:color w:val="auto"/>
        </w:rPr>
      </w:pPr>
      <w:r>
        <w:rPr>
          <w:rFonts w:ascii="Times New Roman" w:cs="Times New Roman" w:eastAsia="Times New Roman" w:hAnsi="Times New Roman"/>
          <w:sz w:val="14"/>
          <w:szCs w:val="14"/>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1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Non-cash Interest Expense for the Sale of Future Royalties</w:t>
      </w:r>
    </w:p>
    <w:p>
      <w:pPr>
        <w:spacing w:after="0" w:line="96" w:lineRule="exact"/>
        <w:rPr>
          <w:sz w:val="20"/>
          <w:szCs w:val="20"/>
          <w:color w:val="auto"/>
        </w:rPr>
      </w:pPr>
    </w:p>
    <w:p>
      <w:pPr>
        <w:ind w:firstLine="446"/>
        <w:spacing w:after="0" w:line="267" w:lineRule="auto"/>
        <w:rPr>
          <w:sz w:val="20"/>
          <w:szCs w:val="20"/>
          <w:color w:val="auto"/>
        </w:rPr>
      </w:pPr>
      <w:r>
        <w:rPr>
          <w:rFonts w:ascii="Times New Roman" w:cs="Times New Roman" w:eastAsia="Times New Roman" w:hAnsi="Times New Roman"/>
          <w:sz w:val="14"/>
          <w:szCs w:val="14"/>
          <w:color w:val="auto"/>
        </w:rPr>
        <w:t>Non-cash interest expense for the sale of future royalties consists of interest related to the liability for the sale of future royalties, as well as the amortization of debt issuance costs. We impute interest on the unamortized portion of the liability for the sale of future royalties using the effective interest method and record interest expense based on timing of the payments over the term of the Royalty Monetization Agreements. Our estimate of the interest rate under the arrangements is based on forecasted royalty and milestone payments expected to be made over the life of the agreements.</w:t>
      </w:r>
    </w:p>
    <w:p>
      <w:pPr>
        <w:spacing w:after="0" w:line="3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Interest income consists primarily of interest earned on our short-term and long-term investments and is recognized when earned.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Use of Estimates</w:t>
      </w:r>
    </w:p>
    <w:p>
      <w:pPr>
        <w:spacing w:after="0" w:line="96" w:lineRule="exact"/>
        <w:rPr>
          <w:sz w:val="20"/>
          <w:szCs w:val="20"/>
          <w:color w:val="auto"/>
        </w:rPr>
      </w:pPr>
    </w:p>
    <w:p>
      <w:pPr>
        <w:ind w:right="40" w:firstLine="382"/>
        <w:spacing w:after="0" w:line="259" w:lineRule="auto"/>
        <w:rPr>
          <w:sz w:val="20"/>
          <w:szCs w:val="20"/>
          <w:color w:val="auto"/>
        </w:rPr>
      </w:pPr>
      <w:r>
        <w:rPr>
          <w:rFonts w:ascii="Times New Roman" w:cs="Times New Roman" w:eastAsia="Times New Roman" w:hAnsi="Times New Roman"/>
          <w:sz w:val="14"/>
          <w:szCs w:val="14"/>
          <w:color w:val="auto"/>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Annual Report on Form 10-K filed with the Securities and Exchange Commission (the “SEC”) on March 11,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 – Comparison of the Three Months Ended March 31, 2024 and 2023</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Collaboration Revenue</w:t>
      </w:r>
    </w:p>
    <w:p>
      <w:pPr>
        <w:spacing w:after="0" w:line="96" w:lineRule="exact"/>
        <w:rPr>
          <w:sz w:val="20"/>
          <w:szCs w:val="20"/>
          <w:color w:val="auto"/>
        </w:rPr>
      </w:pPr>
    </w:p>
    <w:p>
      <w:pPr>
        <w:ind w:right="60" w:firstLine="382"/>
        <w:spacing w:after="0" w:line="270" w:lineRule="auto"/>
        <w:rPr>
          <w:sz w:val="20"/>
          <w:szCs w:val="20"/>
          <w:color w:val="auto"/>
        </w:rPr>
      </w:pPr>
      <w:r>
        <w:rPr>
          <w:rFonts w:ascii="Times New Roman" w:cs="Times New Roman" w:eastAsia="Times New Roman" w:hAnsi="Times New Roman"/>
          <w:sz w:val="14"/>
          <w:szCs w:val="14"/>
          <w:color w:val="auto"/>
        </w:rPr>
        <w:t>Collaboration revenue consists of both milestone payments under the collaborations, and royalty payments. We recognized $0 in milestone revenue during each of the three months ended March 31, 2024 and 2023. We expect that any collaboration revenue we generate will continue to fluctuate from period to period as a result of the timing and amount of milestones from our existing collaborations.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Royalty revenue is a function of our partners’ product sales and the applicable royalty rate. During the three months ended March 31, 2024 and 2023, we recognized $7.2 million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$1.4 million, respectively, related to the net sales of GSK’s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and Zejula, which we estimate based on either GSK’s prior sales experience or actuals. All royalty revenue related to Zejula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global net sales starting July 2022 are paid directly to a wholly owned subsidiary of DRI Healthcare Trust pursuant to the Zejula Royalty Monetization Agreement. For more information see Note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Sale of Future Royalties in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13" w:right="379" w:bottom="1440" w:gutter="0" w:footer="0" w:header="0"/>
        </w:sectPr>
      </w:pPr>
    </w:p>
    <w:bookmarkStart w:id="30" w:name="page31"/>
    <w:bookmarkEnd w:id="30"/>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96" w:lineRule="exact"/>
        <w:rPr>
          <w:sz w:val="20"/>
          <w:szCs w:val="20"/>
          <w:color w:val="auto"/>
        </w:rPr>
      </w:pPr>
    </w:p>
    <w:p>
      <w:pPr>
        <w:ind w:right="240" w:firstLine="382"/>
        <w:spacing w:after="0" w:line="270" w:lineRule="auto"/>
        <w:rPr>
          <w:sz w:val="20"/>
          <w:szCs w:val="20"/>
          <w:color w:val="auto"/>
        </w:rPr>
      </w:pPr>
      <w:r>
        <w:rPr>
          <w:rFonts w:ascii="Times New Roman" w:cs="Times New Roman" w:eastAsia="Times New Roman" w:hAnsi="Times New Roman"/>
          <w:sz w:val="14"/>
          <w:szCs w:val="14"/>
          <w:color w:val="auto"/>
        </w:rPr>
        <w:t>Research and development expenses were $37.0 million during the three months ended March 31, 2024 compared to $35.0 million during the three months ended March 31, 2023 for an increase of $2.0 million, primarily due to a $5.6 million increase in clinical expenses, $3.1 million increase in salaries and related expenses, including stock-based compensation expense, and $0.5 million increase in other research and development expenses, offset by a decrease of $7.2 million in outside services for manufacturing expenses.</w:t>
      </w:r>
    </w:p>
    <w:p>
      <w:pPr>
        <w:spacing w:after="0" w:line="51" w:lineRule="exact"/>
        <w:rPr>
          <w:sz w:val="20"/>
          <w:szCs w:val="20"/>
          <w:color w:val="auto"/>
        </w:rPr>
      </w:pPr>
    </w:p>
    <w:p>
      <w:pPr>
        <w:ind w:right="200" w:firstLine="382"/>
        <w:spacing w:after="0" w:line="261" w:lineRule="auto"/>
        <w:rPr>
          <w:sz w:val="20"/>
          <w:szCs w:val="20"/>
          <w:color w:val="auto"/>
        </w:rPr>
      </w:pPr>
      <w:r>
        <w:rPr>
          <w:rFonts w:ascii="Times New Roman" w:cs="Times New Roman" w:eastAsia="Times New Roman" w:hAnsi="Times New Roman"/>
          <w:sz w:val="14"/>
          <w:szCs w:val="14"/>
          <w:color w:val="auto"/>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gridSpan w:val="5"/>
          </w:tcPr>
          <w:p>
            <w:pPr>
              <w:ind w:left="36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0"/>
        </w:trPr>
        <w:tc>
          <w:tcPr>
            <w:tcW w:w="78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4"/>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Increase/(Decrease)</w:t>
            </w:r>
          </w:p>
        </w:tc>
      </w:tr>
      <w:tr>
        <w:trPr>
          <w:trHeight w:val="16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External Costs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80"/>
        </w:trPr>
        <w:tc>
          <w:tcPr>
            <w:tcW w:w="7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Rosnilimab</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10,038</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2,605</w:t>
            </w:r>
          </w:p>
        </w:tc>
        <w:tc>
          <w:tcPr>
            <w:tcW w:w="100" w:type="dxa"/>
            <w:vAlign w:val="bottom"/>
          </w:tcPr>
          <w:p>
            <w:pPr>
              <w:spacing w:after="0"/>
              <w:rPr>
                <w:sz w:val="15"/>
                <w:szCs w:val="15"/>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7,433</w:t>
            </w:r>
          </w:p>
        </w:tc>
      </w:tr>
      <w:tr>
        <w:trPr>
          <w:trHeight w:val="180"/>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ANB032</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w:t>
            </w:r>
          </w:p>
        </w:tc>
      </w:tr>
      <w:tr>
        <w:trPr>
          <w:trHeight w:val="180"/>
        </w:trPr>
        <w:tc>
          <w:tcPr>
            <w:tcW w:w="7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ANB033</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80"/>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ANB101</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80"/>
        </w:trPr>
        <w:tc>
          <w:tcPr>
            <w:tcW w:w="7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Imsidolimab</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(10,967)</w:t>
            </w:r>
          </w:p>
        </w:tc>
      </w:tr>
      <w:tr>
        <w:trPr>
          <w:trHeight w:val="180"/>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Preclinical and other unallocated costs</w:t>
            </w: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3,689</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r>
      <w:tr>
        <w:trPr>
          <w:trHeight w:val="17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External Costs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Internal Costs</w:t>
            </w: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3,117</w:t>
            </w:r>
          </w:p>
        </w:tc>
      </w:tr>
      <w:tr>
        <w:trPr>
          <w:trHeight w:val="17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Costs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37,042</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34,957</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2,085</w:t>
            </w: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96" w:lineRule="exact"/>
        <w:rPr>
          <w:sz w:val="20"/>
          <w:szCs w:val="20"/>
          <w:color w:val="auto"/>
        </w:rPr>
      </w:pPr>
    </w:p>
    <w:p>
      <w:pPr>
        <w:ind w:right="140" w:firstLine="382"/>
        <w:spacing w:after="0" w:line="270" w:lineRule="auto"/>
        <w:rPr>
          <w:sz w:val="20"/>
          <w:szCs w:val="20"/>
          <w:color w:val="auto"/>
        </w:rPr>
      </w:pPr>
      <w:r>
        <w:rPr>
          <w:rFonts w:ascii="Times New Roman" w:cs="Times New Roman" w:eastAsia="Times New Roman" w:hAnsi="Times New Roman"/>
          <w:sz w:val="14"/>
          <w:szCs w:val="14"/>
          <w:color w:val="auto"/>
        </w:rPr>
        <w:t>General and administrative expenses were $12.3 million during the three months ended March 31, 2024 compared to $10.8 million during the three months ended March 31, 2023 for an increase of $1.5 million, primarily due to a $1.5 million increase in personnel costs, including stock-based compensation expense, $0.4 million increase in legal and other general and administrative expenses, offset by a $0.4 million decrease in market research cost and insurance expense.</w:t>
      </w:r>
    </w:p>
    <w:p>
      <w:pPr>
        <w:spacing w:after="0" w:line="51" w:lineRule="exact"/>
        <w:rPr>
          <w:sz w:val="20"/>
          <w:szCs w:val="20"/>
          <w:color w:val="auto"/>
        </w:rPr>
      </w:pPr>
    </w:p>
    <w:p>
      <w:pPr>
        <w:ind w:right="260" w:firstLine="446"/>
        <w:spacing w:after="0" w:line="270" w:lineRule="auto"/>
        <w:rPr>
          <w:sz w:val="20"/>
          <w:szCs w:val="20"/>
          <w:color w:val="auto"/>
        </w:rPr>
      </w:pPr>
      <w:r>
        <w:rPr>
          <w:rFonts w:ascii="Times New Roman" w:cs="Times New Roman" w:eastAsia="Times New Roman" w:hAnsi="Times New Roman"/>
          <w:sz w:val="14"/>
          <w:szCs w:val="14"/>
          <w:color w:val="auto"/>
        </w:rPr>
        <w:t>We expect that our general and administrative expenses will increase for the foreseeable future as we incur costs associated with being a publicly traded company, including stock compensation expense,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spacing w:after="0" w:line="1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Non-Cash Interest Expense for the Sale of Future Royalties</w:t>
      </w:r>
    </w:p>
    <w:p>
      <w:pPr>
        <w:spacing w:after="0" w:line="96"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 xml:space="preserve">Non-cash interest expense was $6.3 million and $4.3 million during the three months ended March 31, 2024 and 2023, respectively. The increase of $2.0 million in non-cash interest expense is due to increased GSK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sales which changed the expected timing for Sagard to be paid per the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Royalty Monetization Agreement.</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Interest income was $4.6 million and $4.5 million during the three months ended March 31, 2024 and 2023, respectively, which primarily related to our short-term and long-term investments.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interest income is due to higher interest rates earned on investments during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31" w:name="page32"/>
    <w:bookmarkEnd w:id="31"/>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Other Expense, Net</w:t>
      </w:r>
    </w:p>
    <w:p>
      <w:pPr>
        <w:spacing w:after="0" w:line="96" w:lineRule="exact"/>
        <w:rPr>
          <w:sz w:val="20"/>
          <w:szCs w:val="20"/>
          <w:color w:val="auto"/>
        </w:rPr>
      </w:pPr>
    </w:p>
    <w:p>
      <w:pPr>
        <w:ind w:right="440" w:firstLine="382"/>
        <w:spacing w:after="0" w:line="287" w:lineRule="auto"/>
        <w:rPr>
          <w:sz w:val="20"/>
          <w:szCs w:val="20"/>
          <w:color w:val="auto"/>
        </w:rPr>
      </w:pPr>
      <w:r>
        <w:rPr>
          <w:rFonts w:ascii="Times New Roman" w:cs="Times New Roman" w:eastAsia="Times New Roman" w:hAnsi="Times New Roman"/>
          <w:sz w:val="14"/>
          <w:szCs w:val="14"/>
          <w:color w:val="auto"/>
        </w:rPr>
        <w:t>Other expense, net was less than $0.1 million for the three months ended March 31, 2024 and 2023, which primarily related to foreign exchange transactions with our foreign CROs and CMOs.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6" w:lineRule="exact"/>
        <w:rPr>
          <w:sz w:val="20"/>
          <w:szCs w:val="20"/>
          <w:color w:val="auto"/>
        </w:rPr>
      </w:pPr>
    </w:p>
    <w:p>
      <w:pPr>
        <w:ind w:right="300" w:firstLine="382"/>
        <w:spacing w:after="0" w:line="287" w:lineRule="auto"/>
        <w:rPr>
          <w:sz w:val="20"/>
          <w:szCs w:val="20"/>
          <w:color w:val="auto"/>
        </w:rPr>
      </w:pPr>
      <w:r>
        <w:rPr>
          <w:rFonts w:ascii="Times New Roman" w:cs="Times New Roman" w:eastAsia="Times New Roman" w:hAnsi="Times New Roman"/>
          <w:sz w:val="14"/>
          <w:szCs w:val="14"/>
          <w:color w:val="auto"/>
        </w:rPr>
        <w:t>From our inception through March 31, 2024, we have received an aggregate of $1.2 billion to fund our operations, which included $638.1 million from the sale of equity securities, $285.0 million from the sale of future royalties, and $234.2 million from our collaboration agreements. As of March 31, 2024, we had $370.1 million in cash, cash equivalents and investments.</w:t>
      </w:r>
    </w:p>
    <w:p>
      <w:pPr>
        <w:spacing w:after="0" w:line="39"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including the GSK Agreement and the GSK Settlement Agreement. Our ability to earn these milestone and contingent payments and the timing of achieving these milestones is primarily dependent upon the outcome of our collaborators’ research and development activities. Our rights to payments under our collaboration agreements are our only committed external source of funds.</w:t>
      </w:r>
    </w:p>
    <w:p>
      <w:pPr>
        <w:spacing w:after="0" w:line="56" w:lineRule="exact"/>
        <w:rPr>
          <w:sz w:val="20"/>
          <w:szCs w:val="20"/>
          <w:color w:val="auto"/>
        </w:rPr>
      </w:pPr>
    </w:p>
    <w:p>
      <w:pPr>
        <w:ind w:right="420" w:firstLine="446"/>
        <w:spacing w:after="0" w:line="287" w:lineRule="auto"/>
        <w:rPr>
          <w:sz w:val="20"/>
          <w:szCs w:val="20"/>
          <w:color w:val="auto"/>
        </w:rPr>
      </w:pPr>
      <w:r>
        <w:rPr>
          <w:rFonts w:ascii="Times New Roman" w:cs="Times New Roman" w:eastAsia="Times New Roman" w:hAnsi="Times New Roman"/>
          <w:sz w:val="14"/>
          <w:szCs w:val="14"/>
          <w:color w:val="auto"/>
        </w:rPr>
        <w:t>In November 2022, we entered into a Sales Agreement (the “Cowen Sales Agreement”) with Cowen and Company, LLC (“Cowen”), through which we may offer and sell shares of our common stock, having an aggregate offering of up to $150.0 million through Cowen as our sales agent. As of March 31, 2024, we had sold no shares under this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Funding Requirements</w:t>
      </w:r>
    </w:p>
    <w:p>
      <w:pPr>
        <w:spacing w:after="0" w:line="96" w:lineRule="exact"/>
        <w:rPr>
          <w:sz w:val="20"/>
          <w:szCs w:val="20"/>
          <w:color w:val="auto"/>
        </w:rPr>
      </w:pPr>
    </w:p>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39" w:lineRule="exact"/>
        <w:rPr>
          <w:sz w:val="20"/>
          <w:szCs w:val="20"/>
          <w:color w:val="auto"/>
        </w:rPr>
      </w:pPr>
    </w:p>
    <w:p>
      <w:pPr>
        <w:ind w:right="160" w:firstLine="382"/>
        <w:spacing w:after="0" w:line="264" w:lineRule="auto"/>
        <w:rPr>
          <w:sz w:val="20"/>
          <w:szCs w:val="20"/>
          <w:color w:val="auto"/>
        </w:rPr>
      </w:pPr>
      <w:r>
        <w:rPr>
          <w:rFonts w:ascii="Times New Roman" w:cs="Times New Roman" w:eastAsia="Times New Roman" w:hAnsi="Times New Roman"/>
          <w:sz w:val="14"/>
          <w:szCs w:val="14"/>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140"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Cash, cash equivalents and investments totaled $370.1 million as of March 31, 2024, compared to $417.9 million as of December 31, 2023. We believe that our existing cash, cash equivalents and investments will fund our current operating plan for at least the next twelve months from the issuance of our consolidated financial statements. We have based this estimate on assumptions that may prove to be wrong, and we could use our capital resources sooner than we expect. Additionally, the process of testing product candidates in clinical trials and seeking regulatory approval is costly, and the timing of progress and expenses in these trials is uncertain.</w:t>
      </w:r>
    </w:p>
    <w:p>
      <w:pPr>
        <w:spacing w:after="0" w:line="1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our cash flows for the three months ended March 31, 2024 and 2023:</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00" w:type="dxa"/>
            <w:vAlign w:val="bottom"/>
          </w:tcPr>
          <w:p>
            <w:pPr>
              <w:spacing w:after="0"/>
              <w:rPr>
                <w:sz w:val="10"/>
                <w:szCs w:val="10"/>
                <w:color w:val="auto"/>
              </w:rPr>
            </w:pPr>
          </w:p>
        </w:tc>
      </w:tr>
      <w:tr>
        <w:trPr>
          <w:trHeight w:val="150"/>
        </w:trPr>
        <w:tc>
          <w:tcPr>
            <w:tcW w:w="80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00" w:type="dxa"/>
            <w:vAlign w:val="bottom"/>
            <w:tcBorders>
              <w:bottom w:val="single" w:sz="8" w:color="auto"/>
            </w:tcBorders>
          </w:tcPr>
          <w:p>
            <w:pPr>
              <w:spacing w:after="0"/>
              <w:rPr>
                <w:sz w:val="13"/>
                <w:szCs w:val="13"/>
                <w:color w:val="auto"/>
              </w:rPr>
            </w:pPr>
          </w:p>
        </w:tc>
      </w:tr>
      <w:tr>
        <w:trPr>
          <w:trHeight w:val="154"/>
        </w:trPr>
        <w:tc>
          <w:tcPr>
            <w:tcW w:w="80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cash (used in) provided by:</w:t>
            </w:r>
          </w:p>
        </w:tc>
        <w:tc>
          <w:tcPr>
            <w:tcW w:w="3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center"/>
              <w:ind w:left="615"/>
              <w:spacing w:after="0"/>
              <w:rPr>
                <w:sz w:val="20"/>
                <w:szCs w:val="20"/>
                <w:color w:val="auto"/>
              </w:rPr>
            </w:pPr>
            <w:r>
              <w:rPr>
                <w:rFonts w:ascii="Times New Roman" w:cs="Times New Roman" w:eastAsia="Times New Roman" w:hAnsi="Times New Roman"/>
                <w:sz w:val="14"/>
                <w:szCs w:val="14"/>
                <w:color w:val="auto"/>
              </w:rPr>
              <w:t>(37,253)</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center"/>
              <w:ind w:left="412"/>
              <w:spacing w:after="0"/>
              <w:rPr>
                <w:sz w:val="20"/>
                <w:szCs w:val="20"/>
                <w:color w:val="auto"/>
              </w:rPr>
            </w:pPr>
            <w:r>
              <w:rPr>
                <w:rFonts w:ascii="Times New Roman" w:cs="Times New Roman" w:eastAsia="Times New Roman" w:hAnsi="Times New Roman"/>
                <w:sz w:val="14"/>
                <w:szCs w:val="14"/>
                <w:color w:val="auto"/>
              </w:rPr>
              <w:t>(24,568)</w:t>
            </w:r>
          </w:p>
        </w:tc>
      </w:tr>
      <w:tr>
        <w:trPr>
          <w:trHeight w:val="180"/>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jc w:val="center"/>
              <w:ind w:left="655"/>
              <w:spacing w:after="0"/>
              <w:rPr>
                <w:sz w:val="20"/>
                <w:szCs w:val="20"/>
                <w:color w:val="auto"/>
              </w:rPr>
            </w:pPr>
            <w:r>
              <w:rPr>
                <w:rFonts w:ascii="Times New Roman" w:cs="Times New Roman" w:eastAsia="Times New Roman" w:hAnsi="Times New Roman"/>
                <w:sz w:val="14"/>
                <w:szCs w:val="14"/>
                <w:color w:val="auto"/>
              </w:rPr>
              <w:t>68,616</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0" w:type="dxa"/>
            <w:vAlign w:val="bottom"/>
            <w:shd w:val="clear" w:color="auto" w:fill="CFF0FC"/>
          </w:tcPr>
          <w:p>
            <w:pPr>
              <w:jc w:val="center"/>
              <w:ind w:left="432"/>
              <w:spacing w:after="0"/>
              <w:rPr>
                <w:sz w:val="20"/>
                <w:szCs w:val="20"/>
                <w:color w:val="auto"/>
              </w:rPr>
            </w:pPr>
            <w:r>
              <w:rPr>
                <w:rFonts w:ascii="Times New Roman" w:cs="Times New Roman" w:eastAsia="Times New Roman" w:hAnsi="Times New Roman"/>
                <w:sz w:val="14"/>
                <w:szCs w:val="14"/>
                <w:color w:val="auto"/>
                <w:w w:val="98"/>
              </w:rPr>
              <w:t>85,396</w:t>
            </w:r>
          </w:p>
        </w:tc>
      </w:tr>
      <w:tr>
        <w:trPr>
          <w:trHeight w:val="18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left="615"/>
              <w:spacing w:after="0"/>
              <w:rPr>
                <w:sz w:val="20"/>
                <w:szCs w:val="20"/>
                <w:color w:val="auto"/>
              </w:rPr>
            </w:pPr>
            <w:r>
              <w:rPr>
                <w:rFonts w:ascii="Times New Roman" w:cs="Times New Roman" w:eastAsia="Times New Roman" w:hAnsi="Times New Roman"/>
                <w:sz w:val="14"/>
                <w:szCs w:val="14"/>
                <w:color w:val="auto"/>
              </w:rPr>
              <w:t>(13,633)</w:t>
            </w:r>
          </w:p>
        </w:tc>
        <w:tc>
          <w:tcPr>
            <w:tcW w:w="100" w:type="dxa"/>
            <w:vAlign w:val="bottom"/>
            <w:tcBorders>
              <w:bottom w:val="single" w:sz="8" w:color="CFF0FC"/>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14"/>
                <w:szCs w:val="14"/>
                <w:color w:val="auto"/>
              </w:rPr>
              <w:t>(37,574)</w:t>
            </w:r>
          </w:p>
        </w:tc>
      </w:tr>
      <w:tr>
        <w:trPr>
          <w:trHeight w:val="196"/>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380" w:type="dxa"/>
            <w:vAlign w:val="bottom"/>
            <w:tcBorders>
              <w:bottom w:val="single" w:sz="8" w:color="auto"/>
            </w:tcBorders>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FF0FC"/>
          </w:tcPr>
          <w:p>
            <w:pPr>
              <w:jc w:val="center"/>
              <w:ind w:left="655"/>
              <w:spacing w:after="0"/>
              <w:rPr>
                <w:sz w:val="20"/>
                <w:szCs w:val="20"/>
                <w:color w:val="auto"/>
              </w:rPr>
            </w:pPr>
            <w:r>
              <w:rPr>
                <w:rFonts w:ascii="Times New Roman" w:cs="Times New Roman" w:eastAsia="Times New Roman" w:hAnsi="Times New Roman"/>
                <w:sz w:val="14"/>
                <w:szCs w:val="14"/>
                <w:color w:val="auto"/>
              </w:rPr>
              <w:t>17,730</w:t>
            </w:r>
          </w:p>
        </w:tc>
        <w:tc>
          <w:tcPr>
            <w:tcW w:w="10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FF0FC"/>
          </w:tcPr>
          <w:p>
            <w:pPr>
              <w:jc w:val="center"/>
              <w:ind w:left="432"/>
              <w:spacing w:after="0"/>
              <w:rPr>
                <w:sz w:val="20"/>
                <w:szCs w:val="20"/>
                <w:color w:val="auto"/>
              </w:rPr>
            </w:pPr>
            <w:r>
              <w:rPr>
                <w:rFonts w:ascii="Times New Roman" w:cs="Times New Roman" w:eastAsia="Times New Roman" w:hAnsi="Times New Roman"/>
                <w:sz w:val="14"/>
                <w:szCs w:val="14"/>
                <w:color w:val="auto"/>
                <w:w w:val="98"/>
              </w:rPr>
              <w:t>23,254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sectPr>
      </w:pPr>
    </w:p>
    <w:bookmarkStart w:id="32" w:name="page33"/>
    <w:bookmarkEnd w:id="32"/>
    <w:p>
      <w:pPr>
        <w:ind w:left="320"/>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96" w:lineRule="exact"/>
        <w:rPr>
          <w:sz w:val="20"/>
          <w:szCs w:val="20"/>
          <w:color w:val="auto"/>
        </w:rPr>
      </w:pPr>
    </w:p>
    <w:p>
      <w:pPr>
        <w:ind w:right="220" w:firstLine="382"/>
        <w:spacing w:after="0" w:line="270" w:lineRule="auto"/>
        <w:rPr>
          <w:sz w:val="20"/>
          <w:szCs w:val="20"/>
          <w:color w:val="auto"/>
        </w:rPr>
      </w:pPr>
      <w:r>
        <w:rPr>
          <w:rFonts w:ascii="Times New Roman" w:cs="Times New Roman" w:eastAsia="Times New Roman" w:hAnsi="Times New Roman"/>
          <w:sz w:val="14"/>
          <w:szCs w:val="14"/>
          <w:color w:val="auto"/>
        </w:rPr>
        <w:t>Net cash used in operating activities during the three months ended March 31, 2024 of $37.3 million was primarily due to our net loss of $43.9 million, adjusted for addbacks for non-cash expenses of $14.0 million, which includes stock-based compensation, amortization of operating right-of-use assets, non-cash interest expense, income from marketable securities, offset by net decreases in working capital of $7.4 million.</w:t>
      </w:r>
    </w:p>
    <w:p>
      <w:pPr>
        <w:spacing w:after="0" w:line="51"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Net cash used in operating activities during the three months ended March 31, 2023 of $24.6 million was primarily due to our net loss of $44.3 million, adjusted for addbacks for non-cash expenses of $11.6 million, which includes stock-based compensation, amortization of operating right-of-use assets, non-cash interest expense, income from marketable securities and net increases in working capital of $8.1 million.</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96" w:lineRule="exact"/>
        <w:rPr>
          <w:sz w:val="20"/>
          <w:szCs w:val="20"/>
          <w:color w:val="auto"/>
        </w:rPr>
      </w:pPr>
    </w:p>
    <w:p>
      <w:pPr>
        <w:ind w:right="240" w:firstLine="382"/>
        <w:spacing w:after="0" w:line="287" w:lineRule="auto"/>
        <w:rPr>
          <w:sz w:val="20"/>
          <w:szCs w:val="20"/>
          <w:color w:val="auto"/>
        </w:rPr>
      </w:pPr>
      <w:r>
        <w:rPr>
          <w:rFonts w:ascii="Times New Roman" w:cs="Times New Roman" w:eastAsia="Times New Roman" w:hAnsi="Times New Roman"/>
          <w:sz w:val="14"/>
          <w:szCs w:val="14"/>
          <w:color w:val="auto"/>
        </w:rPr>
        <w:t>Net cash provided by investing activities during the three months ended March 31, 2024 and 2023 of $68.6 million and $85.4 million, respectively, primarily relates to the timing of sales, maturities and purchases of our investments.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6" w:lineRule="exact"/>
        <w:rPr>
          <w:sz w:val="20"/>
          <w:szCs w:val="20"/>
          <w:color w:val="auto"/>
        </w:rPr>
      </w:pPr>
    </w:p>
    <w:p>
      <w:pPr>
        <w:ind w:right="240" w:firstLine="382"/>
        <w:spacing w:after="0" w:line="287" w:lineRule="auto"/>
        <w:rPr>
          <w:sz w:val="20"/>
          <w:szCs w:val="20"/>
          <w:color w:val="auto"/>
        </w:rPr>
      </w:pPr>
      <w:r>
        <w:rPr>
          <w:rFonts w:ascii="Times New Roman" w:cs="Times New Roman" w:eastAsia="Times New Roman" w:hAnsi="Times New Roman"/>
          <w:sz w:val="14"/>
          <w:szCs w:val="14"/>
          <w:color w:val="auto"/>
        </w:rPr>
        <w:t>The net cash used in financing activities during the three months ended March 31, 2024 of $13.6 million was primarily related to $6.9 million for repayments of the liability for the sale of future royalties, $7.5 million for net share settlement of equity awards, offset by $0.8 million of cash received for the issuance of common stock.</w:t>
      </w:r>
    </w:p>
    <w:p>
      <w:pPr>
        <w:spacing w:after="0" w:line="39" w:lineRule="exact"/>
        <w:rPr>
          <w:sz w:val="20"/>
          <w:szCs w:val="20"/>
          <w:color w:val="auto"/>
        </w:rPr>
      </w:pPr>
    </w:p>
    <w:p>
      <w:pPr>
        <w:ind w:right="420" w:firstLine="382"/>
        <w:spacing w:after="0" w:line="287" w:lineRule="auto"/>
        <w:rPr>
          <w:sz w:val="20"/>
          <w:szCs w:val="20"/>
          <w:color w:val="auto"/>
        </w:rPr>
      </w:pPr>
      <w:r>
        <w:rPr>
          <w:rFonts w:ascii="Times New Roman" w:cs="Times New Roman" w:eastAsia="Times New Roman" w:hAnsi="Times New Roman"/>
          <w:sz w:val="14"/>
          <w:szCs w:val="14"/>
          <w:color w:val="auto"/>
        </w:rPr>
        <w:t>The net cash used by financing activities during the three months ended March 31, 2023 of $37.6 million was primarily related to $37.5 million paid for repurchases and retirements of common stock, $1.3 million for repayments of the liability for the sale of future royalties, offset by $1.3 million of cash received for the issuance of common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96"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spacing w:after="0" w:line="56" w:lineRule="exact"/>
        <w:rPr>
          <w:sz w:val="20"/>
          <w:szCs w:val="20"/>
          <w:color w:val="auto"/>
        </w:rPr>
      </w:pPr>
    </w:p>
    <w:p>
      <w:pPr>
        <w:ind w:right="100" w:firstLine="382"/>
        <w:spacing w:after="0" w:line="287" w:lineRule="auto"/>
        <w:rPr>
          <w:sz w:val="20"/>
          <w:szCs w:val="20"/>
          <w:color w:val="auto"/>
        </w:rPr>
      </w:pPr>
      <w:r>
        <w:rPr>
          <w:rFonts w:ascii="Times New Roman" w:cs="Times New Roman" w:eastAsia="Times New Roman" w:hAnsi="Times New Roman"/>
          <w:sz w:val="14"/>
          <w:szCs w:val="14"/>
          <w:color w:val="auto"/>
        </w:rPr>
        <w:t>For further information related to our operating lease and future minimum annual obligations, see Note 9 — Commitments and Contingencies in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322"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96" w:lineRule="exact"/>
        <w:rPr>
          <w:sz w:val="20"/>
          <w:szCs w:val="20"/>
          <w:color w:val="auto"/>
        </w:rPr>
      </w:pPr>
    </w:p>
    <w:p>
      <w:pPr>
        <w:ind w:right="340" w:firstLine="382"/>
        <w:spacing w:after="0" w:line="287" w:lineRule="auto"/>
        <w:rPr>
          <w:sz w:val="20"/>
          <w:szCs w:val="20"/>
          <w:color w:val="auto"/>
        </w:rPr>
      </w:pPr>
      <w:r>
        <w:rPr>
          <w:rFonts w:ascii="Times New Roman" w:cs="Times New Roman" w:eastAsia="Times New Roman" w:hAnsi="Times New Roman"/>
          <w:sz w:val="14"/>
          <w:szCs w:val="14"/>
          <w:color w:val="auto"/>
        </w:rPr>
        <w:t>As of March 31, 2024, there have been no material changes surrounding our market risk, including interest rate risk, inflation risk, and foreign currency exchange risk from the discussion provided in Item 7A. Quantitative and Qualitative Disclosures About Market Risk of our Annual Report on Form 10-K filed with the SEC on March 11,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6" w:lineRule="exact"/>
        <w:rPr>
          <w:sz w:val="20"/>
          <w:szCs w:val="20"/>
          <w:color w:val="auto"/>
        </w:rPr>
      </w:pPr>
    </w:p>
    <w:p>
      <w:pPr>
        <w:ind w:right="60" w:firstLine="382"/>
        <w:spacing w:after="0" w:line="259" w:lineRule="auto"/>
        <w:rPr>
          <w:sz w:val="20"/>
          <w:szCs w:val="20"/>
          <w:color w:val="auto"/>
        </w:rPr>
      </w:pPr>
      <w:r>
        <w:rPr>
          <w:rFonts w:ascii="Times New Roman" w:cs="Times New Roman" w:eastAsia="Times New Roman" w:hAnsi="Times New Roman"/>
          <w:sz w:val="14"/>
          <w:szCs w:val="14"/>
          <w:color w:val="auto"/>
        </w:rPr>
        <w:t>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March 31, 2024,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spacing w:after="0" w:line="61" w:lineRule="exact"/>
        <w:rPr>
          <w:sz w:val="20"/>
          <w:szCs w:val="20"/>
          <w:color w:val="auto"/>
        </w:rPr>
      </w:pPr>
    </w:p>
    <w:p>
      <w:pPr>
        <w:ind w:right="260" w:firstLine="382"/>
        <w:spacing w:after="0" w:line="287" w:lineRule="auto"/>
        <w:rPr>
          <w:sz w:val="20"/>
          <w:szCs w:val="20"/>
          <w:color w:val="auto"/>
        </w:rPr>
      </w:pPr>
      <w:r>
        <w:rPr>
          <w:rFonts w:ascii="Times New Roman" w:cs="Times New Roman" w:eastAsia="Times New Roman" w:hAnsi="Times New Roman"/>
          <w:sz w:val="14"/>
          <w:szCs w:val="14"/>
          <w:color w:val="auto"/>
        </w:rPr>
        <w:t>Any controls and procedures, no matter how well designed and operated, can provide only reasonable assurance of achieving the desired control objective, and our management necessarily applies its judgment in evaluating the cost-benefit relationship of possible controls and procedures.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identified in connection with the evaluation required by Rules 13a-15(d) and 15d-15(d) of the Exchange Act that occurred during the quarter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6" w:lineRule="exact"/>
        <w:rPr>
          <w:sz w:val="20"/>
          <w:szCs w:val="20"/>
          <w:color w:val="auto"/>
        </w:rPr>
      </w:pPr>
    </w:p>
    <w:p>
      <w:pPr>
        <w:ind w:right="40" w:firstLine="382"/>
        <w:spacing w:after="0" w:line="270" w:lineRule="auto"/>
        <w:rPr>
          <w:sz w:val="20"/>
          <w:szCs w:val="20"/>
          <w:color w:val="auto"/>
        </w:rPr>
      </w:pPr>
      <w:r>
        <w:rPr>
          <w:rFonts w:ascii="Times New Roman" w:cs="Times New Roman" w:eastAsia="Times New Roman" w:hAnsi="Times New Roman"/>
          <w:sz w:val="14"/>
          <w:szCs w:val="14"/>
          <w:color w:val="auto"/>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79" w:lineRule="exact"/>
        <w:rPr>
          <w:sz w:val="20"/>
          <w:szCs w:val="20"/>
          <w:color w:val="auto"/>
        </w:rPr>
      </w:pPr>
    </w:p>
    <w:p>
      <w:pPr>
        <w:ind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96" w:lineRule="exact"/>
        <w:rPr>
          <w:sz w:val="20"/>
          <w:szCs w:val="20"/>
          <w:color w:val="auto"/>
        </w:rPr>
      </w:pPr>
    </w:p>
    <w:p>
      <w:pPr>
        <w:ind w:right="80" w:firstLine="446"/>
        <w:spacing w:after="0" w:line="287" w:lineRule="auto"/>
        <w:rPr>
          <w:sz w:val="20"/>
          <w:szCs w:val="20"/>
          <w:color w:val="auto"/>
        </w:rPr>
      </w:pPr>
      <w:r>
        <w:rPr>
          <w:rFonts w:ascii="Times New Roman" w:cs="Times New Roman" w:eastAsia="Times New Roman" w:hAnsi="Times New Roman"/>
          <w:sz w:val="14"/>
          <w:szCs w:val="14"/>
          <w:color w:val="auto"/>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spacing w:after="0" w:line="39" w:lineRule="exact"/>
        <w:rPr>
          <w:sz w:val="20"/>
          <w:szCs w:val="20"/>
          <w:color w:val="auto"/>
        </w:rPr>
      </w:pPr>
    </w:p>
    <w:p>
      <w:pPr>
        <w:ind w:left="700" w:right="200" w:hanging="313"/>
        <w:spacing w:after="0" w:line="270" w:lineRule="auto"/>
        <w:tabs>
          <w:tab w:leader="none" w:pos="6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50" w:lineRule="exact"/>
        <w:rPr>
          <w:rFonts w:ascii="Times New Roman" w:cs="Times New Roman" w:eastAsia="Times New Roman" w:hAnsi="Times New Roman"/>
          <w:sz w:val="14"/>
          <w:szCs w:val="14"/>
          <w:color w:val="auto"/>
        </w:rPr>
      </w:pPr>
    </w:p>
    <w:p>
      <w:pPr>
        <w:jc w:val="both"/>
        <w:ind w:left="700" w:right="120" w:hanging="313"/>
        <w:spacing w:after="0" w:line="287" w:lineRule="auto"/>
        <w:tabs>
          <w:tab w:leader="none" w:pos="6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only limited data regarding the safety profile of our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39" w:lineRule="exact"/>
        <w:rPr>
          <w:rFonts w:ascii="Times New Roman" w:cs="Times New Roman" w:eastAsia="Times New Roman" w:hAnsi="Times New Roman"/>
          <w:sz w:val="14"/>
          <w:szCs w:val="14"/>
          <w:color w:val="auto"/>
        </w:rPr>
      </w:pPr>
    </w:p>
    <w:p>
      <w:pPr>
        <w:ind w:left="700" w:right="580" w:hanging="313"/>
        <w:spacing w:after="0" w:line="287" w:lineRule="auto"/>
        <w:tabs>
          <w:tab w:leader="none" w:pos="6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39"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 if our product candidates receive regulatory approval, they will be subject to significant post-marketing regulatory requirements.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successful in our efforts to expand our pipeline of product candidates and develop marketable products.</w:t>
      </w:r>
    </w:p>
    <w:p>
      <w:pPr>
        <w:spacing w:after="0" w:line="93" w:lineRule="exact"/>
        <w:rPr>
          <w:rFonts w:ascii="Times New Roman" w:cs="Times New Roman" w:eastAsia="Times New Roman" w:hAnsi="Times New Roman"/>
          <w:sz w:val="14"/>
          <w:szCs w:val="14"/>
          <w:color w:val="auto"/>
        </w:rPr>
      </w:pPr>
    </w:p>
    <w:p>
      <w:pPr>
        <w:ind w:left="700" w:right="80" w:hanging="313"/>
        <w:spacing w:after="0" w:line="287" w:lineRule="auto"/>
        <w:tabs>
          <w:tab w:leader="none" w:pos="6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recently commenced clinical development of rosnilimab and ANB032, and have no history of commercializing biotechnology products, which may make it difficult to evaluate the prospects for our future viability.</w:t>
      </w:r>
    </w:p>
    <w:p>
      <w:pPr>
        <w:spacing w:after="0" w:line="39" w:lineRule="exact"/>
        <w:rPr>
          <w:rFonts w:ascii="Times New Roman" w:cs="Times New Roman" w:eastAsia="Times New Roman" w:hAnsi="Times New Roman"/>
          <w:sz w:val="14"/>
          <w:szCs w:val="14"/>
          <w:color w:val="auto"/>
        </w:rPr>
      </w:pPr>
    </w:p>
    <w:p>
      <w:pPr>
        <w:ind w:left="700" w:right="540" w:hanging="313"/>
        <w:spacing w:after="0" w:line="287" w:lineRule="auto"/>
        <w:tabs>
          <w:tab w:leader="none" w:pos="6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significant competition, and if our competitors develop and market products that are more effective, safer or less expensive than our product candidates, our commercial opportunities will be negatively impacted.</w:t>
      </w:r>
    </w:p>
    <w:p>
      <w:pPr>
        <w:spacing w:after="0" w:line="39" w:lineRule="exact"/>
        <w:rPr>
          <w:rFonts w:ascii="Times New Roman" w:cs="Times New Roman" w:eastAsia="Times New Roman" w:hAnsi="Times New Roman"/>
          <w:sz w:val="14"/>
          <w:szCs w:val="14"/>
          <w:color w:val="auto"/>
        </w:rPr>
      </w:pPr>
    </w:p>
    <w:p>
      <w:pPr>
        <w:ind w:left="700" w:right="360" w:hanging="313"/>
        <w:spacing w:after="0" w:line="287" w:lineRule="auto"/>
        <w:tabs>
          <w:tab w:leader="none" w:pos="6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 candidates may not achieve adequate market acceptance among physicians, patients, health care payors and others in the medical community necessary for commercial success.</w:t>
      </w:r>
    </w:p>
    <w:p>
      <w:pPr>
        <w:spacing w:after="0" w:line="39" w:lineRule="exact"/>
        <w:rPr>
          <w:rFonts w:ascii="Times New Roman" w:cs="Times New Roman" w:eastAsia="Times New Roman" w:hAnsi="Times New Roman"/>
          <w:sz w:val="14"/>
          <w:szCs w:val="14"/>
          <w:color w:val="auto"/>
        </w:rPr>
      </w:pPr>
    </w:p>
    <w:p>
      <w:pPr>
        <w:ind w:left="700" w:right="340" w:hanging="313"/>
        <w:spacing w:after="0" w:line="287" w:lineRule="auto"/>
        <w:tabs>
          <w:tab w:leader="none" w:pos="6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26" w:right="339" w:bottom="1440" w:gutter="0" w:footer="0" w:header="0"/>
        </w:sectPr>
      </w:pPr>
    </w:p>
    <w:bookmarkStart w:id="35" w:name="page36"/>
    <w:bookmarkEnd w:id="35"/>
    <w:p>
      <w:pPr>
        <w:ind w:left="700" w:hanging="313"/>
        <w:spacing w:after="0" w:line="270" w:lineRule="auto"/>
        <w:tabs>
          <w:tab w:leader="none" w:pos="69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0" w:lineRule="exact"/>
        <w:rPr>
          <w:rFonts w:ascii="Times New Roman" w:cs="Times New Roman" w:eastAsia="Times New Roman" w:hAnsi="Times New Roman"/>
          <w:sz w:val="14"/>
          <w:szCs w:val="14"/>
          <w:color w:val="auto"/>
        </w:rPr>
      </w:pPr>
    </w:p>
    <w:p>
      <w:pPr>
        <w:ind w:left="700" w:right="260" w:hanging="313"/>
        <w:spacing w:after="0" w:line="287" w:lineRule="auto"/>
        <w:tabs>
          <w:tab w:leader="none" w:pos="69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economic or public health events may have a material impact on the U.S. and global economies and could have a material adverse impact on our employees, contractors and patients, which could adversely and materially impact our business, financial condition and results of operations.</w:t>
      </w:r>
    </w:p>
    <w:p>
      <w:pPr>
        <w:spacing w:after="0" w:line="39"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limited operating revenue and a history of operational losses and may not achieve or sustain profitability.</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no products approved for commercial sale, and to date we have not generated any revenue or profit from sales of our product candidates.</w:t>
      </w:r>
    </w:p>
    <w:p>
      <w:pPr>
        <w:spacing w:after="0" w:line="93" w:lineRule="exact"/>
        <w:rPr>
          <w:rFonts w:ascii="Times New Roman" w:cs="Times New Roman" w:eastAsia="Times New Roman" w:hAnsi="Times New Roman"/>
          <w:sz w:val="14"/>
          <w:szCs w:val="14"/>
          <w:color w:val="auto"/>
        </w:rPr>
      </w:pPr>
    </w:p>
    <w:p>
      <w:pPr>
        <w:ind w:left="700" w:right="460" w:hanging="313"/>
        <w:spacing w:after="0" w:line="287" w:lineRule="auto"/>
        <w:tabs>
          <w:tab w:leader="none" w:pos="69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39" w:lineRule="exact"/>
        <w:rPr>
          <w:rFonts w:ascii="Times New Roman" w:cs="Times New Roman" w:eastAsia="Times New Roman" w:hAnsi="Times New Roman"/>
          <w:sz w:val="14"/>
          <w:szCs w:val="14"/>
          <w:color w:val="auto"/>
        </w:rPr>
      </w:pPr>
    </w:p>
    <w:p>
      <w:pPr>
        <w:ind w:left="700" w:right="560" w:hanging="313"/>
        <w:spacing w:after="0" w:line="287" w:lineRule="auto"/>
        <w:tabs>
          <w:tab w:leader="none" w:pos="69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existing collaboration with GSK is important to our business, and future collaborations may also be important to us. If we are unable to maintain this collaboration, or if this collaboration is not successful, our business could be adversely affected.</w:t>
      </w:r>
    </w:p>
    <w:p>
      <w:pPr>
        <w:spacing w:after="0" w:line="39" w:lineRule="exact"/>
        <w:rPr>
          <w:rFonts w:ascii="Times New Roman" w:cs="Times New Roman" w:eastAsia="Times New Roman" w:hAnsi="Times New Roman"/>
          <w:sz w:val="14"/>
          <w:szCs w:val="14"/>
          <w:color w:val="auto"/>
        </w:rPr>
      </w:pPr>
    </w:p>
    <w:p>
      <w:pPr>
        <w:ind w:left="700" w:right="300" w:hanging="313"/>
        <w:spacing w:after="0" w:line="287" w:lineRule="auto"/>
        <w:tabs>
          <w:tab w:leader="none" w:pos="69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succeed in establishing and maintaining additional development and commercialization collaborations, including the development or out-licensing of our legacy product candidates, which could adversely affect our ability to develop and commercialize product candidates.</w:t>
      </w:r>
    </w:p>
    <w:p>
      <w:pPr>
        <w:spacing w:after="0" w:line="39"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obtain or protect intellectual property rights in the U.S. and throughout the world, we may not be able to compete effectively in our market.</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attract and retain highly skilled employees in order to succeed.</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of our stock has been and may continue to be volatile, and you could lose all or part of your investment.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Discovery and Development of Our Product Candidates</w:t>
      </w:r>
    </w:p>
    <w:p>
      <w:pPr>
        <w:spacing w:after="0" w:line="94" w:lineRule="exact"/>
        <w:rPr>
          <w:sz w:val="20"/>
          <w:szCs w:val="20"/>
          <w:color w:val="auto"/>
        </w:rPr>
      </w:pPr>
    </w:p>
    <w:p>
      <w:pPr>
        <w:jc w:val="both"/>
        <w:ind w:right="220"/>
        <w:spacing w:after="0" w:line="271" w:lineRule="auto"/>
        <w:rPr>
          <w:sz w:val="20"/>
          <w:szCs w:val="20"/>
          <w:color w:val="auto"/>
        </w:rPr>
      </w:pPr>
      <w:r>
        <w:rPr>
          <w:rFonts w:ascii="Times New Roman" w:cs="Times New Roman" w:eastAsia="Times New Roman" w:hAnsi="Times New Roman"/>
          <w:sz w:val="14"/>
          <w:szCs w:val="14"/>
          <w:b w:val="1"/>
          <w:bCs w:val="1"/>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51" w:lineRule="exact"/>
        <w:rPr>
          <w:sz w:val="20"/>
          <w:szCs w:val="20"/>
          <w:color w:val="auto"/>
        </w:rPr>
      </w:pPr>
    </w:p>
    <w:p>
      <w:pPr>
        <w:ind w:firstLine="446"/>
        <w:spacing w:after="0" w:line="270" w:lineRule="auto"/>
        <w:rPr>
          <w:sz w:val="20"/>
          <w:szCs w:val="20"/>
          <w:color w:val="auto"/>
        </w:rPr>
      </w:pPr>
      <w:r>
        <w:rPr>
          <w:rFonts w:ascii="Times New Roman" w:cs="Times New Roman" w:eastAsia="Times New Roman" w:hAnsi="Times New Roman"/>
          <w:sz w:val="14"/>
          <w:szCs w:val="14"/>
          <w:color w:val="auto"/>
        </w:rPr>
        <w:t>We are developing therapeutic antibodies, including our wholly owned product candidates, as well as other programs that are being developed by our collaborators. However, all of our wholly owned and most of partnered product candidates are in various stages of development, and, for a wide variety of reasons discussed below, may fail in development or suffer delays that adversely affect their commercial viability.</w:t>
      </w:r>
    </w:p>
    <w:p>
      <w:pPr>
        <w:spacing w:after="0" w:line="51" w:lineRule="exact"/>
        <w:rPr>
          <w:sz w:val="20"/>
          <w:szCs w:val="20"/>
          <w:color w:val="auto"/>
        </w:rPr>
      </w:pPr>
    </w:p>
    <w:p>
      <w:pPr>
        <w:ind w:right="140" w:firstLine="446"/>
        <w:spacing w:after="0" w:line="270" w:lineRule="auto"/>
        <w:rPr>
          <w:sz w:val="20"/>
          <w:szCs w:val="20"/>
          <w:color w:val="auto"/>
        </w:rPr>
      </w:pPr>
      <w:r>
        <w:rPr>
          <w:rFonts w:ascii="Times New Roman" w:cs="Times New Roman" w:eastAsia="Times New Roman" w:hAnsi="Times New Roman"/>
          <w:sz w:val="14"/>
          <w:szCs w:val="14"/>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spacing w:after="0" w:line="51" w:lineRule="exact"/>
        <w:rPr>
          <w:sz w:val="20"/>
          <w:szCs w:val="20"/>
          <w:color w:val="auto"/>
        </w:rPr>
      </w:pPr>
    </w:p>
    <w:p>
      <w:pPr>
        <w:ind w:right="180" w:firstLine="446"/>
        <w:spacing w:after="0" w:line="261" w:lineRule="auto"/>
        <w:rPr>
          <w:sz w:val="20"/>
          <w:szCs w:val="20"/>
          <w:color w:val="auto"/>
        </w:rPr>
      </w:pPr>
      <w:r>
        <w:rPr>
          <w:rFonts w:ascii="Times New Roman" w:cs="Times New Roman" w:eastAsia="Times New Roman" w:hAnsi="Times New Roman"/>
          <w:sz w:val="14"/>
          <w:szCs w:val="14"/>
          <w:color w:val="auto"/>
        </w:rPr>
        <w:t>Furthermore, we may conduct clinical trials of a product candidate in multiple indications based on assumptions about the product candidate’s mechanism of action. However, it is possible that our assumptions regarding the effectiveness of a product candidate’s mechanism of action may be incorrect and that the product candidate may be ineffective in certain diseases or disorders. If this were the case, then the results from any clinical trials of a product candidate that we conduct are less likely to be positive. For example, we believed imsidolimab’s mechanism of action, the inhibition of IL-36R, provided the potential for imsidolimab to be effective for treatment of a range of dermatological inflammatory diseases. However, top-line data from clinical trials of imsidolimab in indications other than GPP did not demonstrate efficacy.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3" w:right="339" w:bottom="1440" w:gutter="0" w:footer="0" w:header="0"/>
        </w:sectPr>
      </w:pPr>
    </w:p>
    <w:bookmarkStart w:id="36" w:name="page37"/>
    <w:bookmarkEnd w:id="36"/>
    <w:p>
      <w:pPr>
        <w:ind w:right="580" w:firstLine="446"/>
        <w:spacing w:after="0" w:line="287" w:lineRule="auto"/>
        <w:rPr>
          <w:sz w:val="20"/>
          <w:szCs w:val="20"/>
          <w:color w:val="auto"/>
        </w:rPr>
      </w:pPr>
      <w:r>
        <w:rPr>
          <w:rFonts w:ascii="Times New Roman" w:cs="Times New Roman" w:eastAsia="Times New Roman" w:hAnsi="Times New Roman"/>
          <w:sz w:val="14"/>
          <w:szCs w:val="14"/>
          <w:color w:val="auto"/>
        </w:rPr>
        <w:t>If our other ongoing or future clinical trials of any of our product candidates, including rosnilimab, ANB032, ANB033 or ANB101, are unsuccessful, whether for one of the reasons mentioned above or otherwise, our product candidates may be delayed in development or fail entirely, which would have a material adverse impact on our business.</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success of our current product candidates, and any other product candidates we may develop in the future, will depend on many factors, including the following:</w:t>
      </w:r>
    </w:p>
    <w:p>
      <w:pPr>
        <w:spacing w:after="0" w:line="94" w:lineRule="exact"/>
        <w:rPr>
          <w:sz w:val="20"/>
          <w:szCs w:val="20"/>
          <w:color w:val="auto"/>
        </w:rPr>
      </w:pPr>
    </w:p>
    <w:p>
      <w:pPr>
        <w:ind w:left="700" w:hanging="313"/>
        <w:spacing w:after="0"/>
        <w:tabs>
          <w:tab w:leader="none" w:pos="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regulatory permission to initiate clinical trials;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enrollment of patients in, and the completion of, our planned clinical trials;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receiving marketing approvals from applicable regulatory authorities;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commercial manufacturing capabilities and/or making arrangements with third-party manufacturers;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maintaining patent and trade secret protection and non-patent exclusivity for our product candidates and their components;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enforcing and defending intellectual property rights and claims;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achieving desirable therapeutic properties for our product candidates’ intended indications;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launching commercial sales of our product candidates, if and when approved, whether alone or in collaboration with third parties;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of our product candidates, if and when approved, by patients, the medical community and third-party payors;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competing with other therapies; and</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an acceptable safety profile of our product candidates through clinical trials and following regulatory approval.</w:t>
      </w:r>
    </w:p>
    <w:p>
      <w:pPr>
        <w:spacing w:after="0" w:line="94" w:lineRule="exact"/>
        <w:rPr>
          <w:sz w:val="20"/>
          <w:szCs w:val="20"/>
          <w:color w:val="auto"/>
        </w:rPr>
      </w:pPr>
    </w:p>
    <w:p>
      <w:pPr>
        <w:ind w:right="260" w:firstLine="446"/>
        <w:spacing w:after="0" w:line="287" w:lineRule="auto"/>
        <w:rPr>
          <w:sz w:val="20"/>
          <w:szCs w:val="20"/>
          <w:color w:val="auto"/>
        </w:rPr>
      </w:pPr>
      <w:r>
        <w:rPr>
          <w:rFonts w:ascii="Times New Roman" w:cs="Times New Roman" w:eastAsia="Times New Roman" w:hAnsi="Times New Roman"/>
          <w:sz w:val="14"/>
          <w:szCs w:val="14"/>
          <w:color w:val="auto"/>
        </w:rPr>
        <w:t>If we do not achieve one or more of these factors in a timely manner or at all, we could experience significant delays or an inability to successfully commercialize our product candidates, which would harm our business.</w:t>
      </w:r>
    </w:p>
    <w:p>
      <w:pPr>
        <w:spacing w:after="0" w:line="39" w:lineRule="exact"/>
        <w:rPr>
          <w:sz w:val="20"/>
          <w:szCs w:val="20"/>
          <w:color w:val="auto"/>
        </w:rPr>
      </w:pPr>
    </w:p>
    <w:p>
      <w:pPr>
        <w:ind w:right="40" w:firstLine="446"/>
        <w:spacing w:after="0" w:line="259" w:lineRule="auto"/>
        <w:rPr>
          <w:sz w:val="20"/>
          <w:szCs w:val="20"/>
          <w:color w:val="auto"/>
        </w:rPr>
      </w:pPr>
      <w:r>
        <w:rPr>
          <w:rFonts w:ascii="Times New Roman" w:cs="Times New Roman" w:eastAsia="Times New Roman" w:hAnsi="Times New Roman"/>
          <w:sz w:val="14"/>
          <w:szCs w:val="14"/>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w:t>
      </w:r>
    </w:p>
    <w:p>
      <w:pPr>
        <w:spacing w:after="0" w:line="144"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color w:val="auto"/>
        </w:rPr>
        <w:t>We have only limited data regarding the safety profile of our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37" w:lineRule="exact"/>
        <w:rPr>
          <w:sz w:val="20"/>
          <w:szCs w:val="20"/>
          <w:color w:val="auto"/>
        </w:rPr>
      </w:pPr>
    </w:p>
    <w:p>
      <w:pPr>
        <w:ind w:firstLine="446"/>
        <w:spacing w:after="0" w:line="264" w:lineRule="auto"/>
        <w:rPr>
          <w:sz w:val="20"/>
          <w:szCs w:val="20"/>
          <w:color w:val="auto"/>
        </w:rPr>
      </w:pPr>
      <w:r>
        <w:rPr>
          <w:rFonts w:ascii="Times New Roman" w:cs="Times New Roman" w:eastAsia="Times New Roman" w:hAnsi="Times New Roman"/>
          <w:sz w:val="14"/>
          <w:szCs w:val="14"/>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56" w:lineRule="exact"/>
        <w:rPr>
          <w:sz w:val="20"/>
          <w:szCs w:val="20"/>
          <w:color w:val="auto"/>
        </w:rPr>
      </w:pPr>
    </w:p>
    <w:p>
      <w:pPr>
        <w:ind w:right="100" w:firstLine="446"/>
        <w:spacing w:after="0" w:line="264" w:lineRule="auto"/>
        <w:rPr>
          <w:sz w:val="20"/>
          <w:szCs w:val="20"/>
          <w:color w:val="auto"/>
        </w:rPr>
      </w:pPr>
      <w:r>
        <w:rPr>
          <w:rFonts w:ascii="Times New Roman" w:cs="Times New Roman" w:eastAsia="Times New Roman" w:hAnsi="Times New Roman"/>
          <w:sz w:val="14"/>
          <w:szCs w:val="14"/>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Phase 2 clinical trials with rosnilimab and ANB032 are ongoing.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13" w:right="359" w:bottom="1440" w:gutter="0" w:footer="0" w:header="0"/>
        </w:sectPr>
      </w:pPr>
    </w:p>
    <w:bookmarkStart w:id="37" w:name="page38"/>
    <w:bookmarkEnd w:id="37"/>
    <w:p>
      <w:pPr>
        <w:ind w:right="40"/>
        <w:spacing w:after="0" w:line="264" w:lineRule="auto"/>
        <w:rPr>
          <w:sz w:val="20"/>
          <w:szCs w:val="20"/>
          <w:color w:val="auto"/>
        </w:rPr>
      </w:pPr>
      <w:r>
        <w:rPr>
          <w:rFonts w:ascii="Times New Roman" w:cs="Times New Roman" w:eastAsia="Times New Roman" w:hAnsi="Times New Roman"/>
          <w:sz w:val="14"/>
          <w:szCs w:val="14"/>
          <w:color w:val="auto"/>
        </w:rPr>
        <w:t>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56" w:lineRule="exact"/>
        <w:rPr>
          <w:sz w:val="20"/>
          <w:szCs w:val="20"/>
          <w:color w:val="auto"/>
        </w:rPr>
      </w:pPr>
    </w:p>
    <w:p>
      <w:pPr>
        <w:ind w:right="20" w:firstLine="446"/>
        <w:spacing w:after="0" w:line="257" w:lineRule="auto"/>
        <w:rPr>
          <w:sz w:val="20"/>
          <w:szCs w:val="20"/>
          <w:color w:val="auto"/>
        </w:rPr>
      </w:pPr>
      <w:r>
        <w:rPr>
          <w:rFonts w:ascii="Times New Roman" w:cs="Times New Roman" w:eastAsia="Times New Roman" w:hAnsi="Times New Roman"/>
          <w:sz w:val="14"/>
          <w:szCs w:val="14"/>
          <w:color w:val="auto"/>
        </w:rPr>
        <w:t>Some patients in our clinical trials have experienced adverse events, including SAEs. Subjects in our ongoing and planned clinical trials may in the future suffer significant adverse events or other side effects not observed in our preclinical studies or in our Phase 1, Phase 2 or Phase 3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or our collaborators may incur additional costs or experience delays in completing, or ultimately be unable to complete, the development and commercialization of our product candidates.</w:t>
      </w:r>
    </w:p>
    <w:p>
      <w:pPr>
        <w:spacing w:after="0" w:line="64" w:lineRule="exact"/>
        <w:rPr>
          <w:sz w:val="20"/>
          <w:szCs w:val="20"/>
          <w:color w:val="auto"/>
        </w:rPr>
      </w:pPr>
    </w:p>
    <w:p>
      <w:pPr>
        <w:ind w:right="80" w:firstLine="446"/>
        <w:spacing w:after="0" w:line="258" w:lineRule="auto"/>
        <w:rPr>
          <w:sz w:val="20"/>
          <w:szCs w:val="20"/>
          <w:color w:val="auto"/>
        </w:rPr>
      </w:pPr>
      <w:r>
        <w:rPr>
          <w:rFonts w:ascii="Times New Roman" w:cs="Times New Roman" w:eastAsia="Times New Roman" w:hAnsi="Times New Roman"/>
          <w:sz w:val="14"/>
          <w:szCs w:val="14"/>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62" w:lineRule="exact"/>
        <w:rPr>
          <w:sz w:val="20"/>
          <w:szCs w:val="20"/>
          <w:color w:val="auto"/>
        </w:rPr>
      </w:pPr>
    </w:p>
    <w:p>
      <w:pPr>
        <w:ind w:right="80" w:firstLine="446"/>
        <w:spacing w:after="0" w:line="270" w:lineRule="auto"/>
        <w:rPr>
          <w:sz w:val="20"/>
          <w:szCs w:val="20"/>
          <w:color w:val="auto"/>
        </w:rPr>
      </w:pPr>
      <w:r>
        <w:rPr>
          <w:rFonts w:ascii="Times New Roman" w:cs="Times New Roman" w:eastAsia="Times New Roman" w:hAnsi="Times New Roman"/>
          <w:sz w:val="14"/>
          <w:szCs w:val="14"/>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testing.</w:t>
      </w:r>
    </w:p>
    <w:p>
      <w:pPr>
        <w:spacing w:after="0" w:line="134" w:lineRule="exact"/>
        <w:rPr>
          <w:sz w:val="20"/>
          <w:szCs w:val="20"/>
          <w:color w:val="auto"/>
        </w:rPr>
      </w:pPr>
    </w:p>
    <w:p>
      <w:pPr>
        <w:ind w:right="620"/>
        <w:spacing w:after="0" w:line="290" w:lineRule="auto"/>
        <w:rPr>
          <w:sz w:val="20"/>
          <w:szCs w:val="20"/>
          <w:color w:val="auto"/>
        </w:rPr>
      </w:pPr>
      <w:r>
        <w:rPr>
          <w:rFonts w:ascii="Times New Roman" w:cs="Times New Roman" w:eastAsia="Times New Roman" w:hAnsi="Times New Roman"/>
          <w:sz w:val="14"/>
          <w:szCs w:val="14"/>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37" w:lineRule="exact"/>
        <w:rPr>
          <w:sz w:val="20"/>
          <w:szCs w:val="20"/>
          <w:color w:val="auto"/>
        </w:rPr>
      </w:pPr>
    </w:p>
    <w:p>
      <w:pPr>
        <w:ind w:firstLine="446"/>
        <w:spacing w:after="0" w:line="257" w:lineRule="auto"/>
        <w:rPr>
          <w:sz w:val="20"/>
          <w:szCs w:val="20"/>
          <w:color w:val="auto"/>
        </w:rPr>
      </w:pPr>
      <w:r>
        <w:rPr>
          <w:rFonts w:ascii="Times New Roman" w:cs="Times New Roman" w:eastAsia="Times New Roman" w:hAnsi="Times New Roman"/>
          <w:sz w:val="14"/>
          <w:szCs w:val="14"/>
          <w:color w:val="auto"/>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38" w:name="page39"/>
    <w:bookmarkEnd w:id="38"/>
    <w:p>
      <w:pPr>
        <w:ind w:firstLine="446"/>
        <w:spacing w:after="0" w:line="257" w:lineRule="auto"/>
        <w:rPr>
          <w:sz w:val="20"/>
          <w:szCs w:val="20"/>
          <w:color w:val="auto"/>
        </w:rPr>
      </w:pPr>
      <w:r>
        <w:rPr>
          <w:rFonts w:ascii="Times New Roman" w:cs="Times New Roman" w:eastAsia="Times New Roman" w:hAnsi="Times New Roman"/>
          <w:sz w:val="14"/>
          <w:szCs w:val="14"/>
          <w:color w:val="auto"/>
        </w:rPr>
        <w:t>Even if we or our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 For example, although we believe our Phase 3 trials for imsidolimab for GPP, GEMINI-1 and GEMINI-2, with GEMINI-1 having demonstrated evidence of efficacy and safety in GPP patients, will be sufficient to obtain BLA approval, the FDA may determine that we will need additional clinical trials in order to obtain approval of a BLA.</w:t>
      </w:r>
    </w:p>
    <w:p>
      <w:pPr>
        <w:spacing w:after="0" w:line="64" w:lineRule="exact"/>
        <w:rPr>
          <w:sz w:val="20"/>
          <w:szCs w:val="20"/>
          <w:color w:val="auto"/>
        </w:rPr>
      </w:pPr>
    </w:p>
    <w:p>
      <w:pPr>
        <w:jc w:val="both"/>
        <w:ind w:right="20" w:firstLine="446"/>
        <w:spacing w:after="0" w:line="270" w:lineRule="auto"/>
        <w:rPr>
          <w:sz w:val="20"/>
          <w:szCs w:val="20"/>
          <w:color w:val="auto"/>
        </w:rPr>
      </w:pPr>
      <w:r>
        <w:rPr>
          <w:rFonts w:ascii="Times New Roman" w:cs="Times New Roman" w:eastAsia="Times New Roman" w:hAnsi="Times New Roman"/>
          <w:sz w:val="14"/>
          <w:szCs w:val="14"/>
          <w:color w:val="auto"/>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spacing w:after="0" w:line="51" w:lineRule="exact"/>
        <w:rPr>
          <w:sz w:val="20"/>
          <w:szCs w:val="20"/>
          <w:color w:val="auto"/>
        </w:rPr>
      </w:pPr>
    </w:p>
    <w:p>
      <w:pPr>
        <w:ind w:left="700" w:hanging="313"/>
        <w:spacing w:after="0"/>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imposition of a clinical hold for safety reasons or following an inspection of clinical trial operations or site by the FDA or other regulatory authorities;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challenges;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insufficient supply or quality of product candidates or other materials necessary to conduct clinical trials;</w:t>
      </w:r>
    </w:p>
    <w:p>
      <w:pPr>
        <w:spacing w:after="0" w:line="93" w:lineRule="exact"/>
        <w:rPr>
          <w:rFonts w:ascii="Times New Roman" w:cs="Times New Roman" w:eastAsia="Times New Roman" w:hAnsi="Times New Roman"/>
          <w:sz w:val="14"/>
          <w:szCs w:val="14"/>
          <w:color w:val="auto"/>
        </w:rPr>
      </w:pPr>
    </w:p>
    <w:p>
      <w:pPr>
        <w:ind w:left="700" w:right="60" w:hanging="313"/>
        <w:spacing w:after="0" w:line="287" w:lineRule="auto"/>
        <w:tabs>
          <w:tab w:leader="none" w:pos="69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spacing w:after="0" w:line="39"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non-clinical or clinical sites becoming unavailable due to political, economic, or public health events;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sites electing to terminate their participation in one of our clinical trials;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or unwillingness of patients or medical investigators to follow clinical trial protocols;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required clinical trial administrative actions;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slower than anticipated patient enrollment;</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changing standards of care;</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concerns;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or prevalence of use of a comparative drug or required prior therapy; or</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outcomes or financial constraints.</w:t>
      </w:r>
    </w:p>
    <w:p>
      <w:pPr>
        <w:spacing w:after="0" w:line="94" w:lineRule="exact"/>
        <w:rPr>
          <w:sz w:val="20"/>
          <w:szCs w:val="20"/>
          <w:color w:val="auto"/>
        </w:rPr>
      </w:pPr>
    </w:p>
    <w:p>
      <w:pPr>
        <w:ind w:right="60" w:firstLine="446"/>
        <w:spacing w:after="0" w:line="259" w:lineRule="auto"/>
        <w:rPr>
          <w:sz w:val="20"/>
          <w:szCs w:val="20"/>
          <w:color w:val="auto"/>
        </w:rPr>
      </w:pPr>
      <w:r>
        <w:rPr>
          <w:rFonts w:ascii="Times New Roman" w:cs="Times New Roman" w:eastAsia="Times New Roman" w:hAnsi="Times New Roman"/>
          <w:sz w:val="14"/>
          <w:szCs w:val="14"/>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If we or our collaborators experience any of the issues described above, or other similar or related issues, we or our collaborators may:</w:t>
      </w:r>
    </w:p>
    <w:p>
      <w:pPr>
        <w:spacing w:after="0" w:line="94" w:lineRule="exact"/>
        <w:rPr>
          <w:sz w:val="20"/>
          <w:szCs w:val="20"/>
          <w:color w:val="auto"/>
        </w:rPr>
      </w:pPr>
    </w:p>
    <w:p>
      <w:pPr>
        <w:ind w:left="700" w:hanging="313"/>
        <w:spacing w:after="0"/>
        <w:tabs>
          <w:tab w:leader="none" w:pos="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delayed in obtaining marketing approval for our product candidates;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obtain marketing approval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3" w:right="339" w:bottom="1440" w:gutter="0" w:footer="0" w:header="0"/>
        </w:sectPr>
      </w:pPr>
    </w:p>
    <w:bookmarkStart w:id="39" w:name="page40"/>
    <w:bookmarkEnd w:id="39"/>
    <w:p>
      <w:pPr>
        <w:ind w:left="700" w:hanging="313"/>
        <w:spacing w:after="0"/>
        <w:tabs>
          <w:tab w:leader="none" w:pos="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marketing approval in some countries and not in others;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approval for indications or patient populations that are not as broad as intended or desired;</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approval with labeling that includes significant use or distribution restrictions or safety warnings, including boxed warnings;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subject to additional post-marketing testing requirements; or</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the product removed from the market after obtaining marketing approval.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Even if our product candidates receive regulatory approval, they will be subject to significant post-marketing regulatory requirements.</w:t>
      </w:r>
    </w:p>
    <w:p>
      <w:pPr>
        <w:spacing w:after="0" w:line="96" w:lineRule="exact"/>
        <w:rPr>
          <w:sz w:val="20"/>
          <w:szCs w:val="20"/>
          <w:color w:val="auto"/>
        </w:rPr>
      </w:pPr>
    </w:p>
    <w:p>
      <w:pPr>
        <w:ind w:firstLine="446"/>
        <w:spacing w:after="0" w:line="256" w:lineRule="auto"/>
        <w:rPr>
          <w:sz w:val="20"/>
          <w:szCs w:val="20"/>
          <w:color w:val="auto"/>
        </w:rPr>
      </w:pPr>
      <w:r>
        <w:rPr>
          <w:rFonts w:ascii="Times New Roman" w:cs="Times New Roman" w:eastAsia="Times New Roman" w:hAnsi="Times New Roman"/>
          <w:sz w:val="14"/>
          <w:szCs w:val="14"/>
          <w:color w:val="auto"/>
        </w:rPr>
        <w:t>Any regulatory approvals that we or our collaborators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our collaborators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or our collaborators, including requiring recall or withdrawal of the product from the market or suspension of manufacturing. In addition, failure to comply with FDA and foreign regulatory requirements may, either before or after product approval, if any, subject our company or our collaborators to administrative or judicially imposed sanctions, including:</w:t>
      </w:r>
    </w:p>
    <w:p>
      <w:pPr>
        <w:spacing w:after="0" w:line="61" w:lineRule="exact"/>
        <w:rPr>
          <w:sz w:val="20"/>
          <w:szCs w:val="20"/>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our ability to conduct clinical trials, including full or partial clinical holds on ongoing or planned trials;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products, manufacturers or manufacturing process;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warning or untitled letters;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civil and criminal penalties;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suspension or withdrawal of regulatory approvals;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seizures, detentions or import bans;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voluntary or mandatory product recalls and publicity requirements;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or partial suspension of production;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imposition of restrictions on operations, including costly new manufacturing requirements;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to approve pending BLAs or supplements to approved BLAs.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occurrence of any event or penalty described above may inhibit our ability, alone or with our collaborators, to commercialize our product candidates and generate revenue.</w:t>
      </w:r>
    </w:p>
    <w:p>
      <w:pPr>
        <w:spacing w:after="0" w:line="94" w:lineRule="exact"/>
        <w:rPr>
          <w:sz w:val="20"/>
          <w:szCs w:val="20"/>
          <w:color w:val="auto"/>
        </w:rPr>
      </w:pPr>
    </w:p>
    <w:p>
      <w:pPr>
        <w:ind w:right="240" w:firstLine="446"/>
        <w:spacing w:after="0" w:line="270" w:lineRule="auto"/>
        <w:rPr>
          <w:sz w:val="20"/>
          <w:szCs w:val="20"/>
          <w:color w:val="auto"/>
        </w:rPr>
      </w:pPr>
      <w:r>
        <w:rPr>
          <w:rFonts w:ascii="Times New Roman" w:cs="Times New Roman" w:eastAsia="Times New Roman" w:hAnsi="Times New Roman"/>
          <w:sz w:val="14"/>
          <w:szCs w:val="14"/>
          <w:color w:val="auto"/>
        </w:rPr>
        <w:t>Advertising and promotion of any product candidate that obtains approval in the United States will be heavily scrutinized by the FDA, the DOJ, the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color w:val="auto"/>
        </w:rPr>
        <w:t>authorities will heavily scrutinize advertising and promotion of any product candidate that obtains approval outside of the United States.</w:t>
      </w:r>
    </w:p>
    <w:p>
      <w:pPr>
        <w:spacing w:after="0" w:line="94" w:lineRule="exact"/>
        <w:rPr>
          <w:sz w:val="20"/>
          <w:szCs w:val="20"/>
          <w:color w:val="auto"/>
        </w:rPr>
      </w:pPr>
    </w:p>
    <w:p>
      <w:pPr>
        <w:ind w:firstLine="446"/>
        <w:spacing w:after="0" w:line="256" w:lineRule="auto"/>
        <w:rPr>
          <w:sz w:val="20"/>
          <w:szCs w:val="20"/>
          <w:color w:val="auto"/>
        </w:rPr>
      </w:pPr>
      <w:r>
        <w:rPr>
          <w:rFonts w:ascii="Times New Roman" w:cs="Times New Roman" w:eastAsia="Times New Roman" w:hAnsi="Times New Roman"/>
          <w:sz w:val="14"/>
          <w:szCs w:val="14"/>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not be successful in our efforts to expand our pipeline of product candidates and develop marketable products.</w:t>
      </w:r>
    </w:p>
    <w:p>
      <w:pPr>
        <w:spacing w:after="0" w:line="96" w:lineRule="exact"/>
        <w:rPr>
          <w:sz w:val="20"/>
          <w:szCs w:val="20"/>
          <w:color w:val="auto"/>
        </w:rPr>
      </w:pPr>
    </w:p>
    <w:p>
      <w:pPr>
        <w:ind w:firstLine="446"/>
        <w:spacing w:after="0" w:line="258" w:lineRule="auto"/>
        <w:rPr>
          <w:sz w:val="20"/>
          <w:szCs w:val="20"/>
          <w:color w:val="auto"/>
        </w:rPr>
      </w:pPr>
      <w:r>
        <w:rPr>
          <w:rFonts w:ascii="Times New Roman" w:cs="Times New Roman" w:eastAsia="Times New Roman" w:hAnsi="Times New Roman"/>
          <w:sz w:val="14"/>
          <w:szCs w:val="14"/>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successfully develop, partner and/or commercialize product candidates, we may not be able to obtain product or partnership revenue in future periods, which would adversely affect our business, prospects, financial condition and results of operations.</w:t>
      </w:r>
    </w:p>
    <w:p>
      <w:pPr>
        <w:spacing w:after="0" w:line="62" w:lineRule="exact"/>
        <w:rPr>
          <w:sz w:val="20"/>
          <w:szCs w:val="20"/>
          <w:color w:val="auto"/>
        </w:rPr>
      </w:pPr>
    </w:p>
    <w:p>
      <w:pPr>
        <w:ind w:firstLine="446"/>
        <w:spacing w:after="0" w:line="259" w:lineRule="auto"/>
        <w:rPr>
          <w:sz w:val="20"/>
          <w:szCs w:val="20"/>
          <w:color w:val="auto"/>
        </w:rPr>
      </w:pPr>
      <w:r>
        <w:rPr>
          <w:rFonts w:ascii="Times New Roman" w:cs="Times New Roman" w:eastAsia="Times New Roman" w:hAnsi="Times New Roman"/>
          <w:sz w:val="14"/>
          <w:szCs w:val="14"/>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44"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b w:val="1"/>
          <w:bCs w:val="1"/>
          <w:color w:val="auto"/>
        </w:rPr>
        <w:t>We have recently commenced Phase 2 clinical development of rosnilimab and ANB032, and have no history of commercializing biotechnology products, which may make it difficult to evaluate the prospects for our future viability.</w:t>
      </w:r>
    </w:p>
    <w:p>
      <w:pPr>
        <w:spacing w:after="0" w:line="37" w:lineRule="exact"/>
        <w:rPr>
          <w:sz w:val="20"/>
          <w:szCs w:val="20"/>
          <w:color w:val="auto"/>
        </w:rPr>
      </w:pPr>
    </w:p>
    <w:p>
      <w:pPr>
        <w:ind w:right="20" w:firstLine="446"/>
        <w:spacing w:after="0" w:line="259" w:lineRule="auto"/>
        <w:rPr>
          <w:sz w:val="20"/>
          <w:szCs w:val="20"/>
          <w:color w:val="auto"/>
        </w:rPr>
      </w:pPr>
      <w:r>
        <w:rPr>
          <w:rFonts w:ascii="Times New Roman" w:cs="Times New Roman" w:eastAsia="Times New Roman" w:hAnsi="Times New Roman"/>
          <w:sz w:val="14"/>
          <w:szCs w:val="14"/>
          <w:color w:val="auto"/>
        </w:rPr>
        <w:t>Our operations to date have been largely limited to financing and staffing our company, developing our technology, and developing our wholly owned product candidates and other product candidates in partnerships with our collaborators. As a company, we have only very limited experience conducting pivotal Phase 3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 owned product candidates will require significant additional financial and management resources, and reliance on third-party clinical investigators, CROs,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color w:val="auto"/>
        </w:rPr>
        <w:t>consultants or collaborators. Relying on third-party clinical investigators, third-party manufacturing, CROs or collaborators may result in delays that are outside of our control.</w:t>
      </w:r>
    </w:p>
    <w:p>
      <w:pPr>
        <w:spacing w:after="0" w:line="94" w:lineRule="exact"/>
        <w:rPr>
          <w:sz w:val="20"/>
          <w:szCs w:val="20"/>
          <w:color w:val="auto"/>
        </w:rPr>
      </w:pPr>
    </w:p>
    <w:p>
      <w:pPr>
        <w:ind w:right="180" w:firstLine="446"/>
        <w:spacing w:after="0" w:line="287" w:lineRule="auto"/>
        <w:rPr>
          <w:sz w:val="20"/>
          <w:szCs w:val="20"/>
          <w:color w:val="auto"/>
        </w:rPr>
      </w:pPr>
      <w:r>
        <w:rPr>
          <w:rFonts w:ascii="Times New Roman" w:cs="Times New Roman" w:eastAsia="Times New Roman" w:hAnsi="Times New Roman"/>
          <w:sz w:val="14"/>
          <w:szCs w:val="14"/>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39" w:lineRule="exact"/>
        <w:rPr>
          <w:sz w:val="20"/>
          <w:szCs w:val="20"/>
          <w:color w:val="auto"/>
        </w:rPr>
      </w:pPr>
    </w:p>
    <w:p>
      <w:pPr>
        <w:ind w:left="700" w:right="340" w:hanging="313"/>
        <w:spacing w:after="0" w:line="287" w:lineRule="auto"/>
        <w:tabs>
          <w:tab w:leader="none" w:pos="69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28"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suspension or termination of a clinical trial once commenced;</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imposed by the FDA or foreign regulatory authorities regarding the number, scope or design of our clinical trials;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enrolling research subjects in clinical trials;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 drop-out rates of research subjects;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inadequate supply or quality of clinical trial materials or other supplies necessary for the conduct of our clinical trials;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than anticipated clinical trial costs;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poor effectiveness or unacceptable side effects of our product candidates during clinical trials;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FDA or other regulatory agency inspection and review of a clinical trial site;</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our third-party contractors or investigators to comply with regulatory requirements or otherwise meet their contractual obligations in a timely manner, or at all;</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serious and unexpected drug-related side effects experienced by participants in our planned clinical trials or by individuals using drugs similar to our product candidates;</w:t>
      </w:r>
    </w:p>
    <w:p>
      <w:pPr>
        <w:spacing w:after="0" w:line="93" w:lineRule="exact"/>
        <w:rPr>
          <w:rFonts w:ascii="Times New Roman" w:cs="Times New Roman" w:eastAsia="Times New Roman" w:hAnsi="Times New Roman"/>
          <w:sz w:val="14"/>
          <w:szCs w:val="14"/>
          <w:color w:val="auto"/>
        </w:rPr>
      </w:pPr>
    </w:p>
    <w:p>
      <w:pPr>
        <w:ind w:left="700" w:right="180" w:hanging="313"/>
        <w:spacing w:after="0" w:line="287" w:lineRule="auto"/>
        <w:tabs>
          <w:tab w:leader="none" w:pos="69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and changes in regulatory requirements, policy and guidelines, including the imposition of additional regulatory oversight around clinical testing generally or with respect to our technology in particular; or</w:t>
      </w:r>
    </w:p>
    <w:p>
      <w:pPr>
        <w:spacing w:after="0" w:line="39"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varying interpretations of data by the FDA and foreign regulatory authorities.</w:t>
      </w:r>
    </w:p>
    <w:p>
      <w:pPr>
        <w:spacing w:after="0" w:line="94" w:lineRule="exact"/>
        <w:rPr>
          <w:sz w:val="20"/>
          <w:szCs w:val="20"/>
          <w:color w:val="auto"/>
        </w:rPr>
      </w:pPr>
    </w:p>
    <w:p>
      <w:pPr>
        <w:ind w:right="180" w:firstLine="446"/>
        <w:spacing w:after="0" w:line="287" w:lineRule="auto"/>
        <w:rPr>
          <w:sz w:val="20"/>
          <w:szCs w:val="20"/>
          <w:color w:val="auto"/>
        </w:rPr>
      </w:pPr>
      <w:r>
        <w:rPr>
          <w:rFonts w:ascii="Times New Roman" w:cs="Times New Roman" w:eastAsia="Times New Roman" w:hAnsi="Times New Roman"/>
          <w:sz w:val="14"/>
          <w:szCs w:val="14"/>
          <w:color w:val="auto"/>
        </w:rPr>
        <w:t>Consequently, any predictions you make about our future success or viability based on our operating history may not be as accurate as they could be if we had an established track record in conducting clinical trials or commercializing products.</w:t>
      </w:r>
    </w:p>
    <w:p>
      <w:pPr>
        <w:spacing w:after="0" w:line="39" w:lineRule="exact"/>
        <w:rPr>
          <w:sz w:val="20"/>
          <w:szCs w:val="20"/>
          <w:color w:val="auto"/>
        </w:rPr>
      </w:pPr>
    </w:p>
    <w:p>
      <w:pPr>
        <w:ind w:right="380" w:firstLine="446"/>
        <w:spacing w:after="0" w:line="287" w:lineRule="auto"/>
        <w:rPr>
          <w:sz w:val="20"/>
          <w:szCs w:val="20"/>
          <w:color w:val="auto"/>
        </w:rPr>
      </w:pPr>
      <w:r>
        <w:rPr>
          <w:rFonts w:ascii="Times New Roman" w:cs="Times New Roman" w:eastAsia="Times New Roman" w:hAnsi="Times New Roman"/>
          <w:sz w:val="14"/>
          <w:szCs w:val="14"/>
          <w:color w:val="auto"/>
        </w:rPr>
        <w:t>Further, as a clinical stage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122" w:lineRule="exact"/>
        <w:rPr>
          <w:sz w:val="20"/>
          <w:szCs w:val="20"/>
          <w:color w:val="auto"/>
        </w:rPr>
      </w:pPr>
    </w:p>
    <w:p>
      <w:pPr>
        <w:ind w:right="600"/>
        <w:spacing w:after="0" w:line="290" w:lineRule="auto"/>
        <w:rPr>
          <w:sz w:val="20"/>
          <w:szCs w:val="20"/>
          <w:color w:val="auto"/>
        </w:rPr>
      </w:pPr>
      <w:r>
        <w:rPr>
          <w:rFonts w:ascii="Times New Roman" w:cs="Times New Roman" w:eastAsia="Times New Roman" w:hAnsi="Times New Roman"/>
          <w:sz w:val="14"/>
          <w:szCs w:val="14"/>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37" w:lineRule="exact"/>
        <w:rPr>
          <w:sz w:val="20"/>
          <w:szCs w:val="20"/>
          <w:color w:val="auto"/>
        </w:rPr>
      </w:pPr>
    </w:p>
    <w:p>
      <w:pPr>
        <w:ind w:firstLine="446"/>
        <w:spacing w:after="0" w:line="257" w:lineRule="auto"/>
        <w:rPr>
          <w:sz w:val="20"/>
          <w:szCs w:val="20"/>
          <w:color w:val="auto"/>
        </w:rPr>
      </w:pPr>
      <w:r>
        <w:rPr>
          <w:rFonts w:ascii="Times New Roman" w:cs="Times New Roman" w:eastAsia="Times New Roman" w:hAnsi="Times New Roman"/>
          <w:sz w:val="14"/>
          <w:szCs w:val="14"/>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of.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42" w:name="page43"/>
    <w:bookmarkEnd w:id="42"/>
    <w:p>
      <w:pPr>
        <w:ind w:right="80"/>
        <w:spacing w:after="0" w:line="287" w:lineRule="auto"/>
        <w:rPr>
          <w:sz w:val="20"/>
          <w:szCs w:val="20"/>
          <w:color w:val="auto"/>
        </w:rPr>
      </w:pPr>
      <w:r>
        <w:rPr>
          <w:rFonts w:ascii="Times New Roman" w:cs="Times New Roman" w:eastAsia="Times New Roman" w:hAnsi="Times New Roman"/>
          <w:sz w:val="14"/>
          <w:szCs w:val="14"/>
          <w:color w:val="auto"/>
        </w:rPr>
        <w:t>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39" w:lineRule="exact"/>
        <w:rPr>
          <w:sz w:val="20"/>
          <w:szCs w:val="20"/>
          <w:color w:val="auto"/>
        </w:rPr>
      </w:pPr>
    </w:p>
    <w:p>
      <w:pPr>
        <w:ind w:firstLine="446"/>
        <w:spacing w:after="0" w:line="258" w:lineRule="auto"/>
        <w:rPr>
          <w:sz w:val="20"/>
          <w:szCs w:val="20"/>
          <w:color w:val="auto"/>
        </w:rPr>
      </w:pPr>
      <w:r>
        <w:rPr>
          <w:rFonts w:ascii="Times New Roman" w:cs="Times New Roman" w:eastAsia="Times New Roman" w:hAnsi="Times New Roman"/>
          <w:sz w:val="14"/>
          <w:szCs w:val="14"/>
          <w:color w:val="auto"/>
        </w:rPr>
        <w:t>For our PD-1 agonist antibody program, our competitors include other PD-1 agonist antibodies peresolimab (Eli Lilly) in Phase 2b development for the treatment of rheumatoid arthritis, JNJ-67484703 (Janssen) in Phase 2 development for the treatment of atopic dermatitis, GS-0151 (Gilead) in Phase 1b development for rheumatoid arthritis, and a PD-1 agonist antibody (Boehringer Ingelheim) in Phase 1 development. Our commercial-stage competitors in moderate-to-severe rheumatoid arthritis include monoclonal antibodies targeting anti-TNF (Humira; Abbvie), IL-6 (Actemra; Roche and Kevzara; Regeneron), CD-80/86 (Orencia; BMS), CD-20 (Rituxan; Roche), and janus kinase inhibitors (Rinvoq; AbbVie, Olumiant; Eli Lilly, and Xeljanz; Pfizer). Commercial-stage competitors in moderate-to-severe ulcerative colitis include monoclonal antibodies targeting anti-TNF (Humira; Abbvie and Remicade; Johnson &amp; Johnson), anti-α4β7 (Entyvio; Takeda), anti-IL-23 (Stelara; Johnson &amp; Johnson and Omvoh; Eli Lilly) and S1P inhibitors (Zeposia; Bristol Myers Squibb and Velsipity; Pfizer) and janus kinase inhibitors (Rinvoq; AbbVie, and Xeljanz; Pfizer) as well as monoclonal antibodies targeting anti-TL1A (PRA023; Merck, RVT-3101; Roche and TEV’574; Teva/Sanofi) in Phase 2 and 3 development.</w:t>
      </w:r>
    </w:p>
    <w:p>
      <w:pPr>
        <w:spacing w:after="0" w:line="62" w:lineRule="exact"/>
        <w:rPr>
          <w:sz w:val="20"/>
          <w:szCs w:val="20"/>
          <w:color w:val="auto"/>
        </w:rPr>
      </w:pPr>
    </w:p>
    <w:p>
      <w:pPr>
        <w:ind w:right="40" w:firstLine="446"/>
        <w:spacing w:after="0" w:line="264" w:lineRule="auto"/>
        <w:rPr>
          <w:sz w:val="20"/>
          <w:szCs w:val="20"/>
          <w:color w:val="auto"/>
        </w:rPr>
      </w:pPr>
      <w:r>
        <w:rPr>
          <w:rFonts w:ascii="Times New Roman" w:cs="Times New Roman" w:eastAsia="Times New Roman" w:hAnsi="Times New Roman"/>
          <w:sz w:val="14"/>
          <w:szCs w:val="14"/>
          <w:color w:val="auto"/>
        </w:rPr>
        <w:t>For our BTLA agonist antibody program, our competitors include another BTLA agonist antibody, GS-0272 (Gilead) in Phase 1b development for SLE and rheumatoid arthritis. Commercial-stage competitors in moderate-to-severe atopic dermatitis include topical and oral corticosteroids, calcineurin inhibitors (Protopic; LEO Pharma and Elidel; Bausch Health), monoclonal antibodies targeting IL-4/13 (Dupixent; Regeneron/Sanofi), IL-13 (Adbry; LEO Pharma and Ebglyss; Lilly), IL-31 (nemolizumab; Galderma) and janus kinase inhibitors (Rinvoq; AbbVie and abrocitinib; Pfizer) as well as monoclonal antibodies targeting OX-40/OX40L (rocatinlimab; Amgen and amlitelimab; Sanofi) in Phase 3 development.</w:t>
      </w:r>
    </w:p>
    <w:p>
      <w:pPr>
        <w:spacing w:after="0" w:line="56" w:lineRule="exact"/>
        <w:rPr>
          <w:sz w:val="20"/>
          <w:szCs w:val="20"/>
          <w:color w:val="auto"/>
        </w:rPr>
      </w:pPr>
    </w:p>
    <w:p>
      <w:pPr>
        <w:jc w:val="both"/>
        <w:ind w:firstLine="446"/>
        <w:spacing w:after="0" w:line="264" w:lineRule="auto"/>
        <w:rPr>
          <w:sz w:val="20"/>
          <w:szCs w:val="20"/>
          <w:color w:val="auto"/>
        </w:rPr>
      </w:pPr>
      <w:r>
        <w:rPr>
          <w:rFonts w:ascii="Times New Roman" w:cs="Times New Roman" w:eastAsia="Times New Roman" w:hAnsi="Times New Roman"/>
          <w:sz w:val="14"/>
          <w:szCs w:val="14"/>
          <w:color w:val="auto"/>
        </w:rPr>
        <w:t>For our anti-CD122 antagonist antibody program, our clinical competitors include other anti-CD122 antagonist antibodies, auremolimab (Incyte), in Phase 1 development for vitiligo and FB-102 (Forte Bioscience) in Phase 1 development, and three anti-IL-15 monoclonal antibodies, AMG 714 (Amgen), currently in Phase 2 development for the treatment of vitiligo, CALY-002 (Calypso, which Novartis has agreed to acquire), currently in Phase 1b development for the treatment of celiac disease and eosinophilic esophagitis, and TEV-‘408 (Teva), currently in Phase 1b development for the treatment of celiac disease.</w:t>
      </w:r>
    </w:p>
    <w:p>
      <w:pPr>
        <w:spacing w:after="0" w:line="56" w:lineRule="exact"/>
        <w:rPr>
          <w:sz w:val="20"/>
          <w:szCs w:val="20"/>
          <w:color w:val="auto"/>
        </w:rPr>
      </w:pPr>
    </w:p>
    <w:p>
      <w:pPr>
        <w:ind w:right="160" w:firstLine="446"/>
        <w:spacing w:after="0" w:line="287" w:lineRule="auto"/>
        <w:rPr>
          <w:sz w:val="20"/>
          <w:szCs w:val="20"/>
          <w:color w:val="auto"/>
        </w:rPr>
      </w:pPr>
      <w:r>
        <w:rPr>
          <w:rFonts w:ascii="Times New Roman" w:cs="Times New Roman" w:eastAsia="Times New Roman" w:hAnsi="Times New Roman"/>
          <w:sz w:val="14"/>
          <w:szCs w:val="14"/>
          <w:color w:val="auto"/>
        </w:rPr>
        <w:t>For our anti-BDCA2 program, our competitors include another anti-BDCA2 antibody, litifilimab (Biogen) in Phase 3 development for SLE and CLE, and an anti-ILT7 antibody, daxdilimab (Amgen) in Phase 2 development for alopecia areata, dermatomyositis or anti-synthetase inflammatory myositis, and discoid lupus erythematosus.</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imsidolimab in the treatment of GPP, our competitors include another anti-IL-36 receptor antibody called SPEVIGO or spesolimab (Boehringer Ingelheim), approved for GPP.</w:t>
      </w:r>
    </w:p>
    <w:p>
      <w:pPr>
        <w:spacing w:after="0" w:line="94" w:lineRule="exact"/>
        <w:rPr>
          <w:sz w:val="20"/>
          <w:szCs w:val="20"/>
          <w:color w:val="auto"/>
        </w:rPr>
      </w:pPr>
    </w:p>
    <w:p>
      <w:pPr>
        <w:ind w:right="20" w:firstLine="446"/>
        <w:spacing w:after="0" w:line="261" w:lineRule="auto"/>
        <w:rPr>
          <w:sz w:val="20"/>
          <w:szCs w:val="20"/>
          <w:color w:val="auto"/>
        </w:rPr>
      </w:pPr>
      <w:r>
        <w:rPr>
          <w:rFonts w:ascii="Times New Roman" w:cs="Times New Roman" w:eastAsia="Times New Roman" w:hAnsi="Times New Roman"/>
          <w:sz w:val="14"/>
          <w:szCs w:val="14"/>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biosimilar products. Even if our product candidates achieve marketing approval, they may be priced at a significant premium over competitive biosimilar products if any have been approved by then.</w:t>
      </w:r>
    </w:p>
    <w:p>
      <w:pPr>
        <w:spacing w:after="0" w:line="58" w:lineRule="exact"/>
        <w:rPr>
          <w:sz w:val="20"/>
          <w:szCs w:val="20"/>
          <w:color w:val="auto"/>
        </w:rPr>
      </w:pPr>
    </w:p>
    <w:p>
      <w:pPr>
        <w:ind w:right="20" w:firstLine="446"/>
        <w:spacing w:after="0" w:line="261" w:lineRule="auto"/>
        <w:rPr>
          <w:sz w:val="20"/>
          <w:szCs w:val="20"/>
          <w:color w:val="auto"/>
        </w:rPr>
      </w:pPr>
      <w:r>
        <w:rPr>
          <w:rFonts w:ascii="Times New Roman" w:cs="Times New Roman" w:eastAsia="Times New Roman" w:hAnsi="Times New Roman"/>
          <w:sz w:val="14"/>
          <w:szCs w:val="14"/>
          <w:color w:val="auto"/>
        </w:rPr>
        <w:t>Smaller and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43" w:name="page44"/>
    <w:bookmarkEnd w:id="43"/>
    <w:p>
      <w:pPr>
        <w:ind w:right="340"/>
        <w:spacing w:after="0" w:line="290" w:lineRule="auto"/>
        <w:rPr>
          <w:sz w:val="20"/>
          <w:szCs w:val="20"/>
          <w:color w:val="auto"/>
        </w:rPr>
      </w:pPr>
      <w:r>
        <w:rPr>
          <w:rFonts w:ascii="Times New Roman" w:cs="Times New Roman" w:eastAsia="Times New Roman" w:hAnsi="Times New Roman"/>
          <w:sz w:val="14"/>
          <w:szCs w:val="14"/>
          <w:b w:val="1"/>
          <w:bCs w:val="1"/>
          <w:color w:val="auto"/>
        </w:rPr>
        <w:t>Our product candidates may not achieve adequate market acceptance among physicians, patients, health care payors and others in the medical community necessary for commercial success.</w:t>
      </w:r>
    </w:p>
    <w:p>
      <w:pPr>
        <w:spacing w:after="0" w:line="37" w:lineRule="exact"/>
        <w:rPr>
          <w:sz w:val="20"/>
          <w:szCs w:val="20"/>
          <w:color w:val="auto"/>
        </w:rPr>
      </w:pPr>
    </w:p>
    <w:p>
      <w:pPr>
        <w:ind w:right="640" w:firstLine="446"/>
        <w:spacing w:after="0" w:line="287" w:lineRule="auto"/>
        <w:rPr>
          <w:sz w:val="20"/>
          <w:szCs w:val="20"/>
          <w:color w:val="auto"/>
        </w:rPr>
      </w:pPr>
      <w:r>
        <w:rPr>
          <w:rFonts w:ascii="Times New Roman" w:cs="Times New Roman" w:eastAsia="Times New Roman" w:hAnsi="Times New Roman"/>
          <w:sz w:val="14"/>
          <w:szCs w:val="14"/>
          <w:color w:val="auto"/>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spacing w:after="0" w:line="39" w:lineRule="exact"/>
        <w:rPr>
          <w:sz w:val="20"/>
          <w:szCs w:val="20"/>
          <w:color w:val="auto"/>
        </w:rPr>
      </w:pPr>
    </w:p>
    <w:p>
      <w:pPr>
        <w:ind w:left="700" w:hanging="313"/>
        <w:spacing w:after="0"/>
        <w:tabs>
          <w:tab w:leader="none" w:pos="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and safety profile as demonstrated in planned clinical trials;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market introduction of the product candidate as well as competitive products;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clinical indications for which the product candidate is approved;</w:t>
      </w:r>
    </w:p>
    <w:p>
      <w:pPr>
        <w:spacing w:after="0" w:line="93" w:lineRule="exact"/>
        <w:rPr>
          <w:rFonts w:ascii="Times New Roman" w:cs="Times New Roman" w:eastAsia="Times New Roman" w:hAnsi="Times New Roman"/>
          <w:sz w:val="14"/>
          <w:szCs w:val="14"/>
          <w:color w:val="auto"/>
        </w:rPr>
      </w:pPr>
    </w:p>
    <w:p>
      <w:pPr>
        <w:ind w:left="700" w:right="180" w:hanging="313"/>
        <w:spacing w:after="0" w:line="287" w:lineRule="auto"/>
        <w:tabs>
          <w:tab w:leader="none" w:pos="69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use of our products, if approved, such as boxed warnings or contraindications in labeling or a REMS, if any, which may not be required of alternative treatments and competitor products;</w:t>
      </w:r>
    </w:p>
    <w:p>
      <w:pPr>
        <w:spacing w:after="0" w:line="39"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of the product candidate as a safe and effective treatment by physicians, clinics and patients;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and perceived advantages of product candidates over alternative treatments, including any similar generic treatments;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treatment in relation to alternative treatments;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coverage and adequate reimbursement and pricing by third parties and government authorities;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relative convenience and ease of administration;</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frequency and severity of adverse events;</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sales and marketing efforts; and</w:t>
      </w:r>
    </w:p>
    <w:p>
      <w:pPr>
        <w:spacing w:after="0" w:line="93"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publicity relating to the product candidate.</w:t>
      </w:r>
    </w:p>
    <w:p>
      <w:pPr>
        <w:spacing w:after="0" w:line="147" w:lineRule="exact"/>
        <w:rPr>
          <w:sz w:val="20"/>
          <w:szCs w:val="20"/>
          <w:color w:val="auto"/>
        </w:rPr>
      </w:pPr>
    </w:p>
    <w:p>
      <w:pPr>
        <w:ind w:right="160" w:firstLine="446"/>
        <w:spacing w:after="0" w:line="287" w:lineRule="auto"/>
        <w:rPr>
          <w:sz w:val="20"/>
          <w:szCs w:val="20"/>
          <w:color w:val="auto"/>
        </w:rPr>
      </w:pPr>
      <w:r>
        <w:rPr>
          <w:rFonts w:ascii="Times New Roman" w:cs="Times New Roman" w:eastAsia="Times New Roman" w:hAnsi="Times New Roman"/>
          <w:sz w:val="14"/>
          <w:szCs w:val="14"/>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122"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4"/>
          <w:szCs w:val="14"/>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37" w:lineRule="exact"/>
        <w:rPr>
          <w:sz w:val="20"/>
          <w:szCs w:val="20"/>
          <w:color w:val="auto"/>
        </w:rPr>
      </w:pPr>
    </w:p>
    <w:p>
      <w:pPr>
        <w:ind w:firstLine="446"/>
        <w:spacing w:after="0" w:line="256" w:lineRule="auto"/>
        <w:rPr>
          <w:sz w:val="20"/>
          <w:szCs w:val="20"/>
          <w:color w:val="auto"/>
        </w:rPr>
      </w:pPr>
      <w:r>
        <w:rPr>
          <w:rFonts w:ascii="Times New Roman" w:cs="Times New Roman" w:eastAsia="Times New Roman" w:hAnsi="Times New Roman"/>
          <w:sz w:val="14"/>
          <w:szCs w:val="14"/>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148"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color w:val="auto"/>
        </w:rPr>
        <w:t>The manufacture of biologics is complex, and our third-party manufacturers may encounter difficulties in production. If any of our third-party manufacturers encounter such difficulties, our ability to provide supply of our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96"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candidates for clinical trials, our ability to obtain marketing approval, or our ability to provide supply of our products for patients, if approved, could be delayed or stopped.</w:t>
      </w:r>
    </w:p>
    <w:p>
      <w:pPr>
        <w:spacing w:after="0" w:line="96" w:lineRule="exact"/>
        <w:rPr>
          <w:sz w:val="20"/>
          <w:szCs w:val="20"/>
          <w:color w:val="auto"/>
        </w:rPr>
      </w:pPr>
    </w:p>
    <w:p>
      <w:pPr>
        <w:ind w:right="40" w:firstLine="446"/>
        <w:spacing w:after="0" w:line="257" w:lineRule="auto"/>
        <w:rPr>
          <w:sz w:val="20"/>
          <w:szCs w:val="20"/>
          <w:color w:val="auto"/>
        </w:rPr>
      </w:pPr>
      <w:r>
        <w:rPr>
          <w:rFonts w:ascii="Times New Roman" w:cs="Times New Roman" w:eastAsia="Times New Roman" w:hAnsi="Times New Roman"/>
          <w:sz w:val="14"/>
          <w:szCs w:val="14"/>
          <w:color w:val="auto"/>
        </w:rPr>
        <w:t>The process of manufacturing biologics is complex, highly regulated and subject to multiple risks, and requires significant expertise and capital investment, including the development of advanced manufacturing techniques and process controls.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or supply chain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We rely, and expect to continue to rely, on third parties, including manufacturers based in China, for the manufacture of our product candidates and future product candidates. We and our contract manufacturers must comply with cGMPs for the manufacturing of biologics used in clinical trials and, if approved, marketed products. Moreover, if the FDA determines that our manufacturer is not in compliance with FDA laws and regulations, including cGMPs, the FDA may deny BLA approval until the deficiencies are corrected or we replace the manufacturer in our BLA with a manufacturer that is in compliance.</w:t>
      </w:r>
    </w:p>
    <w:p>
      <w:pPr>
        <w:spacing w:after="0" w:line="61" w:lineRule="exact"/>
        <w:rPr>
          <w:sz w:val="20"/>
          <w:szCs w:val="20"/>
          <w:color w:val="auto"/>
        </w:rPr>
      </w:pPr>
    </w:p>
    <w:p>
      <w:pPr>
        <w:ind w:right="300" w:firstLine="446"/>
        <w:spacing w:after="0" w:line="270" w:lineRule="auto"/>
        <w:rPr>
          <w:sz w:val="20"/>
          <w:szCs w:val="20"/>
          <w:color w:val="auto"/>
        </w:rPr>
      </w:pPr>
      <w:r>
        <w:rPr>
          <w:rFonts w:ascii="Times New Roman" w:cs="Times New Roman" w:eastAsia="Times New Roman" w:hAnsi="Times New Roman"/>
          <w:sz w:val="14"/>
          <w:szCs w:val="14"/>
          <w:color w:val="auto"/>
        </w:rPr>
        <w:t>Furthermore, all of our therapeutic antibodies are manufactured by starting with cells which are stored in a cell bank. We have one master cell bank for each antibody manufactured in accordance with cGMP and create multiple working cell banks to support cGMP manufacturing, and believe we would have adequate backup should any cell bank be lost in a catastrophic event. However, it is possible that we could lose multiple cell banks and have our manufacturing severely impacted by the need to replace the cell banks.</w:t>
      </w:r>
    </w:p>
    <w:p>
      <w:pPr>
        <w:spacing w:after="0" w:line="51" w:lineRule="exact"/>
        <w:rPr>
          <w:sz w:val="20"/>
          <w:szCs w:val="20"/>
          <w:color w:val="auto"/>
        </w:rPr>
      </w:pPr>
    </w:p>
    <w:p>
      <w:pPr>
        <w:ind w:right="20" w:firstLine="446"/>
        <w:spacing w:after="0" w:line="259" w:lineRule="auto"/>
        <w:rPr>
          <w:sz w:val="20"/>
          <w:szCs w:val="20"/>
          <w:color w:val="auto"/>
        </w:rPr>
      </w:pPr>
      <w:r>
        <w:rPr>
          <w:rFonts w:ascii="Times New Roman" w:cs="Times New Roman" w:eastAsia="Times New Roman" w:hAnsi="Times New Roman"/>
          <w:sz w:val="14"/>
          <w:szCs w:val="14"/>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Even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 Accordingly, failures or difficulties faced at any level of our manufacturing process could adversely affect our business and delay or impede the development and commercialization of our product candidates or products and could have an adverse effect on our business, prospects, financial condition and results of operations.</w:t>
      </w:r>
    </w:p>
    <w:p>
      <w:pPr>
        <w:spacing w:after="0" w:line="61"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4"/>
          <w:szCs w:val="14"/>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U.S. Although we have not experienced any material supply interruptions to date, it is possible that political, economic or public health events could cause such interruptions in the future. Further,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U.S. and China or other countries, what products and services may be subject to such actions or what actions may be taken by the other countries in retaliation. If our manufacturers are unable to produce sufficient quantities for clinical trials or for commercialization, commercialization efforts would be impaired, which would have an adverse effect on our business, financial condition, results of operations and growth prospects.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sectPr>
      </w:pPr>
    </w:p>
    <w:bookmarkStart w:id="45" w:name="page46"/>
    <w:bookmarkEnd w:id="45"/>
    <w:p>
      <w:pPr>
        <w:ind w:right="120"/>
        <w:spacing w:after="0" w:line="290" w:lineRule="auto"/>
        <w:rPr>
          <w:sz w:val="20"/>
          <w:szCs w:val="20"/>
          <w:color w:val="auto"/>
        </w:rPr>
      </w:pPr>
      <w:r>
        <w:rPr>
          <w:rFonts w:ascii="Times New Roman" w:cs="Times New Roman" w:eastAsia="Times New Roman" w:hAnsi="Times New Roman"/>
          <w:sz w:val="14"/>
          <w:szCs w:val="14"/>
          <w:b w:val="1"/>
          <w:bCs w:val="1"/>
          <w:color w:val="auto"/>
        </w:rPr>
        <w:t>The macroeconomic and geopolitical environment may have a material impact on the U.S. and global economies and could materially impact our business, financial condition and results of operations.</w:t>
      </w:r>
    </w:p>
    <w:p>
      <w:pPr>
        <w:spacing w:after="0" w:line="37" w:lineRule="exact"/>
        <w:rPr>
          <w:sz w:val="20"/>
          <w:szCs w:val="20"/>
          <w:color w:val="auto"/>
        </w:rPr>
      </w:pPr>
    </w:p>
    <w:p>
      <w:pPr>
        <w:ind w:right="140" w:firstLine="446"/>
        <w:spacing w:after="0" w:line="264" w:lineRule="auto"/>
        <w:rPr>
          <w:sz w:val="20"/>
          <w:szCs w:val="20"/>
          <w:color w:val="auto"/>
        </w:rPr>
      </w:pPr>
      <w:r>
        <w:rPr>
          <w:rFonts w:ascii="Times New Roman" w:cs="Times New Roman" w:eastAsia="Times New Roman" w:hAnsi="Times New Roman"/>
          <w:sz w:val="14"/>
          <w:szCs w:val="14"/>
          <w:color w:val="auto"/>
        </w:rPr>
        <w:t>The macroeconomic and geopolitical environment, including inflation, increased volatility in interest rates and the debt and equity markets, instability in the global banking system, global health crises and pandemics and geopolitical conflict have had, and may continue to have, an adverse impact on global economic conditions, which could have an adverse effect on our business and financial condition, including impairing our ability to raise additional capital on favorable terms. The extent to which any such factors impact our business and operations will depend on future developments that are highly uncertain and cannot be predicted, including new information that may emerge concerning the severity of the event and the actions to contain its impact.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Financial Position and Capital Needs</w:t>
      </w:r>
    </w:p>
    <w:p>
      <w:pPr>
        <w:spacing w:after="0" w:line="9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color w:val="auto"/>
        </w:rPr>
        <w:t>We have limited operating revenue and a history of operational losses and may not achieve or sustain profitability. We have no products approved for commercial sale, and to date we have not generated any revenue or profit from sales of our product candidates.</w:t>
      </w:r>
    </w:p>
    <w:p>
      <w:pPr>
        <w:spacing w:after="0" w:line="37" w:lineRule="exact"/>
        <w:rPr>
          <w:sz w:val="20"/>
          <w:szCs w:val="20"/>
          <w:color w:val="auto"/>
        </w:rPr>
      </w:pPr>
    </w:p>
    <w:p>
      <w:pPr>
        <w:ind w:right="20" w:firstLine="446"/>
        <w:spacing w:after="0" w:line="264" w:lineRule="auto"/>
        <w:rPr>
          <w:sz w:val="20"/>
          <w:szCs w:val="20"/>
          <w:color w:val="auto"/>
        </w:rPr>
      </w:pPr>
      <w:r>
        <w:rPr>
          <w:rFonts w:ascii="Times New Roman" w:cs="Times New Roman" w:eastAsia="Times New Roman" w:hAnsi="Times New Roman"/>
          <w:sz w:val="14"/>
          <w:szCs w:val="14"/>
          <w:color w:val="auto"/>
        </w:rPr>
        <w:t>We are a clinical-stage biotechnology company with a limited operating history. We have no approved products. To date, our revenue has been primarily derived from our GSK research collaboration and license agreement and royalty monetization agreements based on our GSK collaboration,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56" w:lineRule="exact"/>
        <w:rPr>
          <w:sz w:val="20"/>
          <w:szCs w:val="20"/>
          <w:color w:val="auto"/>
        </w:rPr>
      </w:pPr>
    </w:p>
    <w:p>
      <w:pPr>
        <w:ind w:right="200" w:firstLine="382"/>
        <w:spacing w:after="0" w:line="270" w:lineRule="auto"/>
        <w:rPr>
          <w:sz w:val="20"/>
          <w:szCs w:val="20"/>
          <w:color w:val="auto"/>
        </w:rPr>
      </w:pPr>
      <w:r>
        <w:rPr>
          <w:rFonts w:ascii="Times New Roman" w:cs="Times New Roman" w:eastAsia="Times New Roman" w:hAnsi="Times New Roman"/>
          <w:sz w:val="14"/>
          <w:szCs w:val="14"/>
          <w:color w:val="auto"/>
        </w:rPr>
        <w:t>Since our inception, we have incurred significant operating losses in every year except fiscal year 2014. For the three months ended March 31, 2024, we had $7.2 million in collaboration revenue and a net loss of $43.9 million. For the three months ended March 31, 2023, we had $1.4 million in collaboration revenue and a net loss of $44.3 million. As of March 31, 2024, we had an accumulated deficit of $658.0 million.</w:t>
      </w:r>
    </w:p>
    <w:p>
      <w:pPr>
        <w:spacing w:after="0" w:line="51" w:lineRule="exact"/>
        <w:rPr>
          <w:sz w:val="20"/>
          <w:szCs w:val="20"/>
          <w:color w:val="auto"/>
        </w:rPr>
      </w:pPr>
    </w:p>
    <w:p>
      <w:pPr>
        <w:ind w:right="100" w:firstLine="446"/>
        <w:spacing w:after="0" w:line="258" w:lineRule="auto"/>
        <w:rPr>
          <w:sz w:val="20"/>
          <w:szCs w:val="20"/>
          <w:color w:val="auto"/>
        </w:rPr>
      </w:pPr>
      <w:r>
        <w:rPr>
          <w:rFonts w:ascii="Times New Roman" w:cs="Times New Roman" w:eastAsia="Times New Roman" w:hAnsi="Times New Roman"/>
          <w:sz w:val="14"/>
          <w:szCs w:val="14"/>
          <w:color w:val="auto"/>
        </w:rPr>
        <w:t xml:space="preserve">We have financed our operations primarily through our initial public offering of common stock in January 2017, our follow-on public offerings of common stock in October 2017 and September 2018, our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Royalty Monetization Agreement, and our Zejula Royalty Monetization Agreement. We have devoted substantially all of our efforts to research and development. Rosnilimab and ANB032 are in Phase 2 clinical development and we expect that it will be several years, if ever, before any of our active product candidates are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milestone and royalty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spacing w:after="0" w:line="62"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research and preclinical development of our product candidates;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additional product candidates;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existing and enter into new collaboration agreements;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additional preclinical studies and initiate clinical trials for our product candidates;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approvals for the product candidates we develop or developed under our collaboration arrangements;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sales, marketing and distribution infrastructure to commercialize any product candidates for which we may obtain marketing approval;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 portfolio;</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additional executive, clinical, quality control and scientific personnel;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operational, financial and management information systems and personnel, including personnel to support our product development and commercialization efforts;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and maintain supply and manufacturing relationships with third parties and ensure adequate and legally compliant manufacturing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sectPr>
      </w:pPr>
    </w:p>
    <w:bookmarkStart w:id="46" w:name="page47"/>
    <w:bookmarkEnd w:id="46"/>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coverage and adequate product reimbursement from third-party payors, including government payors;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or in-license other product candidates and technologies;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achieve market acceptance for our or our collaborators’ products, if any.</w:t>
      </w:r>
    </w:p>
    <w:p>
      <w:pPr>
        <w:spacing w:after="0" w:line="94" w:lineRule="exact"/>
        <w:rPr>
          <w:sz w:val="20"/>
          <w:szCs w:val="20"/>
          <w:color w:val="auto"/>
        </w:rPr>
      </w:pPr>
    </w:p>
    <w:p>
      <w:pPr>
        <w:ind w:right="200" w:firstLine="446"/>
        <w:spacing w:after="0" w:line="264" w:lineRule="auto"/>
        <w:rPr>
          <w:sz w:val="20"/>
          <w:szCs w:val="20"/>
          <w:color w:val="auto"/>
        </w:rPr>
      </w:pPr>
      <w:r>
        <w:rPr>
          <w:rFonts w:ascii="Times New Roman" w:cs="Times New Roman" w:eastAsia="Times New Roman" w:hAnsi="Times New Roman"/>
          <w:sz w:val="14"/>
          <w:szCs w:val="14"/>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any of our product candidates are approved for commercial sale, we anticipate incurring significant costs associated with the commercial launch of any product candidate.</w:t>
      </w:r>
    </w:p>
    <w:p>
      <w:pPr>
        <w:spacing w:after="0" w:line="56" w:lineRule="exact"/>
        <w:rPr>
          <w:sz w:val="20"/>
          <w:szCs w:val="20"/>
          <w:color w:val="auto"/>
        </w:rPr>
      </w:pPr>
    </w:p>
    <w:p>
      <w:pPr>
        <w:ind w:firstLine="446"/>
        <w:spacing w:after="0" w:line="258" w:lineRule="auto"/>
        <w:rPr>
          <w:sz w:val="20"/>
          <w:szCs w:val="20"/>
          <w:color w:val="auto"/>
        </w:rPr>
      </w:pPr>
      <w:r>
        <w:rPr>
          <w:rFonts w:ascii="Times New Roman" w:cs="Times New Roman" w:eastAsia="Times New Roman" w:hAnsi="Times New Roman"/>
          <w:sz w:val="14"/>
          <w:szCs w:val="14"/>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145" w:lineRule="exact"/>
        <w:rPr>
          <w:sz w:val="20"/>
          <w:szCs w:val="20"/>
          <w:color w:val="auto"/>
        </w:rPr>
      </w:pPr>
    </w:p>
    <w:p>
      <w:pPr>
        <w:ind w:right="520"/>
        <w:spacing w:after="0" w:line="290" w:lineRule="auto"/>
        <w:rPr>
          <w:sz w:val="20"/>
          <w:szCs w:val="20"/>
          <w:color w:val="auto"/>
        </w:rPr>
      </w:pPr>
      <w:r>
        <w:rPr>
          <w:rFonts w:ascii="Times New Roman" w:cs="Times New Roman" w:eastAsia="Times New Roman" w:hAnsi="Times New Roman"/>
          <w:sz w:val="14"/>
          <w:szCs w:val="14"/>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37" w:lineRule="exact"/>
        <w:rPr>
          <w:sz w:val="20"/>
          <w:szCs w:val="20"/>
          <w:color w:val="auto"/>
        </w:rPr>
      </w:pPr>
    </w:p>
    <w:p>
      <w:pPr>
        <w:ind w:right="100" w:firstLine="446"/>
        <w:spacing w:after="0" w:line="258" w:lineRule="auto"/>
        <w:rPr>
          <w:sz w:val="20"/>
          <w:szCs w:val="20"/>
          <w:color w:val="auto"/>
        </w:rPr>
      </w:pPr>
      <w:r>
        <w:rPr>
          <w:rFonts w:ascii="Times New Roman" w:cs="Times New Roman" w:eastAsia="Times New Roman" w:hAnsi="Times New Roman"/>
          <w:sz w:val="14"/>
          <w:szCs w:val="14"/>
          <w:color w:val="auto"/>
        </w:rPr>
        <w:t>As a research and development company, our operations have consumed substantial amounts of cash since our inception. We expect our research and development expenses to increase in connection with our ongoing activities, which expenses may substantially increase if we conduct Phase 3 clinical trials or seek marketing approval for our product candidates without any partnerships.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for at least the next twelve months. However, circumstances may cause us to consume capital more rapidly than we currently anticipate. For example, as we continue to move our product candidates into and through clinical trials, we may have adverse results requiring us to find new product candidates. Any of these events may increase our development costs more than we expect. We may need to raise additional funds or otherwise obtain funding through collaboration agreements to continue development of our product candidates.</w:t>
      </w:r>
    </w:p>
    <w:p>
      <w:pPr>
        <w:spacing w:after="0" w:line="62" w:lineRule="exact"/>
        <w:rPr>
          <w:sz w:val="20"/>
          <w:szCs w:val="20"/>
          <w:color w:val="auto"/>
        </w:rPr>
      </w:pPr>
    </w:p>
    <w:p>
      <w:pPr>
        <w:jc w:val="both"/>
        <w:ind w:right="20" w:firstLine="446"/>
        <w:spacing w:after="0" w:line="270" w:lineRule="auto"/>
        <w:rPr>
          <w:sz w:val="20"/>
          <w:szCs w:val="20"/>
          <w:color w:val="auto"/>
        </w:rPr>
      </w:pPr>
      <w:r>
        <w:rPr>
          <w:rFonts w:ascii="Times New Roman" w:cs="Times New Roman" w:eastAsia="Times New Roman" w:hAnsi="Times New Roman"/>
          <w:sz w:val="14"/>
          <w:szCs w:val="14"/>
          <w:color w:val="auto"/>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51"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significantly delay, scale back or discontinue the development or commercialization of our product candidates or cease operations altogether;</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strategic alliances for research and development programs at an earlier stage than we would otherwise desire or on terms less favorable than might otherwise be available;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relinquish, or license on unfavorable terms, our rights to technologies or future product candidates that we otherwise would seek to develop or commercialize ourselves; or</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eliminate staff to conserve resources.</w:t>
      </w:r>
    </w:p>
    <w:p>
      <w:pPr>
        <w:spacing w:after="0" w:line="94" w:lineRule="exact"/>
        <w:rPr>
          <w:sz w:val="20"/>
          <w:szCs w:val="20"/>
          <w:color w:val="auto"/>
        </w:rPr>
      </w:pPr>
    </w:p>
    <w:p>
      <w:pPr>
        <w:ind w:right="640" w:firstLine="446"/>
        <w:spacing w:after="0" w:line="287" w:lineRule="auto"/>
        <w:rPr>
          <w:sz w:val="20"/>
          <w:szCs w:val="20"/>
          <w:color w:val="auto"/>
        </w:rPr>
      </w:pPr>
      <w:r>
        <w:rPr>
          <w:rFonts w:ascii="Times New Roman" w:cs="Times New Roman" w:eastAsia="Times New Roman" w:hAnsi="Times New Roman"/>
          <w:sz w:val="14"/>
          <w:szCs w:val="14"/>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Adverse macro-economic conditions,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3" w:right="339" w:bottom="1440" w:gutter="0" w:footer="0" w:header="0"/>
        </w:sectPr>
      </w:pPr>
    </w:p>
    <w:bookmarkStart w:id="47" w:name="page48"/>
    <w:bookmarkEnd w:id="47"/>
    <w:p>
      <w:pPr>
        <w:spacing w:after="0" w:line="261" w:lineRule="auto"/>
        <w:rPr>
          <w:sz w:val="20"/>
          <w:szCs w:val="20"/>
          <w:color w:val="auto"/>
        </w:rPr>
      </w:pPr>
      <w:r>
        <w:rPr>
          <w:rFonts w:ascii="Times New Roman" w:cs="Times New Roman" w:eastAsia="Times New Roman" w:hAnsi="Times New Roman"/>
          <w:sz w:val="14"/>
          <w:szCs w:val="14"/>
          <w:color w:val="auto"/>
        </w:rPr>
        <w:t>volatility in equity capital markets, rising interest rates, actual or perceived instability in the U.S. and global banking systems, and fluctuations in foreign exchange rates, could prevent us from raising additional capital in sufficient amounts or on terms acceptable to us or at all.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58" w:lineRule="exact"/>
        <w:rPr>
          <w:sz w:val="20"/>
          <w:szCs w:val="20"/>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progress, timing, costs and results of preclinical studies and clinical trials for our product candidates and future product candidates we may develop;</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size of clinical trials needed to show safety, efficacy and an acceptable risk/benefit profile for any of our product candidates;</w:t>
      </w:r>
    </w:p>
    <w:p>
      <w:pPr>
        <w:spacing w:after="0" w:line="93"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3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commercial success or failure of products sold by our collaborators, such as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4"/>
          <w:szCs w:val="14"/>
          <w:color w:val="auto"/>
        </w:rPr>
        <w:t xml:space="preserve"> by GSK, and the timing thereof;</w:t>
      </w:r>
    </w:p>
    <w:p>
      <w:pPr>
        <w:spacing w:after="0" w:line="9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existing and enter into new collaboration agreements;</w:t>
      </w:r>
    </w:p>
    <w:p>
      <w:pPr>
        <w:spacing w:after="0" w:line="93" w:lineRule="exact"/>
        <w:rPr>
          <w:rFonts w:ascii="Times New Roman" w:cs="Times New Roman" w:eastAsia="Times New Roman" w:hAnsi="Times New Roman"/>
          <w:sz w:val="14"/>
          <w:szCs w:val="14"/>
          <w:color w:val="auto"/>
        </w:rPr>
      </w:pPr>
    </w:p>
    <w:p>
      <w:pPr>
        <w:ind w:left="520" w:right="140" w:hanging="260"/>
        <w:spacing w:after="0" w:line="28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acceptance of any approved product candidates;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acquiring, licensing or investing in additional businesses, products, product candidates and technologies;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recruiting and retaining key employees;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fees associated with any delays or cancellations of forecasted manufacturing batches;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timing of selecting, auditing and potentially validating manufacturing sites for commercial-scale manufacturing; and</w:t>
      </w:r>
    </w:p>
    <w:p>
      <w:pPr>
        <w:spacing w:after="0" w:line="93" w:lineRule="exact"/>
        <w:rPr>
          <w:rFonts w:ascii="Times New Roman" w:cs="Times New Roman" w:eastAsia="Times New Roman" w:hAnsi="Times New Roman"/>
          <w:sz w:val="14"/>
          <w:szCs w:val="14"/>
          <w:color w:val="auto"/>
        </w:rPr>
      </w:pPr>
    </w:p>
    <w:p>
      <w:pPr>
        <w:ind w:left="520" w:right="440" w:hanging="260"/>
        <w:spacing w:after="0" w:line="28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39" w:lineRule="exact"/>
        <w:rPr>
          <w:sz w:val="20"/>
          <w:szCs w:val="20"/>
          <w:color w:val="auto"/>
        </w:rPr>
      </w:pPr>
    </w:p>
    <w:p>
      <w:pPr>
        <w:ind w:right="80" w:firstLine="446"/>
        <w:spacing w:after="0" w:line="287" w:lineRule="auto"/>
        <w:rPr>
          <w:sz w:val="20"/>
          <w:szCs w:val="20"/>
          <w:color w:val="auto"/>
        </w:rPr>
      </w:pPr>
      <w:r>
        <w:rPr>
          <w:rFonts w:ascii="Times New Roman" w:cs="Times New Roman" w:eastAsia="Times New Roman" w:hAnsi="Times New Roman"/>
          <w:sz w:val="14"/>
          <w:szCs w:val="14"/>
          <w:color w:val="auto"/>
        </w:rPr>
        <w:t>If we cannot expand our operations or otherwise capitalize on our business opportunities due to a lack of capital, our business, financial condition and results of operations could be adversely affected.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Raising additional capital may cause dilution to our existing stockholders, restrict our operations or require us to relinquish rights to our product candidates on unfavorable terms to us.</w:t>
      </w:r>
    </w:p>
    <w:p>
      <w:pPr>
        <w:spacing w:after="0" w:line="96" w:lineRule="exact"/>
        <w:rPr>
          <w:sz w:val="20"/>
          <w:szCs w:val="20"/>
          <w:color w:val="auto"/>
        </w:rPr>
      </w:pPr>
    </w:p>
    <w:p>
      <w:pPr>
        <w:ind w:right="20" w:firstLine="350"/>
        <w:spacing w:after="0" w:line="259" w:lineRule="auto"/>
        <w:rPr>
          <w:sz w:val="20"/>
          <w:szCs w:val="20"/>
          <w:color w:val="auto"/>
        </w:rPr>
      </w:pPr>
      <w:r>
        <w:rPr>
          <w:rFonts w:ascii="Times New Roman" w:cs="Times New Roman" w:eastAsia="Times New Roman" w:hAnsi="Times New Roman"/>
          <w:sz w:val="14"/>
          <w:szCs w:val="14"/>
          <w:color w:val="auto"/>
        </w:rPr>
        <w:t>We may seek additional capital through a variety of means, including through public or private equity, debt financings or other sources, including up-front payments and milestone payments from strategic collaborations, license agreements and royalty agreements.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48" w:name="page49"/>
    <w:bookmarkEnd w:id="48"/>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Dependence on Third Parties</w:t>
      </w:r>
    </w:p>
    <w:p>
      <w:pPr>
        <w:spacing w:after="0" w:line="94" w:lineRule="exact"/>
        <w:rPr>
          <w:sz w:val="20"/>
          <w:szCs w:val="20"/>
          <w:color w:val="auto"/>
        </w:rPr>
      </w:pPr>
    </w:p>
    <w:p>
      <w:pPr>
        <w:ind w:right="580"/>
        <w:spacing w:after="0" w:line="290" w:lineRule="auto"/>
        <w:rPr>
          <w:sz w:val="20"/>
          <w:szCs w:val="20"/>
          <w:color w:val="auto"/>
        </w:rPr>
      </w:pPr>
      <w:r>
        <w:rPr>
          <w:rFonts w:ascii="Times New Roman" w:cs="Times New Roman" w:eastAsia="Times New Roman" w:hAnsi="Times New Roman"/>
          <w:sz w:val="14"/>
          <w:szCs w:val="14"/>
          <w:b w:val="1"/>
          <w:bCs w:val="1"/>
          <w:color w:val="auto"/>
        </w:rPr>
        <w:t>Our existing collaboration with GSK is important to our business, and future collaborations may also be important to us. If we are unable to maintain this collaboration, or if this collaboration is not successful, our business could be adversely affected.</w:t>
      </w:r>
    </w:p>
    <w:p>
      <w:pPr>
        <w:spacing w:after="0" w:line="37" w:lineRule="exact"/>
        <w:rPr>
          <w:sz w:val="20"/>
          <w:szCs w:val="20"/>
          <w:color w:val="auto"/>
        </w:rPr>
      </w:pPr>
    </w:p>
    <w:p>
      <w:pPr>
        <w:ind w:right="180" w:firstLine="446"/>
        <w:spacing w:after="0" w:line="264" w:lineRule="auto"/>
        <w:rPr>
          <w:sz w:val="20"/>
          <w:szCs w:val="20"/>
          <w:color w:val="auto"/>
        </w:rPr>
      </w:pPr>
      <w:r>
        <w:rPr>
          <w:rFonts w:ascii="Times New Roman" w:cs="Times New Roman" w:eastAsia="Times New Roman" w:hAnsi="Times New Roman"/>
          <w:sz w:val="14"/>
          <w:szCs w:val="14"/>
          <w:color w:val="auto"/>
        </w:rPr>
        <w:t>We have entered into collaboration with GSK to develop several of our product candidates. GSK has advanced multiple antibodies generated through our collaboration into clinical trials. If our collaboration with GSK were terminated, we may not receive all or any of the funding potentially coming from such collaboration, which could adversely affect our business or financial condition. For example, in October 2023, we agreed with GSK to terminate the anti-LAG-3 antagonist antibody development program under our existing collaboration. As a result, we will not receive any additional milestones or any royalties from GSK for that development program.</w:t>
      </w:r>
    </w:p>
    <w:p>
      <w:pPr>
        <w:spacing w:after="0" w:line="56" w:lineRule="exact"/>
        <w:rPr>
          <w:sz w:val="20"/>
          <w:szCs w:val="20"/>
          <w:color w:val="auto"/>
        </w:rPr>
      </w:pPr>
    </w:p>
    <w:p>
      <w:pPr>
        <w:ind w:firstLine="446"/>
        <w:spacing w:after="0" w:line="257" w:lineRule="auto"/>
        <w:rPr>
          <w:sz w:val="20"/>
          <w:szCs w:val="20"/>
          <w:color w:val="auto"/>
        </w:rPr>
      </w:pPr>
      <w:r>
        <w:rPr>
          <w:rFonts w:ascii="Times New Roman" w:cs="Times New Roman" w:eastAsia="Times New Roman" w:hAnsi="Times New Roman"/>
          <w:sz w:val="14"/>
          <w:szCs w:val="14"/>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 For example, in October 2020, we settled a matter with GSK related to an alleged breach of our collaboration agreement in connection with GSK’s use of certain antibodies originally developed by us for the development of a drug not covered by the agreement. There can be no assurance that we will not encounter such issues under our collaborations with GSK or other parties in the future.</w:t>
      </w:r>
    </w:p>
    <w:p>
      <w:pPr>
        <w:spacing w:after="0" w:line="59"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4"/>
          <w:szCs w:val="14"/>
          <w:b w:val="1"/>
          <w:bCs w:val="1"/>
          <w:color w:val="auto"/>
        </w:rPr>
        <w:t>We may not succeed in establishing and maintaining additional development and commercialization collaborations, including the development or out-licensing of our legacy product candidates, which could adversely affect our ability to develop and commercialize product candidates.</w:t>
      </w:r>
    </w:p>
    <w:p>
      <w:pPr>
        <w:spacing w:after="0" w:line="37" w:lineRule="exact"/>
        <w:rPr>
          <w:sz w:val="20"/>
          <w:szCs w:val="20"/>
          <w:color w:val="auto"/>
        </w:rPr>
      </w:pPr>
    </w:p>
    <w:p>
      <w:pPr>
        <w:ind w:right="60" w:firstLine="446"/>
        <w:spacing w:after="0" w:line="257" w:lineRule="auto"/>
        <w:rPr>
          <w:sz w:val="20"/>
          <w:szCs w:val="20"/>
          <w:color w:val="auto"/>
        </w:rPr>
      </w:pPr>
      <w:r>
        <w:rPr>
          <w:rFonts w:ascii="Times New Roman" w:cs="Times New Roman" w:eastAsia="Times New Roman" w:hAnsi="Times New Roman"/>
          <w:sz w:val="14"/>
          <w:szCs w:val="14"/>
          <w:color w:val="auto"/>
        </w:rPr>
        <w:t>In addition to our current licensing arrangements, a part of our strategy is to enter into additional strategic product development and commercialization collaborations in the future, including collaborations to broaden and accelerate clinical development and potential commercialization of our product candidates, including our plans to out-license our legacy product candidates, imsidolimab and etokimab.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Moreover, if we fail to establish and maintain additional collaborations related to our product candidates:</w:t>
      </w:r>
    </w:p>
    <w:p>
      <w:pPr>
        <w:spacing w:after="0" w:line="94"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of certain of our current or future product candidates may be terminated or delayed;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cash expenditures related to development of certain of our current or future product candidates would increase significantly and we may need to seek additional financing;</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hire additional employees or otherwise develop expertise, such as sales and marketing expertise, for which we have not budgeted;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bear all of the risk related to the development and commercialization of any such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49" w:name="page50"/>
    <w:bookmarkEnd w:id="49"/>
    <w:p>
      <w:pPr>
        <w:ind w:right="120"/>
        <w:spacing w:after="0" w:line="290" w:lineRule="auto"/>
        <w:rPr>
          <w:sz w:val="20"/>
          <w:szCs w:val="20"/>
          <w:color w:val="auto"/>
        </w:rPr>
      </w:pPr>
      <w:r>
        <w:rPr>
          <w:rFonts w:ascii="Times New Roman" w:cs="Times New Roman" w:eastAsia="Times New Roman" w:hAnsi="Times New Roman"/>
          <w:sz w:val="14"/>
          <w:szCs w:val="14"/>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37" w:lineRule="exact"/>
        <w:rPr>
          <w:sz w:val="20"/>
          <w:szCs w:val="20"/>
          <w:color w:val="auto"/>
        </w:rPr>
      </w:pPr>
    </w:p>
    <w:p>
      <w:pPr>
        <w:ind w:right="40" w:firstLine="446"/>
        <w:spacing w:after="0" w:line="258" w:lineRule="auto"/>
        <w:rPr>
          <w:sz w:val="20"/>
          <w:szCs w:val="20"/>
          <w:color w:val="auto"/>
        </w:rPr>
      </w:pPr>
      <w:r>
        <w:rPr>
          <w:rFonts w:ascii="Times New Roman" w:cs="Times New Roman" w:eastAsia="Times New Roman" w:hAnsi="Times New Roman"/>
          <w:sz w:val="14"/>
          <w:szCs w:val="14"/>
          <w:color w:val="auto"/>
        </w:rPr>
        <w:t>We rely on third-party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62"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4"/>
          <w:szCs w:val="14"/>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rely completely on third parties to manufacture our nonclinical, clinical and future commercial drug supplies of any approved products.</w:t>
      </w:r>
    </w:p>
    <w:p>
      <w:pPr>
        <w:spacing w:after="0" w:line="96" w:lineRule="exact"/>
        <w:rPr>
          <w:sz w:val="20"/>
          <w:szCs w:val="20"/>
          <w:color w:val="auto"/>
        </w:rPr>
      </w:pPr>
    </w:p>
    <w:p>
      <w:pPr>
        <w:ind w:right="20" w:firstLine="446"/>
        <w:spacing w:after="0" w:line="257" w:lineRule="auto"/>
        <w:rPr>
          <w:sz w:val="20"/>
          <w:szCs w:val="20"/>
          <w:color w:val="auto"/>
        </w:rPr>
      </w:pPr>
      <w:r>
        <w:rPr>
          <w:rFonts w:ascii="Times New Roman" w:cs="Times New Roman" w:eastAsia="Times New Roman" w:hAnsi="Times New Roman"/>
          <w:sz w:val="14"/>
          <w:szCs w:val="14"/>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could considerably harm our business and ability to generate revenue and delay completion of our clinical trials, product testing and potential regulatory approval of our product candidates.</w:t>
      </w:r>
    </w:p>
    <w:p>
      <w:pPr>
        <w:spacing w:after="0" w:line="64" w:lineRule="exact"/>
        <w:rPr>
          <w:sz w:val="20"/>
          <w:szCs w:val="20"/>
          <w:color w:val="auto"/>
        </w:rPr>
      </w:pPr>
    </w:p>
    <w:p>
      <w:pPr>
        <w:ind w:right="60" w:firstLine="446"/>
        <w:spacing w:after="0" w:line="270" w:lineRule="auto"/>
        <w:rPr>
          <w:sz w:val="20"/>
          <w:szCs w:val="20"/>
          <w:color w:val="auto"/>
        </w:rPr>
      </w:pPr>
      <w:r>
        <w:rPr>
          <w:rFonts w:ascii="Times New Roman" w:cs="Times New Roman" w:eastAsia="Times New Roman" w:hAnsi="Times New Roman"/>
          <w:sz w:val="14"/>
          <w:szCs w:val="14"/>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51" w:lineRule="exact"/>
        <w:rPr>
          <w:sz w:val="20"/>
          <w:szCs w:val="20"/>
          <w:color w:val="auto"/>
        </w:rPr>
      </w:pPr>
    </w:p>
    <w:p>
      <w:pPr>
        <w:ind w:firstLine="446"/>
        <w:spacing w:after="0" w:line="264" w:lineRule="auto"/>
        <w:rPr>
          <w:sz w:val="20"/>
          <w:szCs w:val="20"/>
          <w:color w:val="auto"/>
        </w:rPr>
      </w:pPr>
      <w:r>
        <w:rPr>
          <w:rFonts w:ascii="Times New Roman" w:cs="Times New Roman" w:eastAsia="Times New Roman" w:hAnsi="Times New Roman"/>
          <w:sz w:val="14"/>
          <w:szCs w:val="14"/>
          <w:color w:val="auto"/>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138" w:lineRule="exact"/>
        <w:rPr>
          <w:sz w:val="20"/>
          <w:szCs w:val="20"/>
          <w:color w:val="auto"/>
        </w:rPr>
      </w:pPr>
    </w:p>
    <w:p>
      <w:pPr>
        <w:ind w:right="360"/>
        <w:spacing w:after="0" w:line="290" w:lineRule="auto"/>
        <w:rPr>
          <w:sz w:val="20"/>
          <w:szCs w:val="20"/>
          <w:color w:val="auto"/>
        </w:rPr>
      </w:pPr>
      <w:r>
        <w:rPr>
          <w:rFonts w:ascii="Times New Roman" w:cs="Times New Roman" w:eastAsia="Times New Roman" w:hAnsi="Times New Roman"/>
          <w:sz w:val="14"/>
          <w:szCs w:val="14"/>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96" w:right="339" w:bottom="1440" w:gutter="0" w:footer="0" w:header="0"/>
        </w:sectPr>
      </w:pPr>
    </w:p>
    <w:bookmarkStart w:id="50" w:name="page51"/>
    <w:bookmarkEnd w:id="50"/>
    <w:p>
      <w:pPr>
        <w:ind w:right="60" w:firstLine="446"/>
        <w:spacing w:after="0" w:line="258" w:lineRule="auto"/>
        <w:rPr>
          <w:sz w:val="20"/>
          <w:szCs w:val="20"/>
          <w:color w:val="auto"/>
        </w:rPr>
      </w:pPr>
      <w:r>
        <w:rPr>
          <w:rFonts w:ascii="Times New Roman" w:cs="Times New Roman" w:eastAsia="Times New Roman" w:hAnsi="Times New Roman"/>
          <w:sz w:val="14"/>
          <w:szCs w:val="14"/>
          <w:color w:val="auto"/>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 If either we or any third parties in the supply chain for materials used in the production of our product candidates are disrupted, including by political, economic or public health events, it could limit our ability to manufacture our product candidates for our preclinical or clinical studies.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Regulatory Approval of Our Product Candidates and Other Legal Compliance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failure to obtain regulatory approval in international jurisdictions would prevent us or our collaborators from marketing our product candidates outside the United States.</w:t>
      </w:r>
    </w:p>
    <w:p>
      <w:pPr>
        <w:spacing w:after="0" w:line="96" w:lineRule="exact"/>
        <w:rPr>
          <w:sz w:val="20"/>
          <w:szCs w:val="20"/>
          <w:color w:val="auto"/>
        </w:rPr>
      </w:pPr>
    </w:p>
    <w:p>
      <w:pPr>
        <w:ind w:right="20" w:firstLine="446"/>
        <w:spacing w:after="0" w:line="261" w:lineRule="auto"/>
        <w:rPr>
          <w:sz w:val="20"/>
          <w:szCs w:val="20"/>
          <w:color w:val="auto"/>
        </w:rPr>
      </w:pPr>
      <w:r>
        <w:rPr>
          <w:rFonts w:ascii="Times New Roman" w:cs="Times New Roman" w:eastAsia="Times New Roman" w:hAnsi="Times New Roman"/>
          <w:sz w:val="14"/>
          <w:szCs w:val="14"/>
          <w:color w:val="auto"/>
        </w:rPr>
        <w:t>In order to market and sell our products in other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or our collaborators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58" w:lineRule="exact"/>
        <w:rPr>
          <w:sz w:val="20"/>
          <w:szCs w:val="20"/>
          <w:color w:val="auto"/>
        </w:rPr>
      </w:pPr>
    </w:p>
    <w:p>
      <w:pPr>
        <w:ind w:right="20" w:firstLine="446"/>
        <w:spacing w:after="0" w:line="264" w:lineRule="auto"/>
        <w:rPr>
          <w:sz w:val="20"/>
          <w:szCs w:val="20"/>
          <w:color w:val="auto"/>
        </w:rPr>
      </w:pPr>
      <w:r>
        <w:rPr>
          <w:rFonts w:ascii="Times New Roman" w:cs="Times New Roman" w:eastAsia="Times New Roman" w:hAnsi="Times New Roman"/>
          <w:sz w:val="14"/>
          <w:szCs w:val="14"/>
          <w:color w:val="auto"/>
        </w:rPr>
        <w:t>If we or our collaborators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The failure to obtain approval of any of our product candidates by regulatory authorities in another country may significantly diminish the commercial prospects of that product candidate and our business prospects could decline.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Any drugs we develop may become subject to unfavorable third-party reimbursement practices and pricing regulations.</w:t>
      </w:r>
    </w:p>
    <w:p>
      <w:pPr>
        <w:spacing w:after="0" w:line="96" w:lineRule="exact"/>
        <w:rPr>
          <w:sz w:val="20"/>
          <w:szCs w:val="20"/>
          <w:color w:val="auto"/>
        </w:rPr>
      </w:pPr>
    </w:p>
    <w:p>
      <w:pPr>
        <w:ind w:firstLine="446"/>
        <w:spacing w:after="0" w:line="258" w:lineRule="auto"/>
        <w:rPr>
          <w:sz w:val="20"/>
          <w:szCs w:val="20"/>
          <w:color w:val="auto"/>
        </w:rPr>
      </w:pPr>
      <w:r>
        <w:rPr>
          <w:rFonts w:ascii="Times New Roman" w:cs="Times New Roman" w:eastAsia="Times New Roman" w:hAnsi="Times New Roman"/>
          <w:sz w:val="14"/>
          <w:szCs w:val="14"/>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or our collaborators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marketing approval is obtained. If coverage and reimbursement are not available or reimbursement is available only at limited levels, we or our collaborators may not successfully commercialize any product candidate for which marketing approval is obtained.</w:t>
      </w:r>
    </w:p>
    <w:p>
      <w:pPr>
        <w:spacing w:after="0" w:line="62" w:lineRule="exact"/>
        <w:rPr>
          <w:sz w:val="20"/>
          <w:szCs w:val="20"/>
          <w:color w:val="auto"/>
        </w:rPr>
      </w:pPr>
    </w:p>
    <w:p>
      <w:pPr>
        <w:ind w:right="20" w:firstLine="446"/>
        <w:spacing w:after="0" w:line="259" w:lineRule="auto"/>
        <w:rPr>
          <w:sz w:val="20"/>
          <w:szCs w:val="20"/>
          <w:color w:val="auto"/>
        </w:rPr>
      </w:pPr>
      <w:r>
        <w:rPr>
          <w:rFonts w:ascii="Times New Roman" w:cs="Times New Roman" w:eastAsia="Times New Roman" w:hAnsi="Times New Roman"/>
          <w:sz w:val="14"/>
          <w:szCs w:val="14"/>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or our collaborators to provide scientific and clinical support for the use of our products to each payor separately, with no assurance that coverage and adequate reimbursement will be applied consistently or obtained in the first instance.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51" w:name="page52"/>
    <w:bookmarkEnd w:id="51"/>
    <w:p>
      <w:pPr>
        <w:ind w:right="40" w:firstLine="446"/>
        <w:spacing w:after="0" w:line="259" w:lineRule="auto"/>
        <w:rPr>
          <w:sz w:val="20"/>
          <w:szCs w:val="20"/>
          <w:color w:val="auto"/>
        </w:rPr>
      </w:pPr>
      <w:r>
        <w:rPr>
          <w:rFonts w:ascii="Times New Roman" w:cs="Times New Roman" w:eastAsia="Times New Roman" w:hAnsi="Times New Roman"/>
          <w:sz w:val="14"/>
          <w:szCs w:val="14"/>
          <w:color w:val="auto"/>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or our collaborators commercialize and, if reimbursement is available, what the level of reimbursement and the timing of achieving a reimbursement determination will be.</w:t>
      </w:r>
    </w:p>
    <w:p>
      <w:pPr>
        <w:spacing w:after="0" w:line="61" w:lineRule="exact"/>
        <w:rPr>
          <w:sz w:val="20"/>
          <w:szCs w:val="20"/>
          <w:color w:val="auto"/>
        </w:rPr>
      </w:pPr>
    </w:p>
    <w:p>
      <w:pPr>
        <w:ind w:firstLine="446"/>
        <w:spacing w:after="0" w:line="257" w:lineRule="auto"/>
        <w:rPr>
          <w:sz w:val="20"/>
          <w:szCs w:val="20"/>
          <w:color w:val="auto"/>
        </w:rPr>
      </w:pPr>
      <w:r>
        <w:rPr>
          <w:rFonts w:ascii="Times New Roman" w:cs="Times New Roman" w:eastAsia="Times New Roman" w:hAnsi="Times New Roman"/>
          <w:sz w:val="14"/>
          <w:szCs w:val="14"/>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spacing w:after="0" w:line="64" w:lineRule="exact"/>
        <w:rPr>
          <w:sz w:val="20"/>
          <w:szCs w:val="20"/>
          <w:color w:val="auto"/>
        </w:rPr>
      </w:pPr>
    </w:p>
    <w:p>
      <w:pPr>
        <w:ind w:right="280" w:firstLine="446"/>
        <w:spacing w:after="0" w:line="261" w:lineRule="auto"/>
        <w:rPr>
          <w:sz w:val="20"/>
          <w:szCs w:val="20"/>
          <w:color w:val="auto"/>
        </w:rPr>
      </w:pPr>
      <w:r>
        <w:rPr>
          <w:rFonts w:ascii="Times New Roman" w:cs="Times New Roman" w:eastAsia="Times New Roman" w:hAnsi="Times New Roman"/>
          <w:sz w:val="14"/>
          <w:szCs w:val="14"/>
          <w:color w:val="auto"/>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spacing w:after="0" w:line="58" w:lineRule="exact"/>
        <w:rPr>
          <w:sz w:val="20"/>
          <w:szCs w:val="20"/>
          <w:color w:val="auto"/>
        </w:rPr>
      </w:pPr>
    </w:p>
    <w:p>
      <w:pPr>
        <w:jc w:val="both"/>
        <w:ind w:right="180" w:firstLine="446"/>
        <w:spacing w:after="0" w:line="270" w:lineRule="auto"/>
        <w:rPr>
          <w:sz w:val="20"/>
          <w:szCs w:val="20"/>
          <w:color w:val="auto"/>
        </w:rPr>
      </w:pPr>
      <w:r>
        <w:rPr>
          <w:rFonts w:ascii="Times New Roman" w:cs="Times New Roman" w:eastAsia="Times New Roman" w:hAnsi="Times New Roman"/>
          <w:sz w:val="14"/>
          <w:szCs w:val="14"/>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51" w:lineRule="exact"/>
        <w:rPr>
          <w:sz w:val="20"/>
          <w:szCs w:val="20"/>
          <w:color w:val="auto"/>
        </w:rPr>
      </w:pPr>
    </w:p>
    <w:p>
      <w:pPr>
        <w:jc w:val="both"/>
        <w:ind w:right="80" w:firstLine="446"/>
        <w:spacing w:after="0" w:line="270" w:lineRule="auto"/>
        <w:rPr>
          <w:sz w:val="20"/>
          <w:szCs w:val="20"/>
          <w:color w:val="auto"/>
        </w:rPr>
      </w:pPr>
      <w:r>
        <w:rPr>
          <w:rFonts w:ascii="Times New Roman" w:cs="Times New Roman" w:eastAsia="Times New Roman" w:hAnsi="Times New Roman"/>
          <w:sz w:val="14"/>
          <w:szCs w:val="14"/>
          <w:color w:val="auto"/>
        </w:rPr>
        <w:t>Furthermore, some of our target indications, such as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or our collaborators will need to implement a coverage and reimbursement strategy for any approved product candidate that accounts for the smaller potential market size.</w:t>
      </w:r>
    </w:p>
    <w:p>
      <w:pPr>
        <w:spacing w:after="0" w:line="51" w:lineRule="exact"/>
        <w:rPr>
          <w:sz w:val="20"/>
          <w:szCs w:val="20"/>
          <w:color w:val="auto"/>
        </w:rPr>
      </w:pPr>
    </w:p>
    <w:p>
      <w:pPr>
        <w:ind w:right="60" w:firstLine="446"/>
        <w:spacing w:after="0" w:line="264" w:lineRule="auto"/>
        <w:rPr>
          <w:sz w:val="20"/>
          <w:szCs w:val="20"/>
          <w:color w:val="auto"/>
        </w:rPr>
      </w:pPr>
      <w:r>
        <w:rPr>
          <w:rFonts w:ascii="Times New Roman" w:cs="Times New Roman" w:eastAsia="Times New Roman" w:hAnsi="Times New Roman"/>
          <w:sz w:val="14"/>
          <w:szCs w:val="14"/>
          <w:color w:val="auto"/>
        </w:rPr>
        <w:t>If we or our collaborators are unable to establish or sustain coverage and adequate reimbursement for any future product candidates from third-party payors, the adoption of those product candidates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138"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b w:val="1"/>
          <w:bCs w:val="1"/>
          <w:color w:val="auto"/>
        </w:rPr>
        <w:t>Healthcare legislative reform measures may increase the difficulty and cost for us or our collaborators to obtain marketing approval of and commercialize our product candidates and affect the pricing of our product candidates.</w:t>
      </w:r>
    </w:p>
    <w:p>
      <w:pPr>
        <w:spacing w:after="0" w:line="37" w:lineRule="exact"/>
        <w:rPr>
          <w:sz w:val="20"/>
          <w:szCs w:val="20"/>
          <w:color w:val="auto"/>
        </w:rPr>
      </w:pPr>
    </w:p>
    <w:p>
      <w:pPr>
        <w:ind w:right="160" w:firstLine="446"/>
        <w:spacing w:after="0" w:line="287" w:lineRule="auto"/>
        <w:rPr>
          <w:sz w:val="20"/>
          <w:szCs w:val="20"/>
          <w:color w:val="auto"/>
        </w:rPr>
      </w:pPr>
      <w:r>
        <w:rPr>
          <w:rFonts w:ascii="Times New Roman" w:cs="Times New Roman" w:eastAsia="Times New Roman" w:hAnsi="Times New Roman"/>
          <w:sz w:val="14"/>
          <w:szCs w:val="14"/>
          <w:color w:val="auto"/>
        </w:rPr>
        <w:t>In the United States and some foreign jurisdictions, there have been a number of legislative and regulatory changes and proposed changes regarding the healthcare system that could, among other things, prevent or delay marketing approval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52" w:name="page53"/>
    <w:bookmarkEnd w:id="52"/>
    <w:p>
      <w:pPr>
        <w:ind w:right="20"/>
        <w:spacing w:after="0" w:line="264" w:lineRule="auto"/>
        <w:rPr>
          <w:sz w:val="20"/>
          <w:szCs w:val="20"/>
          <w:color w:val="auto"/>
        </w:rPr>
      </w:pPr>
      <w:r>
        <w:rPr>
          <w:rFonts w:ascii="Times New Roman" w:cs="Times New Roman" w:eastAsia="Times New Roman" w:hAnsi="Times New Roman"/>
          <w:sz w:val="14"/>
          <w:szCs w:val="14"/>
          <w:color w:val="auto"/>
        </w:rPr>
        <w:t>product candidates, restrict or regulate post-approval activities and affect our or our collaborators’ ability to profitably sell any product candidates for which marketing approval is obtained. The commercial potential for our product candidates, if any, could be affected by changes in healthcare spending and policy in the United States and abroad.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if and when we or our collaborators are able to obtain marketing approval and commercialize our product candidates.</w:t>
      </w:r>
    </w:p>
    <w:p>
      <w:pPr>
        <w:spacing w:after="0" w:line="56" w:lineRule="exact"/>
        <w:rPr>
          <w:sz w:val="20"/>
          <w:szCs w:val="20"/>
          <w:color w:val="auto"/>
        </w:rPr>
      </w:pPr>
    </w:p>
    <w:p>
      <w:pPr>
        <w:ind w:right="260" w:firstLine="446"/>
        <w:spacing w:after="0" w:line="270" w:lineRule="auto"/>
        <w:rPr>
          <w:sz w:val="20"/>
          <w:szCs w:val="20"/>
          <w:color w:val="auto"/>
        </w:rPr>
      </w:pPr>
      <w:r>
        <w:rPr>
          <w:rFonts w:ascii="Times New Roman" w:cs="Times New Roman" w:eastAsia="Times New Roman" w:hAnsi="Times New Roman"/>
          <w:sz w:val="14"/>
          <w:szCs w:val="14"/>
          <w:color w:val="auto"/>
        </w:rPr>
        <w:t>For example, the ACA was enacted in 2010, which substantially changed the way healthcare is financed by both governmental and private insurers, and significantly impacts the U.S. pharmaceutical industry. While there have been legislative and judicial efforts to modify, repeal or otherwise invalidate all or certain aspects of the ACA or its implementing regulations, the ACA remains in effect in its current form. It is unclear how any such efforts in the future will impact the ACA or our business.</w:t>
      </w:r>
    </w:p>
    <w:p>
      <w:pPr>
        <w:spacing w:after="0" w:line="51"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4"/>
          <w:szCs w:val="14"/>
          <w:color w:val="auto"/>
        </w:rPr>
        <w:t>In addition, other legislative changes have been proposed and adopted in the United States federal and state levels to reduce healthcare expenditures. For example, several healthcare reform initiatives culminated in the enactment of the IRA, in August 2022, which allows, among other things, the HHS to negotiate the selling price of certain drugs and biologics that CMS reimburses under Medicare Part B and Part D, although this only applies to high-expenditure single-source drugs that have been approved for at least 7 years (11 years for biologics). The negotiated prices, which will first become effective in 2026, will be capped at a statutory ceiling price. Beginning in January 2023 for Medicare Part B and October 2022 for Medicare Part D,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are taking effect progressively starting in 2023, although they are subject to legal challenges. For example, the provisions related to the negotiation of selling prices of high-expenditure single-source drugs and biologics have been challenged in multiple lawsuits. Thus, it is unclear how the IRA will be implemented but it will likely have a significant impact on the pharmaceutical industry and the pricing of our products and product candidates. The adoption of restrictive price controls in new jurisdictions, more restrictive controls in existing jurisdictions or the failure to obtain or maintain timely or adequate pricing could also adversely impact revenue. We expect pricing pressures will continue globally.</w:t>
      </w:r>
    </w:p>
    <w:p>
      <w:pPr>
        <w:spacing w:after="0" w:line="68" w:lineRule="exact"/>
        <w:rPr>
          <w:sz w:val="20"/>
          <w:szCs w:val="20"/>
          <w:color w:val="auto"/>
        </w:rPr>
      </w:pPr>
    </w:p>
    <w:p>
      <w:pPr>
        <w:ind w:right="20" w:firstLine="446"/>
        <w:spacing w:after="0" w:line="264" w:lineRule="auto"/>
        <w:rPr>
          <w:sz w:val="20"/>
          <w:szCs w:val="20"/>
          <w:color w:val="auto"/>
        </w:rPr>
      </w:pPr>
      <w:r>
        <w:rPr>
          <w:rFonts w:ascii="Times New Roman" w:cs="Times New Roman" w:eastAsia="Times New Roman" w:hAnsi="Times New Roman"/>
          <w:sz w:val="14"/>
          <w:szCs w:val="14"/>
          <w:color w:val="auto"/>
        </w:rPr>
        <w:t>It is likely that federal and state legislatures within the United States and foreign governments will continue to consider changes to existing healthcare legislation. For example, the ACA has faced ongoing legal challenges, including litigation seeking to invalidate some of or all of the law or the manner in which it has been implemented. More recently, the 2017 Tax Cuts and Jobs Act was signed into law, which eliminated certain requirements of the ACA, including the individual mandate. We cannot predict the reform initiatives that may be adopted in the future or whether initiatives that have been adopted will be repealed or modified.</w:t>
      </w:r>
    </w:p>
    <w:p>
      <w:pPr>
        <w:spacing w:after="0" w:line="56" w:lineRule="exact"/>
        <w:rPr>
          <w:sz w:val="20"/>
          <w:szCs w:val="20"/>
          <w:color w:val="auto"/>
        </w:rPr>
      </w:pPr>
    </w:p>
    <w:p>
      <w:pPr>
        <w:ind w:right="120" w:firstLine="446"/>
        <w:spacing w:after="0" w:line="270" w:lineRule="auto"/>
        <w:rPr>
          <w:sz w:val="20"/>
          <w:szCs w:val="20"/>
          <w:color w:val="auto"/>
        </w:rPr>
      </w:pPr>
      <w:r>
        <w:rPr>
          <w:rFonts w:ascii="Times New Roman" w:cs="Times New Roman" w:eastAsia="Times New Roman" w:hAnsi="Times New Roman"/>
          <w:sz w:val="14"/>
          <w:szCs w:val="14"/>
          <w:color w:val="auto"/>
        </w:rPr>
        <w:t>We expect that the ACA, the IRA and other state or federal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spacing w:after="0" w:line="134"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37" w:lineRule="exact"/>
        <w:rPr>
          <w:sz w:val="20"/>
          <w:szCs w:val="20"/>
          <w:color w:val="auto"/>
        </w:rPr>
      </w:pPr>
    </w:p>
    <w:p>
      <w:pPr>
        <w:jc w:val="both"/>
        <w:ind w:right="40" w:firstLine="446"/>
        <w:spacing w:after="0" w:line="261" w:lineRule="auto"/>
        <w:rPr>
          <w:sz w:val="20"/>
          <w:szCs w:val="20"/>
          <w:color w:val="auto"/>
        </w:rPr>
      </w:pPr>
      <w:r>
        <w:rPr>
          <w:rFonts w:ascii="Times New Roman" w:cs="Times New Roman" w:eastAsia="Times New Roman" w:hAnsi="Times New Roman"/>
          <w:sz w:val="14"/>
          <w:szCs w:val="14"/>
          <w:color w:val="auto"/>
        </w:rPr>
        <w:t>Our business exposes us to significant product liability risks inherent in the development, testing, manufacturing and marketing of therapeutic treatments. Product liability claims could delay or prevent completion of our development programs. If we or our collaborators succeed in marketing any of our product candidates, such claims could result in an FDA investigation of the safety and effectiveness of our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53" w:name="page54"/>
    <w:bookmarkEnd w:id="53"/>
    <w:p>
      <w:pPr>
        <w:ind w:right="200"/>
        <w:spacing w:after="0" w:line="264" w:lineRule="auto"/>
        <w:rPr>
          <w:sz w:val="20"/>
          <w:szCs w:val="20"/>
          <w:color w:val="auto"/>
        </w:rPr>
      </w:pPr>
      <w:r>
        <w:rPr>
          <w:rFonts w:ascii="Times New Roman" w:cs="Times New Roman" w:eastAsia="Times New Roman" w:hAnsi="Times New Roman"/>
          <w:sz w:val="14"/>
          <w:szCs w:val="14"/>
          <w:color w:val="auto"/>
        </w:rPr>
        <w:t>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138"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color w:val="auto"/>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spacing w:after="0" w:line="37" w:lineRule="exact"/>
        <w:rPr>
          <w:sz w:val="20"/>
          <w:szCs w:val="20"/>
          <w:color w:val="auto"/>
        </w:rPr>
      </w:pPr>
    </w:p>
    <w:p>
      <w:pPr>
        <w:ind w:right="140" w:firstLine="446"/>
        <w:spacing w:after="0" w:line="264" w:lineRule="auto"/>
        <w:rPr>
          <w:sz w:val="20"/>
          <w:szCs w:val="20"/>
          <w:color w:val="auto"/>
        </w:rPr>
      </w:pPr>
      <w:r>
        <w:rPr>
          <w:rFonts w:ascii="Times New Roman" w:cs="Times New Roman" w:eastAsia="Times New Roman" w:hAnsi="Times New Roman"/>
          <w:sz w:val="14"/>
          <w:szCs w:val="14"/>
          <w:color w:val="auto"/>
        </w:rPr>
        <w:t>Health care providers and third-party payors play a primary role in the recommendation and prescription of any product candidates for which we or our collaborators obtain marketing approval. Our future arrangements with third-party payors and customers may expose us to broadly applicable fraud and abuse and other health care laws and regulations that may constrain the business or financial arrangements and relationships through which we or our collaborators market, sell and distribute our product candidates for which marketing approval is obtained. Restrictions under applicable federal and state health care laws and regulations include the following:</w:t>
      </w:r>
    </w:p>
    <w:p>
      <w:pPr>
        <w:spacing w:after="0" w:line="56" w:lineRule="exact"/>
        <w:rPr>
          <w:sz w:val="20"/>
          <w:szCs w:val="20"/>
          <w:color w:val="auto"/>
        </w:rPr>
      </w:pPr>
    </w:p>
    <w:p>
      <w:pPr>
        <w:ind w:left="520" w:hanging="260"/>
        <w:spacing w:after="0" w:line="270"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spacing w:after="0" w:line="50" w:lineRule="exact"/>
        <w:rPr>
          <w:rFonts w:ascii="Times New Roman" w:cs="Times New Roman" w:eastAsia="Times New Roman" w:hAnsi="Times New Roman"/>
          <w:sz w:val="14"/>
          <w:szCs w:val="14"/>
          <w:color w:val="auto"/>
        </w:rPr>
      </w:pPr>
    </w:p>
    <w:p>
      <w:pPr>
        <w:jc w:val="both"/>
        <w:ind w:left="520" w:right="80" w:hanging="260"/>
        <w:spacing w:after="0" w:line="270"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50" w:lineRule="exact"/>
        <w:rPr>
          <w:rFonts w:ascii="Times New Roman" w:cs="Times New Roman" w:eastAsia="Times New Roman" w:hAnsi="Times New Roman"/>
          <w:sz w:val="14"/>
          <w:szCs w:val="14"/>
          <w:color w:val="auto"/>
        </w:rPr>
      </w:pPr>
    </w:p>
    <w:p>
      <w:pPr>
        <w:ind w:left="520" w:right="380" w:hanging="260"/>
        <w:spacing w:after="0" w:line="287"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imposes criminal and civil liability for, among other things, executing or attempting to execute a scheme to defraud any health care benefit program or making false statements relating to health care matters;</w:t>
      </w:r>
    </w:p>
    <w:p>
      <w:pPr>
        <w:spacing w:after="0" w:line="39" w:lineRule="exact"/>
        <w:rPr>
          <w:rFonts w:ascii="Times New Roman" w:cs="Times New Roman" w:eastAsia="Times New Roman" w:hAnsi="Times New Roman"/>
          <w:sz w:val="14"/>
          <w:szCs w:val="14"/>
          <w:color w:val="auto"/>
        </w:rPr>
      </w:pPr>
    </w:p>
    <w:p>
      <w:pPr>
        <w:ind w:left="520" w:right="600" w:hanging="260"/>
        <w:spacing w:after="0" w:line="287"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39" w:lineRule="exact"/>
        <w:rPr>
          <w:rFonts w:ascii="Times New Roman" w:cs="Times New Roman" w:eastAsia="Times New Roman" w:hAnsi="Times New Roman"/>
          <w:sz w:val="14"/>
          <w:szCs w:val="14"/>
          <w:color w:val="auto"/>
        </w:rPr>
      </w:pPr>
    </w:p>
    <w:p>
      <w:pPr>
        <w:ind w:left="520" w:right="60" w:hanging="260"/>
        <w:spacing w:after="0" w:line="264"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spacing w:after="0" w:line="55" w:lineRule="exact"/>
        <w:rPr>
          <w:rFonts w:ascii="Times New Roman" w:cs="Times New Roman" w:eastAsia="Times New Roman" w:hAnsi="Times New Roman"/>
          <w:sz w:val="14"/>
          <w:szCs w:val="14"/>
          <w:color w:val="auto"/>
        </w:rPr>
      </w:pPr>
    </w:p>
    <w:p>
      <w:pPr>
        <w:ind w:left="520" w:right="140" w:hanging="260"/>
        <w:spacing w:after="0" w:line="287"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39" w:lineRule="exact"/>
        <w:rPr>
          <w:sz w:val="20"/>
          <w:szCs w:val="20"/>
          <w:color w:val="auto"/>
        </w:rPr>
      </w:pPr>
    </w:p>
    <w:p>
      <w:pPr>
        <w:jc w:val="both"/>
        <w:ind w:right="220" w:firstLine="446"/>
        <w:spacing w:after="0" w:line="270" w:lineRule="auto"/>
        <w:rPr>
          <w:sz w:val="20"/>
          <w:szCs w:val="20"/>
          <w:color w:val="auto"/>
        </w:rPr>
      </w:pPr>
      <w:r>
        <w:rPr>
          <w:rFonts w:ascii="Times New Roman" w:cs="Times New Roman" w:eastAsia="Times New Roman" w:hAnsi="Times New Roman"/>
          <w:sz w:val="14"/>
          <w:szCs w:val="14"/>
          <w:color w:val="auto"/>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spacing w:after="0" w:line="51" w:lineRule="exact"/>
        <w:rPr>
          <w:sz w:val="20"/>
          <w:szCs w:val="20"/>
          <w:color w:val="auto"/>
        </w:rPr>
      </w:pPr>
    </w:p>
    <w:p>
      <w:pPr>
        <w:ind w:firstLine="446"/>
        <w:spacing w:after="0" w:line="270" w:lineRule="auto"/>
        <w:rPr>
          <w:sz w:val="20"/>
          <w:szCs w:val="20"/>
          <w:color w:val="auto"/>
        </w:rPr>
      </w:pPr>
      <w:r>
        <w:rPr>
          <w:rFonts w:ascii="Times New Roman" w:cs="Times New Roman" w:eastAsia="Times New Roman" w:hAnsi="Times New Roman"/>
          <w:sz w:val="14"/>
          <w:szCs w:val="14"/>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3" w:right="339" w:bottom="1440" w:gutter="0" w:footer="0" w:header="0"/>
        </w:sectPr>
      </w:pPr>
    </w:p>
    <w:bookmarkStart w:id="54" w:name="page55"/>
    <w:bookmarkEnd w:id="54"/>
    <w:p>
      <w:pPr>
        <w:ind w:right="60"/>
        <w:spacing w:after="0" w:line="264" w:lineRule="auto"/>
        <w:rPr>
          <w:sz w:val="20"/>
          <w:szCs w:val="20"/>
          <w:color w:val="auto"/>
        </w:rPr>
      </w:pPr>
      <w:r>
        <w:rPr>
          <w:rFonts w:ascii="Times New Roman" w:cs="Times New Roman" w:eastAsia="Times New Roman" w:hAnsi="Times New Roman"/>
          <w:sz w:val="14"/>
          <w:szCs w:val="14"/>
          <w:color w:val="auto"/>
        </w:rPr>
        <w:t>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failure to comply with privacy and data security laws, regulations and standards may cause our business to be materially adversely affected.</w:t>
      </w:r>
    </w:p>
    <w:p>
      <w:pPr>
        <w:spacing w:after="0" w:line="96" w:lineRule="exact"/>
        <w:rPr>
          <w:sz w:val="20"/>
          <w:szCs w:val="20"/>
          <w:color w:val="auto"/>
        </w:rPr>
      </w:pPr>
    </w:p>
    <w:p>
      <w:pPr>
        <w:ind w:firstLine="446"/>
        <w:spacing w:after="0" w:line="256" w:lineRule="auto"/>
        <w:rPr>
          <w:sz w:val="20"/>
          <w:szCs w:val="20"/>
          <w:color w:val="auto"/>
        </w:rPr>
      </w:pPr>
      <w:r>
        <w:rPr>
          <w:rFonts w:ascii="Times New Roman" w:cs="Times New Roman" w:eastAsia="Times New Roman" w:hAnsi="Times New Roman"/>
          <w:sz w:val="14"/>
          <w:szCs w:val="14"/>
          <w:color w:val="auto"/>
        </w:rPr>
        <w:t>We maintain a quantity of sensitive information, including confidential business and patient health information in connection with our clinical trials, and are subject to U.S. and international laws and regulations governing the privacy and security of such information. Each of these laws is subject to varying interpretations and constantly evolving.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In contrast, the EU and United Kingdom (“UK”) GDPR, which applies extraterritorially, imposes several strict requirements for controllers and processors of personal information. These include higher standards for obtaining consent from individuals to process their personal information, increased requirements pertaining to the processing of special categories of personal information (such as health information) and pseudonymized (i.e., key-coded) data, and heightened transfer requirements of personal information from the European Economic Area/UK/Switzerland to countries not deemed to have adequate data protections laws. The GDPR also provides that countries in the European Economic Area may establish their own laws and regulations further restricting the processing of certain personal information, including genetic data, biometric data, and health data. Companies that must comply with the GDPR face increased compliance obligations and risk, including more robust regulatory enforcement of data protection requirements and potential fines for noncompliance of up to €20 million (approximately $22.6 million) or 4 percent of the annual global revenues of the noncompliant company, whichever is greater.</w:t>
      </w:r>
    </w:p>
    <w:p>
      <w:pPr>
        <w:spacing w:after="0" w:line="65" w:lineRule="exact"/>
        <w:rPr>
          <w:sz w:val="20"/>
          <w:szCs w:val="20"/>
          <w:color w:val="auto"/>
        </w:rPr>
      </w:pPr>
    </w:p>
    <w:p>
      <w:pPr>
        <w:ind w:right="20" w:firstLine="446"/>
        <w:spacing w:after="0" w:line="258" w:lineRule="auto"/>
        <w:rPr>
          <w:sz w:val="20"/>
          <w:szCs w:val="20"/>
          <w:color w:val="auto"/>
        </w:rPr>
      </w:pPr>
      <w:r>
        <w:rPr>
          <w:rFonts w:ascii="Times New Roman" w:cs="Times New Roman" w:eastAsia="Times New Roman" w:hAnsi="Times New Roman"/>
          <w:sz w:val="14"/>
          <w:szCs w:val="14"/>
          <w:color w:val="auto"/>
        </w:rPr>
        <w:t>In the United States, in addition to HIPAA, various federal (for example, the Federal Trade Commission)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California enacted the California Consumer Privacy Act (the “CCPA”), later amended by ballot measure through the California Privacy Rights Act (the “CPRA”). Failure to comply with the CCPA and the CPRA may result in significant civil penalties, injunctive relief, or statutory or actual damages as determined by the California Privacy Protection Agency and California Attorney General through its investigative authority. Many other states have or are considering enacting comparable consumer privacy laws. Compliance with this new privacy legislation may result in additional costs and expense of resources to maintain compliance. There is also discussion in the U.S. of a new comprehensive federal data privacy law to which we would become subject if it is enacted.</w:t>
      </w:r>
    </w:p>
    <w:p>
      <w:pPr>
        <w:spacing w:after="0" w:line="62" w:lineRule="exact"/>
        <w:rPr>
          <w:sz w:val="20"/>
          <w:szCs w:val="20"/>
          <w:color w:val="auto"/>
        </w:rPr>
      </w:pPr>
    </w:p>
    <w:p>
      <w:pPr>
        <w:ind w:right="80" w:firstLine="446"/>
        <w:spacing w:after="0" w:line="270" w:lineRule="auto"/>
        <w:rPr>
          <w:sz w:val="20"/>
          <w:szCs w:val="20"/>
          <w:color w:val="auto"/>
        </w:rPr>
      </w:pPr>
      <w:r>
        <w:rPr>
          <w:rFonts w:ascii="Times New Roman" w:cs="Times New Roman" w:eastAsia="Times New Roman" w:hAnsi="Times New Roman"/>
          <w:sz w:val="14"/>
          <w:szCs w:val="14"/>
          <w:color w:val="auto"/>
        </w:rPr>
        <w:t>We cannot provide assurance that (i) current or future legislation will not prevent us from generating or maintaining personal information, or (ii) patients will consent to the use of their personal information (as necessary). Either of these circumstances may prevent us from undertaking or continuing essential research and development, manufacturing, and commercialization, which could have a material adverse effect on our business, results of operations, financial condition, and prospects.</w:t>
      </w:r>
    </w:p>
    <w:p>
      <w:pPr>
        <w:spacing w:after="0" w:line="51" w:lineRule="exact"/>
        <w:rPr>
          <w:sz w:val="20"/>
          <w:szCs w:val="20"/>
          <w:color w:val="auto"/>
        </w:rPr>
      </w:pPr>
    </w:p>
    <w:p>
      <w:pPr>
        <w:ind w:right="20" w:firstLine="446"/>
        <w:spacing w:after="0" w:line="261" w:lineRule="auto"/>
        <w:rPr>
          <w:sz w:val="20"/>
          <w:szCs w:val="20"/>
          <w:color w:val="auto"/>
        </w:rPr>
      </w:pPr>
      <w:r>
        <w:rPr>
          <w:rFonts w:ascii="Times New Roman" w:cs="Times New Roman" w:eastAsia="Times New Roman" w:hAnsi="Times New Roman"/>
          <w:sz w:val="14"/>
          <w:szCs w:val="14"/>
          <w:color w:val="auto"/>
        </w:rPr>
        <w:t>Federal, state, and foreign government requirements include obligations to notify regulators and/or individuals of security breaches or other similar reportable incidents experienced by us, or our vendors, contractors, or organizations with whom we had specific contractual obligations to protect our data. Further, the improper access to, use of, or disclosure of our data or a third-party’s personal information could subject us to individual or consumer class action litigation and governmental investigations and proceedings by federal, state, and local regulatory entities in the U.S. and by international regulatory entities. Compliance with these and any other applicable privacy and data security laws and regulations is a rigorous and time-intensive process, and we may be required to put in place additional mechanisms ensuring compliance with existing and new data protection rules and possible government oversight.</w:t>
      </w:r>
    </w:p>
    <w:p>
      <w:pPr>
        <w:spacing w:after="0" w:line="58" w:lineRule="exact"/>
        <w:rPr>
          <w:sz w:val="20"/>
          <w:szCs w:val="20"/>
          <w:color w:val="auto"/>
        </w:rPr>
      </w:pPr>
    </w:p>
    <w:p>
      <w:pPr>
        <w:ind w:right="520" w:firstLine="446"/>
        <w:spacing w:after="0" w:line="287" w:lineRule="auto"/>
        <w:rPr>
          <w:sz w:val="20"/>
          <w:szCs w:val="20"/>
          <w:color w:val="auto"/>
        </w:rPr>
      </w:pPr>
      <w:r>
        <w:rPr>
          <w:rFonts w:ascii="Times New Roman" w:cs="Times New Roman" w:eastAsia="Times New Roman" w:hAnsi="Times New Roman"/>
          <w:sz w:val="14"/>
          <w:szCs w:val="14"/>
          <w:color w:val="auto"/>
        </w:rPr>
        <w:t>In addition to government regulation, privacy advocates and industry groups have and may in the future propose self-regulatory standards from time to time. These and other industry standards may legally or contractually apply to us, or we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3" w:right="339" w:bottom="1440" w:gutter="0" w:footer="0" w:header="0"/>
        </w:sectPr>
      </w:pPr>
    </w:p>
    <w:bookmarkStart w:id="55" w:name="page56"/>
    <w:bookmarkEnd w:id="55"/>
    <w:p>
      <w:pPr>
        <w:spacing w:after="0" w:line="257" w:lineRule="auto"/>
        <w:rPr>
          <w:sz w:val="20"/>
          <w:szCs w:val="20"/>
          <w:color w:val="auto"/>
        </w:rPr>
      </w:pPr>
      <w:r>
        <w:rPr>
          <w:rFonts w:ascii="Times New Roman" w:cs="Times New Roman" w:eastAsia="Times New Roman" w:hAnsi="Times New Roman"/>
          <w:sz w:val="14"/>
          <w:szCs w:val="14"/>
          <w:color w:val="auto"/>
        </w:rPr>
        <w:t>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operating results, reputation, and financial condition.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results of operations, financial condition, and prospects.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employees may engage in misconduct or other improper activities, including noncompliance with regulatory standards and requirements and insider trading.</w:t>
      </w:r>
    </w:p>
    <w:p>
      <w:pPr>
        <w:spacing w:after="0" w:line="96" w:lineRule="exact"/>
        <w:rPr>
          <w:sz w:val="20"/>
          <w:szCs w:val="20"/>
          <w:color w:val="auto"/>
        </w:rPr>
      </w:pPr>
    </w:p>
    <w:p>
      <w:pPr>
        <w:ind w:right="80" w:firstLine="446"/>
        <w:spacing w:after="0" w:line="257" w:lineRule="auto"/>
        <w:rPr>
          <w:sz w:val="20"/>
          <w:szCs w:val="20"/>
          <w:color w:val="auto"/>
        </w:rPr>
      </w:pPr>
      <w:r>
        <w:rPr>
          <w:rFonts w:ascii="Times New Roman" w:cs="Times New Roman" w:eastAsia="Times New Roman" w:hAnsi="Times New Roman"/>
          <w:sz w:val="14"/>
          <w:szCs w:val="14"/>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If we are unable to obtain or protect intellectual property rights, we may not be able to compete effectively in our market.</w:t>
      </w:r>
    </w:p>
    <w:p>
      <w:pPr>
        <w:spacing w:after="0" w:line="96" w:lineRule="exact"/>
        <w:rPr>
          <w:sz w:val="20"/>
          <w:szCs w:val="20"/>
          <w:color w:val="auto"/>
        </w:rPr>
      </w:pPr>
    </w:p>
    <w:p>
      <w:pPr>
        <w:ind w:firstLine="446"/>
        <w:spacing w:after="0" w:line="256" w:lineRule="auto"/>
        <w:rPr>
          <w:sz w:val="20"/>
          <w:szCs w:val="20"/>
          <w:color w:val="auto"/>
        </w:rPr>
      </w:pPr>
      <w:r>
        <w:rPr>
          <w:rFonts w:ascii="Times New Roman" w:cs="Times New Roman" w:eastAsia="Times New Roman" w:hAnsi="Times New Roman"/>
          <w:sz w:val="14"/>
          <w:szCs w:val="14"/>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3" w:right="339" w:bottom="1440" w:gutter="0" w:footer="0" w:header="0"/>
        </w:sectPr>
      </w:pPr>
    </w:p>
    <w:bookmarkStart w:id="56" w:name="page57"/>
    <w:bookmarkEnd w:id="56"/>
    <w:p>
      <w:pPr>
        <w:ind w:firstLine="446"/>
        <w:spacing w:after="0" w:line="257" w:lineRule="auto"/>
        <w:rPr>
          <w:sz w:val="20"/>
          <w:szCs w:val="20"/>
          <w:color w:val="auto"/>
        </w:rPr>
      </w:pPr>
      <w:r>
        <w:rPr>
          <w:rFonts w:ascii="Times New Roman" w:cs="Times New Roman" w:eastAsia="Times New Roman" w:hAnsi="Times New Roman"/>
          <w:sz w:val="14"/>
          <w:szCs w:val="14"/>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64" w:lineRule="exact"/>
        <w:rPr>
          <w:sz w:val="20"/>
          <w:szCs w:val="20"/>
          <w:color w:val="auto"/>
        </w:rPr>
      </w:pPr>
    </w:p>
    <w:p>
      <w:pPr>
        <w:ind w:right="60" w:firstLine="446"/>
        <w:spacing w:after="0" w:line="261" w:lineRule="auto"/>
        <w:rPr>
          <w:sz w:val="20"/>
          <w:szCs w:val="20"/>
          <w:color w:val="auto"/>
        </w:rPr>
      </w:pPr>
      <w:r>
        <w:rPr>
          <w:rFonts w:ascii="Times New Roman" w:cs="Times New Roman" w:eastAsia="Times New Roman" w:hAnsi="Times New Roman"/>
          <w:sz w:val="14"/>
          <w:szCs w:val="14"/>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58" w:lineRule="exact"/>
        <w:rPr>
          <w:sz w:val="20"/>
          <w:szCs w:val="20"/>
          <w:color w:val="auto"/>
        </w:rPr>
      </w:pPr>
    </w:p>
    <w:p>
      <w:pPr>
        <w:ind w:right="60" w:firstLine="446"/>
        <w:spacing w:after="0" w:line="257" w:lineRule="auto"/>
        <w:rPr>
          <w:sz w:val="20"/>
          <w:szCs w:val="20"/>
          <w:color w:val="auto"/>
        </w:rPr>
      </w:pPr>
      <w:r>
        <w:rPr>
          <w:rFonts w:ascii="Times New Roman" w:cs="Times New Roman" w:eastAsia="Times New Roman" w:hAnsi="Times New Roman"/>
          <w:sz w:val="14"/>
          <w:szCs w:val="14"/>
          <w:color w:val="auto"/>
        </w:rPr>
        <w:t>Because patent applications in the United States and most other countries are confidential for a period of time after filing, and some remain so until issued, we cannot be certain that we or our licensors, licensees, or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61" w:lineRule="exact"/>
        <w:rPr>
          <w:sz w:val="20"/>
          <w:szCs w:val="20"/>
          <w:color w:val="auto"/>
        </w:rPr>
      </w:pPr>
    </w:p>
    <w:p>
      <w:pPr>
        <w:ind w:right="80" w:firstLine="446"/>
        <w:spacing w:after="0" w:line="258" w:lineRule="auto"/>
        <w:rPr>
          <w:sz w:val="20"/>
          <w:szCs w:val="20"/>
          <w:color w:val="auto"/>
        </w:rPr>
      </w:pPr>
      <w:r>
        <w:rPr>
          <w:rFonts w:ascii="Times New Roman" w:cs="Times New Roman" w:eastAsia="Times New Roman" w:hAnsi="Times New Roman"/>
          <w:sz w:val="14"/>
          <w:szCs w:val="14"/>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color w:val="auto"/>
        </w:rPr>
        <w:t>We may not be able to protect our intellectual property rights throughout the world.</w:t>
      </w:r>
    </w:p>
    <w:p>
      <w:pPr>
        <w:spacing w:after="0" w:line="96" w:lineRule="exact"/>
        <w:rPr>
          <w:sz w:val="20"/>
          <w:szCs w:val="20"/>
          <w:color w:val="auto"/>
        </w:rPr>
      </w:pPr>
    </w:p>
    <w:p>
      <w:pPr>
        <w:ind w:firstLine="446"/>
        <w:spacing w:after="0" w:line="257" w:lineRule="auto"/>
        <w:rPr>
          <w:sz w:val="20"/>
          <w:szCs w:val="20"/>
          <w:color w:val="auto"/>
        </w:rPr>
      </w:pPr>
      <w:r>
        <w:rPr>
          <w:rFonts w:ascii="Times New Roman" w:cs="Times New Roman" w:eastAsia="Times New Roman" w:hAnsi="Times New Roman"/>
          <w:sz w:val="14"/>
          <w:szCs w:val="14"/>
          <w:color w:val="auto"/>
        </w:rPr>
        <w:t>Filing, prosecuting, enforcing and defending patents on product candidates in all countries throughout the world would be prohibitively expensive, and our or our licensors’, licensees’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licensees or collaborators may not be able to prevent third parties from practicing our and our licensors’, licensees’ or collaborators’ inventions in all countries outside the United States or from selling or importing products made using our and our licensors’, licensees’ or collaborators’ inventions in and into the United States or other jurisdictions. Competitors may use our and our licensors’, licensees’ or collaborators’ technologies in jurisdictions where we have not obtained patent protection to develop their own products and, further, may export otherwise infringing products to territories where we and our licensors, licensees or collaborators have patent protection but enforcement is not as strong as that in the United States. These products may compete with our product candidates, and our and our licensors’, licensees’ or collaborators’ patents or other intellectual property rights may not be effective or sufficient to prevent them from competing.</w:t>
      </w:r>
    </w:p>
    <w:p>
      <w:pPr>
        <w:spacing w:after="0" w:line="64" w:lineRule="exact"/>
        <w:rPr>
          <w:sz w:val="20"/>
          <w:szCs w:val="20"/>
          <w:color w:val="auto"/>
        </w:rPr>
      </w:pPr>
    </w:p>
    <w:p>
      <w:pPr>
        <w:ind w:right="20" w:firstLine="446"/>
        <w:spacing w:after="0" w:line="257" w:lineRule="auto"/>
        <w:rPr>
          <w:sz w:val="20"/>
          <w:szCs w:val="20"/>
          <w:color w:val="auto"/>
        </w:rPr>
      </w:pPr>
      <w:r>
        <w:rPr>
          <w:rFonts w:ascii="Times New Roman" w:cs="Times New Roman" w:eastAsia="Times New Roman" w:hAnsi="Times New Roman"/>
          <w:sz w:val="14"/>
          <w:szCs w:val="14"/>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licensees or collaborators to stop the infringement of our and our licensors’, licensees’ or collaborators’ patents or marketing of competing products in violation of our and our licensors’, licensees’ or collaborators’ proprietary rights generally. Proceedings to enforce our and our licensors’, licensees’ or collaborators’ patent rights in foreign jurisdictions could result in substantial costs and divert our and our licensors’, licensees’ or collaborators’ efforts and attention from other aspects of our business, could put our and our licensors’, licensees’ or collaborators’ patents at risk of being invalidated or interpreted narrowly and our and our licensors’, licensees’ or collaborators’ patent applications at risk of not issuing and could provoke third parties to assert claims against us or our licensors, licensees or collaborators. We or our licensors, licensees or collaborators may not prevail in any lawsuits that we or our licensors, licensees or collaborators initiate, and the damages or other remedies awarded, if any, may not be commercially meaningful.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patent law could diminish the value of patents in general, thereby impairing our ability to protect our product candidates.</w:t>
      </w:r>
    </w:p>
    <w:p>
      <w:pPr>
        <w:spacing w:after="0" w:line="96" w:lineRule="exact"/>
        <w:rPr>
          <w:sz w:val="20"/>
          <w:szCs w:val="20"/>
          <w:color w:val="auto"/>
        </w:rPr>
      </w:pPr>
    </w:p>
    <w:p>
      <w:pPr>
        <w:ind w:right="1020" w:firstLine="446"/>
        <w:spacing w:after="0" w:line="287" w:lineRule="auto"/>
        <w:rPr>
          <w:sz w:val="20"/>
          <w:szCs w:val="20"/>
          <w:color w:val="auto"/>
        </w:rPr>
      </w:pPr>
      <w:r>
        <w:rPr>
          <w:rFonts w:ascii="Times New Roman" w:cs="Times New Roman" w:eastAsia="Times New Roman" w:hAnsi="Times New Roman"/>
          <w:sz w:val="14"/>
          <w:szCs w:val="14"/>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39" w:lineRule="exact"/>
        <w:rPr>
          <w:sz w:val="20"/>
          <w:szCs w:val="20"/>
          <w:color w:val="auto"/>
        </w:rPr>
      </w:pPr>
    </w:p>
    <w:p>
      <w:pPr>
        <w:ind w:right="80" w:firstLine="446"/>
        <w:spacing w:after="0" w:line="270" w:lineRule="auto"/>
        <w:rPr>
          <w:sz w:val="20"/>
          <w:szCs w:val="20"/>
          <w:color w:val="auto"/>
        </w:rPr>
      </w:pPr>
      <w:r>
        <w:rPr>
          <w:rFonts w:ascii="Times New Roman" w:cs="Times New Roman" w:eastAsia="Times New Roman" w:hAnsi="Times New Roman"/>
          <w:sz w:val="14"/>
          <w:szCs w:val="14"/>
          <w:color w:val="auto"/>
        </w:rPr>
        <w:t>Patent reform legislation could increase the uncertainties and costs surrounding the prosecution of our and our licensors’, licensees’ or collaborators’ patent applications and the enforcement or defense of our or our licensors’, licensees’ or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spacing w:after="0" w:line="51" w:lineRule="exact"/>
        <w:rPr>
          <w:sz w:val="20"/>
          <w:szCs w:val="20"/>
          <w:color w:val="auto"/>
        </w:rPr>
      </w:pPr>
    </w:p>
    <w:p>
      <w:pPr>
        <w:ind w:right="40" w:firstLine="446"/>
        <w:spacing w:after="0" w:line="264" w:lineRule="auto"/>
        <w:rPr>
          <w:sz w:val="20"/>
          <w:szCs w:val="20"/>
          <w:color w:val="auto"/>
        </w:rPr>
      </w:pPr>
      <w:r>
        <w:rPr>
          <w:rFonts w:ascii="Times New Roman" w:cs="Times New Roman" w:eastAsia="Times New Roman" w:hAnsi="Times New Roman"/>
          <w:sz w:val="14"/>
          <w:szCs w:val="14"/>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56" w:lineRule="exact"/>
        <w:rPr>
          <w:sz w:val="20"/>
          <w:szCs w:val="20"/>
          <w:color w:val="auto"/>
        </w:rPr>
      </w:pPr>
    </w:p>
    <w:p>
      <w:pPr>
        <w:ind w:right="60" w:firstLine="446"/>
        <w:spacing w:after="0" w:line="261" w:lineRule="auto"/>
        <w:rPr>
          <w:sz w:val="20"/>
          <w:szCs w:val="20"/>
          <w:color w:val="auto"/>
        </w:rPr>
      </w:pPr>
      <w:r>
        <w:rPr>
          <w:rFonts w:ascii="Times New Roman" w:cs="Times New Roman" w:eastAsia="Times New Roman" w:hAnsi="Times New Roman"/>
          <w:sz w:val="14"/>
          <w:szCs w:val="14"/>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96" w:right="359" w:bottom="1440" w:gutter="0" w:footer="0" w:header="0"/>
        </w:sectPr>
      </w:pPr>
    </w:p>
    <w:bookmarkStart w:id="58" w:name="page59"/>
    <w:bookmarkEnd w:id="58"/>
    <w:p>
      <w:pPr>
        <w:ind w:right="420"/>
        <w:spacing w:after="0" w:line="287" w:lineRule="auto"/>
        <w:rPr>
          <w:sz w:val="20"/>
          <w:szCs w:val="20"/>
          <w:color w:val="auto"/>
        </w:rPr>
      </w:pPr>
      <w:r>
        <w:rPr>
          <w:rFonts w:ascii="Times New Roman" w:cs="Times New Roman" w:eastAsia="Times New Roman" w:hAnsi="Times New Roman"/>
          <w:sz w:val="14"/>
          <w:szCs w:val="14"/>
          <w:color w:val="auto"/>
        </w:rPr>
        <w:t>the third party as a defendant in a district court action. The AIA and its implementation could increase the uncertainties and costs surrounding the prosecution of our patent applications and the enforcement or defense of our issued patents.</w:t>
      </w:r>
    </w:p>
    <w:p>
      <w:pPr>
        <w:spacing w:after="0" w:line="39" w:lineRule="exact"/>
        <w:rPr>
          <w:sz w:val="20"/>
          <w:szCs w:val="20"/>
          <w:color w:val="auto"/>
        </w:rPr>
      </w:pPr>
    </w:p>
    <w:p>
      <w:pPr>
        <w:ind w:right="60" w:firstLine="446"/>
        <w:spacing w:after="0" w:line="257" w:lineRule="auto"/>
        <w:rPr>
          <w:sz w:val="20"/>
          <w:szCs w:val="20"/>
          <w:color w:val="auto"/>
        </w:rPr>
      </w:pPr>
      <w:r>
        <w:rPr>
          <w:rFonts w:ascii="Times New Roman" w:cs="Times New Roman" w:eastAsia="Times New Roman" w:hAnsi="Times New Roman"/>
          <w:sz w:val="14"/>
          <w:szCs w:val="14"/>
          <w:color w:val="auto"/>
        </w:rPr>
        <w:t xml:space="preserve">Moreover, future and recent past changes in the patent laws in the U.S. and abroad could impact or could increase the uncertainties and costs surrounding the prosecution of our and our licensors’, licensees’ or collaborators’ patent applications and the enforcement or defense of our or our licensors’, licensees’ or collaborators’ issued patents, which could have an impact on our business and financial conditions. For example, over the past decade, the U.S. Supreme Court and the U.S. Court of Appeals for the Federal Circuit have rendered decisions in several patent cases such as </w:t>
      </w:r>
      <w:r>
        <w:rPr>
          <w:rFonts w:ascii="Times New Roman" w:cs="Times New Roman" w:eastAsia="Times New Roman" w:hAnsi="Times New Roman"/>
          <w:sz w:val="14"/>
          <w:szCs w:val="14"/>
          <w:i w:val="1"/>
          <w:iCs w:val="1"/>
          <w:color w:val="auto"/>
        </w:rPr>
        <w:t>Association for Molecular Pathology v. Myriad Genetics, Inc.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BRCA1- &amp; BRCA2-Based Hereditary Cancer Test Patent Litig</w:t>
      </w:r>
      <w:r>
        <w:rPr>
          <w:rFonts w:ascii="Times New Roman" w:cs="Times New Roman" w:eastAsia="Times New Roman" w:hAnsi="Times New Roman"/>
          <w:sz w:val="14"/>
          <w:szCs w:val="14"/>
          <w:color w:val="auto"/>
        </w:rPr>
        <w:t>.,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licensees’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licensees’ or collaborators’ ability to obtain new patents or to enforce existing patents and patents that we and our licensors, licensees or collaborators may obtain in the future.</w:t>
      </w:r>
    </w:p>
    <w:p>
      <w:pPr>
        <w:spacing w:after="0" w:line="144"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37" w:lineRule="exact"/>
        <w:rPr>
          <w:sz w:val="20"/>
          <w:szCs w:val="20"/>
          <w:color w:val="auto"/>
        </w:rPr>
      </w:pPr>
    </w:p>
    <w:p>
      <w:pPr>
        <w:ind w:right="40" w:firstLine="446"/>
        <w:spacing w:after="0" w:line="258" w:lineRule="auto"/>
        <w:rPr>
          <w:sz w:val="20"/>
          <w:szCs w:val="20"/>
          <w:color w:val="auto"/>
        </w:rPr>
      </w:pPr>
      <w:r>
        <w:rPr>
          <w:rFonts w:ascii="Times New Roman" w:cs="Times New Roman" w:eastAsia="Times New Roman" w:hAnsi="Times New Roman"/>
          <w:sz w:val="14"/>
          <w:szCs w:val="14"/>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licensees or collaborators fail to maintain the patents and patent applications covering our product candidates, our competitors might be able to enter the market, which would have an adverse effect on our business.</w:t>
      </w:r>
    </w:p>
    <w:p>
      <w:pPr>
        <w:spacing w:after="0" w:line="145"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37" w:lineRule="exact"/>
        <w:rPr>
          <w:sz w:val="20"/>
          <w:szCs w:val="20"/>
          <w:color w:val="auto"/>
        </w:rPr>
      </w:pPr>
    </w:p>
    <w:p>
      <w:pPr>
        <w:ind w:firstLine="446"/>
        <w:spacing w:after="0" w:line="258" w:lineRule="auto"/>
        <w:rPr>
          <w:sz w:val="20"/>
          <w:szCs w:val="20"/>
          <w:color w:val="auto"/>
        </w:rPr>
      </w:pPr>
      <w:r>
        <w:rPr>
          <w:rFonts w:ascii="Times New Roman" w:cs="Times New Roman" w:eastAsia="Times New Roman" w:hAnsi="Times New Roman"/>
          <w:sz w:val="14"/>
          <w:szCs w:val="14"/>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 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62" w:lineRule="exact"/>
        <w:rPr>
          <w:sz w:val="20"/>
          <w:szCs w:val="20"/>
          <w:color w:val="auto"/>
        </w:rPr>
      </w:pPr>
    </w:p>
    <w:p>
      <w:pPr>
        <w:ind w:right="80" w:firstLine="446"/>
        <w:spacing w:after="0" w:line="259" w:lineRule="auto"/>
        <w:rPr>
          <w:sz w:val="20"/>
          <w:szCs w:val="20"/>
          <w:color w:val="auto"/>
        </w:rPr>
      </w:pPr>
      <w:r>
        <w:rPr>
          <w:rFonts w:ascii="Times New Roman" w:cs="Times New Roman" w:eastAsia="Times New Roman" w:hAnsi="Times New Roman"/>
          <w:sz w:val="14"/>
          <w:szCs w:val="14"/>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color w:val="auto"/>
        </w:rPr>
        <w:t>information by any of our third-party collaborators. A competitor’s discovery of our trade secrets would impair our competitive position and have an adverse impact on our business.</w:t>
      </w:r>
    </w:p>
    <w:p>
      <w:pPr>
        <w:spacing w:after="0" w:line="177"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color w:val="auto"/>
        </w:rPr>
        <w:t>We may become involved in lawsuits to protect or enforce our intellectual property, which could be expensive, time-consuming and unsuccessful and have an adverse effect on the success of our business.</w:t>
      </w:r>
    </w:p>
    <w:p>
      <w:pPr>
        <w:spacing w:after="0" w:line="37" w:lineRule="exact"/>
        <w:rPr>
          <w:sz w:val="20"/>
          <w:szCs w:val="20"/>
          <w:color w:val="auto"/>
        </w:rPr>
      </w:pPr>
    </w:p>
    <w:p>
      <w:pPr>
        <w:ind w:right="40" w:firstLine="446"/>
        <w:spacing w:after="0" w:line="257" w:lineRule="auto"/>
        <w:rPr>
          <w:sz w:val="20"/>
          <w:szCs w:val="20"/>
          <w:color w:val="auto"/>
        </w:rPr>
      </w:pPr>
      <w:r>
        <w:rPr>
          <w:rFonts w:ascii="Times New Roman" w:cs="Times New Roman" w:eastAsia="Times New Roman" w:hAnsi="Times New Roman"/>
          <w:sz w:val="14"/>
          <w:szCs w:val="14"/>
          <w:color w:val="auto"/>
        </w:rPr>
        <w:t>Third parties may infringe our or our licensors’, licensees’ or collaborators’ patents or misappropriate or otherwise violate our or our licensors’, licensees’ or collaborators’ intellectual property rights. In the future, we or our licensors, licensees or collaborators may initiate legal proceedings to enforce or defend our or our licensors’, licensees’ or collaborators’ intellectual property rights to protect our or our licensors’, licensees’ or collaborators’ trade secrets or to determine the validity or scope of intellectual property rights we own or control. Also, third parties may initiate legal proceedings against us or our licensors, licensees or collaborators to challenge the validity or scope of intellectual property rights we own or control.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 In addition, in an infringement proceeding, a court may decide that a patent owned by or licensed to us is invalid or unenforceable, or may refuse to stop the other party from using the technology at issue on the grounds that our or our licensors’, licensees’ or collaborators’ patents do not cover the technology in question. Furthermore, an adverse result in any litigation or administrative proceeding could put one or more of our or our licensors’, licensees’ or collaborators’ patents at risk of being invalidated, held unenforceable or interpreted narrowly.</w:t>
      </w:r>
    </w:p>
    <w:p>
      <w:pPr>
        <w:spacing w:after="0" w:line="61" w:lineRule="exact"/>
        <w:rPr>
          <w:sz w:val="20"/>
          <w:szCs w:val="20"/>
          <w:color w:val="auto"/>
        </w:rPr>
      </w:pPr>
    </w:p>
    <w:p>
      <w:pPr>
        <w:ind w:right="520" w:firstLine="446"/>
        <w:spacing w:after="0" w:line="270" w:lineRule="auto"/>
        <w:rPr>
          <w:sz w:val="20"/>
          <w:szCs w:val="20"/>
          <w:color w:val="auto"/>
        </w:rPr>
      </w:pPr>
      <w:r>
        <w:rPr>
          <w:rFonts w:ascii="Times New Roman" w:cs="Times New Roman" w:eastAsia="Times New Roman" w:hAnsi="Times New Roman"/>
          <w:sz w:val="14"/>
          <w:szCs w:val="14"/>
          <w:color w:val="auto"/>
        </w:rPr>
        <w:t>Accordingly, despite our or our licensors’, licensees’ or collaborators’ efforts, we or our licensors, licensees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51" w:lineRule="exact"/>
        <w:rPr>
          <w:sz w:val="20"/>
          <w:szCs w:val="20"/>
          <w:color w:val="auto"/>
        </w:rPr>
      </w:pPr>
    </w:p>
    <w:p>
      <w:pPr>
        <w:ind w:right="40" w:firstLine="446"/>
        <w:spacing w:after="0" w:line="257" w:lineRule="auto"/>
        <w:rPr>
          <w:sz w:val="20"/>
          <w:szCs w:val="20"/>
          <w:color w:val="auto"/>
        </w:rPr>
      </w:pPr>
      <w:r>
        <w:rPr>
          <w:rFonts w:ascii="Times New Roman" w:cs="Times New Roman" w:eastAsia="Times New Roman" w:hAnsi="Times New Roman"/>
          <w:sz w:val="14"/>
          <w:szCs w:val="14"/>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licensees or collaborators to protect or enforce our or our licensors’, licensees’ or collaborators’ patents or patent applications. Additionally, third-party preissuance submission of prior art to the USPTO or other foreign jurisdictions may jeopardize the issuance or scope of our or our licensors’, licensees’ or collaborators’ patent applications. An unfavorable outcome in any such proceedings could require us or our licensors, licensees or collaborators to cease using the related technology, or to attempt to license rights to it from the prevailing party. Our business could be harmed if the prevailing party does not offer us or our licensors, licensees or collaborators a license on commercially reasonable terms or at all, and we could be forced to stop commercializing our product candidates. Even if we or our licensors, licensees or collaborators obtain a license, it may be non-exclusive, thereby giving our competitors access to the same technologies licensed to us or our licensors, licensees or collaborators.</w:t>
      </w:r>
    </w:p>
    <w:p>
      <w:pPr>
        <w:spacing w:after="0" w:line="64" w:lineRule="exact"/>
        <w:rPr>
          <w:sz w:val="20"/>
          <w:szCs w:val="20"/>
          <w:color w:val="auto"/>
        </w:rPr>
      </w:pPr>
    </w:p>
    <w:p>
      <w:pPr>
        <w:ind w:right="40" w:firstLine="446"/>
        <w:spacing w:after="0" w:line="267" w:lineRule="auto"/>
        <w:rPr>
          <w:sz w:val="20"/>
          <w:szCs w:val="20"/>
          <w:color w:val="auto"/>
        </w:rPr>
      </w:pPr>
      <w:r>
        <w:rPr>
          <w:rFonts w:ascii="Times New Roman" w:cs="Times New Roman" w:eastAsia="Times New Roman" w:hAnsi="Times New Roman"/>
          <w:sz w:val="14"/>
          <w:szCs w:val="14"/>
          <w:color w:val="auto"/>
        </w:rPr>
        <w:t>In addition, if the breadth or strength of protection provided by our or our licensors’, licensees’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227" w:lineRule="exact"/>
        <w:rPr>
          <w:sz w:val="20"/>
          <w:szCs w:val="20"/>
          <w:color w:val="auto"/>
        </w:rPr>
      </w:pPr>
    </w:p>
    <w:p>
      <w:pPr>
        <w:jc w:val="both"/>
        <w:ind w:right="300" w:firstLine="446"/>
        <w:spacing w:after="0" w:line="270" w:lineRule="auto"/>
        <w:rPr>
          <w:sz w:val="20"/>
          <w:szCs w:val="20"/>
          <w:color w:val="auto"/>
        </w:rPr>
      </w:pPr>
      <w:r>
        <w:rPr>
          <w:rFonts w:ascii="Times New Roman" w:cs="Times New Roman" w:eastAsia="Times New Roman" w:hAnsi="Times New Roman"/>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If we breach the license agreements related to our product candidates, we could lose the ability to continue the development and commercialization of our product candidates.</w:t>
      </w:r>
    </w:p>
    <w:p>
      <w:pPr>
        <w:spacing w:after="0" w:line="96" w:lineRule="exact"/>
        <w:rPr>
          <w:sz w:val="20"/>
          <w:szCs w:val="20"/>
          <w:color w:val="auto"/>
        </w:rPr>
      </w:pPr>
    </w:p>
    <w:p>
      <w:pPr>
        <w:ind w:firstLine="446"/>
        <w:spacing w:after="0" w:line="287" w:lineRule="auto"/>
        <w:rPr>
          <w:sz w:val="20"/>
          <w:szCs w:val="20"/>
          <w:color w:val="auto"/>
        </w:rPr>
      </w:pPr>
      <w:r>
        <w:rPr>
          <w:rFonts w:ascii="Times New Roman" w:cs="Times New Roman" w:eastAsia="Times New Roman" w:hAnsi="Times New Roman"/>
          <w:sz w:val="14"/>
          <w:szCs w:val="14"/>
          <w:color w:val="auto"/>
        </w:rPr>
        <w:t>Our commercial success depends upon our ability, and the ability of our licensors, licensees and collaborators, to develop, manufacture, market and sell our product candidates and use our and our licensors’, licensees’ or collaborators’ wholly owned technologies without infringing the proprietary rights of third parties. A third party may hold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60" w:name="page61"/>
    <w:bookmarkEnd w:id="60"/>
    <w:p>
      <w:pPr>
        <w:spacing w:after="0" w:line="257" w:lineRule="auto"/>
        <w:rPr>
          <w:sz w:val="20"/>
          <w:szCs w:val="20"/>
          <w:color w:val="auto"/>
        </w:rPr>
      </w:pPr>
      <w:r>
        <w:rPr>
          <w:rFonts w:ascii="Times New Roman" w:cs="Times New Roman" w:eastAsia="Times New Roman" w:hAnsi="Times New Roman"/>
          <w:sz w:val="14"/>
          <w:szCs w:val="14"/>
          <w:color w:val="auto"/>
        </w:rPr>
        <w:t>including patent rights that are important or necessary to the development of our products. As a result, we may enter into license agreements in the future with others in order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 candidates in the future. If we fail to comply with the obligations under any such agreement,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Disputes may arise regarding intellectual property subject to a licensing agreement, including:</w:t>
      </w:r>
    </w:p>
    <w:p>
      <w:pPr>
        <w:spacing w:after="0" w:line="94"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rights granted under the license agreement and other interpretation-related issues;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our technology and processes infringe on intellectual property of the licensor that is not subject to the licensing agreement;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sublicensing of patent and other rights under any collaboration relationships we might enter into in the future;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diligence obligations under the license agreement and what activities satisfy those diligence obligations;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of inventions and know-how resulting from the joint creation or use of intellectual property by us and our licensors, licensees or collaborators;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priority of invention of patented technology.</w:t>
      </w:r>
    </w:p>
    <w:p>
      <w:pPr>
        <w:spacing w:after="0" w:line="94" w:lineRule="exact"/>
        <w:rPr>
          <w:sz w:val="20"/>
          <w:szCs w:val="20"/>
          <w:color w:val="auto"/>
        </w:rPr>
      </w:pPr>
    </w:p>
    <w:p>
      <w:pPr>
        <w:ind w:right="100" w:firstLine="446"/>
        <w:spacing w:after="0" w:line="287" w:lineRule="auto"/>
        <w:rPr>
          <w:sz w:val="20"/>
          <w:szCs w:val="20"/>
          <w:color w:val="auto"/>
        </w:rPr>
      </w:pPr>
      <w:r>
        <w:rPr>
          <w:rFonts w:ascii="Times New Roman" w:cs="Times New Roman" w:eastAsia="Times New Roman" w:hAnsi="Times New Roman"/>
          <w:sz w:val="14"/>
          <w:szCs w:val="14"/>
          <w:color w:val="auto"/>
        </w:rPr>
        <w:t>If disputes over intellectual property that we have licensed prevent or impair our ability to maintain any future licensing arrangements on acceptable terms, we may be unable to successfully develop and commercialize the affected product candidates.</w:t>
      </w:r>
    </w:p>
    <w:p>
      <w:pPr>
        <w:spacing w:after="0" w:line="122"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37" w:lineRule="exact"/>
        <w:rPr>
          <w:sz w:val="20"/>
          <w:szCs w:val="20"/>
          <w:color w:val="auto"/>
        </w:rPr>
      </w:pPr>
    </w:p>
    <w:p>
      <w:pPr>
        <w:ind w:right="20" w:firstLine="446"/>
        <w:spacing w:after="0" w:line="261" w:lineRule="auto"/>
        <w:rPr>
          <w:sz w:val="20"/>
          <w:szCs w:val="20"/>
          <w:color w:val="auto"/>
        </w:rPr>
      </w:pPr>
      <w:r>
        <w:rPr>
          <w:rFonts w:ascii="Times New Roman" w:cs="Times New Roman" w:eastAsia="Times New Roman" w:hAnsi="Times New Roman"/>
          <w:sz w:val="14"/>
          <w:szCs w:val="14"/>
          <w:color w:val="auto"/>
        </w:rPr>
        <w:t>Third parties may initiate legal proceedings against us or our licensors, licensees or collaborators alleging that we or our licensors, licensees or collaborators infringe their intellectual property rights or we or our licensors,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w:t>
      </w:r>
    </w:p>
    <w:p>
      <w:pPr>
        <w:spacing w:after="0" w:line="58" w:lineRule="exact"/>
        <w:rPr>
          <w:sz w:val="20"/>
          <w:szCs w:val="20"/>
          <w:color w:val="auto"/>
        </w:rPr>
      </w:pPr>
    </w:p>
    <w:p>
      <w:pPr>
        <w:ind w:right="20" w:firstLine="446"/>
        <w:spacing w:after="0" w:line="258" w:lineRule="auto"/>
        <w:rPr>
          <w:sz w:val="20"/>
          <w:szCs w:val="20"/>
          <w:color w:val="auto"/>
        </w:rPr>
      </w:pPr>
      <w:r>
        <w:rPr>
          <w:rFonts w:ascii="Times New Roman" w:cs="Times New Roman" w:eastAsia="Times New Roman" w:hAnsi="Times New Roman"/>
          <w:sz w:val="14"/>
          <w:szCs w:val="14"/>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licensees or collaborators to cease using the related technology, to cease developing or commercializing our product candidates or to attempt to license rights to it from the prevailing party. Our business could be harmed if the prevailing party does not offer us or our licensors, licensees or collaborators a license on commercially reasonable terms or at all. Even if we or our licensors, licensees or collaborators obtain a license, it may be non-exclusive, thereby giving our competitors access to the same technologies licensed to us or our licensors, licensees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3" w:right="339" w:bottom="1440" w:gutter="0" w:footer="0" w:header="0"/>
        </w:sectPr>
      </w:pPr>
    </w:p>
    <w:bookmarkStart w:id="61" w:name="page62"/>
    <w:bookmarkEnd w:id="61"/>
    <w:p>
      <w:pPr>
        <w:ind w:right="280"/>
        <w:spacing w:after="0" w:line="290" w:lineRule="auto"/>
        <w:rPr>
          <w:sz w:val="20"/>
          <w:szCs w:val="20"/>
          <w:color w:val="auto"/>
        </w:rPr>
      </w:pPr>
      <w:r>
        <w:rPr>
          <w:rFonts w:ascii="Times New Roman" w:cs="Times New Roman" w:eastAsia="Times New Roman" w:hAnsi="Times New Roman"/>
          <w:sz w:val="14"/>
          <w:szCs w:val="14"/>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37" w:lineRule="exact"/>
        <w:rPr>
          <w:sz w:val="20"/>
          <w:szCs w:val="20"/>
          <w:color w:val="auto"/>
        </w:rPr>
      </w:pPr>
    </w:p>
    <w:p>
      <w:pPr>
        <w:ind w:right="60" w:firstLine="446"/>
        <w:spacing w:after="0" w:line="264" w:lineRule="auto"/>
        <w:rPr>
          <w:sz w:val="20"/>
          <w:szCs w:val="20"/>
          <w:color w:val="auto"/>
        </w:rPr>
      </w:pPr>
      <w:r>
        <w:rPr>
          <w:rFonts w:ascii="Times New Roman" w:cs="Times New Roman" w:eastAsia="Times New Roman" w:hAnsi="Times New Roman"/>
          <w:sz w:val="14"/>
          <w:szCs w:val="14"/>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56" w:lineRule="exact"/>
        <w:rPr>
          <w:sz w:val="20"/>
          <w:szCs w:val="20"/>
          <w:color w:val="auto"/>
        </w:rPr>
      </w:pPr>
    </w:p>
    <w:p>
      <w:pPr>
        <w:ind w:right="80" w:firstLine="446"/>
        <w:spacing w:after="0" w:line="264" w:lineRule="auto"/>
        <w:rPr>
          <w:sz w:val="20"/>
          <w:szCs w:val="20"/>
          <w:color w:val="auto"/>
        </w:rPr>
      </w:pPr>
      <w:r>
        <w:rPr>
          <w:rFonts w:ascii="Times New Roman" w:cs="Times New Roman" w:eastAsia="Times New Roman" w:hAnsi="Times New Roman"/>
          <w:sz w:val="14"/>
          <w:szCs w:val="14"/>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inability to protect our confidential information and trade secrets would harm our business and competitive position.</w:t>
      </w:r>
    </w:p>
    <w:p>
      <w:pPr>
        <w:spacing w:after="0" w:line="96" w:lineRule="exact"/>
        <w:rPr>
          <w:sz w:val="20"/>
          <w:szCs w:val="20"/>
          <w:color w:val="auto"/>
        </w:rPr>
      </w:pPr>
    </w:p>
    <w:p>
      <w:pPr>
        <w:ind w:firstLine="446"/>
        <w:spacing w:after="0" w:line="257" w:lineRule="auto"/>
        <w:rPr>
          <w:sz w:val="20"/>
          <w:szCs w:val="20"/>
          <w:color w:val="auto"/>
        </w:rPr>
      </w:pPr>
      <w:r>
        <w:rPr>
          <w:rFonts w:ascii="Times New Roman" w:cs="Times New Roman" w:eastAsia="Times New Roman" w:hAnsi="Times New Roman"/>
          <w:sz w:val="14"/>
          <w:szCs w:val="14"/>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47" w:lineRule="exact"/>
        <w:rPr>
          <w:sz w:val="20"/>
          <w:szCs w:val="20"/>
          <w:color w:val="auto"/>
        </w:rPr>
      </w:pPr>
    </w:p>
    <w:p>
      <w:pPr>
        <w:ind w:right="440"/>
        <w:spacing w:after="0" w:line="290" w:lineRule="auto"/>
        <w:rPr>
          <w:sz w:val="20"/>
          <w:szCs w:val="20"/>
          <w:color w:val="auto"/>
        </w:rPr>
      </w:pPr>
      <w:r>
        <w:rPr>
          <w:rFonts w:ascii="Times New Roman" w:cs="Times New Roman" w:eastAsia="Times New Roman" w:hAnsi="Times New Roman"/>
          <w:sz w:val="14"/>
          <w:szCs w:val="14"/>
          <w:b w:val="1"/>
          <w:bCs w:val="1"/>
          <w:color w:val="auto"/>
        </w:rPr>
        <w:t>If we do not obtain protection under the Hatch-Waxman Amendments and similar foreign legislation for extending the term of patents covering each of our product candidates, our business may be harmed.</w:t>
      </w:r>
    </w:p>
    <w:p>
      <w:pPr>
        <w:spacing w:after="0" w:line="37" w:lineRule="exact"/>
        <w:rPr>
          <w:sz w:val="20"/>
          <w:szCs w:val="20"/>
          <w:color w:val="auto"/>
        </w:rPr>
      </w:pPr>
    </w:p>
    <w:p>
      <w:pPr>
        <w:ind w:firstLine="446"/>
        <w:spacing w:after="0" w:line="259" w:lineRule="auto"/>
        <w:rPr>
          <w:sz w:val="20"/>
          <w:szCs w:val="20"/>
          <w:color w:val="auto"/>
        </w:rPr>
      </w:pPr>
      <w:r>
        <w:rPr>
          <w:rFonts w:ascii="Times New Roman" w:cs="Times New Roman" w:eastAsia="Times New Roman" w:hAnsi="Times New Roman"/>
          <w:sz w:val="14"/>
          <w:szCs w:val="14"/>
          <w:color w:val="auto"/>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Managing Growth, Operations and Macroeconomic Conditions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must attract and retain highly skilled employees in order to succeed.</w:t>
      </w:r>
    </w:p>
    <w:p>
      <w:pPr>
        <w:spacing w:after="0" w:line="96" w:lineRule="exact"/>
        <w:rPr>
          <w:sz w:val="20"/>
          <w:szCs w:val="20"/>
          <w:color w:val="auto"/>
        </w:rPr>
      </w:pPr>
    </w:p>
    <w:p>
      <w:pPr>
        <w:ind w:right="200" w:firstLine="446"/>
        <w:spacing w:after="0" w:line="287" w:lineRule="auto"/>
        <w:rPr>
          <w:sz w:val="20"/>
          <w:szCs w:val="20"/>
          <w:color w:val="auto"/>
        </w:rPr>
      </w:pPr>
      <w:r>
        <w:rPr>
          <w:rFonts w:ascii="Times New Roman" w:cs="Times New Roman" w:eastAsia="Times New Roman" w:hAnsi="Times New Roman"/>
          <w:sz w:val="14"/>
          <w:szCs w:val="14"/>
          <w:color w:val="auto"/>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sectPr>
      </w:pPr>
    </w:p>
    <w:bookmarkStart w:id="62" w:name="page63"/>
    <w:bookmarkEnd w:id="62"/>
    <w:p>
      <w:pPr>
        <w:jc w:val="both"/>
        <w:ind w:right="60"/>
        <w:spacing w:after="0" w:line="264" w:lineRule="auto"/>
        <w:rPr>
          <w:sz w:val="20"/>
          <w:szCs w:val="20"/>
          <w:color w:val="auto"/>
        </w:rPr>
      </w:pPr>
      <w:r>
        <w:rPr>
          <w:rFonts w:ascii="Times New Roman" w:cs="Times New Roman" w:eastAsia="Times New Roman" w:hAnsi="Times New Roman"/>
          <w:sz w:val="14"/>
          <w:szCs w:val="14"/>
          <w:color w:val="auto"/>
        </w:rPr>
        <w:t>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w:t>
      </w:r>
    </w:p>
    <w:p>
      <w:pPr>
        <w:spacing w:after="0" w:line="56" w:lineRule="exact"/>
        <w:rPr>
          <w:sz w:val="20"/>
          <w:szCs w:val="20"/>
          <w:color w:val="auto"/>
        </w:rPr>
      </w:pPr>
    </w:p>
    <w:p>
      <w:pPr>
        <w:ind w:right="200" w:firstLine="446"/>
        <w:spacing w:after="0" w:line="264" w:lineRule="auto"/>
        <w:rPr>
          <w:sz w:val="20"/>
          <w:szCs w:val="20"/>
          <w:color w:val="auto"/>
        </w:rPr>
      </w:pPr>
      <w:r>
        <w:rPr>
          <w:rFonts w:ascii="Times New Roman" w:cs="Times New Roman" w:eastAsia="Times New Roman" w:hAnsi="Times New Roman"/>
          <w:sz w:val="14"/>
          <w:szCs w:val="14"/>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expect to expand our development and regulatory capabilities, and as a result, we may encounter difficulties in managing our growth, which could disrupt our operations.</w:t>
      </w:r>
    </w:p>
    <w:p>
      <w:pPr>
        <w:spacing w:after="0" w:line="96" w:lineRule="exact"/>
        <w:rPr>
          <w:sz w:val="20"/>
          <w:szCs w:val="20"/>
          <w:color w:val="auto"/>
        </w:rPr>
      </w:pPr>
    </w:p>
    <w:p>
      <w:pPr>
        <w:ind w:right="40" w:firstLine="446"/>
        <w:spacing w:after="0" w:line="261" w:lineRule="auto"/>
        <w:rPr>
          <w:sz w:val="20"/>
          <w:szCs w:val="20"/>
          <w:color w:val="auto"/>
        </w:rPr>
      </w:pPr>
      <w:r>
        <w:rPr>
          <w:rFonts w:ascii="Times New Roman" w:cs="Times New Roman" w:eastAsia="Times New Roman" w:hAnsi="Times New Roman"/>
          <w:sz w:val="14"/>
          <w:szCs w:val="14"/>
          <w:color w:val="auto"/>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be vulnerable to disruption, damage and financial obligation as a result of system failures.</w:t>
      </w:r>
    </w:p>
    <w:p>
      <w:pPr>
        <w:spacing w:after="0" w:line="96" w:lineRule="exact"/>
        <w:rPr>
          <w:sz w:val="20"/>
          <w:szCs w:val="20"/>
          <w:color w:val="auto"/>
        </w:rPr>
      </w:pPr>
    </w:p>
    <w:p>
      <w:pPr>
        <w:ind w:right="40" w:firstLine="446"/>
        <w:spacing w:after="0" w:line="258" w:lineRule="auto"/>
        <w:rPr>
          <w:sz w:val="20"/>
          <w:szCs w:val="20"/>
          <w:color w:val="auto"/>
        </w:rPr>
      </w:pPr>
      <w:r>
        <w:rPr>
          <w:rFonts w:ascii="Times New Roman" w:cs="Times New Roman" w:eastAsia="Times New Roman" w:hAnsi="Times New Roman"/>
          <w:sz w:val="14"/>
          <w:szCs w:val="14"/>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145"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color w:val="auto"/>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spacing w:after="0" w:line="37" w:lineRule="exact"/>
        <w:rPr>
          <w:sz w:val="20"/>
          <w:szCs w:val="20"/>
          <w:color w:val="auto"/>
        </w:rPr>
      </w:pPr>
    </w:p>
    <w:p>
      <w:pPr>
        <w:ind w:firstLine="446"/>
        <w:spacing w:after="0" w:line="259" w:lineRule="auto"/>
        <w:rPr>
          <w:sz w:val="20"/>
          <w:szCs w:val="20"/>
          <w:color w:val="auto"/>
        </w:rPr>
      </w:pPr>
      <w:r>
        <w:rPr>
          <w:rFonts w:ascii="Times New Roman" w:cs="Times New Roman" w:eastAsia="Times New Roman" w:hAnsi="Times New Roman"/>
          <w:sz w:val="14"/>
          <w:szCs w:val="14"/>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or other disasters, including those resulting from or amplified by climate change,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3" w:right="339" w:bottom="1440" w:gutter="0" w:footer="0" w:header="0"/>
        </w:sectPr>
      </w:pPr>
    </w:p>
    <w:bookmarkStart w:id="63" w:name="page64"/>
    <w:bookmarkEnd w:id="63"/>
    <w:p>
      <w:pPr>
        <w:ind w:firstLine="446"/>
        <w:spacing w:after="0" w:line="287" w:lineRule="auto"/>
        <w:rPr>
          <w:sz w:val="20"/>
          <w:szCs w:val="20"/>
          <w:color w:val="auto"/>
        </w:rPr>
      </w:pPr>
      <w:r>
        <w:rPr>
          <w:rFonts w:ascii="Times New Roman" w:cs="Times New Roman" w:eastAsia="Times New Roman" w:hAnsi="Times New Roman"/>
          <w:sz w:val="14"/>
          <w:szCs w:val="14"/>
          <w:color w:val="auto"/>
        </w:rPr>
        <w:t>Furthermore, integral parties in our supply chain are geographically concentrated and operating from single sites, increasing their vulnerability to natural disasters or other sudden, unforeseen and severe and/or SAEs. If such an event were to affect our supply chain, it could have a material adverse effect on our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market price of our stock has been and may continue to be volatile, and you could lose all or part of your investment.</w:t>
      </w:r>
    </w:p>
    <w:p>
      <w:pPr>
        <w:spacing w:after="0" w:line="96" w:lineRule="exact"/>
        <w:rPr>
          <w:sz w:val="20"/>
          <w:szCs w:val="20"/>
          <w:color w:val="auto"/>
        </w:rPr>
      </w:pPr>
    </w:p>
    <w:p>
      <w:pPr>
        <w:ind w:right="320" w:firstLine="446"/>
        <w:spacing w:after="0" w:line="287" w:lineRule="auto"/>
        <w:rPr>
          <w:sz w:val="20"/>
          <w:szCs w:val="20"/>
          <w:color w:val="auto"/>
        </w:rPr>
      </w:pPr>
      <w:r>
        <w:rPr>
          <w:rFonts w:ascii="Times New Roman" w:cs="Times New Roman" w:eastAsia="Times New Roman" w:hAnsi="Times New Roman"/>
          <w:sz w:val="14"/>
          <w:szCs w:val="14"/>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39" w:lineRule="exact"/>
        <w:rPr>
          <w:sz w:val="20"/>
          <w:szCs w:val="20"/>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competitive products;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actions with respect to our products or our competitors’ products;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in our growth rate relative to our competitors;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significant acquisitions, strategic collaborations, joint ventures, collaborations or capital commitments;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of preclinical studies and clinical trials of our product candidates or those of our competitors;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or legal developments in the United States and other countries;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patent applications, issued patents or other proprietary rights;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recruitment or departure of key personnel;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expenses related to any of our product candidates or clinical development programs;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with respect to our existing collaboration agreements and announcements of new collaboration agreements;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breaches and terminations of our manufacturing agreements, collaborations agreements or other important agreements;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our efforts to in-license or acquire additional product candidates or products;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in estimates as to financial results, development timelines or recommendations by securities analysts;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our financial results or those of companies that are perceived to be similar to us;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valuation of companies perceived by investors to be comparable to us;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price and volume fluctuations attributable to inconsistent trading volume levels of our shares;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 or expectation of additional financing efforts;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common stock by us, our insiders or our other stockholders;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of our common stock by us pursuant to a stock repurchase program;</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structure of health care payment systems;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in the biotechnology sector; and</w:t>
      </w:r>
    </w:p>
    <w:p>
      <w:pPr>
        <w:spacing w:after="0" w:line="93" w:lineRule="exact"/>
        <w:rPr>
          <w:rFonts w:ascii="Times New Roman" w:cs="Times New Roman" w:eastAsia="Times New Roman" w:hAnsi="Times New Roman"/>
          <w:sz w:val="14"/>
          <w:szCs w:val="14"/>
          <w:color w:val="auto"/>
        </w:rPr>
      </w:pPr>
    </w:p>
    <w:p>
      <w:pPr>
        <w:ind w:left="520" w:right="420" w:hanging="260"/>
        <w:spacing w:after="0" w:line="287"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uncertainty and capital markets disruptions, which have been substantially impacted by geopolitical instability, actual or perceived instability in the U.S. and global banking systems, uncertainty with respect to the U.S. federal budget, and rising interest rates and inflation.</w:t>
      </w:r>
    </w:p>
    <w:p>
      <w:pPr>
        <w:spacing w:after="0" w:line="39" w:lineRule="exact"/>
        <w:rPr>
          <w:sz w:val="20"/>
          <w:szCs w:val="20"/>
          <w:color w:val="auto"/>
        </w:rPr>
      </w:pPr>
    </w:p>
    <w:p>
      <w:pPr>
        <w:ind w:right="100" w:firstLine="446"/>
        <w:spacing w:after="0" w:line="287" w:lineRule="auto"/>
        <w:rPr>
          <w:sz w:val="20"/>
          <w:szCs w:val="20"/>
          <w:color w:val="auto"/>
        </w:rPr>
      </w:pPr>
      <w:r>
        <w:rPr>
          <w:rFonts w:ascii="Times New Roman" w:cs="Times New Roman" w:eastAsia="Times New Roman" w:hAnsi="Times New Roman"/>
          <w:sz w:val="14"/>
          <w:szCs w:val="14"/>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13" w:right="379" w:bottom="1440" w:gutter="0" w:footer="0" w:header="0"/>
        </w:sectPr>
      </w:pPr>
    </w:p>
    <w:bookmarkStart w:id="64" w:name="page65"/>
    <w:bookmarkEnd w:id="64"/>
    <w:p>
      <w:pPr>
        <w:spacing w:after="0" w:line="264" w:lineRule="auto"/>
        <w:rPr>
          <w:sz w:val="20"/>
          <w:szCs w:val="20"/>
          <w:color w:val="auto"/>
        </w:rPr>
      </w:pPr>
      <w:r>
        <w:rPr>
          <w:rFonts w:ascii="Times New Roman" w:cs="Times New Roman" w:eastAsia="Times New Roman" w:hAnsi="Times New Roman"/>
          <w:sz w:val="14"/>
          <w:szCs w:val="14"/>
          <w:color w:val="auto"/>
        </w:rPr>
        <w:t>common stock, regardless of our actual operating performance. In the past, following periods of volatility in the overall market and the market price of a particular company’s securities, securities class action litigation has often been instituted against these companies. We have been subject to securities litigation in the past, and any 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have broad discretion in the use of the net proceeds from our public offerings and may not use them effectively.</w:t>
      </w:r>
    </w:p>
    <w:p>
      <w:pPr>
        <w:spacing w:after="0" w:line="96" w:lineRule="exact"/>
        <w:rPr>
          <w:sz w:val="20"/>
          <w:szCs w:val="20"/>
          <w:color w:val="auto"/>
        </w:rPr>
      </w:pPr>
    </w:p>
    <w:p>
      <w:pPr>
        <w:ind w:right="20" w:firstLine="446"/>
        <w:spacing w:after="0" w:line="270" w:lineRule="auto"/>
        <w:rPr>
          <w:sz w:val="20"/>
          <w:szCs w:val="20"/>
          <w:color w:val="auto"/>
        </w:rPr>
      </w:pPr>
      <w:r>
        <w:rPr>
          <w:rFonts w:ascii="Times New Roman" w:cs="Times New Roman" w:eastAsia="Times New Roman" w:hAnsi="Times New Roman"/>
          <w:sz w:val="14"/>
          <w:szCs w:val="14"/>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be subject to securities litigation, which is expensive and could divert management attention.</w:t>
      </w:r>
    </w:p>
    <w:p>
      <w:pPr>
        <w:spacing w:after="0" w:line="96" w:lineRule="exact"/>
        <w:rPr>
          <w:sz w:val="20"/>
          <w:szCs w:val="20"/>
          <w:color w:val="auto"/>
        </w:rPr>
      </w:pPr>
    </w:p>
    <w:p>
      <w:pPr>
        <w:ind w:right="320" w:firstLine="446"/>
        <w:spacing w:after="0" w:line="270" w:lineRule="auto"/>
        <w:rPr>
          <w:sz w:val="20"/>
          <w:szCs w:val="20"/>
          <w:color w:val="auto"/>
        </w:rPr>
      </w:pPr>
      <w:r>
        <w:rPr>
          <w:rFonts w:ascii="Times New Roman" w:cs="Times New Roman" w:eastAsia="Times New Roman" w:hAnsi="Times New Roman"/>
          <w:sz w:val="14"/>
          <w:szCs w:val="14"/>
          <w:color w:val="auto"/>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Regardless of the outcome, future litigation against us could result in substantial costs and divert our management’s attention from other business concerns, which could seriously harm our business.</w:t>
      </w:r>
    </w:p>
    <w:p>
      <w:pPr>
        <w:spacing w:after="0" w:line="134"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color w:val="auto"/>
        </w:rPr>
        <w:t>The requirements of being a public company may strain our resources, divert management’s attention, and affect our ability to attract and retain additional executive management and qualified board members.</w:t>
      </w:r>
    </w:p>
    <w:p>
      <w:pPr>
        <w:spacing w:after="0" w:line="37" w:lineRule="exact"/>
        <w:rPr>
          <w:sz w:val="20"/>
          <w:szCs w:val="20"/>
          <w:color w:val="auto"/>
        </w:rPr>
      </w:pPr>
    </w:p>
    <w:p>
      <w:pPr>
        <w:ind w:right="20" w:firstLine="446"/>
        <w:spacing w:after="0" w:line="257" w:lineRule="auto"/>
        <w:rPr>
          <w:sz w:val="20"/>
          <w:szCs w:val="20"/>
          <w:color w:val="auto"/>
        </w:rPr>
      </w:pPr>
      <w:r>
        <w:rPr>
          <w:rFonts w:ascii="Times New Roman" w:cs="Times New Roman" w:eastAsia="Times New Roman" w:hAnsi="Times New Roman"/>
          <w:sz w:val="14"/>
          <w:szCs w:val="14"/>
          <w:color w:val="auto"/>
        </w:rPr>
        <w:t>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6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4"/>
          <w:szCs w:val="14"/>
          <w:color w:val="auto"/>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w:t>
      </w:r>
    </w:p>
    <w:p>
      <w:pPr>
        <w:spacing w:after="0" w:line="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4"/>
          <w:szCs w:val="14"/>
          <w:color w:val="auto"/>
        </w:rPr>
        <w:t>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36"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65" w:name="page66"/>
    <w:bookmarkEnd w:id="65"/>
    <w:p>
      <w:pPr>
        <w:ind w:firstLine="446"/>
        <w:spacing w:after="0" w:line="257" w:lineRule="auto"/>
        <w:rPr>
          <w:sz w:val="20"/>
          <w:szCs w:val="20"/>
          <w:color w:val="auto"/>
        </w:rPr>
      </w:pPr>
      <w:r>
        <w:rPr>
          <w:rFonts w:ascii="Times New Roman" w:cs="Times New Roman" w:eastAsia="Times New Roman" w:hAnsi="Times New Roman"/>
          <w:sz w:val="14"/>
          <w:szCs w:val="14"/>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 In November 2022, we entered into the Cowen Sales Agreement with Cowen, through which we may offer and sell shares of our common stock, having an aggregate offering of up to $150.0 million through Cowen as our sales agent.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disclosure controls and procedures may not prevent or detect all errors or acts of fraud.</w:t>
      </w:r>
    </w:p>
    <w:p>
      <w:pPr>
        <w:spacing w:after="0" w:line="96" w:lineRule="exact"/>
        <w:rPr>
          <w:sz w:val="20"/>
          <w:szCs w:val="20"/>
          <w:color w:val="auto"/>
        </w:rPr>
      </w:pPr>
    </w:p>
    <w:p>
      <w:pPr>
        <w:ind w:right="100" w:firstLine="446"/>
        <w:spacing w:after="0" w:line="264" w:lineRule="auto"/>
        <w:rPr>
          <w:sz w:val="20"/>
          <w:szCs w:val="20"/>
          <w:color w:val="auto"/>
        </w:rPr>
      </w:pPr>
      <w:r>
        <w:rPr>
          <w:rFonts w:ascii="Times New Roman" w:cs="Times New Roman" w:eastAsia="Times New Roman" w:hAnsi="Times New Roman"/>
          <w:sz w:val="14"/>
          <w:szCs w:val="14"/>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56" w:lineRule="exact"/>
        <w:rPr>
          <w:sz w:val="20"/>
          <w:szCs w:val="20"/>
          <w:color w:val="auto"/>
        </w:rPr>
      </w:pPr>
    </w:p>
    <w:p>
      <w:pPr>
        <w:ind w:right="100" w:firstLine="446"/>
        <w:spacing w:after="0" w:line="270" w:lineRule="auto"/>
        <w:rPr>
          <w:sz w:val="20"/>
          <w:szCs w:val="20"/>
          <w:color w:val="auto"/>
        </w:rPr>
      </w:pPr>
      <w:r>
        <w:rPr>
          <w:rFonts w:ascii="Times New Roman" w:cs="Times New Roman" w:eastAsia="Times New Roman" w:hAnsi="Times New Roman"/>
          <w:sz w:val="14"/>
          <w:szCs w:val="14"/>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do not intend to pay dividends on our common stock, so any returns will be limited to the value of our stock.</w:t>
      </w:r>
    </w:p>
    <w:p>
      <w:pPr>
        <w:spacing w:after="0" w:line="96" w:lineRule="exact"/>
        <w:rPr>
          <w:sz w:val="20"/>
          <w:szCs w:val="20"/>
          <w:color w:val="auto"/>
        </w:rPr>
      </w:pPr>
    </w:p>
    <w:p>
      <w:pPr>
        <w:ind w:right="340" w:firstLine="446"/>
        <w:spacing w:after="0" w:line="287" w:lineRule="auto"/>
        <w:rPr>
          <w:sz w:val="20"/>
          <w:szCs w:val="20"/>
          <w:color w:val="auto"/>
        </w:rPr>
      </w:pPr>
      <w:r>
        <w:rPr>
          <w:rFonts w:ascii="Times New Roman" w:cs="Times New Roman" w:eastAsia="Times New Roman" w:hAnsi="Times New Roman"/>
          <w:sz w:val="14"/>
          <w:szCs w:val="14"/>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cash and investments could be adversely affected if the financial institutions in which we hold our cash and investments fail.</w:t>
      </w:r>
    </w:p>
    <w:p>
      <w:pPr>
        <w:spacing w:after="0" w:line="96" w:lineRule="exact"/>
        <w:rPr>
          <w:sz w:val="20"/>
          <w:szCs w:val="20"/>
          <w:color w:val="auto"/>
        </w:rPr>
      </w:pPr>
    </w:p>
    <w:p>
      <w:pPr>
        <w:jc w:val="both"/>
        <w:ind w:right="40" w:firstLine="446"/>
        <w:spacing w:after="0" w:line="264" w:lineRule="auto"/>
        <w:rPr>
          <w:sz w:val="20"/>
          <w:szCs w:val="20"/>
          <w:color w:val="auto"/>
        </w:rPr>
      </w:pPr>
      <w:r>
        <w:rPr>
          <w:rFonts w:ascii="Times New Roman" w:cs="Times New Roman" w:eastAsia="Times New Roman" w:hAnsi="Times New Roman"/>
          <w:sz w:val="14"/>
          <w:szCs w:val="14"/>
          <w:color w:val="auto"/>
        </w:rPr>
        <w:t>We regularly maintain cash balances at third-party financial institutions in excess of the Federal Deposit Insurance Corporation insurance limit. Further, if we enter into a credit, loan or other similar facility with a financial institution, certain covenants included in such facility may require as security that we keep a significant portion of our cash with the institution providing such facility. If a depository institution where we maintain deposits fails or is subject to adverse conditions in the financial or credit markets, we may not be able to recover all, if any, of our deposits, which could adversely impact our operating liquidity and financial performance.</w:t>
      </w:r>
    </w:p>
    <w:p>
      <w:pPr>
        <w:spacing w:after="0" w:line="138"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37" w:lineRule="exact"/>
        <w:rPr>
          <w:sz w:val="20"/>
          <w:szCs w:val="20"/>
          <w:color w:val="auto"/>
        </w:rPr>
      </w:pPr>
    </w:p>
    <w:p>
      <w:pPr>
        <w:ind w:right="40" w:firstLine="446"/>
        <w:spacing w:after="0" w:line="287" w:lineRule="auto"/>
        <w:rPr>
          <w:sz w:val="20"/>
          <w:szCs w:val="20"/>
          <w:color w:val="auto"/>
        </w:rPr>
      </w:pPr>
      <w:r>
        <w:rPr>
          <w:rFonts w:ascii="Times New Roman" w:cs="Times New Roman" w:eastAsia="Times New Roman" w:hAnsi="Times New Roman"/>
          <w:sz w:val="14"/>
          <w:szCs w:val="14"/>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39" w:lineRule="exact"/>
        <w:rPr>
          <w:sz w:val="20"/>
          <w:szCs w:val="20"/>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classified Board of Directors so that not all members of our board are elected at one time;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only the Board of Directors to establish the number of directors and fill vacancies on the board;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directors may only be removed “for cause” and only with the approval of two-thirds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13" w:right="359" w:bottom="1440" w:gutter="0" w:footer="0" w:header="0"/>
        </w:sectPr>
      </w:pPr>
    </w:p>
    <w:bookmarkStart w:id="66" w:name="page67"/>
    <w:bookmarkEnd w:id="66"/>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super-majority voting to amend some provisions in our restated certificate of incorporation and restated bylaws;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the issuance of “blank check” preferred stock that our board could use to implement a stockholder rights plan (also known as a “poison pill”);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eliminate the ability of our stockholders to call special meetings of stockholders;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stockholder action by written consent, which requires all stockholder actions to be taken at a meeting of our stockholders;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cumulative voting;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advance notice requirements for nominations for election to our board or for proposing matters that can be acted upon by stockholders at annual stockholder meetings.</w:t>
      </w:r>
    </w:p>
    <w:p>
      <w:pPr>
        <w:spacing w:after="0" w:line="94" w:lineRule="exact"/>
        <w:rPr>
          <w:sz w:val="20"/>
          <w:szCs w:val="20"/>
          <w:color w:val="auto"/>
        </w:rPr>
      </w:pPr>
    </w:p>
    <w:p>
      <w:pPr>
        <w:ind w:firstLine="446"/>
        <w:spacing w:after="0" w:line="287" w:lineRule="auto"/>
        <w:rPr>
          <w:sz w:val="20"/>
          <w:szCs w:val="20"/>
          <w:color w:val="auto"/>
        </w:rPr>
      </w:pPr>
      <w:r>
        <w:rPr>
          <w:rFonts w:ascii="Times New Roman" w:cs="Times New Roman" w:eastAsia="Times New Roman" w:hAnsi="Times New Roman"/>
          <w:sz w:val="14"/>
          <w:szCs w:val="14"/>
          <w:color w:val="auto"/>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spacing w:after="0" w:line="37"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color w:val="auto"/>
        </w:rPr>
        <w:t>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w:t>
      </w:r>
    </w:p>
    <w:p>
      <w:pPr>
        <w:spacing w:after="0" w:line="37" w:lineRule="exact"/>
        <w:rPr>
          <w:sz w:val="20"/>
          <w:szCs w:val="20"/>
          <w:color w:val="auto"/>
        </w:rPr>
      </w:pPr>
    </w:p>
    <w:p>
      <w:pPr>
        <w:jc w:val="both"/>
        <w:ind w:right="40" w:firstLine="393"/>
        <w:spacing w:after="0" w:line="264" w:lineRule="auto"/>
        <w:rPr>
          <w:sz w:val="20"/>
          <w:szCs w:val="20"/>
          <w:color w:val="auto"/>
        </w:rPr>
      </w:pPr>
      <w:r>
        <w:rPr>
          <w:rFonts w:ascii="Times New Roman" w:cs="Times New Roman" w:eastAsia="Times New Roman" w:hAnsi="Times New Roman"/>
          <w:sz w:val="14"/>
          <w:szCs w:val="14"/>
          <w:color w:val="auto"/>
        </w:rPr>
        <w:t>Our restated certificate of incorporation, to the fullest extent permitted by law,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that is governed by the internal affairs doctrine. This exclusive forum provision does not apply to suits brought to enforce a duty or liability created by the Securities Exchange Act of 1934, as amended, or Exchange Act. It could apply, however, to a suit that falls within one or more of the categories enumerated in the exclusive forum provision.</w:t>
      </w:r>
    </w:p>
    <w:p>
      <w:pPr>
        <w:spacing w:after="0" w:line="56" w:lineRule="exact"/>
        <w:rPr>
          <w:sz w:val="20"/>
          <w:szCs w:val="20"/>
          <w:color w:val="auto"/>
        </w:rPr>
      </w:pPr>
    </w:p>
    <w:p>
      <w:pPr>
        <w:ind w:right="500" w:firstLine="393"/>
        <w:spacing w:after="0" w:line="264" w:lineRule="auto"/>
        <w:rPr>
          <w:sz w:val="20"/>
          <w:szCs w:val="20"/>
          <w:color w:val="auto"/>
        </w:rPr>
      </w:pPr>
      <w:r>
        <w:rPr>
          <w:rFonts w:ascii="Times New Roman" w:cs="Times New Roman" w:eastAsia="Times New Roman" w:hAnsi="Times New Roman"/>
          <w:sz w:val="14"/>
          <w:szCs w:val="14"/>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financial condition, results of operations and prospects.</w:t>
      </w:r>
    </w:p>
    <w:p>
      <w:pPr>
        <w:spacing w:after="0" w:line="56" w:lineRule="exact"/>
        <w:rPr>
          <w:sz w:val="20"/>
          <w:szCs w:val="20"/>
          <w:color w:val="auto"/>
        </w:rPr>
      </w:pPr>
    </w:p>
    <w:p>
      <w:pPr>
        <w:ind w:right="20" w:firstLine="393"/>
        <w:spacing w:after="0" w:line="256" w:lineRule="auto"/>
        <w:rPr>
          <w:sz w:val="20"/>
          <w:szCs w:val="20"/>
          <w:color w:val="auto"/>
        </w:rPr>
      </w:pPr>
      <w:r>
        <w:rPr>
          <w:rFonts w:ascii="Times New Roman" w:cs="Times New Roman" w:eastAsia="Times New Roman" w:hAnsi="Times New Roman"/>
          <w:sz w:val="14"/>
          <w:szCs w:val="14"/>
          <w:color w:val="auto"/>
        </w:rPr>
        <w:t>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67" w:name="page68"/>
    <w:bookmarkEnd w:id="67"/>
    <w:p>
      <w:pPr>
        <w:jc w:val="both"/>
        <w:ind w:right="320" w:firstLine="393"/>
        <w:spacing w:after="0" w:line="270" w:lineRule="auto"/>
        <w:rPr>
          <w:sz w:val="20"/>
          <w:szCs w:val="20"/>
          <w:color w:val="auto"/>
        </w:rPr>
      </w:pPr>
      <w:r>
        <w:rPr>
          <w:rFonts w:ascii="Times New Roman" w:cs="Times New Roman" w:eastAsia="Times New Roman" w:hAnsi="Times New Roman"/>
          <w:sz w:val="14"/>
          <w:szCs w:val="14"/>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w:t>
      </w:r>
    </w:p>
    <w:p>
      <w:pPr>
        <w:spacing w:after="0" w:line="134"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37" w:lineRule="exact"/>
        <w:rPr>
          <w:sz w:val="20"/>
          <w:szCs w:val="20"/>
          <w:color w:val="auto"/>
        </w:rPr>
      </w:pPr>
    </w:p>
    <w:p>
      <w:pPr>
        <w:ind w:right="220" w:firstLine="446"/>
        <w:spacing w:after="0" w:line="264" w:lineRule="auto"/>
        <w:rPr>
          <w:sz w:val="20"/>
          <w:szCs w:val="20"/>
          <w:color w:val="auto"/>
        </w:rPr>
      </w:pPr>
      <w:r>
        <w:rPr>
          <w:rFonts w:ascii="Times New Roman" w:cs="Times New Roman" w:eastAsia="Times New Roman" w:hAnsi="Times New Roman"/>
          <w:sz w:val="14"/>
          <w:szCs w:val="14"/>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3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color w:val="auto"/>
        </w:rPr>
        <w:t>We plan to use our federal and state net operating loss (“NOL”) carryforwards to offset taxable income from revenue generated from operations or corporate collaborations. However, our ability to use NOL carryforwards to offset taxable income in future years could be limited.</w:t>
      </w:r>
    </w:p>
    <w:p>
      <w:pPr>
        <w:spacing w:after="0" w:line="27" w:lineRule="exact"/>
        <w:rPr>
          <w:sz w:val="20"/>
          <w:szCs w:val="20"/>
          <w:color w:val="auto"/>
        </w:rPr>
      </w:pPr>
    </w:p>
    <w:p>
      <w:pPr>
        <w:ind w:right="20" w:firstLine="446"/>
        <w:spacing w:after="0" w:line="233" w:lineRule="auto"/>
        <w:rPr>
          <w:sz w:val="20"/>
          <w:szCs w:val="20"/>
          <w:color w:val="auto"/>
        </w:rPr>
      </w:pPr>
      <w:r>
        <w:rPr>
          <w:rFonts w:ascii="Times New Roman" w:cs="Times New Roman" w:eastAsia="Times New Roman" w:hAnsi="Times New Roman"/>
          <w:sz w:val="14"/>
          <w:szCs w:val="14"/>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the benefits from the use of our NOL carryforwards may be impaired or limited under Section 382 of the Code, if we incur a cumulative ownership change of more than 50%, as interpreted by the U.S. Internal Revenue Service, over a three-year period. Under legislative changes made by the Tax Cuts and Jobs Act, the U.S. federal net operating losses incurred in 2018 and in future years may be carried forward indefinitely, but the ability to utilize such federal net operating losses to offset taxable income is limited to 80% of our taxable income before the deduction for such net operating loss carryovers. Our significant state NOLs were generated in the state of California, which provides a 20 year carry forward. State NOL carryforwards may be similarly limited by cumulative ownership changes. Any such disallowances may result in greater tax liabilities than we would incur in the absence of such a limitation, and any increased liabilities could adversely affect our business, results of operations, financial condition and cash flow.</w:t>
      </w:r>
    </w:p>
    <w:p>
      <w:pPr>
        <w:spacing w:after="0" w:line="62" w:lineRule="exact"/>
        <w:rPr>
          <w:sz w:val="20"/>
          <w:szCs w:val="20"/>
          <w:color w:val="auto"/>
        </w:rPr>
      </w:pPr>
    </w:p>
    <w:p>
      <w:pPr>
        <w:ind w:right="360" w:firstLine="382"/>
        <w:spacing w:after="0" w:line="287" w:lineRule="auto"/>
        <w:rPr>
          <w:sz w:val="20"/>
          <w:szCs w:val="20"/>
          <w:color w:val="auto"/>
        </w:rPr>
      </w:pPr>
      <w:r>
        <w:rPr>
          <w:rFonts w:ascii="Times New Roman" w:cs="Times New Roman" w:eastAsia="Times New Roman" w:hAnsi="Times New Roman"/>
          <w:sz w:val="14"/>
          <w:szCs w:val="14"/>
          <w:color w:val="auto"/>
        </w:rPr>
        <w:t>As of December 31, 2023, we have federal NOLs of approximately $313.8 million. Of this, $52.1 million expire beginning December 31, 2030 through December 31, 2037, if not used to reduce income taxes payable in the future and $261.7 million carry forward indefinitely.</w:t>
      </w:r>
    </w:p>
    <w:p>
      <w:pPr>
        <w:spacing w:after="0" w:line="122"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4"/>
          <w:szCs w:val="14"/>
          <w:b w:val="1"/>
          <w:bCs w:val="1"/>
          <w:color w:val="auto"/>
        </w:rPr>
        <w:t>We are a smaller reporting company and may elect to comply with reduced public company reporting requirements applicable to smaller reporting companies, which could make our common stock less attractive to investors.</w:t>
      </w:r>
    </w:p>
    <w:p>
      <w:pPr>
        <w:spacing w:after="0" w:line="37" w:lineRule="exact"/>
        <w:rPr>
          <w:sz w:val="20"/>
          <w:szCs w:val="20"/>
          <w:color w:val="auto"/>
        </w:rPr>
      </w:pPr>
    </w:p>
    <w:p>
      <w:pPr>
        <w:ind w:right="40" w:firstLine="446"/>
        <w:spacing w:after="0" w:line="261" w:lineRule="auto"/>
        <w:rPr>
          <w:sz w:val="20"/>
          <w:szCs w:val="20"/>
          <w:color w:val="auto"/>
        </w:rPr>
      </w:pPr>
      <w:r>
        <w:rPr>
          <w:rFonts w:ascii="Times New Roman" w:cs="Times New Roman" w:eastAsia="Times New Roman" w:hAnsi="Times New Roman"/>
          <w:sz w:val="14"/>
          <w:szCs w:val="14"/>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no public float or (B)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58" w:lineRule="exact"/>
        <w:rPr>
          <w:sz w:val="20"/>
          <w:szCs w:val="20"/>
          <w:color w:val="auto"/>
        </w:rPr>
      </w:pPr>
    </w:p>
    <w:p>
      <w:pPr>
        <w:ind w:right="220" w:firstLine="446"/>
        <w:spacing w:after="0" w:line="287" w:lineRule="auto"/>
        <w:rPr>
          <w:sz w:val="20"/>
          <w:szCs w:val="20"/>
          <w:color w:val="auto"/>
        </w:rPr>
      </w:pPr>
      <w:r>
        <w:rPr>
          <w:rFonts w:ascii="Times New Roman" w:cs="Times New Roman" w:eastAsia="Times New Roman" w:hAnsi="Times New Roman"/>
          <w:sz w:val="14"/>
          <w:szCs w:val="14"/>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Use of Proceeds and Issuer Purchases of Equity Securities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68" w:name="page69"/>
    <w:bookmarkEnd w:id="68"/>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440" w:right="1440" w:bottom="1440" w:gutter="0" w:footer="0" w:header="0"/>
        </w:sectPr>
      </w:pPr>
    </w:p>
    <w:bookmarkStart w:id="69" w:name="page70"/>
    <w:bookmarkEnd w:id="69"/>
    <w:p>
      <w:pPr>
        <w:spacing w:after="0" w:line="41" w:lineRule="exact"/>
        <w:rPr>
          <w:sz w:val="20"/>
          <w:szCs w:val="20"/>
          <w:color w:val="auto"/>
        </w:rPr>
      </w:pPr>
    </w:p>
    <w:p>
      <w:pPr>
        <w:jc w:val="center"/>
        <w:ind w:right="930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6" w:lineRule="exact"/>
        <w:rPr>
          <w:sz w:val="20"/>
          <w:szCs w:val="20"/>
          <w:color w:val="auto"/>
        </w:rPr>
      </w:pPr>
    </w:p>
    <w:p>
      <w:pPr>
        <w:jc w:val="center"/>
        <w:ind w:right="9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Rule 10b5-1 Trading Arrangements</w:t>
      </w:r>
    </w:p>
    <w:p>
      <w:pPr>
        <w:spacing w:after="0" w:line="96" w:lineRule="exact"/>
        <w:rPr>
          <w:sz w:val="20"/>
          <w:szCs w:val="20"/>
          <w:color w:val="auto"/>
        </w:rPr>
      </w:pPr>
    </w:p>
    <w:p>
      <w:pPr>
        <w:ind w:firstLine="446"/>
        <w:spacing w:after="0" w:line="287" w:lineRule="auto"/>
        <w:rPr>
          <w:sz w:val="20"/>
          <w:szCs w:val="20"/>
          <w:color w:val="auto"/>
        </w:rPr>
      </w:pPr>
      <w:r>
        <w:rPr>
          <w:rFonts w:ascii="Times New Roman" w:cs="Times New Roman" w:eastAsia="Times New Roman" w:hAnsi="Times New Roman"/>
          <w:sz w:val="14"/>
          <w:szCs w:val="14"/>
          <w:color w:val="auto"/>
        </w:rPr>
        <w:t>On March 14, 2024, Hollings C. Renton, a director of the Company, entered into a written plan for the sale of an aggregate 56,121 shares of common stock. The plan is intended to satisfy the affirmative defense conditions of Rule 10b5-1(c) under the Exchange Act and is scheduled to terminate no later than August 15, 2025.</w:t>
      </w:r>
    </w:p>
    <w:p>
      <w:pPr>
        <w:spacing w:after="0" w:line="39" w:lineRule="exact"/>
        <w:rPr>
          <w:sz w:val="20"/>
          <w:szCs w:val="20"/>
          <w:color w:val="auto"/>
        </w:rPr>
      </w:pPr>
    </w:p>
    <w:p>
      <w:pPr>
        <w:ind w:right="140" w:firstLine="446"/>
        <w:spacing w:after="0" w:line="287" w:lineRule="auto"/>
        <w:rPr>
          <w:sz w:val="20"/>
          <w:szCs w:val="20"/>
          <w:color w:val="auto"/>
        </w:rPr>
      </w:pPr>
      <w:r>
        <w:rPr>
          <w:rFonts w:ascii="Times New Roman" w:cs="Times New Roman" w:eastAsia="Times New Roman" w:hAnsi="Times New Roman"/>
          <w:sz w:val="14"/>
          <w:szCs w:val="14"/>
          <w:color w:val="auto"/>
        </w:rPr>
        <w:t>On March 22, 2024, Dennis M. Fenton, a director of the Company, entered into a written plan for the sale of an aggregate 4,965 shares of common stock. The plan is intended to satisfy the affirmative defense conditions of Rule 10b5-1(c) under the Exchange Act and is scheduled to terminate no later than June 24, 2025.</w:t>
      </w:r>
    </w:p>
    <w:p>
      <w:pPr>
        <w:spacing w:after="0" w:line="39" w:lineRule="exact"/>
        <w:rPr>
          <w:sz w:val="20"/>
          <w:szCs w:val="20"/>
          <w:color w:val="auto"/>
        </w:rPr>
      </w:pPr>
    </w:p>
    <w:p>
      <w:pPr>
        <w:ind w:right="20" w:firstLine="446"/>
        <w:spacing w:after="0" w:line="264" w:lineRule="auto"/>
        <w:rPr>
          <w:sz w:val="20"/>
          <w:szCs w:val="20"/>
          <w:color w:val="auto"/>
        </w:rPr>
      </w:pPr>
      <w:r>
        <w:rPr>
          <w:rFonts w:ascii="Times New Roman" w:cs="Times New Roman" w:eastAsia="Times New Roman" w:hAnsi="Times New Roman"/>
          <w:sz w:val="14"/>
          <w:szCs w:val="14"/>
          <w:color w:val="auto"/>
        </w:rPr>
        <w:t>The plans included a representation from the officer to the broker administering the plan that the officer was not in possession of any material nonpublic information regarding the Company or the securities subject to the plan. A similar representation was made to us in connection with the adoption of the plans under our Insider Trading Policy. Those representations were made as of the date of adoption of the plans and speak only as of that date. In making those representations, there is no assurance with respect to any material nonpublic information of which the directors were unaware, or with respect to any material nonpublic information acquired by the directors or the Company after the date of the representation</w:t>
      </w:r>
      <w:r>
        <w:rPr>
          <w:rFonts w:ascii="Times New Roman" w:cs="Times New Roman" w:eastAsia="Times New Roman" w:hAnsi="Times New Roman"/>
          <w:sz w:val="14"/>
          <w:szCs w:val="14"/>
          <w:color w:val="008080"/>
        </w:rPr>
        <w:t>.</w:t>
      </w:r>
    </w:p>
    <w:p>
      <w:pPr>
        <w:spacing w:after="0" w:line="56" w:lineRule="exact"/>
        <w:rPr>
          <w:sz w:val="20"/>
          <w:szCs w:val="20"/>
          <w:color w:val="auto"/>
        </w:rPr>
      </w:pPr>
    </w:p>
    <w:p>
      <w:pPr>
        <w:ind w:right="40" w:firstLine="446"/>
        <w:spacing w:after="0" w:line="287" w:lineRule="auto"/>
        <w:rPr>
          <w:sz w:val="20"/>
          <w:szCs w:val="20"/>
          <w:color w:val="auto"/>
        </w:rPr>
      </w:pPr>
      <w:r>
        <w:rPr>
          <w:rFonts w:ascii="Times New Roman" w:cs="Times New Roman" w:eastAsia="Times New Roman" w:hAnsi="Times New Roman"/>
          <w:sz w:val="14"/>
          <w:szCs w:val="14"/>
          <w:color w:val="auto"/>
        </w:rPr>
        <w:t>Other than as disclosed above, during the three months ended March 31, 2024, none of the Company’s directors or officers adopted or terminated any “Rule 10b5-1 trading arrangements” or any “non-Rule 10b5-1 trading arrangements,” as each term is defined in Item 408 of Regulation S-K.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exhibits filed or furnished as part of this Quarterly Report on Form 10-Q are set forth on the Exhibit Index, below.</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9300" w:type="dxa"/>
            <w:vAlign w:val="bottom"/>
            <w:gridSpan w:val="6"/>
          </w:tcPr>
          <w:p>
            <w:pPr>
              <w:ind w:left="392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261"/>
        </w:trPr>
        <w:tc>
          <w:tcPr>
            <w:tcW w:w="116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7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16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9300" w:type="dxa"/>
            <w:vAlign w:val="bottom"/>
            <w:gridSpan w:val="6"/>
          </w:tcPr>
          <w:p>
            <w:pPr>
              <w:ind w:left="4520"/>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0" w:type="dxa"/>
            <w:vAlign w:val="bottom"/>
          </w:tcPr>
          <w:p>
            <w:pPr>
              <w:spacing w:after="0"/>
              <w:rPr>
                <w:sz w:val="1"/>
                <w:szCs w:val="1"/>
                <w:color w:val="auto"/>
              </w:rPr>
            </w:pPr>
          </w:p>
        </w:tc>
      </w:tr>
      <w:tr>
        <w:trPr>
          <w:trHeight w:val="217"/>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10.28‡</w:t>
            </w:r>
          </w:p>
        </w:tc>
        <w:tc>
          <w:tcPr>
            <w:tcW w:w="7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3"/>
                <w:szCs w:val="13"/>
                <w:color w:val="0000FF"/>
                <w:w w:val="97"/>
              </w:rPr>
              <w:t>Amendment No. 1 to License Agreement, dated April 9, 2024, by and between the Registrant and Centessa Pharmaceuticals (UK) Limited.</w:t>
            </w:r>
          </w:p>
        </w:tc>
        <w:tc>
          <w:tcPr>
            <w:tcW w:w="22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1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31.1</w:t>
            </w:r>
          </w:p>
        </w:tc>
        <w:tc>
          <w:tcPr>
            <w:tcW w:w="7860" w:type="dxa"/>
            <w:vAlign w:val="bottom"/>
            <w:tcBorders>
              <w:bottom w:val="single" w:sz="8" w:color="0000FF"/>
            </w:tcBorders>
            <w:gridSpan w:val="5"/>
          </w:tcPr>
          <w:p>
            <w:pPr>
              <w:spacing w:after="0" w:line="139" w:lineRule="exact"/>
              <w:rPr>
                <w:sz w:val="20"/>
                <w:szCs w:val="20"/>
                <w:color w:val="auto"/>
              </w:rPr>
            </w:pPr>
            <w:r>
              <w:rPr>
                <w:rFonts w:ascii="Times New Roman" w:cs="Times New Roman" w:eastAsia="Times New Roman" w:hAnsi="Times New Roman"/>
                <w:sz w:val="13"/>
                <w:szCs w:val="13"/>
                <w:color w:val="0000FF"/>
                <w:w w:val="97"/>
              </w:rPr>
              <w:t>Certification of Principal Executive Officer, pursuant to Rule 13a-14(a)/15d-14(a), as adopted pursuant to Section 302 of the Sarbanes-Oxley Act of 2002.</w:t>
            </w:r>
          </w:p>
        </w:tc>
        <w:tc>
          <w:tcPr>
            <w:tcW w:w="14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160" w:type="dxa"/>
            <w:vAlign w:val="bottom"/>
            <w:vMerge w:val="continue"/>
          </w:tcPr>
          <w:p>
            <w:pPr>
              <w:spacing w:after="0"/>
              <w:rPr>
                <w:sz w:val="3"/>
                <w:szCs w:val="3"/>
                <w:color w:val="auto"/>
              </w:rPr>
            </w:pPr>
          </w:p>
        </w:tc>
        <w:tc>
          <w:tcPr>
            <w:tcW w:w="782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color w:val="0000FF"/>
                <w:w w:val="97"/>
              </w:rPr>
              <w:t>Certification of Principal Financial Officer, pursuant to Rule 13a-14(a)/15d-14(a), as adopted pursuant to Section 302 of the Sarbanes-Oxley Act of 2002.</w:t>
            </w:r>
          </w:p>
        </w:tc>
        <w:tc>
          <w:tcPr>
            <w:tcW w:w="4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31.2</w:t>
            </w:r>
          </w:p>
        </w:tc>
        <w:tc>
          <w:tcPr>
            <w:tcW w:w="7820" w:type="dxa"/>
            <w:vAlign w:val="bottom"/>
            <w:tcBorders>
              <w:bottom w:val="single" w:sz="8" w:color="0000FF"/>
            </w:tcBorders>
            <w:gridSpan w:val="4"/>
            <w:vMerge w:val="continue"/>
          </w:tcPr>
          <w:p>
            <w:pPr>
              <w:spacing w:after="0"/>
              <w:rPr>
                <w:sz w:val="16"/>
                <w:szCs w:val="16"/>
                <w:color w:val="auto"/>
              </w:rPr>
            </w:pPr>
          </w:p>
        </w:tc>
        <w:tc>
          <w:tcPr>
            <w:tcW w:w="148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160" w:type="dxa"/>
            <w:vAlign w:val="bottom"/>
            <w:vMerge w:val="continue"/>
          </w:tcPr>
          <w:p>
            <w:pPr>
              <w:spacing w:after="0"/>
              <w:rPr>
                <w:sz w:val="3"/>
                <w:szCs w:val="3"/>
                <w:color w:val="auto"/>
              </w:rPr>
            </w:pPr>
          </w:p>
        </w:tc>
        <w:tc>
          <w:tcPr>
            <w:tcW w:w="75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32.1**</w:t>
            </w:r>
          </w:p>
        </w:tc>
        <w:tc>
          <w:tcPr>
            <w:tcW w:w="9300" w:type="dxa"/>
            <w:vAlign w:val="bottom"/>
            <w:gridSpan w:val="6"/>
          </w:tcPr>
          <w:p>
            <w:pPr>
              <w:spacing w:after="0"/>
              <w:rPr>
                <w:sz w:val="20"/>
                <w:szCs w:val="20"/>
                <w:color w:val="auto"/>
              </w:rPr>
            </w:pPr>
            <w:r>
              <w:rPr>
                <w:rFonts w:ascii="Times New Roman" w:cs="Times New Roman" w:eastAsia="Times New Roman" w:hAnsi="Times New Roman"/>
                <w:sz w:val="13"/>
                <w:szCs w:val="13"/>
                <w:color w:val="0000FF"/>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24"/>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32.2**</w:t>
            </w:r>
          </w:p>
        </w:tc>
        <w:tc>
          <w:tcPr>
            <w:tcW w:w="75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3"/>
                <w:szCs w:val="13"/>
                <w:color w:val="0000FF"/>
                <w:w w:val="97"/>
              </w:rPr>
              <w:t>Certification of Chief Financial Officer, pursuant to 18 U.S.C. Section 1350, as adopted pursuant to Section 906 of the Sarbanes-Oxley Act of 2002.</w:t>
            </w:r>
          </w:p>
        </w:tc>
        <w:tc>
          <w:tcPr>
            <w:tcW w:w="20" w:type="dxa"/>
            <w:vAlign w:val="bottom"/>
            <w:tcBorders>
              <w:top w:val="single" w:sz="8" w:color="0000FF"/>
            </w:tcBorders>
          </w:tcPr>
          <w:p>
            <w:pPr>
              <w:spacing w:after="0"/>
              <w:rPr>
                <w:sz w:val="19"/>
                <w:szCs w:val="19"/>
                <w:color w:val="auto"/>
              </w:rPr>
            </w:pPr>
          </w:p>
        </w:tc>
        <w:tc>
          <w:tcPr>
            <w:tcW w:w="17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101.INS</w:t>
            </w:r>
          </w:p>
        </w:tc>
        <w:tc>
          <w:tcPr>
            <w:tcW w:w="9300" w:type="dxa"/>
            <w:vAlign w:val="bottom"/>
            <w:gridSpan w:val="6"/>
            <w:vMerge w:val="restart"/>
          </w:tcPr>
          <w:p>
            <w:pPr>
              <w:spacing w:after="0"/>
              <w:rPr>
                <w:sz w:val="20"/>
                <w:szCs w:val="20"/>
                <w:color w:val="auto"/>
              </w:rPr>
            </w:pPr>
            <w:r>
              <w:rPr>
                <w:rFonts w:ascii="Times New Roman" w:cs="Times New Roman" w:eastAsia="Times New Roman" w:hAnsi="Times New Roman"/>
                <w:sz w:val="13"/>
                <w:szCs w:val="13"/>
                <w:color w:val="auto"/>
                <w:w w:val="97"/>
              </w:rPr>
              <w:t>Inline XBRL Report Instance Document - 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74"/>
        </w:trPr>
        <w:tc>
          <w:tcPr>
            <w:tcW w:w="1160" w:type="dxa"/>
            <w:vAlign w:val="bottom"/>
          </w:tcPr>
          <w:p>
            <w:pPr>
              <w:spacing w:after="0"/>
              <w:rPr>
                <w:sz w:val="6"/>
                <w:szCs w:val="6"/>
                <w:color w:val="auto"/>
              </w:rPr>
            </w:pPr>
          </w:p>
        </w:tc>
        <w:tc>
          <w:tcPr>
            <w:tcW w:w="93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101.SCH</w:t>
            </w:r>
          </w:p>
        </w:tc>
        <w:tc>
          <w:tcPr>
            <w:tcW w:w="93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101.CAL</w:t>
            </w:r>
          </w:p>
        </w:tc>
        <w:tc>
          <w:tcPr>
            <w:tcW w:w="93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Taxonomy Calculation Linkbase Document</w:t>
            </w: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101.LAB</w:t>
            </w:r>
          </w:p>
        </w:tc>
        <w:tc>
          <w:tcPr>
            <w:tcW w:w="93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Taxonomy Label Linkbase Document</w:t>
            </w: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101.PRE</w:t>
            </w:r>
          </w:p>
        </w:tc>
        <w:tc>
          <w:tcPr>
            <w:tcW w:w="93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Presentation Linkbase Document</w:t>
            </w: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101.DEF</w:t>
            </w:r>
          </w:p>
        </w:tc>
        <w:tc>
          <w:tcPr>
            <w:tcW w:w="93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180" w:hanging="1161"/>
        <w:spacing w:after="0"/>
        <w:tabs>
          <w:tab w:leader="none" w:pos="118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Data File - (formatted in Inline XBRL and contained in Exhibit 101)</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309" w:lineRule="exact"/>
        <w:rPr>
          <w:rFonts w:ascii="Times New Roman" w:cs="Times New Roman" w:eastAsia="Times New Roman" w:hAnsi="Times New Roman"/>
          <w:sz w:val="13"/>
          <w:szCs w:val="13"/>
          <w:color w:val="auto"/>
        </w:rPr>
      </w:pPr>
    </w:p>
    <w:p>
      <w:pPr>
        <w:ind w:left="55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440" w:right="399" w:bottom="1440" w:gutter="0" w:footer="0" w:header="0"/>
        </w:sectPr>
      </w:pPr>
    </w:p>
    <w:bookmarkStart w:id="70" w:name="page71"/>
    <w:bookmarkEnd w:id="70"/>
    <w:p>
      <w:pPr>
        <w:ind w:left="-5" w:firstLine="5"/>
        <w:spacing w:after="0" w:line="264" w:lineRule="auto"/>
        <w:tabs>
          <w:tab w:leader="none" w:pos="154"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60" w:lineRule="exact"/>
        <w:rPr>
          <w:sz w:val="20"/>
          <w:szCs w:val="20"/>
          <w:color w:val="auto"/>
        </w:rPr>
      </w:pPr>
    </w:p>
    <w:p>
      <w:pPr>
        <w:ind w:left="115" w:hanging="115"/>
        <w:spacing w:after="0"/>
        <w:tabs>
          <w:tab w:leader="none" w:pos="115"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 and schedules to this agreement have been omitted pursuant to the rules of the SEC. The Registrant will submit copies of such exhibits and schedules to the SEC upon request.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57" w:lineRule="exact"/>
        <w:rPr>
          <w:rFonts w:ascii="Times New Roman" w:cs="Times New Roman" w:eastAsia="Times New Roman" w:hAnsi="Times New Roman"/>
          <w:sz w:val="14"/>
          <w:szCs w:val="14"/>
          <w:color w:val="auto"/>
        </w:rPr>
      </w:pPr>
    </w:p>
    <w:p>
      <w:pPr>
        <w:ind w:left="5575"/>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55"/>
          </w:cols>
          <w:pgMar w:left="305" w:top="1423" w:right="839" w:bottom="1440" w:gutter="0" w:footer="0" w:header="0"/>
        </w:sectPr>
      </w:pPr>
    </w:p>
    <w:bookmarkStart w:id="71" w:name="page72"/>
    <w:bookmarkEnd w:id="71"/>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3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AnaptysBio, Inc.</w:t>
      </w:r>
    </w:p>
    <w:p>
      <w:pPr>
        <w:spacing w:after="0" w:line="189" w:lineRule="exact"/>
        <w:rPr>
          <w:sz w:val="20"/>
          <w:szCs w:val="20"/>
          <w:color w:val="auto"/>
        </w:rPr>
      </w:pPr>
    </w:p>
    <w:p>
      <w:pPr>
        <w:ind w:left="20"/>
        <w:spacing w:after="0"/>
        <w:tabs>
          <w:tab w:leader="none" w:pos="640" w:val="left"/>
          <w:tab w:leader="none" w:pos="4820" w:val="left"/>
          <w:tab w:leader="none" w:pos="528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May 9,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28575</wp:posOffset>
            </wp:positionV>
            <wp:extent cx="380682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06825" cy="6985"/>
                    </a:xfrm>
                    <a:prstGeom prst="rect">
                      <a:avLst/>
                    </a:prstGeom>
                    <a:noFill/>
                  </pic:spPr>
                </pic:pic>
              </a:graphicData>
            </a:graphic>
          </wp:anchor>
        </w:drawing>
      </w:r>
    </w:p>
    <w:p>
      <w:pPr>
        <w:spacing w:after="0" w:line="3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color w:val="auto"/>
        </w:rPr>
        <w:t>Daniel Faga</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85" w:lineRule="exact"/>
        <w:rPr>
          <w:sz w:val="20"/>
          <w:szCs w:val="20"/>
          <w:color w:val="auto"/>
        </w:rPr>
      </w:pPr>
    </w:p>
    <w:p>
      <w:pPr>
        <w:ind w:left="20"/>
        <w:spacing w:after="0"/>
        <w:tabs>
          <w:tab w:leader="none" w:pos="640" w:val="left"/>
          <w:tab w:leader="none" w:pos="4820" w:val="left"/>
          <w:tab w:leader="none" w:pos="528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May 9,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28575</wp:posOffset>
            </wp:positionV>
            <wp:extent cx="380682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06825" cy="6985"/>
                    </a:xfrm>
                    <a:prstGeom prst="rect">
                      <a:avLst/>
                    </a:prstGeom>
                    <a:noFill/>
                  </pic:spPr>
                </pic:pic>
              </a:graphicData>
            </a:graphic>
          </wp:anchor>
        </w:drawing>
      </w:r>
    </w:p>
    <w:p>
      <w:pPr>
        <w:spacing w:after="0" w:line="3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color w:val="auto"/>
        </w:rPr>
        <w:t>Dennis Mulroy</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0420"/>
          </w:cols>
          <w:pgMar w:left="300" w:top="1226" w:right="1179" w:bottom="1440"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PERIODIC REPORT UNDER SECTION 302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Daniel Faga, certify that:</w:t>
      </w:r>
    </w:p>
    <w:p>
      <w:pPr>
        <w:spacing w:after="0" w:line="125" w:lineRule="exact"/>
        <w:rPr>
          <w:sz w:val="20"/>
          <w:szCs w:val="20"/>
          <w:color w:val="auto"/>
        </w:rPr>
      </w:pPr>
    </w:p>
    <w:p>
      <w:pPr>
        <w:ind w:left="140" w:hanging="135"/>
        <w:spacing w:after="0"/>
        <w:tabs>
          <w:tab w:leader="none" w:pos="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AnaptysBio, Inc.;</w:t>
      </w:r>
    </w:p>
    <w:p>
      <w:pPr>
        <w:spacing w:after="0" w:line="93" w:lineRule="exact"/>
        <w:rPr>
          <w:rFonts w:ascii="Times New Roman" w:cs="Times New Roman" w:eastAsia="Times New Roman" w:hAnsi="Times New Roman"/>
          <w:sz w:val="14"/>
          <w:szCs w:val="14"/>
          <w:color w:val="auto"/>
        </w:rPr>
      </w:pPr>
    </w:p>
    <w:p>
      <w:pPr>
        <w:ind w:left="140" w:right="260" w:hanging="135"/>
        <w:spacing w:after="0" w:line="287" w:lineRule="auto"/>
        <w:tabs>
          <w:tab w:leader="none" w:pos="15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140" w:right="40" w:hanging="135"/>
        <w:spacing w:after="0" w:line="287" w:lineRule="auto"/>
        <w:tabs>
          <w:tab w:leader="none" w:pos="15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140" w:right="160" w:hanging="135"/>
        <w:spacing w:after="0" w:line="287" w:lineRule="auto"/>
        <w:tabs>
          <w:tab w:leader="none" w:pos="15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left="320" w:right="240" w:hanging="124"/>
        <w:spacing w:after="0" w:line="287" w:lineRule="auto"/>
        <w:tabs>
          <w:tab w:leader="none" w:pos="338"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320" w:right="80" w:hanging="124"/>
        <w:spacing w:after="0" w:line="287" w:lineRule="auto"/>
        <w:tabs>
          <w:tab w:leader="none" w:pos="346"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320" w:hanging="124"/>
        <w:spacing w:after="0" w:line="287" w:lineRule="auto"/>
        <w:tabs>
          <w:tab w:leader="none" w:pos="338"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320" w:right="60" w:hanging="124"/>
        <w:spacing w:after="0" w:line="287" w:lineRule="auto"/>
        <w:tabs>
          <w:tab w:leader="none" w:pos="346"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140" w:right="120" w:hanging="135"/>
        <w:spacing w:after="0" w:line="287" w:lineRule="auto"/>
        <w:tabs>
          <w:tab w:leader="none" w:pos="15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320" w:right="140" w:hanging="124"/>
        <w:spacing w:after="0" w:line="287" w:lineRule="auto"/>
        <w:tabs>
          <w:tab w:leader="none" w:pos="338"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340" w:hanging="144"/>
        <w:spacing w:after="0"/>
        <w:tabs>
          <w:tab w:leader="none" w:pos="34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9, 2024</w:t>
      </w:r>
    </w:p>
    <w:p>
      <w:pPr>
        <w:spacing w:after="0" w:line="28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14605</wp:posOffset>
            </wp:positionV>
            <wp:extent cx="302514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025140" cy="6985"/>
                    </a:xfrm>
                    <a:prstGeom prst="rect">
                      <a:avLst/>
                    </a:prstGeom>
                    <a:noFill/>
                  </pic:spPr>
                </pic:pic>
              </a:graphicData>
            </a:graphic>
          </wp:anchor>
        </w:drawing>
      </w:r>
    </w:p>
    <w:p>
      <w:pPr>
        <w:spacing w:after="0" w:line="1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color w:val="auto"/>
        </w:rPr>
        <w:t>Daniel Faga</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line="1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color w:val="auto"/>
        </w:rPr>
        <w:t>(Principal Executive Officer</w:t>
      </w:r>
      <w:r>
        <w:rPr>
          <w:rFonts w:ascii="Times New Roman" w:cs="Times New Roman" w:eastAsia="Times New Roman" w:hAnsi="Times New Roman"/>
          <w:sz w:val="14"/>
          <w:szCs w:val="14"/>
          <w:i w:val="1"/>
          <w:iCs w:val="1"/>
          <w:color w:val="auto"/>
        </w:rPr>
        <w:t>)</w:t>
      </w:r>
    </w:p>
    <w:p>
      <w:pPr>
        <w:sectPr>
          <w:pgSz w:w="11900" w:h="16838" w:orient="portrait"/>
          <w:cols w:equalWidth="0" w:num="1">
            <w:col w:w="11280"/>
          </w:cols>
          <w:pgMar w:left="300" w:top="1141" w:right="31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PERIODIC REPORT UNDER SECTION 302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Dennis Mulroy, certify that:</w:t>
      </w:r>
    </w:p>
    <w:p>
      <w:pPr>
        <w:spacing w:after="0" w:line="168" w:lineRule="exact"/>
        <w:rPr>
          <w:sz w:val="20"/>
          <w:szCs w:val="20"/>
          <w:color w:val="auto"/>
        </w:rPr>
      </w:pPr>
    </w:p>
    <w:p>
      <w:pPr>
        <w:ind w:left="140" w:hanging="135"/>
        <w:spacing w:after="0"/>
        <w:tabs>
          <w:tab w:leader="none" w:pos="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AnaptysBio, Inc.;</w:t>
      </w:r>
    </w:p>
    <w:p>
      <w:pPr>
        <w:spacing w:after="0" w:line="125" w:lineRule="exact"/>
        <w:rPr>
          <w:rFonts w:ascii="Times New Roman" w:cs="Times New Roman" w:eastAsia="Times New Roman" w:hAnsi="Times New Roman"/>
          <w:sz w:val="14"/>
          <w:szCs w:val="14"/>
          <w:color w:val="auto"/>
        </w:rPr>
      </w:pPr>
    </w:p>
    <w:p>
      <w:pPr>
        <w:ind w:left="140" w:right="260" w:hanging="135"/>
        <w:spacing w:after="0" w:line="287" w:lineRule="auto"/>
        <w:tabs>
          <w:tab w:leader="none" w:pos="154"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140" w:right="40" w:hanging="135"/>
        <w:spacing w:after="0" w:line="287" w:lineRule="auto"/>
        <w:tabs>
          <w:tab w:leader="none" w:pos="154"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140" w:right="160" w:hanging="135"/>
        <w:spacing w:after="0" w:line="287" w:lineRule="auto"/>
        <w:tabs>
          <w:tab w:leader="none" w:pos="154"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left="320" w:right="240" w:hanging="124"/>
        <w:spacing w:after="0" w:line="287" w:lineRule="auto"/>
        <w:tabs>
          <w:tab w:leader="none" w:pos="338"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320" w:right="80" w:hanging="124"/>
        <w:spacing w:after="0" w:line="287" w:lineRule="auto"/>
        <w:tabs>
          <w:tab w:leader="none" w:pos="346"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320" w:hanging="124"/>
        <w:spacing w:after="0" w:line="287" w:lineRule="auto"/>
        <w:tabs>
          <w:tab w:leader="none" w:pos="338"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320" w:right="60" w:hanging="124"/>
        <w:spacing w:after="0" w:line="287" w:lineRule="auto"/>
        <w:tabs>
          <w:tab w:leader="none" w:pos="346"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140" w:right="120" w:hanging="135"/>
        <w:spacing w:after="0" w:line="287" w:lineRule="auto"/>
        <w:tabs>
          <w:tab w:leader="none" w:pos="154"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320" w:right="140" w:hanging="124"/>
        <w:spacing w:after="0" w:line="287" w:lineRule="auto"/>
        <w:tabs>
          <w:tab w:leader="none" w:pos="338"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340" w:hanging="144"/>
        <w:spacing w:after="0"/>
        <w:tabs>
          <w:tab w:leader="none" w:pos="34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9, 2024</w:t>
      </w:r>
    </w:p>
    <w:p>
      <w:pPr>
        <w:spacing w:after="0" w:line="28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14605</wp:posOffset>
            </wp:positionV>
            <wp:extent cx="435927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59275" cy="6985"/>
                    </a:xfrm>
                    <a:prstGeom prst="rect">
                      <a:avLst/>
                    </a:prstGeom>
                    <a:noFill/>
                  </pic:spPr>
                </pic:pic>
              </a:graphicData>
            </a:graphic>
          </wp:anchor>
        </w:drawing>
      </w:r>
    </w:p>
    <w:p>
      <w:pPr>
        <w:spacing w:after="0" w:line="1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Dennis Mulroy</w:t>
      </w:r>
    </w:p>
    <w:p>
      <w:pPr>
        <w:spacing w:after="0" w:line="2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pacing w:after="0" w:line="1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(Principal Financial Officer)</w:t>
      </w:r>
    </w:p>
    <w:p>
      <w:pPr>
        <w:sectPr>
          <w:pgSz w:w="11900" w:h="16838" w:orient="portrait"/>
          <w:cols w:equalWidth="0" w:num="1">
            <w:col w:w="11280"/>
          </w:cols>
          <w:pgMar w:left="300" w:top="1141" w:right="31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SARBANES-OXLEY ACT OF 2002</w:t>
      </w:r>
    </w:p>
    <w:p>
      <w:pPr>
        <w:spacing w:after="0" w:line="16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I, Daniel Faga, Chief Executive Officer of AnaptysBio, Inc. (Company), do hereby certify, pursuant to 18 U.S.C. Section 1350, as adopted pursuant to Section 906 of the Sarbanes-Oxley Act of 2002, that to the best of my knowledge:</w:t>
      </w:r>
    </w:p>
    <w:p>
      <w:pPr>
        <w:spacing w:after="0" w:line="39" w:lineRule="exact"/>
        <w:rPr>
          <w:sz w:val="20"/>
          <w:szCs w:val="20"/>
          <w:color w:val="auto"/>
        </w:rPr>
      </w:pPr>
    </w:p>
    <w:p>
      <w:pPr>
        <w:ind w:left="700" w:right="80" w:hanging="313"/>
        <w:spacing w:after="0" w:line="287" w:lineRule="auto"/>
        <w:tabs>
          <w:tab w:leader="none" w:pos="69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Quarterly Report on Form 10-Q of the Company for the quarter ended March 31, 2024 (the “Report”), as filed with the Securities and Exchange Commission, fully complies with the requirements of Section 13(a) or 15(d) of the Securities Exchange Act of 1934; and</w:t>
      </w:r>
    </w:p>
    <w:p>
      <w:pPr>
        <w:spacing w:after="0" w:line="39"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for the periods presented therein.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9, 2024</w:t>
      </w:r>
    </w:p>
    <w:p>
      <w:pPr>
        <w:spacing w:after="0" w:line="28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14605</wp:posOffset>
            </wp:positionV>
            <wp:extent cx="303847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038475" cy="6985"/>
                    </a:xfrm>
                    <a:prstGeom prst="rect">
                      <a:avLst/>
                    </a:prstGeom>
                    <a:noFill/>
                  </pic:spPr>
                </pic:pic>
              </a:graphicData>
            </a:graphic>
          </wp:anchor>
        </w:drawing>
      </w:r>
    </w:p>
    <w:p>
      <w:pPr>
        <w:spacing w:after="0" w:line="1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Daniel Faga</w:t>
      </w:r>
    </w:p>
    <w:p>
      <w:pPr>
        <w:spacing w:after="0" w:line="2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line="1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(Principal Executive Officer</w:t>
      </w:r>
      <w:r>
        <w:rPr>
          <w:rFonts w:ascii="Times New Roman" w:cs="Times New Roman" w:eastAsia="Times New Roman" w:hAnsi="Times New Roman"/>
          <w:sz w:val="14"/>
          <w:szCs w:val="14"/>
          <w:i w:val="1"/>
          <w:iCs w:val="1"/>
          <w:color w:val="auto"/>
        </w:rPr>
        <w:t>)</w:t>
      </w:r>
    </w:p>
    <w:p>
      <w:pPr>
        <w:sectPr>
          <w:pgSz w:w="11900" w:h="16838" w:orient="portrait"/>
          <w:cols w:equalWidth="0" w:num="1">
            <w:col w:w="11280"/>
          </w:cols>
          <w:pgMar w:left="300" w:top="1141" w:right="31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SARBANES-OXLEY ACT OF 2002</w:t>
      </w:r>
    </w:p>
    <w:p>
      <w:pPr>
        <w:spacing w:after="0" w:line="164"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I, Dennis Mulroy, Chief Financial Officer of AnaptysBio, Inc. (Company), do hereby certify, pursuant to 18 U.S.C. Section 1350, as adopted pursuant to Section 906 of the Sarbanes-Oxley Act of 2002, that to the best of my knowledge:</w:t>
      </w:r>
    </w:p>
    <w:p>
      <w:pPr>
        <w:spacing w:after="0" w:line="39" w:lineRule="exact"/>
        <w:rPr>
          <w:sz w:val="20"/>
          <w:szCs w:val="20"/>
          <w:color w:val="auto"/>
        </w:rPr>
      </w:pPr>
    </w:p>
    <w:p>
      <w:pPr>
        <w:ind w:left="700" w:right="80" w:hanging="313"/>
        <w:spacing w:after="0" w:line="287" w:lineRule="auto"/>
        <w:tabs>
          <w:tab w:leader="none" w:pos="69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Quarterly Report on Form 10-Q of the Company for the quarter ended March 31, 2024 (the “Report”), as filed with the Securities and Exchange Commission, fully complies with the requirements of Section 13(a) or 15(d) of the Securities Exchange Act of 1934; and</w:t>
      </w:r>
    </w:p>
    <w:p>
      <w:pPr>
        <w:spacing w:after="0" w:line="39"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for the periods presented therein.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9, 2024</w:t>
      </w:r>
    </w:p>
    <w:p>
      <w:pPr>
        <w:spacing w:after="0" w:line="28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14605</wp:posOffset>
            </wp:positionV>
            <wp:extent cx="425767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57675" cy="6985"/>
                    </a:xfrm>
                    <a:prstGeom prst="rect">
                      <a:avLst/>
                    </a:prstGeom>
                    <a:noFill/>
                  </pic:spPr>
                </pic:pic>
              </a:graphicData>
            </a:graphic>
          </wp:anchor>
        </w:drawing>
      </w:r>
    </w:p>
    <w:p>
      <w:pPr>
        <w:spacing w:after="0" w:line="1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color w:val="auto"/>
        </w:rPr>
        <w:t>Dennis Mulroy</w:t>
      </w:r>
    </w:p>
    <w:p>
      <w:pPr>
        <w:spacing w:after="0" w:line="2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pacing w:after="0" w:line="1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color w:val="auto"/>
        </w:rPr>
        <w:t>(Principal Financial Officer)</w:t>
      </w:r>
    </w:p>
    <w:sectPr>
      <w:pgSz w:w="11900" w:h="16838" w:orient="portrait"/>
      <w:cols w:equalWidth="0" w:num="1">
        <w:col w:w="11280"/>
      </w:cols>
      <w:pgMar w:left="300" w:top="133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2"/>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6"/>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7"/>
    </w:lvl>
  </w:abstractNum>
  <w:abstractNum w:abstractNumId="9">
    <w:nsid w:val="8EDBDAB"/>
    <w:multiLevelType w:val="hybridMultilevel"/>
    <w:lvl w:ilvl="0">
      <w:lvlJc w:val="left"/>
      <w:lvlText w:val="%1."/>
      <w:numFmt w:val="decimal"/>
      <w:start w:val="8"/>
    </w:lvl>
  </w:abstractNum>
  <w:abstractNum w:abstractNumId="10">
    <w:nsid w:val="79838CB2"/>
    <w:multiLevelType w:val="hybridMultilevel"/>
    <w:lvl w:ilvl="0">
      <w:lvlJc w:val="left"/>
      <w:lvlText w:val="%1."/>
      <w:numFmt w:val="decimal"/>
      <w:start w:val="9"/>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1"/>
      <w:numFmt w:val="decimal"/>
      <w:start w:val="104"/>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2024-05-09T16:13:10Z</dcterms:created>
  <dcterms:modified xsi:type="dcterms:W3CDTF">2024-05-09T16:13:10Z</dcterms:modified>
</cp:coreProperties>
</file>