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Arial" w:cs="Arial" w:eastAsia="Arial" w:hAnsi="Arial"/>
          <w:sz w:val="13"/>
          <w:szCs w:val="13"/>
          <w:b w:val="1"/>
          <w:bCs w:val="1"/>
          <w:color w:val="auto"/>
        </w:rPr>
        <w:t>UNITED STATES</w:t>
      </w:r>
    </w:p>
    <w:p>
      <w:pPr>
        <w:spacing w:after="0" w:line="20" w:lineRule="exact"/>
        <w:rPr>
          <w:sz w:val="24"/>
          <w:szCs w:val="24"/>
          <w:color w:val="auto"/>
        </w:rPr>
      </w:pPr>
    </w:p>
    <w:p>
      <w:pPr>
        <w:ind w:left="4220"/>
        <w:spacing w:after="0"/>
        <w:rPr>
          <w:sz w:val="20"/>
          <w:szCs w:val="20"/>
          <w:color w:val="auto"/>
        </w:rPr>
      </w:pPr>
      <w:r>
        <w:rPr>
          <w:rFonts w:ascii="Arial" w:cs="Arial" w:eastAsia="Arial" w:hAnsi="Arial"/>
          <w:sz w:val="13"/>
          <w:szCs w:val="13"/>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CURRENT REPORT PURSUANT TO</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Date of Report: January 5, 2023</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(Date of earliest event reported)</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ANAPTYSBIO,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Charter)</w:t>
      </w:r>
    </w:p>
    <w:p>
      <w:pPr>
        <w:sectPr>
          <w:pgSz w:w="11900" w:h="16838" w:orient="portrait"/>
          <w:cols w:equalWidth="0" w:num="1">
            <w:col w:w="11300"/>
          </w:cols>
          <w:pgMar w:left="300" w:top="1061" w:right="299" w:bottom="1440" w:gutter="0" w:footer="0" w:header="0"/>
        </w:sectPr>
      </w:pPr>
    </w:p>
    <w:p>
      <w:pPr>
        <w:spacing w:after="0" w:line="188" w:lineRule="exact"/>
        <w:rPr>
          <w:sz w:val="24"/>
          <w:szCs w:val="24"/>
          <w:color w:val="auto"/>
        </w:rPr>
      </w:pPr>
    </w:p>
    <w:p>
      <w:pPr>
        <w:ind w:left="17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360"/>
        <w:spacing w:after="0"/>
        <w:rPr>
          <w:sz w:val="20"/>
          <w:szCs w:val="20"/>
          <w:color w:val="auto"/>
        </w:rPr>
      </w:pPr>
      <w:r>
        <w:rPr>
          <w:rFonts w:ascii="Arial" w:cs="Arial" w:eastAsia="Arial" w:hAnsi="Arial"/>
          <w:sz w:val="11"/>
          <w:szCs w:val="11"/>
          <w:b w:val="1"/>
          <w:bCs w:val="1"/>
          <w:color w:val="auto"/>
        </w:rPr>
        <w:t>001-37985</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20-3828755</w:t>
      </w:r>
    </w:p>
    <w:p>
      <w:pPr>
        <w:spacing w:after="0" w:line="48" w:lineRule="exact"/>
        <w:rPr>
          <w:sz w:val="24"/>
          <w:szCs w:val="24"/>
          <w:color w:val="auto"/>
        </w:rPr>
      </w:pPr>
    </w:p>
    <w:p>
      <w:pPr>
        <w:sectPr>
          <w:pgSz w:w="11900" w:h="16838" w:orient="portrait"/>
          <w:cols w:equalWidth="0" w:num="3">
            <w:col w:w="4680" w:space="720"/>
            <w:col w:w="2920" w:space="720"/>
            <w:col w:w="2260"/>
          </w:cols>
          <w:pgMar w:left="300" w:top="1061" w:right="299" w:bottom="1440" w:gutter="0" w:footer="0" w:header="0"/>
          <w:type w:val="continuous"/>
        </w:sectPr>
      </w:pPr>
    </w:p>
    <w:p>
      <w:pPr>
        <w:ind w:left="78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61" w:right="299" w:bottom="1440" w:gutter="0" w:footer="0" w:header="0"/>
          <w:type w:val="continuous"/>
        </w:sectPr>
      </w:pPr>
    </w:p>
    <w:p>
      <w:pPr>
        <w:spacing w:after="0" w:line="36" w:lineRule="exact"/>
        <w:rPr>
          <w:sz w:val="24"/>
          <w:szCs w:val="24"/>
          <w:color w:val="auto"/>
        </w:rPr>
      </w:pPr>
    </w:p>
    <w:p>
      <w:pPr>
        <w:ind w:left="4680"/>
        <w:spacing w:after="0"/>
        <w:rPr>
          <w:sz w:val="20"/>
          <w:szCs w:val="20"/>
          <w:color w:val="auto"/>
        </w:rPr>
      </w:pPr>
      <w:r>
        <w:rPr>
          <w:rFonts w:ascii="Arial" w:cs="Arial" w:eastAsia="Arial" w:hAnsi="Arial"/>
          <w:sz w:val="13"/>
          <w:szCs w:val="13"/>
          <w:b w:val="1"/>
          <w:bCs w:val="1"/>
          <w:color w:val="auto"/>
        </w:rPr>
        <w:t>10770 Wateridge Circle, Suite 210,</w:t>
      </w:r>
    </w:p>
    <w:p>
      <w:pPr>
        <w:spacing w:after="0" w:line="20" w:lineRule="exact"/>
        <w:rPr>
          <w:sz w:val="24"/>
          <w:szCs w:val="24"/>
          <w:color w:val="auto"/>
        </w:rPr>
      </w:pPr>
    </w:p>
    <w:p>
      <w:pPr>
        <w:ind w:left="5060"/>
        <w:spacing w:after="0"/>
        <w:rPr>
          <w:sz w:val="20"/>
          <w:szCs w:val="20"/>
          <w:color w:val="auto"/>
        </w:rPr>
      </w:pPr>
      <w:r>
        <w:rPr>
          <w:rFonts w:ascii="Arial" w:cs="Arial" w:eastAsia="Arial" w:hAnsi="Arial"/>
          <w:sz w:val="13"/>
          <w:szCs w:val="13"/>
          <w:b w:val="1"/>
          <w:bCs w:val="1"/>
          <w:color w:val="auto"/>
        </w:rPr>
        <w:t>San Diego, CA 92121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8"/>
          <w:szCs w:val="8"/>
          <w:color w:val="auto"/>
        </w:rPr>
        <w:t>(Address of Principal Executive Offices, and Zip Code)</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(858) 362-6295</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8"/>
          <w:szCs w:val="8"/>
          <w:color w:val="auto"/>
        </w:rPr>
        <w:t>(Registrant’s Telephone Number, Including Area Code)</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8"/>
          <w:szCs w:val="8"/>
          <w:color w:val="auto"/>
        </w:rPr>
        <w:t>(Former name or former address, if changed since last report.)</w:t>
      </w:r>
    </w:p>
    <w:p>
      <w:pPr>
        <w:sectPr>
          <w:pgSz w:w="11900" w:h="16838" w:orient="portrait"/>
          <w:cols w:equalWidth="0" w:num="1">
            <w:col w:w="11300"/>
          </w:cols>
          <w:pgMar w:left="300" w:top="1061" w:right="29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6"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Written communication pursuant to Rule 425 under the Securities Act (17 CFR 230.425)</w:t>
      </w:r>
    </w:p>
    <w:p>
      <w:pPr>
        <w:spacing w:after="0" w:line="38"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Pre-commencement communication pursuant to Rule 13e-4(c) under the Exchange Act (17 CFR 240.13e-4(c))</w:t>
      </w:r>
    </w:p>
    <w:p>
      <w:pPr>
        <w:spacing w:after="0" w:line="68"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76" w:lineRule="exact"/>
        <w:rPr>
          <w:sz w:val="24"/>
          <w:szCs w:val="24"/>
          <w:color w:val="auto"/>
        </w:rPr>
      </w:pPr>
    </w:p>
    <w:tbl>
      <w:tblPr>
        <w:tblLayout w:type="fixed"/>
        <w:tblInd w:w="190" w:type="dxa"/>
        <w:tblCellMar>
          <w:top w:w="0" w:type="dxa"/>
          <w:left w:w="0" w:type="dxa"/>
          <w:bottom w:w="0" w:type="dxa"/>
          <w:right w:w="0" w:type="dxa"/>
        </w:tblCellMar>
      </w:tblPr>
      <w:tr>
        <w:trPr>
          <w:trHeight w:val="162"/>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Name of each exchange on which registered</w:t>
            </w:r>
          </w:p>
        </w:tc>
      </w:tr>
      <w:tr>
        <w:trPr>
          <w:trHeight w:val="27"/>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2"/>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ANAB</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The Nasdaq Stock Market LLC</w:t>
            </w:r>
          </w:p>
        </w:tc>
      </w:tr>
      <w:tr>
        <w:trPr>
          <w:trHeight w:val="27"/>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280"/>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0" w:lineRule="exact"/>
        <w:rPr>
          <w:sz w:val="24"/>
          <w:szCs w:val="24"/>
          <w:color w:val="auto"/>
        </w:rPr>
      </w:pPr>
    </w:p>
    <w:p>
      <w:pPr>
        <w:ind w:left="98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02"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574675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1" w:right="299" w:bottom="1440" w:gutter="0" w:footer="0" w:header="0"/>
          <w:type w:val="continuous"/>
        </w:sectPr>
      </w:pPr>
    </w:p>
    <w:bookmarkStart w:id="1" w:name="page2"/>
    <w:bookmarkEnd w:id="1"/>
    <w:p>
      <w:pPr>
        <w:spacing w:after="0"/>
        <w:tabs>
          <w:tab w:leader="none" w:pos="660" w:val="left"/>
        </w:tabs>
        <w:rPr>
          <w:sz w:val="20"/>
          <w:szCs w:val="20"/>
          <w:color w:val="auto"/>
        </w:rPr>
      </w:pPr>
      <w:r>
        <w:rPr>
          <w:rFonts w:ascii="Arial" w:cs="Arial" w:eastAsia="Arial" w:hAnsi="Arial"/>
          <w:sz w:val="13"/>
          <w:szCs w:val="13"/>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116" w:lineRule="exact"/>
        <w:rPr>
          <w:sz w:val="20"/>
          <w:szCs w:val="20"/>
          <w:color w:val="auto"/>
        </w:rPr>
      </w:pPr>
    </w:p>
    <w:p>
      <w:pPr>
        <w:spacing w:after="0" w:line="329" w:lineRule="auto"/>
        <w:rPr>
          <w:sz w:val="20"/>
          <w:szCs w:val="20"/>
          <w:color w:val="auto"/>
        </w:rPr>
      </w:pPr>
      <w:r>
        <w:rPr>
          <w:rFonts w:ascii="Arial" w:cs="Arial" w:eastAsia="Arial" w:hAnsi="Arial"/>
          <w:sz w:val="12"/>
          <w:szCs w:val="12"/>
          <w:color w:val="auto"/>
        </w:rPr>
        <w:t>On January 5, 2023, AnaptysBio, Inc. (“AnaptysBio”) issued a press release (the “Press Release”) announcing certain preliminary, unaudited financial information, including that AnaptysBio expects to report that it had cash and cash equivalents and investments of greater than $575 million as of December 31, 2022. A copy of the press release is attached as Exhibit 99.1 to this Current Report on Form 8-K.</w:t>
      </w:r>
    </w:p>
    <w:p>
      <w:pPr>
        <w:spacing w:after="0" w:line="45" w:lineRule="exact"/>
        <w:rPr>
          <w:sz w:val="20"/>
          <w:szCs w:val="20"/>
          <w:color w:val="auto"/>
        </w:rPr>
      </w:pPr>
    </w:p>
    <w:p>
      <w:pPr>
        <w:ind w:right="140"/>
        <w:spacing w:after="0" w:line="263" w:lineRule="auto"/>
        <w:rPr>
          <w:sz w:val="20"/>
          <w:szCs w:val="20"/>
          <w:color w:val="auto"/>
        </w:rPr>
      </w:pPr>
      <w:r>
        <w:rPr>
          <w:rFonts w:ascii="Arial" w:cs="Arial" w:eastAsia="Arial" w:hAnsi="Arial"/>
          <w:sz w:val="13"/>
          <w:szCs w:val="13"/>
          <w:color w:val="auto"/>
        </w:rPr>
        <w:t>AnaptysBio’s audited financial statements for the fiscal year ended December 31, 2022 are not yet available. Accordingly, the preliminary financial information included in the Press Release is an estimate subject to the completion of AnaptysBio’s financial closing procedures and any adjustments that may result from the completion of the audit of AnaptysBio’s financial statements. The preliminary financial information may differ materially from the actual results that will be reflected in AnaptysBio’s audited financial statements when they are completed and publicly disclosed. Additional information and disclosures would be required for a more complete understanding of AnaptysBio’s financial position and results of operations as of December 31, 2022.</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in this Item 2.02, including Exhibit 99.1 to this Current Report on Form 8-K, shall not be deemed to be “filed” for purposes of Section 18 of the Securities Exchange Act of 1934, as amended, or</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otherwise subject to the liabilities of that section or Sections 11 and 12(a)(2) of the Securities Act of 1933, as amended. The information contained in this Item 2.02 and in the accompanying Exhibit 99.1 shall not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be incorporated by reference into any registration statement or other document filed by AnaptysBio with the Securities and Exchange Commission, whether made before or after the date of this Current Report on</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Form 8-K, regardless of any general incorporation language in such filing (or any reference to this Current Report on Form 8-K generally), except as shall be expressly set forth by specific reference in such filing.</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7.01. Regulation FD.</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AnaptysBio is furnishing the Press Release, a full copy of which is attached hereto as Exhibit 99.1.</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On January 5, 2023, AnaptysBio updated its corporate investor presentation, a full copy of which is attached hereto as Exhibit 99.2.</w:t>
      </w:r>
    </w:p>
    <w:p>
      <w:pPr>
        <w:spacing w:after="0" w:line="121" w:lineRule="exact"/>
        <w:rPr>
          <w:sz w:val="20"/>
          <w:szCs w:val="20"/>
          <w:color w:val="auto"/>
        </w:rPr>
      </w:pPr>
    </w:p>
    <w:p>
      <w:pPr>
        <w:ind w:right="160"/>
        <w:spacing w:after="0" w:line="265" w:lineRule="auto"/>
        <w:rPr>
          <w:sz w:val="20"/>
          <w:szCs w:val="20"/>
          <w:color w:val="auto"/>
        </w:rPr>
      </w:pPr>
      <w:r>
        <w:rPr>
          <w:rFonts w:ascii="Arial" w:cs="Arial" w:eastAsia="Arial" w:hAnsi="Arial"/>
          <w:sz w:val="13"/>
          <w:szCs w:val="13"/>
          <w:color w:val="auto"/>
        </w:rPr>
        <w:t>The information in this item 7.01, including Exhibit 99.1 and Exhibit 99.2, shall not be deemed “filed” for purposes of Section 18 of the Securities Exchange Act of 1934, as amended (the “Exchange Act”), or otherwise subject to the liabilities of that section, nor shall it be deemed incorporated by reference into any other filing under the Exchange Act or Securities Act of 1933, as amended, except as expressly set forth by specific reference in such a filing.</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80" w:type="dxa"/>
            <w:vAlign w:val="bottom"/>
            <w:gridSpan w:val="2"/>
          </w:tcPr>
          <w:p>
            <w:pPr>
              <w:spacing w:after="0"/>
              <w:rPr>
                <w:sz w:val="20"/>
                <w:szCs w:val="20"/>
                <w:color w:val="auto"/>
              </w:rPr>
            </w:pPr>
            <w:r>
              <w:rPr>
                <w:rFonts w:ascii="Arial" w:cs="Arial" w:eastAsia="Arial" w:hAnsi="Arial"/>
                <w:sz w:val="13"/>
                <w:szCs w:val="13"/>
                <w:color w:val="auto"/>
              </w:rPr>
              <w:t>(d) Exhibits</w:t>
            </w:r>
          </w:p>
        </w:tc>
        <w:tc>
          <w:tcPr>
            <w:tcW w:w="9820" w:type="dxa"/>
            <w:vAlign w:val="bottom"/>
          </w:tcPr>
          <w:p>
            <w:pPr>
              <w:spacing w:after="0"/>
              <w:rPr>
                <w:sz w:val="14"/>
                <w:szCs w:val="14"/>
                <w:color w:val="auto"/>
              </w:rPr>
            </w:pPr>
          </w:p>
        </w:tc>
      </w:tr>
      <w:tr>
        <w:trPr>
          <w:trHeight w:val="306"/>
        </w:trPr>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Exhibit Number</w:t>
            </w:r>
          </w:p>
        </w:tc>
        <w:tc>
          <w:tcPr>
            <w:tcW w:w="9820" w:type="dxa"/>
            <w:vAlign w:val="bottom"/>
          </w:tcPr>
          <w:p>
            <w:pPr>
              <w:ind w:left="540"/>
              <w:spacing w:after="0"/>
              <w:rPr>
                <w:sz w:val="20"/>
                <w:szCs w:val="20"/>
                <w:color w:val="auto"/>
              </w:rPr>
            </w:pPr>
            <w:r>
              <w:rPr>
                <w:rFonts w:ascii="Arial" w:cs="Arial" w:eastAsia="Arial" w:hAnsi="Arial"/>
                <w:sz w:val="13"/>
                <w:szCs w:val="13"/>
                <w:b w:val="1"/>
                <w:bCs w:val="1"/>
                <w:color w:val="auto"/>
              </w:rPr>
              <w:t>Exhibit Title or Description</w:t>
            </w:r>
          </w:p>
        </w:tc>
      </w:tr>
      <w:tr>
        <w:trPr>
          <w:trHeight w:val="151"/>
        </w:trPr>
        <w:tc>
          <w:tcPr>
            <w:tcW w:w="24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6"/>
              </w:rPr>
              <w:t>99.</w:t>
            </w:r>
            <w:r>
              <w:rPr>
                <w:rFonts w:ascii="Arial" w:cs="Arial" w:eastAsia="Arial" w:hAnsi="Arial"/>
                <w:sz w:val="13"/>
                <w:szCs w:val="13"/>
                <w:u w:val="single" w:color="auto"/>
                <w:color w:val="0000FF"/>
                <w:w w:val="86"/>
              </w:rPr>
              <w:t>1</w:t>
            </w:r>
          </w:p>
        </w:tc>
        <w:tc>
          <w:tcPr>
            <w:tcW w:w="1240" w:type="dxa"/>
            <w:vAlign w:val="bottom"/>
          </w:tcPr>
          <w:p>
            <w:pPr>
              <w:spacing w:after="0"/>
              <w:rPr>
                <w:sz w:val="13"/>
                <w:szCs w:val="13"/>
                <w:color w:val="auto"/>
              </w:rPr>
            </w:pPr>
          </w:p>
        </w:tc>
        <w:tc>
          <w:tcPr>
            <w:tcW w:w="9820" w:type="dxa"/>
            <w:vAlign w:val="bottom"/>
          </w:tcPr>
          <w:p>
            <w:pPr>
              <w:ind w:left="540"/>
              <w:spacing w:after="0"/>
              <w:rPr>
                <w:sz w:val="20"/>
                <w:szCs w:val="20"/>
                <w:color w:val="auto"/>
              </w:rPr>
            </w:pPr>
            <w:r>
              <w:rPr>
                <w:rFonts w:ascii="Arial" w:cs="Arial" w:eastAsia="Arial" w:hAnsi="Arial"/>
                <w:sz w:val="13"/>
                <w:szCs w:val="13"/>
                <w:color w:val="auto"/>
              </w:rPr>
              <w:t>Press release issued by AnaptysBio, Inc. announcing portfolio update, dated January 5, 2023.</w:t>
            </w:r>
          </w:p>
        </w:tc>
      </w:tr>
      <w:tr>
        <w:trPr>
          <w:trHeight w:val="160"/>
        </w:trPr>
        <w:tc>
          <w:tcPr>
            <w:tcW w:w="24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6"/>
              </w:rPr>
              <w:t>99.</w:t>
            </w:r>
            <w:r>
              <w:rPr>
                <w:rFonts w:ascii="Arial" w:cs="Arial" w:eastAsia="Arial" w:hAnsi="Arial"/>
                <w:sz w:val="13"/>
                <w:szCs w:val="13"/>
                <w:u w:val="single" w:color="auto"/>
                <w:color w:val="0000FF"/>
                <w:w w:val="86"/>
              </w:rPr>
              <w:t>2</w:t>
            </w:r>
          </w:p>
        </w:tc>
        <w:tc>
          <w:tcPr>
            <w:tcW w:w="1240" w:type="dxa"/>
            <w:vAlign w:val="bottom"/>
          </w:tcPr>
          <w:p>
            <w:pPr>
              <w:spacing w:after="0"/>
              <w:rPr>
                <w:sz w:val="13"/>
                <w:szCs w:val="13"/>
                <w:color w:val="auto"/>
              </w:rPr>
            </w:pPr>
          </w:p>
        </w:tc>
        <w:tc>
          <w:tcPr>
            <w:tcW w:w="9820" w:type="dxa"/>
            <w:vAlign w:val="bottom"/>
          </w:tcPr>
          <w:p>
            <w:pPr>
              <w:ind w:left="540"/>
              <w:spacing w:after="0"/>
              <w:rPr>
                <w:sz w:val="20"/>
                <w:szCs w:val="20"/>
                <w:color w:val="auto"/>
              </w:rPr>
            </w:pPr>
            <w:r>
              <w:rPr>
                <w:rFonts w:ascii="Arial" w:cs="Arial" w:eastAsia="Arial" w:hAnsi="Arial"/>
                <w:sz w:val="13"/>
                <w:szCs w:val="13"/>
                <w:color w:val="auto"/>
              </w:rPr>
              <w:t>AnaptysBio Corporate Overview January 2023.</w:t>
            </w:r>
          </w:p>
        </w:tc>
      </w:tr>
      <w:tr>
        <w:trPr>
          <w:trHeight w:val="189"/>
        </w:trPr>
        <w:tc>
          <w:tcPr>
            <w:tcW w:w="240" w:type="dxa"/>
            <w:vAlign w:val="bottom"/>
          </w:tcPr>
          <w:p>
            <w:pPr>
              <w:spacing w:after="0"/>
              <w:rPr>
                <w:sz w:val="20"/>
                <w:szCs w:val="20"/>
                <w:color w:val="auto"/>
              </w:rPr>
            </w:pPr>
            <w:r>
              <w:rPr>
                <w:rFonts w:ascii="Arial" w:cs="Arial" w:eastAsia="Arial" w:hAnsi="Arial"/>
                <w:sz w:val="13"/>
                <w:szCs w:val="13"/>
                <w:color w:val="auto"/>
              </w:rPr>
              <w:t>104</w:t>
            </w:r>
          </w:p>
        </w:tc>
        <w:tc>
          <w:tcPr>
            <w:tcW w:w="1240" w:type="dxa"/>
            <w:vAlign w:val="bottom"/>
          </w:tcPr>
          <w:p>
            <w:pPr>
              <w:spacing w:after="0"/>
              <w:rPr>
                <w:sz w:val="16"/>
                <w:szCs w:val="16"/>
                <w:color w:val="auto"/>
              </w:rPr>
            </w:pPr>
          </w:p>
        </w:tc>
        <w:tc>
          <w:tcPr>
            <w:tcW w:w="9820" w:type="dxa"/>
            <w:vAlign w:val="bottom"/>
          </w:tcPr>
          <w:p>
            <w:pPr>
              <w:ind w:left="540"/>
              <w:spacing w:after="0"/>
              <w:rPr>
                <w:sz w:val="20"/>
                <w:szCs w:val="20"/>
                <w:color w:val="auto"/>
              </w:rPr>
            </w:pPr>
            <w:r>
              <w:rPr>
                <w:rFonts w:ascii="Arial" w:cs="Arial" w:eastAsia="Arial" w:hAnsi="Arial"/>
                <w:sz w:val="13"/>
                <w:szCs w:val="13"/>
                <w:color w:val="auto"/>
              </w:rPr>
              <w:t>Cover Page Interactive Data File (the cover page XBRL tags are embedded within the inline XBRL document).</w:t>
            </w:r>
          </w:p>
        </w:tc>
      </w:tr>
      <w:tr>
        <w:trPr>
          <w:trHeight w:val="646"/>
        </w:trPr>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2" w:name="page3"/>
    <w:bookmarkEnd w:id="2"/>
    <w:p>
      <w:pPr>
        <w:ind w:left="5220"/>
        <w:spacing w:after="0"/>
        <w:rPr>
          <w:sz w:val="20"/>
          <w:szCs w:val="20"/>
          <w:color w:val="auto"/>
        </w:rPr>
      </w:pPr>
      <w:r>
        <w:rPr>
          <w:rFonts w:ascii="Arial" w:cs="Arial" w:eastAsia="Arial" w:hAnsi="Arial"/>
          <w:sz w:val="13"/>
          <w:szCs w:val="13"/>
          <w:b w:val="1"/>
          <w:bCs w:val="1"/>
          <w:color w:val="auto"/>
        </w:rPr>
        <w:t>SIGNATURES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AnaptysBio, Inc.</w:t>
      </w:r>
    </w:p>
    <w:p>
      <w:pPr>
        <w:spacing w:after="0" w:line="22" w:lineRule="exact"/>
        <w:rPr>
          <w:sz w:val="20"/>
          <w:szCs w:val="20"/>
          <w:color w:val="auto"/>
        </w:rPr>
      </w:pPr>
    </w:p>
    <w:p>
      <w:pPr>
        <w:spacing w:after="0"/>
        <w:tabs>
          <w:tab w:leader="none" w:pos="4220" w:val="left"/>
          <w:tab w:leader="none" w:pos="4780" w:val="left"/>
        </w:tabs>
        <w:rPr>
          <w:sz w:val="20"/>
          <w:szCs w:val="20"/>
          <w:color w:val="auto"/>
        </w:rPr>
      </w:pPr>
      <w:r>
        <w:rPr>
          <w:rFonts w:ascii="Arial" w:cs="Arial" w:eastAsia="Arial" w:hAnsi="Arial"/>
          <w:sz w:val="13"/>
          <w:szCs w:val="13"/>
          <w:color w:val="auto"/>
        </w:rPr>
        <w:t>Date: January 5,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14605</wp:posOffset>
            </wp:positionV>
            <wp:extent cx="41376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37660" cy="5715"/>
                    </a:xfrm>
                    <a:prstGeom prst="rect">
                      <a:avLst/>
                    </a:prstGeom>
                    <a:noFill/>
                  </pic:spPr>
                </pic:pic>
              </a:graphicData>
            </a:graphic>
          </wp:anchor>
        </w:drawing>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Name: Dennis Mulroy</w:t>
      </w:r>
    </w:p>
    <w:p>
      <w:pPr>
        <w:spacing w:after="0" w:line="31"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Title: Chief Financial Officer</w:t>
      </w:r>
    </w:p>
    <w:p>
      <w:pPr>
        <w:sectPr>
          <w:pgSz w:w="11900" w:h="16838" w:orient="portrait"/>
          <w:cols w:equalWidth="0" w:num="1">
            <w:col w:w="10159"/>
          </w:cols>
          <w:pgMar w:left="300" w:top="989" w:right="1440" w:bottom="1440" w:gutter="0" w:footer="0" w:header="0"/>
        </w:sectPr>
      </w:pPr>
    </w:p>
    <w:bookmarkStart w:id="3" w:name="page4"/>
    <w:bookmarkEnd w:id="3"/>
    <w:p>
      <w:pPr>
        <w:ind w:left="37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6397625</wp:posOffset>
            </wp:positionH>
            <wp:positionV relativeFrom="page">
              <wp:posOffset>88900</wp:posOffset>
            </wp:positionV>
            <wp:extent cx="96583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65835" cy="222885"/>
                    </a:xfrm>
                    <a:prstGeom prst="rect">
                      <a:avLst/>
                    </a:prstGeom>
                    <a:noFill/>
                  </pic:spPr>
                </pic:pic>
              </a:graphicData>
            </a:graphic>
          </wp:anchor>
        </w:drawing>
        <w:t>AnaptysBio Announces Portfolio Update Across</w:t>
      </w:r>
    </w:p>
    <w:p>
      <w:pPr>
        <w:spacing w:after="0" w:line="29" w:lineRule="exact"/>
        <w:rPr>
          <w:sz w:val="20"/>
          <w:szCs w:val="20"/>
          <w:color w:val="auto"/>
        </w:rPr>
      </w:pPr>
    </w:p>
    <w:p>
      <w:pPr>
        <w:ind w:left="3580"/>
        <w:spacing w:after="0"/>
        <w:rPr>
          <w:sz w:val="20"/>
          <w:szCs w:val="20"/>
          <w:color w:val="auto"/>
        </w:rPr>
      </w:pPr>
      <w:r>
        <w:rPr>
          <w:rFonts w:ascii="Arial" w:cs="Arial" w:eastAsia="Arial" w:hAnsi="Arial"/>
          <w:sz w:val="19"/>
          <w:szCs w:val="19"/>
          <w:b w:val="1"/>
          <w:bCs w:val="1"/>
          <w:color w:val="auto"/>
        </w:rPr>
        <w:t>Best-in-Class Immune Cell Modulating Antibodies</w:t>
      </w:r>
    </w:p>
    <w:p>
      <w:pPr>
        <w:spacing w:after="0" w:line="118"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Advancing rosnilimab, its PD-1 agonist, into a global Phase 2b trial to treat rheumatoid arthritis with study initiation in Q3 2023</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Advancing ANB032, its BTLA agonist, into a global Phase 2b trial to treat atopic dermatitis with study initiation in Q2 2023</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Advancing rosnilimab into a second Phase 2 trial, in an indication to be announced, with study initiation anticipated by year-end 2023</w:t>
      </w:r>
    </w:p>
    <w:p>
      <w:pPr>
        <w:spacing w:after="0" w:line="82" w:lineRule="exact"/>
        <w:rPr>
          <w:rFonts w:ascii="Arial" w:cs="Arial" w:eastAsia="Arial" w:hAnsi="Arial"/>
          <w:sz w:val="14"/>
          <w:szCs w:val="14"/>
          <w:color w:val="auto"/>
        </w:rPr>
      </w:pPr>
    </w:p>
    <w:p>
      <w:pPr>
        <w:ind w:left="420" w:right="140" w:hanging="212"/>
        <w:spacing w:after="0" w:line="277" w:lineRule="auto"/>
        <w:tabs>
          <w:tab w:leader="none" w:pos="416" w:val="left"/>
        </w:tabs>
        <w:numPr>
          <w:ilvl w:val="0"/>
          <w:numId w:val="1"/>
        </w:numPr>
        <w:rPr>
          <w:rFonts w:ascii="Arial" w:cs="Arial" w:eastAsia="Arial" w:hAnsi="Arial"/>
          <w:sz w:val="14"/>
          <w:szCs w:val="14"/>
          <w:color w:val="auto"/>
        </w:rPr>
      </w:pPr>
      <w:r>
        <w:rPr>
          <w:rFonts w:ascii="Arial" w:cs="Arial" w:eastAsia="Arial" w:hAnsi="Arial"/>
          <w:sz w:val="14"/>
          <w:szCs w:val="14"/>
          <w:color w:val="auto"/>
        </w:rPr>
        <w:t>Blinded interim review of alopecia areata Phase 2a data demonstrated rosnilimab “proof of mechanism” with robust reductions in peripheral PD-1 high and PD-1+ T cells and suggests administration was generally safe and well tolerated; However, absolute SALT scores were not supportive of the target product profile and further development in alopecia areata will not be pursued</w:t>
      </w:r>
    </w:p>
    <w:p>
      <w:pPr>
        <w:spacing w:after="0" w:line="36" w:lineRule="exact"/>
        <w:rPr>
          <w:rFonts w:ascii="Arial" w:cs="Arial" w:eastAsia="Arial" w:hAnsi="Arial"/>
          <w:sz w:val="14"/>
          <w:szCs w:val="14"/>
          <w:color w:val="auto"/>
        </w:rPr>
      </w:pPr>
    </w:p>
    <w:p>
      <w:pPr>
        <w:ind w:left="420" w:hanging="2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Ended 2022 with greater than $575 million and approximately 4 years of capital</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SAN DIEGO, Jan. 5, 2023 </w:t>
      </w:r>
      <w:r>
        <w:rPr>
          <w:rFonts w:ascii="Arial" w:cs="Arial" w:eastAsia="Arial" w:hAnsi="Arial"/>
          <w:sz w:val="14"/>
          <w:szCs w:val="14"/>
          <w:color w:val="auto"/>
        </w:rPr>
        <w:t>— AnaptysBio, Inc. (Nasdaq: ANAB), a clinical-stage</w:t>
      </w:r>
    </w:p>
    <w:p>
      <w:pPr>
        <w:spacing w:after="0" w:line="2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biotechnology company focused on delivering innovative immunology therapeutics, today announced a portfolio update including initiating development of its wholly owned best-in-class immune cell modulating antibodies in autoimmune and inflammatory diseases with large and significantly underserved patient populations. With cash, cash equivalents and investments greater than $575 million as of December 31, 2022, the company anticipates having approximately 4 years of capital to execute against its non-risk adjusted research and development plan, excluding potential future royalties from its GSK immuno-oncology financial collaboration.</w:t>
      </w:r>
    </w:p>
    <w:p>
      <w:pPr>
        <w:spacing w:after="0" w:line="135"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“We have continued to progress our strategic portfolio review and are excited to announce the near-term initiation of two global Phase 2b trials across rosnilimab, our PD-1 agonist, in rheumatoid arthritis and ANB032, our BTLA agonist, in atopic dermatitis. We believe their mechanisms of action, with the potential to restore immune balance by acting directly on cell types mediating disease pathology, have the potential to meaningfully impact large and significantly underserved patient populations,” said Daniel Faga, interim president and chief executive officer of AnaptysBio. “We’re well capitalized to deliver on multiple Phase 2b readouts across our wholly owned checkpoint agonists as well as to advance ANB033, our anti-CD122 antagonist, through clinical proof-of-concept.”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Rosnilimab (PD-1 agonist antibody)</w:t>
      </w:r>
    </w:p>
    <w:p>
      <w:pPr>
        <w:spacing w:after="0" w:line="25" w:lineRule="exact"/>
        <w:rPr>
          <w:sz w:val="20"/>
          <w:szCs w:val="20"/>
          <w:color w:val="auto"/>
        </w:rPr>
      </w:pPr>
    </w:p>
    <w:p>
      <w:pPr>
        <w:ind w:left="420" w:right="160" w:hanging="212"/>
        <w:spacing w:after="0" w:line="269"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4"/>
          <w:szCs w:val="14"/>
          <w:color w:val="auto"/>
        </w:rPr>
        <w:t>Rosnilimab, its investigational wholly owned PD-1 agonist, demonstrates best-in-class activity in vitro with superior inhibition of T cell proliferation, reduction in inflammatory cytokine secretion (Th1, Th2, Th17) and depletion of PD-1+ T cells via effector function compared to Lilly PD-1 agonist</w:t>
      </w:r>
    </w:p>
    <w:p>
      <w:pPr>
        <w:sectPr>
          <w:pgSz w:w="11900" w:h="16838" w:orient="portrait"/>
          <w:cols w:equalWidth="0" w:num="1">
            <w:col w:w="11280"/>
          </w:cols>
          <w:pgMar w:left="300" w:top="1080" w:right="319" w:bottom="1440" w:gutter="0" w:footer="0" w:header="0"/>
        </w:sectPr>
      </w:pPr>
    </w:p>
    <w:bookmarkStart w:id="4" w:name="page5"/>
    <w:bookmarkEnd w:id="4"/>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6397625</wp:posOffset>
            </wp:positionH>
            <wp:positionV relativeFrom="page">
              <wp:posOffset>88900</wp:posOffset>
            </wp:positionV>
            <wp:extent cx="96583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965835" cy="222885"/>
                    </a:xfrm>
                    <a:prstGeom prst="rect">
                      <a:avLst/>
                    </a:prstGeom>
                    <a:noFill/>
                  </pic:spPr>
                </pic:pic>
              </a:graphicData>
            </a:graphic>
          </wp:anchor>
        </w:drawing>
        <w:t>PD-1+ T cells are clinically validated drivers of disease in rheumatoid arthritis (RA)</w:t>
      </w:r>
    </w:p>
    <w:p>
      <w:pPr>
        <w:spacing w:after="0" w:line="21" w:lineRule="exact"/>
        <w:rPr>
          <w:sz w:val="20"/>
          <w:szCs w:val="20"/>
          <w:color w:val="auto"/>
        </w:rPr>
      </w:pPr>
    </w:p>
    <w:p>
      <w:pPr>
        <w:ind w:left="860" w:hanging="220"/>
        <w:spacing w:after="0"/>
        <w:tabs>
          <w:tab w:leader="none" w:pos="860" w:val="left"/>
        </w:tabs>
        <w:numPr>
          <w:ilvl w:val="1"/>
          <w:numId w:val="4"/>
        </w:numPr>
        <w:rPr>
          <w:rFonts w:ascii="Arial" w:cs="Arial" w:eastAsia="Arial" w:hAnsi="Arial"/>
          <w:sz w:val="14"/>
          <w:szCs w:val="14"/>
          <w:color w:val="auto"/>
        </w:rPr>
      </w:pPr>
      <w:r>
        <w:rPr>
          <w:rFonts w:ascii="Arial" w:cs="Arial" w:eastAsia="Arial" w:hAnsi="Arial"/>
          <w:sz w:val="14"/>
          <w:szCs w:val="14"/>
          <w:color w:val="auto"/>
        </w:rPr>
        <w:t>RA patient synovial biopsies have dense T cell infiltrates, with &gt;80% of T cells expressing PD-1 and insufficient PD-L1 expression to down-regulate T cell activity</w:t>
      </w:r>
    </w:p>
    <w:p>
      <w:pPr>
        <w:spacing w:after="0" w:line="10" w:lineRule="exact"/>
        <w:rPr>
          <w:rFonts w:ascii="Arial" w:cs="Arial" w:eastAsia="Arial" w:hAnsi="Arial"/>
          <w:sz w:val="14"/>
          <w:szCs w:val="14"/>
          <w:color w:val="auto"/>
        </w:rPr>
      </w:pPr>
    </w:p>
    <w:p>
      <w:pPr>
        <w:ind w:left="860" w:hanging="220"/>
        <w:spacing w:after="0"/>
        <w:tabs>
          <w:tab w:leader="none" w:pos="860" w:val="left"/>
        </w:tabs>
        <w:numPr>
          <w:ilvl w:val="1"/>
          <w:numId w:val="4"/>
        </w:numPr>
        <w:rPr>
          <w:rFonts w:ascii="Arial" w:cs="Arial" w:eastAsia="Arial" w:hAnsi="Arial"/>
          <w:sz w:val="14"/>
          <w:szCs w:val="14"/>
          <w:color w:val="auto"/>
        </w:rPr>
      </w:pPr>
      <w:r>
        <w:rPr>
          <w:rFonts w:ascii="Arial" w:cs="Arial" w:eastAsia="Arial" w:hAnsi="Arial"/>
          <w:sz w:val="14"/>
          <w:szCs w:val="14"/>
          <w:color w:val="auto"/>
        </w:rPr>
        <w:t>Rosnilimab targets multiple distinct inflammatory mechanisms addressed by approved therapies to treat RA</w:t>
      </w:r>
    </w:p>
    <w:p>
      <w:pPr>
        <w:spacing w:after="0" w:line="70"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Initiation in Q3 2023 of a global Phase 2b trial in moderate-to-severe RA</w:t>
      </w:r>
    </w:p>
    <w:p>
      <w:pPr>
        <w:spacing w:after="0" w:line="21" w:lineRule="exact"/>
        <w:rPr>
          <w:rFonts w:ascii="Arial" w:cs="Arial" w:eastAsia="Arial" w:hAnsi="Arial"/>
          <w:sz w:val="14"/>
          <w:szCs w:val="14"/>
          <w:color w:val="auto"/>
        </w:rPr>
      </w:pPr>
    </w:p>
    <w:p>
      <w:pPr>
        <w:ind w:left="860" w:right="300" w:hanging="220"/>
        <w:spacing w:after="0" w:line="254" w:lineRule="auto"/>
        <w:tabs>
          <w:tab w:leader="none" w:pos="860" w:val="left"/>
        </w:tabs>
        <w:numPr>
          <w:ilvl w:val="1"/>
          <w:numId w:val="4"/>
        </w:numPr>
        <w:rPr>
          <w:rFonts w:ascii="Arial" w:cs="Arial" w:eastAsia="Arial" w:hAnsi="Arial"/>
          <w:sz w:val="14"/>
          <w:szCs w:val="14"/>
          <w:color w:val="auto"/>
        </w:rPr>
      </w:pPr>
      <w:r>
        <w:rPr>
          <w:rFonts w:ascii="Arial" w:cs="Arial" w:eastAsia="Arial" w:hAnsi="Arial"/>
          <w:sz w:val="14"/>
          <w:szCs w:val="14"/>
          <w:color w:val="auto"/>
        </w:rPr>
        <w:t>Multi-hundred patient placebo-controlled trial assessing three dose levels of subcutaneously administered rosnilimab for approximately 6 months on well-established endpoints including ACR20/50/70 and DAS28</w:t>
      </w:r>
    </w:p>
    <w:p>
      <w:pPr>
        <w:spacing w:after="0" w:line="1" w:lineRule="exact"/>
        <w:rPr>
          <w:rFonts w:ascii="Arial" w:cs="Arial" w:eastAsia="Arial" w:hAnsi="Arial"/>
          <w:sz w:val="14"/>
          <w:szCs w:val="14"/>
          <w:color w:val="auto"/>
        </w:rPr>
      </w:pPr>
    </w:p>
    <w:p>
      <w:pPr>
        <w:ind w:left="860" w:hanging="220"/>
        <w:spacing w:after="0"/>
        <w:tabs>
          <w:tab w:leader="none" w:pos="86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Top-line interim data anticipated by mid-year 2025</w:t>
      </w:r>
    </w:p>
    <w:p>
      <w:pPr>
        <w:spacing w:after="0" w:line="79"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Second global Phase 2 trial, in an indication to be announced, with study initiation anticipated by year-end 2023</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Conducted a blinded interim review of alopecia areata Phase 2a data in December 2022</w:t>
      </w:r>
    </w:p>
    <w:p>
      <w:pPr>
        <w:spacing w:after="0" w:line="46" w:lineRule="exact"/>
        <w:rPr>
          <w:rFonts w:ascii="Arial" w:cs="Arial" w:eastAsia="Arial" w:hAnsi="Arial"/>
          <w:sz w:val="14"/>
          <w:szCs w:val="14"/>
          <w:color w:val="auto"/>
        </w:rPr>
      </w:pPr>
    </w:p>
    <w:p>
      <w:pPr>
        <w:ind w:left="860" w:hanging="220"/>
        <w:spacing w:after="0"/>
        <w:tabs>
          <w:tab w:leader="none" w:pos="860" w:val="left"/>
        </w:tabs>
        <w:numPr>
          <w:ilvl w:val="1"/>
          <w:numId w:val="4"/>
        </w:numPr>
        <w:rPr>
          <w:rFonts w:ascii="Arial" w:cs="Arial" w:eastAsia="Arial" w:hAnsi="Arial"/>
          <w:sz w:val="14"/>
          <w:szCs w:val="14"/>
          <w:color w:val="auto"/>
        </w:rPr>
      </w:pPr>
      <w:r>
        <w:rPr>
          <w:rFonts w:ascii="Arial" w:cs="Arial" w:eastAsia="Arial" w:hAnsi="Arial"/>
          <w:sz w:val="14"/>
          <w:szCs w:val="14"/>
          <w:color w:val="auto"/>
        </w:rPr>
        <w:t>Enrolled 51 patients in a placebo-controlled trial assessing a single 400mg Q4W dosage of subcutaneously administered rosnilimab (randomized 2:1)</w:t>
      </w:r>
    </w:p>
    <w:p>
      <w:pPr>
        <w:spacing w:after="0" w:line="21" w:lineRule="exact"/>
        <w:rPr>
          <w:rFonts w:ascii="Arial" w:cs="Arial" w:eastAsia="Arial" w:hAnsi="Arial"/>
          <w:sz w:val="14"/>
          <w:szCs w:val="14"/>
          <w:color w:val="auto"/>
        </w:rPr>
      </w:pPr>
    </w:p>
    <w:p>
      <w:pPr>
        <w:ind w:left="860" w:right="260" w:hanging="220"/>
        <w:spacing w:after="0" w:line="283" w:lineRule="auto"/>
        <w:tabs>
          <w:tab w:leader="none" w:pos="860" w:val="left"/>
        </w:tabs>
        <w:numPr>
          <w:ilvl w:val="1"/>
          <w:numId w:val="4"/>
        </w:numPr>
        <w:rPr>
          <w:rFonts w:ascii="Arial" w:cs="Arial" w:eastAsia="Arial" w:hAnsi="Arial"/>
          <w:sz w:val="14"/>
          <w:szCs w:val="14"/>
          <w:color w:val="auto"/>
        </w:rPr>
      </w:pPr>
      <w:r>
        <w:rPr>
          <w:rFonts w:ascii="Arial" w:cs="Arial" w:eastAsia="Arial" w:hAnsi="Arial"/>
          <w:sz w:val="14"/>
          <w:szCs w:val="14"/>
          <w:color w:val="auto"/>
        </w:rPr>
        <w:t>Study remains blinded with 100% of patients (n=38) through both week 20 dosing period and week 24 primary endpoint and 61% of patients (n=18) through week 32 follow-up period</w:t>
      </w:r>
    </w:p>
    <w:p>
      <w:pPr>
        <w:spacing w:after="0" w:line="32" w:lineRule="exact"/>
        <w:rPr>
          <w:rFonts w:ascii="Arial" w:cs="Arial" w:eastAsia="Arial" w:hAnsi="Arial"/>
          <w:sz w:val="14"/>
          <w:szCs w:val="14"/>
          <w:color w:val="auto"/>
        </w:rPr>
      </w:pPr>
    </w:p>
    <w:p>
      <w:pPr>
        <w:ind w:left="420" w:hanging="212"/>
        <w:spacing w:after="0" w:line="286" w:lineRule="auto"/>
        <w:tabs>
          <w:tab w:leader="none" w:pos="416" w:val="left"/>
        </w:tabs>
        <w:numPr>
          <w:ilvl w:val="0"/>
          <w:numId w:val="4"/>
        </w:numPr>
        <w:rPr>
          <w:rFonts w:ascii="Arial" w:cs="Arial" w:eastAsia="Arial" w:hAnsi="Arial"/>
          <w:sz w:val="14"/>
          <w:szCs w:val="14"/>
          <w:color w:val="auto"/>
        </w:rPr>
      </w:pPr>
      <w:r>
        <w:rPr>
          <w:rFonts w:ascii="Arial" w:cs="Arial" w:eastAsia="Arial" w:hAnsi="Arial"/>
          <w:sz w:val="14"/>
          <w:szCs w:val="14"/>
          <w:color w:val="auto"/>
        </w:rPr>
        <w:t>Demonstrated rosnilimab “proof of mechanism” with robust reductions in peripheral PD-1+ T cells, including PD-1 high T cell reduction of &gt;80%, across blinded pooled rosnilimab treated and placebo patients, which is consistent with observations in the healthy volunteer Phase 1 trial of &gt;90% in rosnilimab treated patients</w:t>
      </w:r>
    </w:p>
    <w:p>
      <w:pPr>
        <w:spacing w:after="0" w:line="30"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Suggests rosnilimab administration was generally safe and well tolerated</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Severity of Alopecia Tool (SALT) scores were not supportive of achieving the target product profile and further development in alopecia areata will not be pursued</w:t>
      </w:r>
    </w:p>
    <w:p>
      <w:pPr>
        <w:spacing w:after="0" w:line="21" w:lineRule="exact"/>
        <w:rPr>
          <w:rFonts w:ascii="Arial" w:cs="Arial" w:eastAsia="Arial" w:hAnsi="Arial"/>
          <w:sz w:val="14"/>
          <w:szCs w:val="14"/>
          <w:color w:val="auto"/>
        </w:rPr>
      </w:pPr>
    </w:p>
    <w:p>
      <w:pPr>
        <w:ind w:left="860" w:hanging="220"/>
        <w:spacing w:after="0"/>
        <w:tabs>
          <w:tab w:leader="none" w:pos="860" w:val="left"/>
        </w:tabs>
        <w:numPr>
          <w:ilvl w:val="1"/>
          <w:numId w:val="4"/>
        </w:numPr>
        <w:rPr>
          <w:rFonts w:ascii="Arial" w:cs="Arial" w:eastAsia="Arial" w:hAnsi="Arial"/>
          <w:sz w:val="14"/>
          <w:szCs w:val="14"/>
          <w:color w:val="auto"/>
        </w:rPr>
      </w:pPr>
      <w:r>
        <w:rPr>
          <w:rFonts w:ascii="Arial" w:cs="Arial" w:eastAsia="Arial" w:hAnsi="Arial"/>
          <w:sz w:val="14"/>
          <w:szCs w:val="14"/>
          <w:color w:val="auto"/>
        </w:rPr>
        <w:t>While select patients observed changes from baseline SALT scores at week 24, no patients achieved an absolute SALT score &lt;20</w:t>
      </w:r>
    </w:p>
    <w:p>
      <w:pPr>
        <w:spacing w:after="0" w:line="19" w:lineRule="exact"/>
        <w:rPr>
          <w:rFonts w:ascii="Arial" w:cs="Arial" w:eastAsia="Arial" w:hAnsi="Arial"/>
          <w:sz w:val="14"/>
          <w:szCs w:val="14"/>
          <w:color w:val="auto"/>
        </w:rPr>
      </w:pPr>
    </w:p>
    <w:p>
      <w:pPr>
        <w:ind w:left="860" w:right="180" w:hanging="220"/>
        <w:spacing w:after="0" w:line="254" w:lineRule="auto"/>
        <w:tabs>
          <w:tab w:leader="none" w:pos="860" w:val="left"/>
        </w:tabs>
        <w:numPr>
          <w:ilvl w:val="1"/>
          <w:numId w:val="4"/>
        </w:numPr>
        <w:rPr>
          <w:rFonts w:ascii="Arial" w:cs="Arial" w:eastAsia="Arial" w:hAnsi="Arial"/>
          <w:sz w:val="14"/>
          <w:szCs w:val="14"/>
          <w:color w:val="auto"/>
        </w:rPr>
      </w:pPr>
      <w:r>
        <w:rPr>
          <w:rFonts w:ascii="Arial" w:cs="Arial" w:eastAsia="Arial" w:hAnsi="Arial"/>
          <w:sz w:val="14"/>
          <w:szCs w:val="14"/>
          <w:color w:val="auto"/>
        </w:rPr>
        <w:t>Interim results suggest that target efficacy was not achieved potentially due to an inadequate tested dose level, limited duration of treatment, and/or complexity of disease biology including the hair growth cycle</w:t>
      </w:r>
    </w:p>
    <w:p>
      <w:pPr>
        <w:spacing w:after="0" w:line="1" w:lineRule="exact"/>
        <w:rPr>
          <w:rFonts w:ascii="Arial" w:cs="Arial" w:eastAsia="Arial" w:hAnsi="Arial"/>
          <w:sz w:val="14"/>
          <w:szCs w:val="14"/>
          <w:color w:val="auto"/>
        </w:rPr>
      </w:pPr>
    </w:p>
    <w:p>
      <w:pPr>
        <w:ind w:left="860" w:hanging="220"/>
        <w:spacing w:after="0"/>
        <w:tabs>
          <w:tab w:leader="none" w:pos="860" w:val="left"/>
        </w:tabs>
        <w:numPr>
          <w:ilvl w:val="1"/>
          <w:numId w:val="4"/>
        </w:numPr>
        <w:rPr>
          <w:rFonts w:ascii="Arial" w:cs="Arial" w:eastAsia="Arial" w:hAnsi="Arial"/>
          <w:sz w:val="13"/>
          <w:szCs w:val="13"/>
          <w:color w:val="auto"/>
        </w:rPr>
      </w:pPr>
      <w:r>
        <w:rPr>
          <w:rFonts w:ascii="Arial" w:cs="Arial" w:eastAsia="Arial" w:hAnsi="Arial"/>
          <w:sz w:val="13"/>
          <w:szCs w:val="13"/>
          <w:color w:val="auto"/>
        </w:rPr>
        <w:t>Unblinded week 32 results, tissue biopsies and additional translational data defining the extent of PD-1 modulation in the periphery and hair follicle will be available in H2 2023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ANB032 (BTLA agonist antibody)</w:t>
      </w:r>
    </w:p>
    <w:p>
      <w:pPr>
        <w:spacing w:after="0" w:line="77" w:lineRule="exact"/>
        <w:rPr>
          <w:sz w:val="20"/>
          <w:szCs w:val="20"/>
          <w:color w:val="auto"/>
        </w:rPr>
      </w:pPr>
    </w:p>
    <w:p>
      <w:pPr>
        <w:ind w:left="420" w:right="20" w:hanging="212"/>
        <w:spacing w:after="0" w:line="286" w:lineRule="auto"/>
        <w:tabs>
          <w:tab w:leader="none" w:pos="416" w:val="left"/>
        </w:tabs>
        <w:numPr>
          <w:ilvl w:val="0"/>
          <w:numId w:val="5"/>
        </w:numPr>
        <w:rPr>
          <w:rFonts w:ascii="Arial" w:cs="Arial" w:eastAsia="Arial" w:hAnsi="Arial"/>
          <w:sz w:val="14"/>
          <w:szCs w:val="14"/>
          <w:color w:val="auto"/>
        </w:rPr>
      </w:pPr>
      <w:r>
        <w:rPr>
          <w:rFonts w:ascii="Arial" w:cs="Arial" w:eastAsia="Arial" w:hAnsi="Arial"/>
          <w:sz w:val="14"/>
          <w:szCs w:val="14"/>
          <w:color w:val="auto"/>
        </w:rPr>
        <w:t>ANB032, its investigational wholly owned BTLA agonist, demonstrates best-in-class activity in vitro with superior inhibition of T cell proliferation and reduction in inflammatory cytokine secretion (Th1, Th2, Th17) compared to Lilly BTLA agonist</w:t>
      </w:r>
    </w:p>
    <w:p>
      <w:pPr>
        <w:spacing w:after="0" w:line="30"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While Th2 targeted therapies provide benefit to patients with chronic moderate-to-severe atopic dermatitis (AD), there is compelling evidence that AD is broader than a Th2 driven</w:t>
      </w:r>
    </w:p>
    <w:p>
      <w:pPr>
        <w:sectPr>
          <w:pgSz w:w="11900" w:h="16838" w:orient="portrait"/>
          <w:cols w:equalWidth="0" w:num="1">
            <w:col w:w="11280"/>
          </w:cols>
          <w:pgMar w:left="300" w:top="1097" w:right="319" w:bottom="1440" w:gutter="0" w:footer="0" w:header="0"/>
        </w:sectPr>
      </w:pPr>
    </w:p>
    <w:bookmarkStart w:id="5" w:name="page6"/>
    <w:bookmarkEnd w:id="5"/>
    <w:p>
      <w:pPr>
        <w:ind w:left="4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6397625</wp:posOffset>
            </wp:positionH>
            <wp:positionV relativeFrom="page">
              <wp:posOffset>88900</wp:posOffset>
            </wp:positionV>
            <wp:extent cx="96583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65835" cy="222885"/>
                    </a:xfrm>
                    <a:prstGeom prst="rect">
                      <a:avLst/>
                    </a:prstGeom>
                    <a:noFill/>
                  </pic:spPr>
                </pic:pic>
              </a:graphicData>
            </a:graphic>
          </wp:anchor>
        </w:drawing>
        <w:t>disease, as Th1, Th17 and other cell types, including dendritic cells, may contribute significantly to its pathogenesis</w:t>
      </w:r>
    </w:p>
    <w:p>
      <w:pPr>
        <w:spacing w:after="0" w:line="21" w:lineRule="exact"/>
        <w:rPr>
          <w:sz w:val="20"/>
          <w:szCs w:val="20"/>
          <w:color w:val="auto"/>
        </w:rPr>
      </w:pPr>
    </w:p>
    <w:p>
      <w:pPr>
        <w:ind w:left="860" w:hanging="220"/>
        <w:spacing w:after="0" w:line="269" w:lineRule="auto"/>
        <w:tabs>
          <w:tab w:leader="none" w:pos="860" w:val="left"/>
        </w:tabs>
        <w:numPr>
          <w:ilvl w:val="1"/>
          <w:numId w:val="6"/>
        </w:numPr>
        <w:rPr>
          <w:rFonts w:ascii="Arial" w:cs="Arial" w:eastAsia="Arial" w:hAnsi="Arial"/>
          <w:sz w:val="14"/>
          <w:szCs w:val="14"/>
          <w:color w:val="auto"/>
        </w:rPr>
      </w:pPr>
      <w:r>
        <w:rPr>
          <w:rFonts w:ascii="Arial" w:cs="Arial" w:eastAsia="Arial" w:hAnsi="Arial"/>
          <w:sz w:val="14"/>
          <w:szCs w:val="14"/>
          <w:color w:val="auto"/>
        </w:rPr>
        <w:t>ANB032 inhibits inflammatory activity of Th1, Th2 and Th17 and modulates additional cell types such as B cells and dendritic cells, with the potential for broader, deeper and more durable responses than more narrowly targeted interventions</w:t>
      </w:r>
    </w:p>
    <w:p>
      <w:pPr>
        <w:spacing w:after="0" w:line="41" w:lineRule="exact"/>
        <w:rPr>
          <w:rFonts w:ascii="Arial" w:cs="Arial" w:eastAsia="Arial" w:hAnsi="Arial"/>
          <w:sz w:val="14"/>
          <w:szCs w:val="14"/>
          <w:color w:val="auto"/>
        </w:rPr>
      </w:pPr>
    </w:p>
    <w:p>
      <w:pPr>
        <w:ind w:left="420" w:hanging="2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Initiation in Q2 2023 of a global Phase 2b trial in moderate-to-severe AD</w:t>
      </w:r>
    </w:p>
    <w:p>
      <w:pPr>
        <w:spacing w:after="0" w:line="21" w:lineRule="exact"/>
        <w:rPr>
          <w:rFonts w:ascii="Arial" w:cs="Arial" w:eastAsia="Arial" w:hAnsi="Arial"/>
          <w:sz w:val="14"/>
          <w:szCs w:val="14"/>
          <w:color w:val="auto"/>
        </w:rPr>
      </w:pPr>
    </w:p>
    <w:p>
      <w:pPr>
        <w:ind w:left="860" w:hanging="220"/>
        <w:spacing w:after="0"/>
        <w:tabs>
          <w:tab w:leader="none" w:pos="860" w:val="left"/>
        </w:tabs>
        <w:numPr>
          <w:ilvl w:val="1"/>
          <w:numId w:val="6"/>
        </w:numPr>
        <w:rPr>
          <w:rFonts w:ascii="Arial" w:cs="Arial" w:eastAsia="Arial" w:hAnsi="Arial"/>
          <w:sz w:val="14"/>
          <w:szCs w:val="14"/>
          <w:color w:val="auto"/>
        </w:rPr>
      </w:pPr>
      <w:r>
        <w:rPr>
          <w:rFonts w:ascii="Arial" w:cs="Arial" w:eastAsia="Arial" w:hAnsi="Arial"/>
          <w:sz w:val="14"/>
          <w:szCs w:val="14"/>
          <w:color w:val="auto"/>
        </w:rPr>
        <w:t>IND cleared by the FDA in December 2022</w:t>
      </w:r>
    </w:p>
    <w:p>
      <w:pPr>
        <w:spacing w:after="0" w:line="10" w:lineRule="exact"/>
        <w:rPr>
          <w:rFonts w:ascii="Arial" w:cs="Arial" w:eastAsia="Arial" w:hAnsi="Arial"/>
          <w:sz w:val="14"/>
          <w:szCs w:val="14"/>
          <w:color w:val="auto"/>
        </w:rPr>
      </w:pPr>
    </w:p>
    <w:p>
      <w:pPr>
        <w:ind w:left="860" w:right="20" w:hanging="220"/>
        <w:spacing w:after="0" w:line="261" w:lineRule="auto"/>
        <w:tabs>
          <w:tab w:leader="none" w:pos="860" w:val="left"/>
        </w:tabs>
        <w:numPr>
          <w:ilvl w:val="1"/>
          <w:numId w:val="6"/>
        </w:numPr>
        <w:rPr>
          <w:rFonts w:ascii="Arial" w:cs="Arial" w:eastAsia="Arial" w:hAnsi="Arial"/>
          <w:sz w:val="14"/>
          <w:szCs w:val="14"/>
          <w:color w:val="auto"/>
        </w:rPr>
      </w:pPr>
      <w:r>
        <w:rPr>
          <w:rFonts w:ascii="Arial" w:cs="Arial" w:eastAsia="Arial" w:hAnsi="Arial"/>
          <w:sz w:val="14"/>
          <w:szCs w:val="14"/>
          <w:color w:val="auto"/>
        </w:rPr>
        <w:t>160 patient placebo-controlled trial assessing three dose levels of subcutaneously administered ANB032 (randomized 1:1:1:1) for 12 weeks on well-established endpoints, including EASI75 and IGA 0/1</w:t>
      </w:r>
    </w:p>
    <w:p>
      <w:pPr>
        <w:ind w:left="860" w:hanging="220"/>
        <w:spacing w:after="0"/>
        <w:tabs>
          <w:tab w:leader="none" w:pos="860" w:val="left"/>
        </w:tabs>
        <w:numPr>
          <w:ilvl w:val="1"/>
          <w:numId w:val="6"/>
        </w:numPr>
        <w:rPr>
          <w:rFonts w:ascii="Arial" w:cs="Arial" w:eastAsia="Arial" w:hAnsi="Arial"/>
          <w:sz w:val="14"/>
          <w:szCs w:val="14"/>
          <w:color w:val="auto"/>
        </w:rPr>
      </w:pPr>
      <w:r>
        <w:rPr>
          <w:rFonts w:ascii="Arial" w:cs="Arial" w:eastAsia="Arial" w:hAnsi="Arial"/>
          <w:sz w:val="14"/>
          <w:szCs w:val="14"/>
          <w:color w:val="auto"/>
        </w:rPr>
        <w:t>Top-line interim data anticipated by year-end 2024</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ANB033 (anti-CD122 antagonist antibody)</w:t>
      </w:r>
    </w:p>
    <w:p>
      <w:pPr>
        <w:spacing w:after="0" w:line="77" w:lineRule="exact"/>
        <w:rPr>
          <w:sz w:val="20"/>
          <w:szCs w:val="20"/>
          <w:color w:val="auto"/>
        </w:rPr>
      </w:pPr>
    </w:p>
    <w:p>
      <w:pPr>
        <w:ind w:left="640" w:right="2300" w:hanging="432"/>
        <w:spacing w:after="0" w:line="230"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ANB033, its investigational wholly owned anti-CD122 antagonist antibody, targets the common beta subunit shared by the IL-15 and IL-2 receptors o IL-15 signaling mediates the survival and maintenance of tissue resident memory T cells (T</w:t>
      </w:r>
      <w:r>
        <w:rPr>
          <w:rFonts w:ascii="Arial" w:cs="Arial" w:eastAsia="Arial" w:hAnsi="Arial"/>
          <w:sz w:val="18"/>
          <w:szCs w:val="18"/>
          <w:color w:val="auto"/>
          <w:vertAlign w:val="subscript"/>
        </w:rPr>
        <w:t>RM</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640"/>
        <w:spacing w:after="0" w:line="202" w:lineRule="auto"/>
        <w:rPr>
          <w:rFonts w:ascii="Arial" w:cs="Arial" w:eastAsia="Arial" w:hAnsi="Arial"/>
          <w:sz w:val="14"/>
          <w:szCs w:val="14"/>
          <w:color w:val="auto"/>
        </w:rPr>
      </w:pPr>
      <w:r>
        <w:rPr>
          <w:rFonts w:ascii="Arial" w:cs="Arial" w:eastAsia="Arial" w:hAnsi="Arial"/>
          <w:sz w:val="14"/>
          <w:szCs w:val="14"/>
          <w:color w:val="auto"/>
        </w:rPr>
        <w:t>o  The presence of long-lived and persistent T</w:t>
      </w:r>
      <w:r>
        <w:rPr>
          <w:rFonts w:ascii="Arial" w:cs="Arial" w:eastAsia="Arial" w:hAnsi="Arial"/>
          <w:sz w:val="18"/>
          <w:szCs w:val="18"/>
          <w:color w:val="auto"/>
          <w:vertAlign w:val="subscript"/>
        </w:rPr>
        <w:t>RM</w:t>
      </w:r>
      <w:r>
        <w:rPr>
          <w:rFonts w:ascii="Arial" w:cs="Arial" w:eastAsia="Arial" w:hAnsi="Arial"/>
          <w:sz w:val="14"/>
          <w:szCs w:val="14"/>
          <w:color w:val="auto"/>
        </w:rPr>
        <w:t xml:space="preserve"> have been shown to drive tissue-specific immune-mediated inflammation</w:t>
      </w:r>
    </w:p>
    <w:p>
      <w:pPr>
        <w:spacing w:after="0" w:line="56" w:lineRule="exact"/>
        <w:rPr>
          <w:rFonts w:ascii="Arial" w:cs="Arial" w:eastAsia="Arial" w:hAnsi="Arial"/>
          <w:sz w:val="14"/>
          <w:szCs w:val="14"/>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IND anticipated H1 2024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Legacy clinical-stage cytokine antagonist programs available for outlicensing</w:t>
      </w:r>
    </w:p>
    <w:p>
      <w:pPr>
        <w:spacing w:after="0" w:line="77" w:lineRule="exact"/>
        <w:rPr>
          <w:sz w:val="20"/>
          <w:szCs w:val="20"/>
          <w:color w:val="auto"/>
        </w:rPr>
      </w:pPr>
    </w:p>
    <w:p>
      <w:pPr>
        <w:ind w:left="640" w:right="2900" w:hanging="432"/>
        <w:spacing w:after="0" w:line="263"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Imsidolimab, its investigational wholly owned anti-IL-36r antagonist antibody, is in Phase 3 trials for generalized pustular psoriasis (GPP) o Top-line data from the GEMINI-1 Phase 3 trial anticipated Q4 2023</w:t>
      </w:r>
    </w:p>
    <w:p>
      <w:pPr>
        <w:ind w:left="640"/>
        <w:spacing w:after="0"/>
        <w:rPr>
          <w:rFonts w:ascii="Arial" w:cs="Arial" w:eastAsia="Arial" w:hAnsi="Arial"/>
          <w:sz w:val="14"/>
          <w:szCs w:val="14"/>
          <w:color w:val="auto"/>
        </w:rPr>
      </w:pPr>
      <w:r>
        <w:rPr>
          <w:rFonts w:ascii="Arial" w:cs="Arial" w:eastAsia="Arial" w:hAnsi="Arial"/>
          <w:sz w:val="14"/>
          <w:szCs w:val="14"/>
          <w:color w:val="auto"/>
        </w:rPr>
        <w:t>o  Plan to outlicense imsidolimab prior to potential FDA approval</w:t>
      </w:r>
    </w:p>
    <w:p>
      <w:pPr>
        <w:spacing w:after="0" w:line="70" w:lineRule="exact"/>
        <w:rPr>
          <w:rFonts w:ascii="Arial" w:cs="Arial" w:eastAsia="Arial" w:hAnsi="Arial"/>
          <w:sz w:val="14"/>
          <w:szCs w:val="14"/>
          <w:color w:val="auto"/>
        </w:rPr>
      </w:pPr>
    </w:p>
    <w:p>
      <w:pPr>
        <w:ind w:left="420" w:hanging="2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Etokimab, its investigational wholly owned anti-IL-33 antagonist antibody, is Phase 2/3-ready for the treatment of respiratory disorders</w:t>
      </w:r>
    </w:p>
    <w:p>
      <w:pPr>
        <w:spacing w:after="0" w:line="21" w:lineRule="exact"/>
        <w:rPr>
          <w:sz w:val="20"/>
          <w:szCs w:val="20"/>
          <w:color w:val="auto"/>
        </w:rPr>
      </w:pPr>
    </w:p>
    <w:p>
      <w:pPr>
        <w:ind w:left="860" w:hanging="220"/>
        <w:spacing w:after="0"/>
        <w:tabs>
          <w:tab w:leader="none" w:pos="860" w:val="left"/>
        </w:tabs>
        <w:numPr>
          <w:ilvl w:val="1"/>
          <w:numId w:val="9"/>
        </w:numPr>
        <w:rPr>
          <w:rFonts w:ascii="Arial" w:cs="Arial" w:eastAsia="Arial" w:hAnsi="Arial"/>
          <w:sz w:val="14"/>
          <w:szCs w:val="14"/>
          <w:color w:val="auto"/>
        </w:rPr>
      </w:pPr>
      <w:r>
        <w:rPr>
          <w:rFonts w:ascii="Arial" w:cs="Arial" w:eastAsia="Arial" w:hAnsi="Arial"/>
          <w:sz w:val="14"/>
          <w:szCs w:val="14"/>
          <w:color w:val="auto"/>
        </w:rPr>
        <w:t>No further internal investment in etokimab is being pursued</w:t>
      </w:r>
    </w:p>
    <w:p>
      <w:pPr>
        <w:spacing w:after="0" w:line="5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b w:val="1"/>
          <w:bCs w:val="1"/>
          <w:color w:val="auto"/>
        </w:rPr>
        <w:t>GSK immuno-oncology financial collaboration</w:t>
      </w:r>
    </w:p>
    <w:p>
      <w:pPr>
        <w:spacing w:after="0" w:line="77" w:lineRule="exact"/>
        <w:rPr>
          <w:rFonts w:ascii="Arial" w:cs="Arial" w:eastAsia="Arial" w:hAnsi="Arial"/>
          <w:sz w:val="14"/>
          <w:szCs w:val="14"/>
          <w:color w:val="auto"/>
        </w:rPr>
      </w:pPr>
    </w:p>
    <w:p>
      <w:pPr>
        <w:ind w:left="420" w:right="140" w:hanging="212"/>
        <w:spacing w:after="0" w:line="286" w:lineRule="auto"/>
        <w:tabs>
          <w:tab w:leader="none" w:pos="416" w:val="left"/>
        </w:tabs>
        <w:numPr>
          <w:ilvl w:val="0"/>
          <w:numId w:val="9"/>
        </w:numPr>
        <w:rPr>
          <w:rFonts w:ascii="Arial" w:cs="Arial" w:eastAsia="Arial" w:hAnsi="Arial"/>
          <w:sz w:val="14"/>
          <w:szCs w:val="14"/>
          <w:color w:val="auto"/>
        </w:rPr>
      </w:pPr>
      <w:r>
        <w:rPr>
          <w:rFonts w:ascii="Arial" w:cs="Arial" w:eastAsia="Arial" w:hAnsi="Arial"/>
          <w:sz w:val="14"/>
          <w:szCs w:val="14"/>
          <w:color w:val="auto"/>
        </w:rPr>
        <w:t>Dostarlimab, an anti-PD-1 antagonist antibody, cobolimab, an anti-TIM-3 antagonist antibody, and GSK4074386, an anti-LAG-3 antagonist antibody, were discovered at AnaptysBio and licensed by GSK</w:t>
      </w:r>
    </w:p>
    <w:p>
      <w:pPr>
        <w:spacing w:after="0" w:line="39" w:lineRule="exact"/>
        <w:rPr>
          <w:rFonts w:ascii="Arial" w:cs="Arial" w:eastAsia="Arial" w:hAnsi="Arial"/>
          <w:sz w:val="14"/>
          <w:szCs w:val="14"/>
          <w:color w:val="auto"/>
        </w:rPr>
      </w:pPr>
    </w:p>
    <w:p>
      <w:pPr>
        <w:ind w:left="420" w:right="140" w:hanging="212"/>
        <w:spacing w:after="0" w:line="263" w:lineRule="auto"/>
        <w:tabs>
          <w:tab w:leader="none" w:pos="416" w:val="left"/>
        </w:tabs>
        <w:numPr>
          <w:ilvl w:val="0"/>
          <w:numId w:val="9"/>
        </w:numPr>
        <w:rPr>
          <w:rFonts w:ascii="Arial" w:cs="Arial" w:eastAsia="Arial" w:hAnsi="Arial"/>
          <w:sz w:val="14"/>
          <w:szCs w:val="14"/>
          <w:color w:val="auto"/>
        </w:rPr>
      </w:pPr>
      <w:r>
        <w:rPr>
          <w:rFonts w:ascii="Arial" w:cs="Arial" w:eastAsia="Arial" w:hAnsi="Arial"/>
          <w:sz w:val="14"/>
          <w:szCs w:val="14"/>
          <w:color w:val="auto"/>
        </w:rPr>
        <w:t>JEMPERLI (dostarlimab-gxly) has the potential for a first-in-class approval in primary advanced or recurrent endometrial cancer after meeting the primary endpoint in the pivotal RUBY Phase 3 trial demonstrating JEMPERLI plus chemotherapy significantly improved PFS versus chemotherapy plus placebo</w:t>
      </w:r>
    </w:p>
    <w:p>
      <w:pPr>
        <w:ind w:left="860" w:hanging="220"/>
        <w:spacing w:after="0"/>
        <w:tabs>
          <w:tab w:leader="none" w:pos="860" w:val="left"/>
        </w:tabs>
        <w:numPr>
          <w:ilvl w:val="1"/>
          <w:numId w:val="9"/>
        </w:numPr>
        <w:rPr>
          <w:rFonts w:ascii="Arial" w:cs="Arial" w:eastAsia="Arial" w:hAnsi="Arial"/>
          <w:sz w:val="14"/>
          <w:szCs w:val="14"/>
          <w:color w:val="auto"/>
        </w:rPr>
      </w:pPr>
      <w:r>
        <w:rPr>
          <w:rFonts w:ascii="Arial" w:cs="Arial" w:eastAsia="Arial" w:hAnsi="Arial"/>
          <w:sz w:val="14"/>
          <w:szCs w:val="14"/>
          <w:color w:val="auto"/>
        </w:rPr>
        <w:t>Regulatory submissions anticipated H1 2023</w:t>
      </w:r>
    </w:p>
    <w:p>
      <w:pPr>
        <w:spacing w:after="0" w:line="10" w:lineRule="exact"/>
        <w:rPr>
          <w:rFonts w:ascii="Arial" w:cs="Arial" w:eastAsia="Arial" w:hAnsi="Arial"/>
          <w:sz w:val="14"/>
          <w:szCs w:val="14"/>
          <w:color w:val="auto"/>
        </w:rPr>
      </w:pPr>
    </w:p>
    <w:p>
      <w:pPr>
        <w:ind w:left="860" w:hanging="220"/>
        <w:spacing w:after="0"/>
        <w:tabs>
          <w:tab w:leader="none" w:pos="860" w:val="left"/>
        </w:tabs>
        <w:numPr>
          <w:ilvl w:val="1"/>
          <w:numId w:val="9"/>
        </w:numPr>
        <w:rPr>
          <w:rFonts w:ascii="Arial" w:cs="Arial" w:eastAsia="Arial" w:hAnsi="Arial"/>
          <w:sz w:val="14"/>
          <w:szCs w:val="14"/>
          <w:color w:val="auto"/>
        </w:rPr>
      </w:pPr>
      <w:r>
        <w:rPr>
          <w:rFonts w:ascii="Arial" w:cs="Arial" w:eastAsia="Arial" w:hAnsi="Arial"/>
          <w:sz w:val="14"/>
          <w:szCs w:val="14"/>
          <w:color w:val="auto"/>
        </w:rPr>
        <w:t>GSK expects to publish full results in a medical journal and present at an upcoming scientific meeting</w:t>
      </w:r>
    </w:p>
    <w:p>
      <w:pPr>
        <w:sectPr>
          <w:pgSz w:w="11900" w:h="16838" w:orient="portrait"/>
          <w:cols w:equalWidth="0" w:num="1">
            <w:col w:w="11280"/>
          </w:cols>
          <w:pgMar w:left="300" w:top="1097" w:right="319" w:bottom="1440" w:gutter="0" w:footer="0" w:header="0"/>
        </w:sectPr>
      </w:pPr>
    </w:p>
    <w:bookmarkStart w:id="6" w:name="page7"/>
    <w:bookmarkEnd w:id="6"/>
    <w:p>
      <w:pPr>
        <w:ind w:left="420" w:hanging="2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6397625</wp:posOffset>
            </wp:positionH>
            <wp:positionV relativeFrom="page">
              <wp:posOffset>88900</wp:posOffset>
            </wp:positionV>
            <wp:extent cx="965835"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65835" cy="222885"/>
                    </a:xfrm>
                    <a:prstGeom prst="rect">
                      <a:avLst/>
                    </a:prstGeom>
                    <a:noFill/>
                  </pic:spPr>
                </pic:pic>
              </a:graphicData>
            </a:graphic>
          </wp:anchor>
        </w:drawing>
        <w:t>Dostarlimab plus ZEJULA in the pivotal FIRST Phase 3 trial in 1st line ovarian cancer is ongoing with an interim analysis expected in H2 2023</w:t>
      </w:r>
    </w:p>
    <w:p>
      <w:pPr>
        <w:spacing w:after="0" w:line="82" w:lineRule="exact"/>
        <w:rPr>
          <w:rFonts w:ascii="Arial" w:cs="Arial" w:eastAsia="Arial" w:hAnsi="Arial"/>
          <w:sz w:val="14"/>
          <w:szCs w:val="14"/>
          <w:color w:val="auto"/>
        </w:rPr>
      </w:pPr>
    </w:p>
    <w:p>
      <w:pPr>
        <w:ind w:left="420" w:right="220" w:hanging="212"/>
        <w:spacing w:after="0" w:line="286" w:lineRule="auto"/>
        <w:tabs>
          <w:tab w:leader="none" w:pos="4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Dostarlimab plus cobolimab plus chemotherapy vs. dostarlimab plus chemotherapy is in the pivotal COSTAR Lung Phase 3 trial in advanced non-small cell lung cancer in patients who have progressed on prior anti-PD-(L)1 therapy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AnaptysBio</w:t>
      </w:r>
    </w:p>
    <w:p>
      <w:pPr>
        <w:spacing w:after="0" w:line="122"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AnaptysBio is a clinical-stage biotechnology company focused on delivering innovative immunology therapeutics. It is developing immune cell modulating antibodies, including two checkpoint agonists in clinical-stage development, for autoimmune and inflammatory diseases: rosnilimab, its PD-1 agonist, in a planned Phase 2b trial for the treatment of moderate-to-severe rheumatoid arthritis; and ANB032, its BTLA agonist, in a planned Phase 2b trial for the treatment of moderate-to-severe atopic dermatitis. Its preclinical immune cell modulator portfolio includes ANB033, an anti-CD122 antagonist antibody for the treatment of autoimmune and inflammatory diseases. AnaptysBio has developed two cytokine antagonists available for outlicensing: imsidolimab, an anti-IL-36r antagonist, in Phase 3 for the treatment of generalized pustular psoriasis, or GPP, and etokimab, an anti-IL-33 antagonist that is Phase 2/3 ready. AnaptysBio has also discovered antibodies licensed to GSK in a financial collaboration for immune-oncology, including an anti-PD-1 antagonist (JEMPERLI (dostarlimab-gxly)), an anti-TIM-3 antagonist (cobolimab, GSK4069889) and an anti-LAG-3 antagonist (GSK4074386).</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This press release contains forward-looking statements within the meaning of the "safe harbor" provisions of the Private Securities Litigation Reform Act of 1995, including, but not limited to: the timing of initiation of the company’s clinical trials, including rosnilimab’s clinical trials in rheumatoid arthritis and in a second indication and ANB032’s clinical trial in atopic dermatitis; the timing of the release of data from the company’s clinical trials, including imsidolimab’s Phase 3 clinical trial in GPP, rosnilimab’s Phase 2b clinical trial in rheumatoid arthritis and ANB032’s Phase 2b clinical trial in atopic dermatitis; the timing of ANB033’s IND filing; statements regarding efficacy, safety and proof of mechanism from blinded data from rosnilimab’s clinical trial in alopecia areata; the company’s ability to find a licensing partner for imsidolimab or etokimab and the timing of any such transaction; and the company’s projected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w:t>
      </w:r>
    </w:p>
    <w:p>
      <w:pPr>
        <w:sectPr>
          <w:pgSz w:w="11900" w:h="16838" w:orient="portrait"/>
          <w:cols w:equalWidth="0" w:num="1">
            <w:col w:w="11260"/>
          </w:cols>
          <w:pgMar w:left="300" w:top="1097" w:right="3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6397625</wp:posOffset>
            </wp:positionH>
            <wp:positionV relativeFrom="page">
              <wp:posOffset>88900</wp:posOffset>
            </wp:positionV>
            <wp:extent cx="965835"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65835" cy="222885"/>
                    </a:xfrm>
                    <a:prstGeom prst="rect">
                      <a:avLst/>
                    </a:prstGeom>
                    <a:noFill/>
                  </pic:spPr>
                </pic:pic>
              </a:graphicData>
            </a:graphic>
          </wp:anchor>
        </w:drawing>
        <w:t>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Contact:</w:t>
      </w:r>
    </w:p>
    <w:p>
      <w:pPr>
        <w:spacing w:after="0" w:line="214" w:lineRule="auto"/>
        <w:rPr>
          <w:sz w:val="20"/>
          <w:szCs w:val="20"/>
          <w:color w:val="auto"/>
        </w:rPr>
      </w:pPr>
      <w:r>
        <w:rPr>
          <w:rFonts w:ascii="Arial" w:cs="Arial" w:eastAsia="Arial" w:hAnsi="Arial"/>
          <w:sz w:val="14"/>
          <w:szCs w:val="14"/>
          <w:color w:val="auto"/>
        </w:rPr>
        <w:t>Dennis Mulroy</w:t>
      </w:r>
    </w:p>
    <w:p>
      <w:pPr>
        <w:spacing w:after="0" w:line="215" w:lineRule="auto"/>
        <w:rPr>
          <w:sz w:val="20"/>
          <w:szCs w:val="20"/>
          <w:color w:val="auto"/>
        </w:rPr>
      </w:pPr>
      <w:r>
        <w:rPr>
          <w:rFonts w:ascii="Arial" w:cs="Arial" w:eastAsia="Arial" w:hAnsi="Arial"/>
          <w:sz w:val="14"/>
          <w:szCs w:val="14"/>
          <w:color w:val="auto"/>
        </w:rPr>
        <w:t>AnaptysBio, Inc.</w:t>
      </w:r>
    </w:p>
    <w:p>
      <w:pPr>
        <w:spacing w:after="0" w:line="215" w:lineRule="auto"/>
        <w:rPr>
          <w:sz w:val="20"/>
          <w:szCs w:val="20"/>
          <w:color w:val="auto"/>
        </w:rPr>
      </w:pPr>
      <w:r>
        <w:rPr>
          <w:rFonts w:ascii="Arial" w:cs="Arial" w:eastAsia="Arial" w:hAnsi="Arial"/>
          <w:sz w:val="14"/>
          <w:szCs w:val="14"/>
          <w:color w:val="auto"/>
        </w:rPr>
        <w:t>858.732.0201</w:t>
      </w:r>
    </w:p>
    <w:p>
      <w:pPr>
        <w:spacing w:after="0"/>
        <w:rPr>
          <w:sz w:val="20"/>
          <w:szCs w:val="20"/>
          <w:color w:val="auto"/>
        </w:rPr>
      </w:pPr>
      <w:r>
        <w:rPr>
          <w:rFonts w:ascii="Arial" w:cs="Arial" w:eastAsia="Arial" w:hAnsi="Arial"/>
          <w:sz w:val="14"/>
          <w:szCs w:val="14"/>
          <w:color w:val="auto"/>
        </w:rPr>
        <w:t>dmulroy@anaptysbio.com</w:t>
      </w:r>
    </w:p>
    <w:p>
      <w:pPr>
        <w:sectPr>
          <w:pgSz w:w="11900" w:h="16838" w:orient="portrait"/>
          <w:cols w:equalWidth="0" w:num="1">
            <w:col w:w="11200"/>
          </w:cols>
          <w:pgMar w:left="300" w:top="1205" w:right="39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495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449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o"/>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o"/>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o"/>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2023-01-05T15:15:41Z</dcterms:created>
  <dcterms:modified xsi:type="dcterms:W3CDTF">2023-01-05T15:15:41Z</dcterms:modified>
</cp:coreProperties>
</file>