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2"/>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62"/>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SCHEDULE 13D</w:t>
      </w:r>
    </w:p>
    <w:p>
      <w:pPr>
        <w:spacing w:after="0" w:line="229"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(Amendment No. ___)*</w:t>
      </w:r>
    </w:p>
    <w:p>
      <w:pPr>
        <w:spacing w:after="0" w:line="200" w:lineRule="exact"/>
        <w:rPr>
          <w:sz w:val="24"/>
          <w:szCs w:val="24"/>
          <w:color w:val="auto"/>
        </w:rPr>
      </w:pPr>
    </w:p>
    <w:p>
      <w:pPr>
        <w:spacing w:after="0" w:line="223" w:lineRule="exact"/>
        <w:rPr>
          <w:sz w:val="24"/>
          <w:szCs w:val="24"/>
          <w:color w:val="auto"/>
        </w:rPr>
      </w:pPr>
    </w:p>
    <w:p>
      <w:pPr>
        <w:ind w:left="4523"/>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ind w:left="4563"/>
        <w:spacing w:after="0"/>
        <w:rPr>
          <w:sz w:val="20"/>
          <w:szCs w:val="20"/>
          <w:color w:val="auto"/>
        </w:rPr>
      </w:pPr>
      <w:r>
        <w:rPr>
          <w:rFonts w:ascii="Arial" w:cs="Arial" w:eastAsia="Arial" w:hAnsi="Arial"/>
          <w:sz w:val="20"/>
          <w:szCs w:val="20"/>
          <w:color w:val="auto"/>
        </w:rPr>
        <w:t>(Name of Issuer)</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Common Stock, $0.001 par value</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(Title of Class of Securities)</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032724106</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(CUSIP Number)</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James J. Frolik, Esq.</w:t>
      </w:r>
    </w:p>
    <w:p>
      <w:pPr>
        <w:spacing w:after="0" w:line="21"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Anthony J. Caldwell, Esq.</w:t>
      </w:r>
    </w:p>
    <w:p>
      <w:pPr>
        <w:jc w:val="center"/>
        <w:ind w:right="-62"/>
        <w:spacing w:after="0"/>
        <w:rPr>
          <w:sz w:val="20"/>
          <w:szCs w:val="20"/>
          <w:color w:val="auto"/>
        </w:rPr>
      </w:pPr>
      <w:r>
        <w:rPr>
          <w:rFonts w:ascii="Arial" w:cs="Arial" w:eastAsia="Arial" w:hAnsi="Arial"/>
          <w:sz w:val="20"/>
          <w:szCs w:val="20"/>
          <w:b w:val="1"/>
          <w:bCs w:val="1"/>
          <w:color w:val="auto"/>
        </w:rPr>
        <w:t>Shartsis Friese LLP</w:t>
      </w:r>
    </w:p>
    <w:p>
      <w:pPr>
        <w:jc w:val="center"/>
        <w:ind w:right="-62"/>
        <w:spacing w:after="0"/>
        <w:rPr>
          <w:sz w:val="20"/>
          <w:szCs w:val="20"/>
          <w:color w:val="auto"/>
        </w:rPr>
      </w:pPr>
      <w:r>
        <w:rPr>
          <w:rFonts w:ascii="Arial" w:cs="Arial" w:eastAsia="Arial" w:hAnsi="Arial"/>
          <w:sz w:val="20"/>
          <w:szCs w:val="20"/>
          <w:b w:val="1"/>
          <w:bCs w:val="1"/>
          <w:color w:val="auto"/>
        </w:rPr>
        <w:t>One Maritime Plaza, 18th Floor</w:t>
      </w:r>
    </w:p>
    <w:p>
      <w:pPr>
        <w:jc w:val="center"/>
        <w:ind w:right="-62"/>
        <w:spacing w:after="0"/>
        <w:rPr>
          <w:sz w:val="20"/>
          <w:szCs w:val="20"/>
          <w:color w:val="auto"/>
        </w:rPr>
      </w:pPr>
      <w:r>
        <w:rPr>
          <w:rFonts w:ascii="Arial" w:cs="Arial" w:eastAsia="Arial" w:hAnsi="Arial"/>
          <w:sz w:val="20"/>
          <w:szCs w:val="20"/>
          <w:b w:val="1"/>
          <w:bCs w:val="1"/>
          <w:color w:val="auto"/>
        </w:rPr>
        <w:t>San Francisco, CA 94111</w:t>
      </w:r>
    </w:p>
    <w:p>
      <w:pPr>
        <w:jc w:val="center"/>
        <w:ind w:right="-62"/>
        <w:spacing w:after="0"/>
        <w:rPr>
          <w:sz w:val="20"/>
          <w:szCs w:val="20"/>
          <w:color w:val="auto"/>
        </w:rPr>
      </w:pPr>
      <w:r>
        <w:rPr>
          <w:rFonts w:ascii="Arial" w:cs="Arial" w:eastAsia="Arial" w:hAnsi="Arial"/>
          <w:sz w:val="20"/>
          <w:szCs w:val="20"/>
          <w:color w:val="auto"/>
        </w:rPr>
        <w:t>(Name, Address and Telephone Number of Person</w:t>
      </w:r>
    </w:p>
    <w:p>
      <w:pPr>
        <w:jc w:val="center"/>
        <w:ind w:right="-62"/>
        <w:spacing w:after="0"/>
        <w:rPr>
          <w:sz w:val="20"/>
          <w:szCs w:val="20"/>
          <w:color w:val="auto"/>
        </w:rPr>
      </w:pPr>
      <w:r>
        <w:rPr>
          <w:rFonts w:ascii="Arial" w:cs="Arial" w:eastAsia="Arial" w:hAnsi="Arial"/>
          <w:sz w:val="20"/>
          <w:szCs w:val="20"/>
          <w:color w:val="auto"/>
        </w:rPr>
        <w:t>Authorized to Receive Notices and Communications)</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March 8, 2021</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ind w:left="3" w:right="260"/>
        <w:spacing w:after="0" w:line="365" w:lineRule="auto"/>
        <w:rPr>
          <w:sz w:val="20"/>
          <w:szCs w:val="20"/>
          <w:color w:val="auto"/>
        </w:rPr>
      </w:pPr>
      <w:r>
        <w:rPr>
          <w:rFonts w:ascii="Arial" w:cs="Arial" w:eastAsia="Arial" w:hAnsi="Arial"/>
          <w:sz w:val="16"/>
          <w:szCs w:val="16"/>
          <w:color w:val="auto"/>
        </w:rPr>
        <w:t xml:space="preserve">If the filing person has previously filed a statement on Schedule 13G to report the acquisition that is the subject of this Schedule 13D, and is filing this schedule because of sections 240.13d-1(e), 240.13d-1(f) or 140.13d-1(g), check the following box. [ </w:t>
      </w:r>
      <w:r>
        <w:rPr>
          <w:rFonts w:ascii="Arial" w:cs="Arial" w:eastAsia="Arial" w:hAnsi="Arial"/>
          <w:sz w:val="16"/>
          <w:szCs w:val="16"/>
          <w:b w:val="1"/>
          <w:bCs w:val="1"/>
          <w:color w:val="auto"/>
        </w:rPr>
        <w:t>X</w:t>
      </w:r>
      <w:r>
        <w:rPr>
          <w:rFonts w:ascii="Arial" w:cs="Arial" w:eastAsia="Arial" w:hAnsi="Arial"/>
          <w:sz w:val="16"/>
          <w:szCs w:val="16"/>
          <w:color w:val="auto"/>
        </w:rPr>
        <w:t xml:space="preserve"> ]</w:t>
      </w:r>
    </w:p>
    <w:p>
      <w:pPr>
        <w:spacing w:after="0" w:line="1" w:lineRule="exact"/>
        <w:rPr>
          <w:sz w:val="24"/>
          <w:szCs w:val="24"/>
          <w:color w:val="auto"/>
        </w:rPr>
      </w:pPr>
    </w:p>
    <w:p>
      <w:pPr>
        <w:ind w:left="3" w:right="320"/>
        <w:spacing w:after="0" w:line="267"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Schedules filed in paper format shall include a signed original and five copies of the schedule, including all exhibits. See</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240.13d-7 for other parties to whom copies are to be sent.</w:t>
      </w:r>
    </w:p>
    <w:p>
      <w:pPr>
        <w:spacing w:after="0" w:line="61" w:lineRule="exact"/>
        <w:rPr>
          <w:sz w:val="24"/>
          <w:szCs w:val="24"/>
          <w:color w:val="auto"/>
        </w:rPr>
      </w:pPr>
    </w:p>
    <w:p>
      <w:pPr>
        <w:ind w:left="3" w:hanging="3"/>
        <w:spacing w:after="0" w:line="250" w:lineRule="auto"/>
        <w:tabs>
          <w:tab w:leader="none" w:pos="152"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8" w:lineRule="exact"/>
        <w:rPr>
          <w:sz w:val="24"/>
          <w:szCs w:val="24"/>
          <w:color w:val="auto"/>
        </w:rPr>
      </w:pPr>
    </w:p>
    <w:p>
      <w:pPr>
        <w:ind w:left="3" w:right="60"/>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2" w:lineRule="exact"/>
        <w:rPr>
          <w:sz w:val="24"/>
          <w:szCs w:val="24"/>
          <w:color w:val="auto"/>
        </w:rPr>
      </w:pPr>
    </w:p>
    <w:p>
      <w:pPr>
        <w:ind w:left="3" w:right="34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64" w:lineRule="exact"/>
        <w:rPr>
          <w:sz w:val="24"/>
          <w:szCs w:val="24"/>
          <w:color w:val="auto"/>
        </w:rPr>
      </w:pPr>
    </w:p>
    <w:p>
      <w:pPr>
        <w:jc w:val="center"/>
        <w:ind w:right="-8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383"/>
          </w:cols>
          <w:pgMar w:left="717" w:top="225"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7,151,624</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7,151,624</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7,151,624</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26.1%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Oleg Nodelman</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7,151,624</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7,151,624</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7,151,624</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26.1%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Fund Qualified,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color w:val="auto"/>
        </w:rPr>
        <w:t>______</w:t>
      </w: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WC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6,005,266</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6,005,266</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6,005,266</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21.9%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032724106</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16"/>
          <w:szCs w:val="16"/>
          <w:color w:val="auto"/>
        </w:rPr>
        <w:t>Security and Issuer</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 xml:space="preserve">This statement relates to shares of Common Stock, $0.001 par value (the “Stock”), of </w:t>
      </w:r>
      <w:r>
        <w:rPr>
          <w:rFonts w:ascii="Arial" w:cs="Arial" w:eastAsia="Arial" w:hAnsi="Arial"/>
          <w:sz w:val="20"/>
          <w:szCs w:val="20"/>
          <w:b w:val="1"/>
          <w:bCs w:val="1"/>
          <w:color w:val="auto"/>
        </w:rPr>
        <w:t>AnaptysBio, Inc.</w:t>
      </w:r>
      <w:r>
        <w:rPr>
          <w:rFonts w:ascii="Arial" w:cs="Arial" w:eastAsia="Arial" w:hAnsi="Arial"/>
          <w:sz w:val="20"/>
          <w:szCs w:val="20"/>
          <w:color w:val="auto"/>
        </w:rPr>
        <w:t xml:space="preserve"> (the “Issuer”). The principal executive office of the Issuer is located at </w:t>
      </w:r>
      <w:r>
        <w:rPr>
          <w:rFonts w:ascii="Arial" w:cs="Arial" w:eastAsia="Arial" w:hAnsi="Arial"/>
          <w:sz w:val="20"/>
          <w:szCs w:val="20"/>
          <w:b w:val="1"/>
          <w:bCs w:val="1"/>
          <w:color w:val="auto"/>
        </w:rPr>
        <w:t>10421 Pacific Center Court, Suite 200, San Diego, CA 92121</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Identity and Background</w:t>
      </w:r>
    </w:p>
    <w:p>
      <w:pPr>
        <w:spacing w:after="0" w:line="222" w:lineRule="exact"/>
        <w:rPr>
          <w:sz w:val="20"/>
          <w:szCs w:val="20"/>
          <w:color w:val="auto"/>
        </w:rPr>
      </w:pPr>
    </w:p>
    <w:p>
      <w:pPr>
        <w:ind w:right="80"/>
        <w:spacing w:after="0" w:line="385" w:lineRule="auto"/>
        <w:rPr>
          <w:sz w:val="20"/>
          <w:szCs w:val="20"/>
          <w:color w:val="auto"/>
        </w:rPr>
      </w:pPr>
      <w:r>
        <w:rPr>
          <w:rFonts w:ascii="Arial" w:cs="Arial" w:eastAsia="Arial" w:hAnsi="Arial"/>
          <w:sz w:val="16"/>
          <w:szCs w:val="16"/>
          <w:color w:val="auto"/>
        </w:rPr>
        <w:t>The persons filing this statement and the persons enumerated in Instruction C of Schedule 13D and, where applicable, their respective places of organization, general partners, directors, executive officers and controlling persons, and the information regarding them, are as follows:</w:t>
      </w:r>
    </w:p>
    <w:p>
      <w:pPr>
        <w:spacing w:after="0" w:line="79" w:lineRule="exact"/>
        <w:rPr>
          <w:sz w:val="20"/>
          <w:szCs w:val="20"/>
          <w:color w:val="auto"/>
        </w:rPr>
      </w:pPr>
    </w:p>
    <w:p>
      <w:pPr>
        <w:ind w:left="1300" w:right="720" w:hanging="644"/>
        <w:spacing w:after="0" w:line="267"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EcoR1 Capital Fund Qualified, L.P. (“Qualified Fund”); EcoR1 Capital, LLC (“EcoR1”) and Oleg Nodelman (“Nodelman”) (collectively, the “Filers”).</w:t>
      </w:r>
    </w:p>
    <w:p>
      <w:pPr>
        <w:spacing w:after="0" w:line="176" w:lineRule="exact"/>
        <w:rPr>
          <w:rFonts w:ascii="Arial" w:cs="Arial" w:eastAsia="Arial" w:hAnsi="Arial"/>
          <w:sz w:val="20"/>
          <w:szCs w:val="20"/>
          <w:color w:val="auto"/>
        </w:rPr>
      </w:pPr>
    </w:p>
    <w:p>
      <w:pPr>
        <w:ind w:left="1300" w:right="200"/>
        <w:spacing w:after="0" w:line="265" w:lineRule="auto"/>
        <w:rPr>
          <w:rFonts w:ascii="Arial" w:cs="Arial" w:eastAsia="Arial" w:hAnsi="Arial"/>
          <w:sz w:val="20"/>
          <w:szCs w:val="20"/>
          <w:color w:val="auto"/>
        </w:rPr>
      </w:pPr>
      <w:r>
        <w:rPr>
          <w:rFonts w:ascii="Arial" w:cs="Arial" w:eastAsia="Arial" w:hAnsi="Arial"/>
          <w:sz w:val="19"/>
          <w:szCs w:val="19"/>
          <w:b w:val="1"/>
          <w:bCs w:val="1"/>
          <w:color w:val="auto"/>
        </w:rPr>
        <w:t>Qualified Fund is filing this statement jointly with the other Filers, but not as a member of a group and it expressly disclaims membership in a group. In addition, filing this Schedule 13D on behalf of Qualified Fund should not be construed as an admission that it is, and it disclaims that it is, a beneficial owner, as defined in Rule 13d-3 under the Act, of any of the Stock covered by this Schedule 13D.</w:t>
      </w:r>
    </w:p>
    <w:p>
      <w:pPr>
        <w:spacing w:after="0" w:line="182" w:lineRule="exact"/>
        <w:rPr>
          <w:rFonts w:ascii="Arial" w:cs="Arial" w:eastAsia="Arial" w:hAnsi="Arial"/>
          <w:sz w:val="20"/>
          <w:szCs w:val="20"/>
          <w:color w:val="auto"/>
        </w:rPr>
      </w:pPr>
    </w:p>
    <w:p>
      <w:pPr>
        <w:ind w:left="1300" w:right="38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Each Filer also disclaims beneficial ownership of the Stock except to the extent of that person’s pecuniary interest therein.</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business address of the Filers is</w:t>
      </w:r>
    </w:p>
    <w:p>
      <w:pPr>
        <w:spacing w:after="0" w:line="15"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357 Tehama Street #3, San Francisco, CA 94103</w:t>
      </w:r>
    </w:p>
    <w:p>
      <w:pPr>
        <w:spacing w:after="0" w:line="213" w:lineRule="exact"/>
        <w:rPr>
          <w:rFonts w:ascii="Arial" w:cs="Arial" w:eastAsia="Arial" w:hAnsi="Arial"/>
          <w:sz w:val="20"/>
          <w:szCs w:val="20"/>
          <w:color w:val="auto"/>
        </w:rPr>
      </w:pPr>
    </w:p>
    <w:p>
      <w:pPr>
        <w:ind w:left="1300" w:right="100" w:hanging="644"/>
        <w:spacing w:after="0" w:line="247"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Present principal occupation or employment of the Filers and the name, principal business and address of any corporation or other organization in which such employment is conducted:</w:t>
      </w:r>
    </w:p>
    <w:p>
      <w:pPr>
        <w:spacing w:after="0" w:line="1" w:lineRule="exact"/>
        <w:rPr>
          <w:rFonts w:ascii="Arial" w:cs="Arial" w:eastAsia="Arial" w:hAnsi="Arial"/>
          <w:sz w:val="20"/>
          <w:szCs w:val="20"/>
          <w:color w:val="auto"/>
        </w:rPr>
      </w:pPr>
    </w:p>
    <w:p>
      <w:pPr>
        <w:ind w:left="1300" w:right="700"/>
        <w:spacing w:after="0" w:line="244" w:lineRule="auto"/>
        <w:rPr>
          <w:rFonts w:ascii="Arial" w:cs="Arial" w:eastAsia="Arial" w:hAnsi="Arial"/>
          <w:sz w:val="20"/>
          <w:szCs w:val="20"/>
          <w:color w:val="auto"/>
        </w:rPr>
      </w:pPr>
      <w:r>
        <w:rPr>
          <w:rFonts w:ascii="Arial" w:cs="Arial" w:eastAsia="Arial" w:hAnsi="Arial"/>
          <w:sz w:val="20"/>
          <w:szCs w:val="20"/>
          <w:b w:val="1"/>
          <w:bCs w:val="1"/>
          <w:color w:val="auto"/>
        </w:rPr>
        <w:t>EcoR1 is an investment adviser to investment funds, including Qualified Fund (collectively, the “Funds”). Mr. Nodelman is the manager and control person of EcoR1.</w:t>
      </w:r>
    </w:p>
    <w:p>
      <w:pPr>
        <w:spacing w:after="0" w:line="204" w:lineRule="exact"/>
        <w:rPr>
          <w:rFonts w:ascii="Arial" w:cs="Arial" w:eastAsia="Arial" w:hAnsi="Arial"/>
          <w:sz w:val="20"/>
          <w:szCs w:val="20"/>
          <w:color w:val="auto"/>
        </w:rPr>
      </w:pPr>
    </w:p>
    <w:p>
      <w:pPr>
        <w:ind w:left="1300" w:right="440" w:hanging="644"/>
        <w:spacing w:after="0" w:line="260"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During the last five years, none of the Filers has been convicted in a criminal proceeding (excluding traffic violations or similar misdemeanors).</w:t>
      </w:r>
    </w:p>
    <w:p>
      <w:pPr>
        <w:spacing w:after="0" w:line="176" w:lineRule="exact"/>
        <w:rPr>
          <w:rFonts w:ascii="Arial" w:cs="Arial" w:eastAsia="Arial" w:hAnsi="Arial"/>
          <w:sz w:val="20"/>
          <w:szCs w:val="20"/>
          <w:color w:val="auto"/>
        </w:rPr>
      </w:pPr>
    </w:p>
    <w:p>
      <w:pPr>
        <w:ind w:left="1300" w:right="140" w:hanging="644"/>
        <w:spacing w:after="0" w:line="246"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During the last five years, none of the Filers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4"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For citizenship of the Filers, see Item 6 of each Filer’s cover page.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032724106</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source and amount of funds used in purchasing the Stock were as follows:</w:t>
      </w: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2340" w:type="dxa"/>
            <w:vAlign w:val="bottom"/>
          </w:tcPr>
          <w:p>
            <w:pPr>
              <w:spacing w:after="0"/>
              <w:rPr>
                <w:sz w:val="20"/>
                <w:szCs w:val="20"/>
                <w:color w:val="auto"/>
              </w:rPr>
            </w:pPr>
            <w:r>
              <w:rPr>
                <w:rFonts w:ascii="Arial" w:cs="Arial" w:eastAsia="Arial" w:hAnsi="Arial"/>
                <w:sz w:val="20"/>
                <w:szCs w:val="20"/>
                <w:b w:val="1"/>
                <w:bCs w:val="1"/>
                <w:color w:val="auto"/>
              </w:rPr>
              <w:t>Purchaser</w:t>
            </w:r>
          </w:p>
        </w:tc>
        <w:tc>
          <w:tcPr>
            <w:tcW w:w="4060" w:type="dxa"/>
            <w:vAlign w:val="bottom"/>
          </w:tcPr>
          <w:p>
            <w:pPr>
              <w:ind w:left="1480"/>
              <w:spacing w:after="0"/>
              <w:rPr>
                <w:sz w:val="20"/>
                <w:szCs w:val="20"/>
                <w:color w:val="auto"/>
              </w:rPr>
            </w:pPr>
            <w:r>
              <w:rPr>
                <w:rFonts w:ascii="Arial" w:cs="Arial" w:eastAsia="Arial" w:hAnsi="Arial"/>
                <w:sz w:val="20"/>
                <w:szCs w:val="20"/>
                <w:b w:val="1"/>
                <w:bCs w:val="1"/>
                <w:color w:val="auto"/>
              </w:rPr>
              <w:t>Source of Funds</w:t>
            </w:r>
          </w:p>
        </w:tc>
        <w:tc>
          <w:tcPr>
            <w:tcW w:w="2300" w:type="dxa"/>
            <w:vAlign w:val="bottom"/>
          </w:tcPr>
          <w:p>
            <w:pPr>
              <w:ind w:left="1140"/>
              <w:spacing w:after="0"/>
              <w:rPr>
                <w:sz w:val="20"/>
                <w:szCs w:val="20"/>
                <w:color w:val="auto"/>
              </w:rPr>
            </w:pPr>
            <w:r>
              <w:rPr>
                <w:rFonts w:ascii="Arial" w:cs="Arial" w:eastAsia="Arial" w:hAnsi="Arial"/>
                <w:sz w:val="20"/>
                <w:szCs w:val="20"/>
                <w:b w:val="1"/>
                <w:bCs w:val="1"/>
                <w:color w:val="auto"/>
              </w:rPr>
              <w:t>Amount</w:t>
            </w:r>
          </w:p>
        </w:tc>
      </w:tr>
      <w:tr>
        <w:trPr>
          <w:trHeight w:val="642"/>
        </w:trPr>
        <w:tc>
          <w:tcPr>
            <w:tcW w:w="2340" w:type="dxa"/>
            <w:vAlign w:val="bottom"/>
          </w:tcPr>
          <w:p>
            <w:pPr>
              <w:spacing w:after="0"/>
              <w:rPr>
                <w:sz w:val="20"/>
                <w:szCs w:val="20"/>
                <w:color w:val="auto"/>
              </w:rPr>
            </w:pPr>
            <w:r>
              <w:rPr>
                <w:rFonts w:ascii="Arial" w:cs="Arial" w:eastAsia="Arial" w:hAnsi="Arial"/>
                <w:sz w:val="20"/>
                <w:szCs w:val="20"/>
                <w:b w:val="1"/>
                <w:bCs w:val="1"/>
                <w:color w:val="auto"/>
              </w:rPr>
              <w:t>the Funds</w:t>
            </w:r>
          </w:p>
        </w:tc>
        <w:tc>
          <w:tcPr>
            <w:tcW w:w="4060" w:type="dxa"/>
            <w:vAlign w:val="bottom"/>
          </w:tcPr>
          <w:p>
            <w:pPr>
              <w:ind w:left="1480"/>
              <w:spacing w:after="0"/>
              <w:rPr>
                <w:sz w:val="20"/>
                <w:szCs w:val="20"/>
                <w:color w:val="auto"/>
              </w:rPr>
            </w:pPr>
            <w:r>
              <w:rPr>
                <w:rFonts w:ascii="Arial" w:cs="Arial" w:eastAsia="Arial" w:hAnsi="Arial"/>
                <w:sz w:val="20"/>
                <w:szCs w:val="20"/>
                <w:b w:val="1"/>
                <w:bCs w:val="1"/>
                <w:color w:val="auto"/>
              </w:rPr>
              <w:t>Working Capital</w:t>
            </w:r>
          </w:p>
        </w:tc>
        <w:tc>
          <w:tcPr>
            <w:tcW w:w="2300" w:type="dxa"/>
            <w:vAlign w:val="bottom"/>
          </w:tcPr>
          <w:p>
            <w:pPr>
              <w:ind w:left="1140"/>
              <w:spacing w:after="0"/>
              <w:rPr>
                <w:sz w:val="20"/>
                <w:szCs w:val="20"/>
                <w:color w:val="auto"/>
              </w:rPr>
            </w:pPr>
            <w:r>
              <w:rPr>
                <w:rFonts w:ascii="Arial" w:cs="Arial" w:eastAsia="Arial" w:hAnsi="Arial"/>
                <w:sz w:val="20"/>
                <w:szCs w:val="20"/>
                <w:b w:val="1"/>
                <w:bCs w:val="1"/>
                <w:color w:val="auto"/>
                <w:w w:val="84"/>
              </w:rPr>
              <w:t>$116,356,154</w:t>
            </w:r>
            <w:r>
              <w:rPr>
                <w:rFonts w:ascii="Arial" w:cs="Arial" w:eastAsia="Arial" w:hAnsi="Arial"/>
                <w:sz w:val="32"/>
                <w:szCs w:val="32"/>
                <w:b w:val="1"/>
                <w:bCs w:val="1"/>
                <w:color w:val="auto"/>
                <w:w w:val="84"/>
                <w:vertAlign w:val="superscript"/>
              </w:rPr>
              <w:t>1</w:t>
            </w:r>
          </w:p>
        </w:tc>
      </w:tr>
    </w:tbl>
    <w:p>
      <w:pPr>
        <w:spacing w:after="0" w:line="4" w:lineRule="exact"/>
        <w:rPr>
          <w:sz w:val="20"/>
          <w:szCs w:val="20"/>
          <w:color w:val="auto"/>
        </w:rPr>
      </w:pPr>
    </w:p>
    <w:p>
      <w:pPr>
        <w:ind w:left="140" w:hanging="132"/>
        <w:spacing w:after="0"/>
        <w:tabs>
          <w:tab w:leader="none" w:pos="140" w:val="left"/>
        </w:tabs>
        <w:numPr>
          <w:ilvl w:val="0"/>
          <w:numId w:val="9"/>
        </w:numPr>
        <w:rPr>
          <w:rFonts w:ascii="Arial" w:cs="Arial" w:eastAsia="Arial" w:hAnsi="Arial"/>
          <w:sz w:val="33"/>
          <w:szCs w:val="33"/>
          <w:color w:val="auto"/>
          <w:vertAlign w:val="superscript"/>
        </w:rPr>
      </w:pPr>
      <w:r>
        <w:rPr>
          <w:rFonts w:ascii="Arial" w:cs="Arial" w:eastAsia="Arial" w:hAnsi="Arial"/>
          <w:sz w:val="20"/>
          <w:szCs w:val="20"/>
          <w:color w:val="auto"/>
        </w:rPr>
        <w:t>Includes $97,508,218 paid by Qualified Fund.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Filers acquired the Stock for investment purposes based on their belief that the Stock, when purchased, was undervalued and represented an attractive investment opportunity. The Filers will routinely monitor the Issuer regarding a wide variety of factors that affect their investment considerations, including, current and anticipated future trading prices of the Stock and other securities, the Issuer’s operations, assets, prospects, financial position, and business development, Issuer’s management, Issuer-related competitive and strategic matters, general economic, financial market and industry conditions, and other investment considerations. Depending on their evaluation of various factors, the Filers may take such actions regarding their holdings of the Issuer’s securities as they deem appropriate in light of circumstances existing from time to time. Such actions may include purchasing additional Stock in the open market, through privately negotiated transactions with third parties or otherwise, and selling at any time, in the open market, through privately negotiated transactions with third parties or otherwise, all or part of the Stock that they now own or hereafter acquire. The Filers also may from time to time enter into or unwind hedging or other derivative transactions with respect to the Stock or pledge their interests in the Stock to obtain liquidity. In addition, from time to time the Filers and their representatives and advisers may communicate with other stockholders, industry participants and other interested parties about the Issuer.</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Filers have no present plan or proposal that relates to or would result in any of the actions specified in clauses (a) through (j) of Item 4 of Schedule 13D. However, the Filers may recommend action to the Issuer’s management, board of directors and stockholders. Any such actions could involve one or more of the events referred to in clauses (a) through (j) of Item 4 of Schedule 13D, including, potentially, one or more mergers, consolidations, sales or acquisitions of assets, changes in control, issuances, purchases, dispositions or pledges of securities or other changes in capitalization.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2"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The beneficial ownership of the Stock by each Filer on the date hereof is reflected on that Filer’s cover page. The Filers engaged in the following transactions in the Issuer’s Stock in the 60 days preceding the date of this Schedule 13D:</w:t>
      </w:r>
    </w:p>
    <w:p>
      <w:pPr>
        <w:spacing w:after="0" w:line="17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20"/>
                <w:szCs w:val="20"/>
                <w:color w:val="auto"/>
              </w:rPr>
              <w:t>Name</w:t>
            </w:r>
          </w:p>
        </w:tc>
        <w:tc>
          <w:tcPr>
            <w:tcW w:w="1620" w:type="dxa"/>
            <w:vAlign w:val="bottom"/>
          </w:tcPr>
          <w:p>
            <w:pPr>
              <w:ind w:left="760"/>
              <w:spacing w:after="0"/>
              <w:rPr>
                <w:sz w:val="20"/>
                <w:szCs w:val="20"/>
                <w:color w:val="auto"/>
              </w:rPr>
            </w:pPr>
            <w:r>
              <w:rPr>
                <w:rFonts w:ascii="Arial" w:cs="Arial" w:eastAsia="Arial" w:hAnsi="Arial"/>
                <w:sz w:val="20"/>
                <w:szCs w:val="20"/>
                <w:color w:val="auto"/>
                <w:w w:val="99"/>
              </w:rPr>
              <w:t>Purchase</w:t>
            </w:r>
          </w:p>
        </w:tc>
        <w:tc>
          <w:tcPr>
            <w:tcW w:w="1740" w:type="dxa"/>
            <w:vAlign w:val="bottom"/>
          </w:tcPr>
          <w:p>
            <w:pPr>
              <w:ind w:left="120"/>
              <w:spacing w:after="0"/>
              <w:rPr>
                <w:sz w:val="20"/>
                <w:szCs w:val="20"/>
                <w:color w:val="auto"/>
              </w:rPr>
            </w:pPr>
            <w:r>
              <w:rPr>
                <w:rFonts w:ascii="Arial" w:cs="Arial" w:eastAsia="Arial" w:hAnsi="Arial"/>
                <w:sz w:val="20"/>
                <w:szCs w:val="20"/>
                <w:color w:val="auto"/>
              </w:rPr>
              <w:t>or  Date</w:t>
            </w:r>
          </w:p>
        </w:tc>
        <w:tc>
          <w:tcPr>
            <w:tcW w:w="2120" w:type="dxa"/>
            <w:vAlign w:val="bottom"/>
          </w:tcPr>
          <w:p>
            <w:pPr>
              <w:ind w:left="440"/>
              <w:spacing w:after="0"/>
              <w:rPr>
                <w:sz w:val="20"/>
                <w:szCs w:val="20"/>
                <w:color w:val="auto"/>
              </w:rPr>
            </w:pPr>
            <w:r>
              <w:rPr>
                <w:rFonts w:ascii="Arial" w:cs="Arial" w:eastAsia="Arial" w:hAnsi="Arial"/>
                <w:sz w:val="20"/>
                <w:szCs w:val="20"/>
                <w:color w:val="auto"/>
              </w:rPr>
              <w:t>Manner Effected</w:t>
            </w:r>
          </w:p>
        </w:tc>
        <w:tc>
          <w:tcPr>
            <w:tcW w:w="1960" w:type="dxa"/>
            <w:vAlign w:val="bottom"/>
          </w:tcPr>
          <w:p>
            <w:pPr>
              <w:ind w:left="360"/>
              <w:spacing w:after="0"/>
              <w:rPr>
                <w:sz w:val="20"/>
                <w:szCs w:val="20"/>
                <w:color w:val="auto"/>
              </w:rPr>
            </w:pPr>
            <w:r>
              <w:rPr>
                <w:rFonts w:ascii="Arial" w:cs="Arial" w:eastAsia="Arial" w:hAnsi="Arial"/>
                <w:sz w:val="20"/>
                <w:szCs w:val="20"/>
                <w:color w:val="auto"/>
                <w:w w:val="97"/>
              </w:rPr>
              <w:t>Number of Shares</w:t>
            </w:r>
          </w:p>
        </w:tc>
        <w:tc>
          <w:tcPr>
            <w:tcW w:w="1400" w:type="dxa"/>
            <w:vAlign w:val="bottom"/>
          </w:tcPr>
          <w:p>
            <w:pPr>
              <w:ind w:left="180"/>
              <w:spacing w:after="0"/>
              <w:rPr>
                <w:sz w:val="20"/>
                <w:szCs w:val="20"/>
                <w:color w:val="auto"/>
              </w:rPr>
            </w:pPr>
            <w:r>
              <w:rPr>
                <w:rFonts w:ascii="Arial" w:cs="Arial" w:eastAsia="Arial" w:hAnsi="Arial"/>
                <w:sz w:val="20"/>
                <w:szCs w:val="20"/>
                <w:color w:val="auto"/>
                <w:w w:val="84"/>
              </w:rPr>
              <w:t>Price Per Share</w:t>
            </w:r>
          </w:p>
        </w:tc>
      </w:tr>
      <w:tr>
        <w:trPr>
          <w:trHeight w:val="230"/>
        </w:trPr>
        <w:tc>
          <w:tcPr>
            <w:tcW w:w="1600" w:type="dxa"/>
            <w:vAlign w:val="bottom"/>
          </w:tcPr>
          <w:p>
            <w:pPr>
              <w:spacing w:after="0"/>
              <w:rPr>
                <w:sz w:val="19"/>
                <w:szCs w:val="19"/>
                <w:color w:val="auto"/>
              </w:rPr>
            </w:pPr>
          </w:p>
        </w:tc>
        <w:tc>
          <w:tcPr>
            <w:tcW w:w="1620" w:type="dxa"/>
            <w:vAlign w:val="bottom"/>
          </w:tcPr>
          <w:p>
            <w:pPr>
              <w:ind w:left="760"/>
              <w:spacing w:after="0"/>
              <w:rPr>
                <w:sz w:val="20"/>
                <w:szCs w:val="20"/>
                <w:color w:val="auto"/>
              </w:rPr>
            </w:pPr>
            <w:r>
              <w:rPr>
                <w:rFonts w:ascii="Arial" w:cs="Arial" w:eastAsia="Arial" w:hAnsi="Arial"/>
                <w:sz w:val="20"/>
                <w:szCs w:val="20"/>
                <w:color w:val="auto"/>
              </w:rPr>
              <w:t>Sale</w:t>
            </w:r>
          </w:p>
        </w:tc>
        <w:tc>
          <w:tcPr>
            <w:tcW w:w="17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20"/>
                <w:szCs w:val="20"/>
                <w:color w:val="auto"/>
              </w:rPr>
              <w:t>The Funds</w:t>
            </w:r>
          </w:p>
        </w:tc>
        <w:tc>
          <w:tcPr>
            <w:tcW w:w="1620" w:type="dxa"/>
            <w:vAlign w:val="bottom"/>
          </w:tcPr>
          <w:p>
            <w:pPr>
              <w:ind w:left="760"/>
              <w:spacing w:after="0"/>
              <w:rPr>
                <w:sz w:val="20"/>
                <w:szCs w:val="20"/>
                <w:color w:val="auto"/>
              </w:rPr>
            </w:pPr>
            <w:r>
              <w:rPr>
                <w:rFonts w:ascii="Arial" w:cs="Arial" w:eastAsia="Arial" w:hAnsi="Arial"/>
                <w:sz w:val="20"/>
                <w:szCs w:val="20"/>
                <w:color w:val="auto"/>
                <w:w w:val="99"/>
              </w:rPr>
              <w:t>Purchase</w:t>
            </w:r>
          </w:p>
        </w:tc>
        <w:tc>
          <w:tcPr>
            <w:tcW w:w="1740" w:type="dxa"/>
            <w:vAlign w:val="bottom"/>
          </w:tcPr>
          <w:p>
            <w:pPr>
              <w:ind w:left="500"/>
              <w:spacing w:after="0"/>
              <w:rPr>
                <w:sz w:val="20"/>
                <w:szCs w:val="20"/>
                <w:color w:val="auto"/>
              </w:rPr>
            </w:pPr>
            <w:r>
              <w:rPr>
                <w:rFonts w:ascii="Arial" w:cs="Arial" w:eastAsia="Arial" w:hAnsi="Arial"/>
                <w:sz w:val="20"/>
                <w:szCs w:val="20"/>
                <w:color w:val="auto"/>
              </w:rPr>
              <w:t>2/23/2021</w:t>
            </w:r>
          </w:p>
        </w:tc>
        <w:tc>
          <w:tcPr>
            <w:tcW w:w="2120" w:type="dxa"/>
            <w:vAlign w:val="bottom"/>
          </w:tcPr>
          <w:p>
            <w:pPr>
              <w:ind w:left="440"/>
              <w:spacing w:after="0"/>
              <w:rPr>
                <w:sz w:val="20"/>
                <w:szCs w:val="20"/>
                <w:color w:val="auto"/>
              </w:rPr>
            </w:pPr>
            <w:r>
              <w:rPr>
                <w:rFonts w:ascii="Arial" w:cs="Arial" w:eastAsia="Arial" w:hAnsi="Arial"/>
                <w:sz w:val="20"/>
                <w:szCs w:val="20"/>
                <w:color w:val="auto"/>
              </w:rPr>
              <w:t>Public Market</w:t>
            </w:r>
          </w:p>
        </w:tc>
        <w:tc>
          <w:tcPr>
            <w:tcW w:w="1960" w:type="dxa"/>
            <w:vAlign w:val="bottom"/>
          </w:tcPr>
          <w:p>
            <w:pPr>
              <w:ind w:left="360"/>
              <w:spacing w:after="0" w:line="283" w:lineRule="exact"/>
              <w:rPr>
                <w:sz w:val="20"/>
                <w:szCs w:val="20"/>
                <w:color w:val="auto"/>
              </w:rPr>
            </w:pPr>
            <w:r>
              <w:rPr>
                <w:rFonts w:ascii="Arial" w:cs="Arial" w:eastAsia="Arial" w:hAnsi="Arial"/>
                <w:sz w:val="20"/>
                <w:szCs w:val="20"/>
                <w:color w:val="auto"/>
              </w:rPr>
              <w:t>29,500</w:t>
            </w:r>
            <w:r>
              <w:rPr>
                <w:rFonts w:ascii="Arial" w:cs="Arial" w:eastAsia="Arial" w:hAnsi="Arial"/>
                <w:sz w:val="32"/>
                <w:szCs w:val="32"/>
                <w:color w:val="auto"/>
                <w:vertAlign w:val="superscript"/>
              </w:rPr>
              <w:t>1</w:t>
            </w:r>
          </w:p>
        </w:tc>
        <w:tc>
          <w:tcPr>
            <w:tcW w:w="1400" w:type="dxa"/>
            <w:vAlign w:val="bottom"/>
          </w:tcPr>
          <w:p>
            <w:pPr>
              <w:ind w:left="180"/>
              <w:spacing w:after="0"/>
              <w:rPr>
                <w:sz w:val="20"/>
                <w:szCs w:val="20"/>
                <w:color w:val="auto"/>
              </w:rPr>
            </w:pPr>
            <w:r>
              <w:rPr>
                <w:rFonts w:ascii="Arial" w:cs="Arial" w:eastAsia="Arial" w:hAnsi="Arial"/>
                <w:sz w:val="20"/>
                <w:szCs w:val="20"/>
                <w:color w:val="auto"/>
              </w:rPr>
              <w:t>$25.4799</w:t>
            </w:r>
          </w:p>
        </w:tc>
      </w:tr>
      <w:tr>
        <w:trPr>
          <w:trHeight w:val="283"/>
        </w:trPr>
        <w:tc>
          <w:tcPr>
            <w:tcW w:w="1600" w:type="dxa"/>
            <w:vAlign w:val="bottom"/>
          </w:tcPr>
          <w:p>
            <w:pPr>
              <w:spacing w:after="0"/>
              <w:rPr>
                <w:sz w:val="20"/>
                <w:szCs w:val="20"/>
                <w:color w:val="auto"/>
              </w:rPr>
            </w:pPr>
            <w:r>
              <w:rPr>
                <w:rFonts w:ascii="Arial" w:cs="Arial" w:eastAsia="Arial" w:hAnsi="Arial"/>
                <w:sz w:val="20"/>
                <w:szCs w:val="20"/>
                <w:color w:val="auto"/>
              </w:rPr>
              <w:t>The Funds</w:t>
            </w:r>
          </w:p>
        </w:tc>
        <w:tc>
          <w:tcPr>
            <w:tcW w:w="1620" w:type="dxa"/>
            <w:vAlign w:val="bottom"/>
          </w:tcPr>
          <w:p>
            <w:pPr>
              <w:ind w:left="760"/>
              <w:spacing w:after="0"/>
              <w:rPr>
                <w:sz w:val="20"/>
                <w:szCs w:val="20"/>
                <w:color w:val="auto"/>
              </w:rPr>
            </w:pPr>
            <w:r>
              <w:rPr>
                <w:rFonts w:ascii="Arial" w:cs="Arial" w:eastAsia="Arial" w:hAnsi="Arial"/>
                <w:sz w:val="20"/>
                <w:szCs w:val="20"/>
                <w:color w:val="auto"/>
                <w:w w:val="99"/>
              </w:rPr>
              <w:t>Purchase</w:t>
            </w:r>
          </w:p>
        </w:tc>
        <w:tc>
          <w:tcPr>
            <w:tcW w:w="1740" w:type="dxa"/>
            <w:vAlign w:val="bottom"/>
          </w:tcPr>
          <w:p>
            <w:pPr>
              <w:ind w:left="500"/>
              <w:spacing w:after="0"/>
              <w:rPr>
                <w:sz w:val="20"/>
                <w:szCs w:val="20"/>
                <w:color w:val="auto"/>
              </w:rPr>
            </w:pPr>
            <w:r>
              <w:rPr>
                <w:rFonts w:ascii="Arial" w:cs="Arial" w:eastAsia="Arial" w:hAnsi="Arial"/>
                <w:sz w:val="20"/>
                <w:szCs w:val="20"/>
                <w:color w:val="auto"/>
              </w:rPr>
              <w:t>3/8/2021</w:t>
            </w:r>
          </w:p>
        </w:tc>
        <w:tc>
          <w:tcPr>
            <w:tcW w:w="2120" w:type="dxa"/>
            <w:vAlign w:val="bottom"/>
          </w:tcPr>
          <w:p>
            <w:pPr>
              <w:ind w:left="440"/>
              <w:spacing w:after="0"/>
              <w:rPr>
                <w:sz w:val="20"/>
                <w:szCs w:val="20"/>
                <w:color w:val="auto"/>
              </w:rPr>
            </w:pPr>
            <w:r>
              <w:rPr>
                <w:rFonts w:ascii="Arial" w:cs="Arial" w:eastAsia="Arial" w:hAnsi="Arial"/>
                <w:sz w:val="20"/>
                <w:szCs w:val="20"/>
                <w:color w:val="auto"/>
              </w:rPr>
              <w:t>Public Market</w:t>
            </w:r>
          </w:p>
        </w:tc>
        <w:tc>
          <w:tcPr>
            <w:tcW w:w="1960" w:type="dxa"/>
            <w:vAlign w:val="bottom"/>
          </w:tcPr>
          <w:p>
            <w:pPr>
              <w:ind w:left="360"/>
              <w:spacing w:after="0" w:line="283" w:lineRule="exact"/>
              <w:rPr>
                <w:sz w:val="20"/>
                <w:szCs w:val="20"/>
                <w:color w:val="auto"/>
              </w:rPr>
            </w:pPr>
            <w:r>
              <w:rPr>
                <w:rFonts w:ascii="Arial" w:cs="Arial" w:eastAsia="Arial" w:hAnsi="Arial"/>
                <w:sz w:val="20"/>
                <w:szCs w:val="20"/>
                <w:color w:val="auto"/>
              </w:rPr>
              <w:t>2,777,800</w:t>
            </w:r>
            <w:r>
              <w:rPr>
                <w:rFonts w:ascii="Arial" w:cs="Arial" w:eastAsia="Arial" w:hAnsi="Arial"/>
                <w:sz w:val="32"/>
                <w:szCs w:val="32"/>
                <w:color w:val="auto"/>
                <w:vertAlign w:val="superscript"/>
              </w:rPr>
              <w:t>2</w:t>
            </w:r>
          </w:p>
        </w:tc>
        <w:tc>
          <w:tcPr>
            <w:tcW w:w="1400" w:type="dxa"/>
            <w:vAlign w:val="bottom"/>
          </w:tcPr>
          <w:p>
            <w:pPr>
              <w:ind w:left="180"/>
              <w:spacing w:after="0"/>
              <w:rPr>
                <w:sz w:val="20"/>
                <w:szCs w:val="20"/>
                <w:color w:val="auto"/>
              </w:rPr>
            </w:pPr>
            <w:r>
              <w:rPr>
                <w:rFonts w:ascii="Arial" w:cs="Arial" w:eastAsia="Arial" w:hAnsi="Arial"/>
                <w:sz w:val="20"/>
                <w:szCs w:val="20"/>
                <w:color w:val="auto"/>
              </w:rPr>
              <w:t>$18.9698</w:t>
            </w:r>
          </w:p>
        </w:tc>
      </w:tr>
      <w:tr>
        <w:trPr>
          <w:trHeight w:val="434"/>
        </w:trPr>
        <w:tc>
          <w:tcPr>
            <w:tcW w:w="1600" w:type="dxa"/>
            <w:vAlign w:val="bottom"/>
          </w:tcPr>
          <w:p>
            <w:pPr>
              <w:spacing w:after="0"/>
              <w:rPr>
                <w:sz w:val="20"/>
                <w:szCs w:val="20"/>
                <w:color w:val="auto"/>
              </w:rPr>
            </w:pPr>
            <w:r>
              <w:rPr>
                <w:rFonts w:ascii="Arial" w:cs="Arial" w:eastAsia="Arial" w:hAnsi="Arial"/>
                <w:sz w:val="20"/>
                <w:szCs w:val="20"/>
                <w:color w:val="auto"/>
              </w:rPr>
              <w:t>The Funds</w:t>
            </w:r>
          </w:p>
        </w:tc>
        <w:tc>
          <w:tcPr>
            <w:tcW w:w="1620" w:type="dxa"/>
            <w:vAlign w:val="bottom"/>
          </w:tcPr>
          <w:p>
            <w:pPr>
              <w:ind w:left="760"/>
              <w:spacing w:after="0"/>
              <w:rPr>
                <w:sz w:val="20"/>
                <w:szCs w:val="20"/>
                <w:color w:val="auto"/>
              </w:rPr>
            </w:pPr>
            <w:r>
              <w:rPr>
                <w:rFonts w:ascii="Arial" w:cs="Arial" w:eastAsia="Arial" w:hAnsi="Arial"/>
                <w:sz w:val="20"/>
                <w:szCs w:val="20"/>
                <w:color w:val="auto"/>
                <w:w w:val="99"/>
              </w:rPr>
              <w:t>Purchase</w:t>
            </w:r>
          </w:p>
        </w:tc>
        <w:tc>
          <w:tcPr>
            <w:tcW w:w="1740" w:type="dxa"/>
            <w:vAlign w:val="bottom"/>
          </w:tcPr>
          <w:p>
            <w:pPr>
              <w:ind w:left="500"/>
              <w:spacing w:after="0"/>
              <w:rPr>
                <w:sz w:val="20"/>
                <w:szCs w:val="20"/>
                <w:color w:val="auto"/>
              </w:rPr>
            </w:pPr>
            <w:r>
              <w:rPr>
                <w:rFonts w:ascii="Arial" w:cs="Arial" w:eastAsia="Arial" w:hAnsi="Arial"/>
                <w:sz w:val="20"/>
                <w:szCs w:val="20"/>
                <w:color w:val="auto"/>
              </w:rPr>
              <w:t>3/9/2021</w:t>
            </w:r>
          </w:p>
        </w:tc>
        <w:tc>
          <w:tcPr>
            <w:tcW w:w="2120" w:type="dxa"/>
            <w:vAlign w:val="bottom"/>
          </w:tcPr>
          <w:p>
            <w:pPr>
              <w:ind w:left="440"/>
              <w:spacing w:after="0"/>
              <w:rPr>
                <w:sz w:val="20"/>
                <w:szCs w:val="20"/>
                <w:color w:val="auto"/>
              </w:rPr>
            </w:pPr>
            <w:r>
              <w:rPr>
                <w:rFonts w:ascii="Arial" w:cs="Arial" w:eastAsia="Arial" w:hAnsi="Arial"/>
                <w:sz w:val="20"/>
                <w:szCs w:val="20"/>
                <w:color w:val="auto"/>
              </w:rPr>
              <w:t>Public Market</w:t>
            </w:r>
          </w:p>
        </w:tc>
        <w:tc>
          <w:tcPr>
            <w:tcW w:w="1960" w:type="dxa"/>
            <w:vAlign w:val="bottom"/>
          </w:tcPr>
          <w:p>
            <w:pPr>
              <w:ind w:left="360"/>
              <w:spacing w:after="0"/>
              <w:rPr>
                <w:sz w:val="20"/>
                <w:szCs w:val="20"/>
                <w:color w:val="auto"/>
              </w:rPr>
            </w:pPr>
            <w:r>
              <w:rPr>
                <w:rFonts w:ascii="Arial" w:cs="Arial" w:eastAsia="Arial" w:hAnsi="Arial"/>
                <w:sz w:val="20"/>
                <w:szCs w:val="20"/>
                <w:color w:val="auto"/>
              </w:rPr>
              <w:t>531,000</w:t>
            </w:r>
            <w:r>
              <w:rPr>
                <w:rFonts w:ascii="Arial" w:cs="Arial" w:eastAsia="Arial" w:hAnsi="Arial"/>
                <w:sz w:val="32"/>
                <w:szCs w:val="32"/>
                <w:color w:val="auto"/>
                <w:vertAlign w:val="superscript"/>
              </w:rPr>
              <w:t>3</w:t>
            </w:r>
          </w:p>
        </w:tc>
        <w:tc>
          <w:tcPr>
            <w:tcW w:w="1400" w:type="dxa"/>
            <w:vAlign w:val="bottom"/>
          </w:tcPr>
          <w:p>
            <w:pPr>
              <w:ind w:left="180"/>
              <w:spacing w:after="0"/>
              <w:rPr>
                <w:sz w:val="20"/>
                <w:szCs w:val="20"/>
                <w:color w:val="auto"/>
              </w:rPr>
            </w:pPr>
            <w:r>
              <w:rPr>
                <w:rFonts w:ascii="Arial" w:cs="Arial" w:eastAsia="Arial" w:hAnsi="Arial"/>
                <w:sz w:val="20"/>
                <w:szCs w:val="20"/>
                <w:color w:val="auto"/>
              </w:rPr>
              <w:t>$18.6976</w:t>
            </w:r>
          </w:p>
        </w:tc>
      </w:tr>
    </w:tbl>
    <w:p>
      <w:pPr>
        <w:spacing w:after="0" w:line="2"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33"/>
          <w:szCs w:val="33"/>
          <w:color w:val="auto"/>
          <w:vertAlign w:val="superscript"/>
        </w:rPr>
      </w:pPr>
      <w:r>
        <w:rPr>
          <w:rFonts w:ascii="Arial" w:cs="Arial" w:eastAsia="Arial" w:hAnsi="Arial"/>
          <w:sz w:val="20"/>
          <w:szCs w:val="20"/>
          <w:color w:val="auto"/>
        </w:rPr>
        <w:t>Includes 13,862 shares of the Stock purchased by Qualified Fund.</w:t>
      </w:r>
    </w:p>
    <w:p>
      <w:pPr>
        <w:ind w:left="140" w:hanging="132"/>
        <w:spacing w:after="0" w:line="180" w:lineRule="auto"/>
        <w:tabs>
          <w:tab w:leader="none" w:pos="140" w:val="left"/>
        </w:tabs>
        <w:numPr>
          <w:ilvl w:val="0"/>
          <w:numId w:val="11"/>
        </w:numPr>
        <w:rPr>
          <w:rFonts w:ascii="Arial" w:cs="Arial" w:eastAsia="Arial" w:hAnsi="Arial"/>
          <w:sz w:val="33"/>
          <w:szCs w:val="33"/>
          <w:color w:val="auto"/>
          <w:vertAlign w:val="superscript"/>
        </w:rPr>
      </w:pPr>
      <w:r>
        <w:rPr>
          <w:rFonts w:ascii="Arial" w:cs="Arial" w:eastAsia="Arial" w:hAnsi="Arial"/>
          <w:sz w:val="20"/>
          <w:szCs w:val="20"/>
          <w:color w:val="auto"/>
        </w:rPr>
        <w:t>Includes 2,333,073 shares of the Stock purchased by Qualified Fund.</w:t>
      </w:r>
    </w:p>
    <w:p>
      <w:pPr>
        <w:spacing w:after="0" w:line="50" w:lineRule="exact"/>
        <w:rPr>
          <w:rFonts w:ascii="Arial" w:cs="Arial" w:eastAsia="Arial" w:hAnsi="Arial"/>
          <w:sz w:val="33"/>
          <w:szCs w:val="33"/>
          <w:color w:val="auto"/>
          <w:vertAlign w:val="superscript"/>
        </w:rPr>
      </w:pPr>
    </w:p>
    <w:p>
      <w:pPr>
        <w:spacing w:after="0" w:line="237" w:lineRule="auto"/>
        <w:rPr>
          <w:rFonts w:ascii="Arial" w:cs="Arial" w:eastAsia="Arial" w:hAnsi="Arial"/>
          <w:sz w:val="33"/>
          <w:szCs w:val="33"/>
          <w:color w:val="auto"/>
          <w:vertAlign w:val="superscript"/>
        </w:rPr>
      </w:pPr>
      <w:r>
        <w:rPr>
          <w:rFonts w:ascii="Arial" w:cs="Arial" w:eastAsia="Arial" w:hAnsi="Arial"/>
          <w:sz w:val="32"/>
          <w:szCs w:val="32"/>
          <w:color w:val="auto"/>
          <w:vertAlign w:val="superscript"/>
        </w:rPr>
        <w:t>3</w:t>
      </w:r>
      <w:r>
        <w:rPr>
          <w:rFonts w:ascii="Arial" w:cs="Arial" w:eastAsia="Arial" w:hAnsi="Arial"/>
          <w:sz w:val="20"/>
          <w:szCs w:val="20"/>
          <w:color w:val="auto"/>
        </w:rPr>
        <w:t xml:space="preserve"> Includes 445,987 shares of the Stock purchased by Qualified Fund.</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Contracts, Arrangement, Understandings or Relationships with Respect to Securities of the Issuer</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EcoR1 is the investment adviser to its clients pursuant to investment management agreements or limited partnership agreements providing to EcoR1 the authority, among other things, to invest the funds of such clients in Stock, to vote and dispose of Stock and to file this statement on behalf of such clients. Pursuant to such limited partnership agreements, EcoR1 is entitled to allocations based on assets under management and realized and unrealized gains. Pursuant to such investment management agreements, EcoR1 is entitled to fees based on assets under management and realized and unrealized gains.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Exhibit A Agreement Regarding Joint Filing of Statement on Schedule 13D or 13G.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After reasonable inquiry and to the best of my knowledge, I certify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Dated: March 10, 2021</w:t>
      </w:r>
    </w:p>
    <w:p>
      <w:pPr>
        <w:spacing w:after="0" w:line="223" w:lineRule="exact"/>
        <w:rPr>
          <w:sz w:val="20"/>
          <w:szCs w:val="20"/>
          <w:color w:val="auto"/>
        </w:rPr>
      </w:pPr>
    </w:p>
    <w:p>
      <w:pPr>
        <w:ind w:left="100"/>
        <w:spacing w:after="0"/>
        <w:tabs>
          <w:tab w:leader="none" w:pos="5700" w:val="left"/>
        </w:tabs>
        <w:rPr>
          <w:sz w:val="20"/>
          <w:szCs w:val="20"/>
          <w:color w:val="auto"/>
        </w:rPr>
      </w:pPr>
      <w:r>
        <w:rPr>
          <w:rFonts w:ascii="Arial" w:cs="Arial" w:eastAsia="Arial" w:hAnsi="Arial"/>
          <w:sz w:val="20"/>
          <w:szCs w:val="20"/>
          <w:b w:val="1"/>
          <w:bCs w:val="1"/>
          <w:color w:val="auto"/>
        </w:rPr>
        <w:t>EcoR1 CAPITAL, LLC</w:t>
      </w:r>
      <w:r>
        <w:rPr>
          <w:sz w:val="20"/>
          <w:szCs w:val="20"/>
          <w:color w:val="auto"/>
        </w:rPr>
        <w:tab/>
      </w:r>
      <w:r>
        <w:rPr>
          <w:rFonts w:ascii="Arial" w:cs="Arial" w:eastAsia="Arial" w:hAnsi="Arial"/>
          <w:sz w:val="19"/>
          <w:szCs w:val="19"/>
          <w:b w:val="1"/>
          <w:bCs w:val="1"/>
          <w:color w:val="auto"/>
        </w:rPr>
        <w:t>EcoR1 CAPITAL FUND QUALIFIED, L.P.</w:t>
      </w:r>
    </w:p>
    <w:p>
      <w:pPr>
        <w:spacing w:after="0" w:line="235"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By: EcoR1 Capital, LLC, General Partner</w:t>
      </w:r>
    </w:p>
    <w:p>
      <w:pPr>
        <w:sectPr>
          <w:pgSz w:w="11900" w:h="16838" w:orient="portrait"/>
          <w:cols w:equalWidth="0" w:num="1">
            <w:col w:w="11240"/>
          </w:cols>
          <w:pgMar w:left="320" w:top="233" w:right="3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980" w:type="dxa"/>
            <w:vAlign w:val="bottom"/>
            <w:gridSpan w:val="3"/>
          </w:tcPr>
          <w:p>
            <w:pPr>
              <w:spacing w:after="0"/>
              <w:rPr>
                <w:sz w:val="20"/>
                <w:szCs w:val="20"/>
                <w:color w:val="auto"/>
              </w:rPr>
            </w:pPr>
            <w:r>
              <w:rPr>
                <w:rFonts w:ascii="Arial" w:cs="Arial" w:eastAsia="Arial" w:hAnsi="Arial"/>
                <w:sz w:val="20"/>
                <w:szCs w:val="20"/>
                <w:color w:val="auto"/>
              </w:rPr>
              <w:t>By: /s/ Oleg Nodelman</w:t>
            </w:r>
          </w:p>
        </w:tc>
        <w:tc>
          <w:tcPr>
            <w:tcW w:w="5600" w:type="dxa"/>
            <w:vAlign w:val="bottom"/>
            <w:gridSpan w:val="2"/>
          </w:tcPr>
          <w:p>
            <w:pPr>
              <w:ind w:left="40"/>
              <w:spacing w:after="0"/>
              <w:rPr>
                <w:sz w:val="20"/>
                <w:szCs w:val="20"/>
                <w:color w:val="auto"/>
              </w:rPr>
            </w:pPr>
            <w:r>
              <w:rPr>
                <w:rFonts w:ascii="Arial" w:cs="Arial" w:eastAsia="Arial" w:hAnsi="Arial"/>
                <w:sz w:val="20"/>
                <w:szCs w:val="20"/>
                <w:color w:val="auto"/>
              </w:rPr>
              <w:t>Oleg Nodelman</w:t>
            </w:r>
          </w:p>
        </w:tc>
        <w:tc>
          <w:tcPr>
            <w:tcW w:w="132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9"/>
        </w:trPr>
        <w:tc>
          <w:tcPr>
            <w:tcW w:w="2980" w:type="dxa"/>
            <w:vAlign w:val="bottom"/>
            <w:gridSpan w:val="3"/>
          </w:tcPr>
          <w:p>
            <w:pPr>
              <w:spacing w:after="0" w:line="209" w:lineRule="exact"/>
              <w:rPr>
                <w:sz w:val="20"/>
                <w:szCs w:val="20"/>
                <w:color w:val="auto"/>
              </w:rPr>
            </w:pPr>
            <w:r>
              <w:rPr>
                <w:rFonts w:ascii="Arial" w:cs="Arial" w:eastAsia="Arial" w:hAnsi="Arial"/>
                <w:sz w:val="20"/>
                <w:szCs w:val="20"/>
                <w:color w:val="auto"/>
              </w:rPr>
              <w:t>Manager</w:t>
            </w:r>
          </w:p>
        </w:tc>
        <w:tc>
          <w:tcPr>
            <w:tcW w:w="5600" w:type="dxa"/>
            <w:vAlign w:val="bottom"/>
            <w:gridSpan w:val="2"/>
          </w:tcPr>
          <w:p>
            <w:pPr>
              <w:ind w:left="2640"/>
              <w:spacing w:after="0" w:line="209" w:lineRule="exact"/>
              <w:rPr>
                <w:sz w:val="20"/>
                <w:szCs w:val="20"/>
                <w:color w:val="auto"/>
              </w:rPr>
            </w:pPr>
            <w:r>
              <w:rPr>
                <w:rFonts w:ascii="Arial" w:cs="Arial" w:eastAsia="Arial" w:hAnsi="Arial"/>
                <w:sz w:val="20"/>
                <w:szCs w:val="20"/>
                <w:color w:val="auto"/>
              </w:rPr>
              <w:t>By: /s/ Oleg Nodelman</w:t>
            </w:r>
          </w:p>
        </w:tc>
        <w:tc>
          <w:tcPr>
            <w:tcW w:w="1320" w:type="dxa"/>
            <w:vAlign w:val="bottom"/>
          </w:tcPr>
          <w:p>
            <w:pPr>
              <w:ind w:left="60"/>
              <w:spacing w:after="0" w:line="209" w:lineRule="exact"/>
              <w:rPr>
                <w:sz w:val="20"/>
                <w:szCs w:val="20"/>
                <w:color w:val="auto"/>
              </w:rPr>
            </w:pPr>
            <w:r>
              <w:rPr>
                <w:rFonts w:ascii="Arial" w:cs="Arial" w:eastAsia="Arial" w:hAnsi="Arial"/>
                <w:sz w:val="20"/>
                <w:szCs w:val="20"/>
                <w:color w:val="auto"/>
                <w:w w:val="89"/>
              </w:rPr>
              <w:t>Oleg Nodelman</w:t>
            </w:r>
          </w:p>
        </w:tc>
      </w:tr>
      <w:tr>
        <w:trPr>
          <w:trHeight w:val="20"/>
        </w:trPr>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4"/>
        </w:trPr>
        <w:tc>
          <w:tcPr>
            <w:tcW w:w="3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0" w:type="dxa"/>
            <w:vAlign w:val="bottom"/>
            <w:gridSpan w:val="2"/>
          </w:tcPr>
          <w:p>
            <w:pPr>
              <w:ind w:left="2640"/>
              <w:spacing w:after="0"/>
              <w:rPr>
                <w:sz w:val="20"/>
                <w:szCs w:val="20"/>
                <w:color w:val="auto"/>
              </w:rPr>
            </w:pPr>
            <w:r>
              <w:rPr>
                <w:rFonts w:ascii="Arial" w:cs="Arial" w:eastAsia="Arial" w:hAnsi="Arial"/>
                <w:sz w:val="20"/>
                <w:szCs w:val="20"/>
                <w:color w:val="auto"/>
              </w:rPr>
              <w:t>Manager</w:t>
            </w:r>
          </w:p>
        </w:tc>
        <w:tc>
          <w:tcPr>
            <w:tcW w:w="1320" w:type="dxa"/>
            <w:vAlign w:val="bottom"/>
          </w:tcPr>
          <w:p>
            <w:pPr>
              <w:spacing w:after="0"/>
              <w:rPr>
                <w:sz w:val="22"/>
                <w:szCs w:val="22"/>
                <w:color w:val="auto"/>
              </w:rPr>
            </w:pPr>
          </w:p>
        </w:tc>
      </w:tr>
      <w:tr>
        <w:trPr>
          <w:trHeight w:val="644"/>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Oleg Nodelman</w:t>
            </w:r>
          </w:p>
        </w:tc>
        <w:tc>
          <w:tcPr>
            <w:tcW w:w="3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4"/>
        </w:trPr>
        <w:tc>
          <w:tcPr>
            <w:tcW w:w="2980" w:type="dxa"/>
            <w:vAlign w:val="bottom"/>
            <w:gridSpan w:val="3"/>
          </w:tcPr>
          <w:p>
            <w:pPr>
              <w:spacing w:after="0"/>
              <w:rPr>
                <w:sz w:val="20"/>
                <w:szCs w:val="20"/>
                <w:color w:val="auto"/>
              </w:rPr>
            </w:pPr>
            <w:r>
              <w:rPr>
                <w:rFonts w:ascii="Arial" w:cs="Arial" w:eastAsia="Arial" w:hAnsi="Arial"/>
                <w:sz w:val="20"/>
                <w:szCs w:val="20"/>
                <w:color w:val="auto"/>
              </w:rPr>
              <w:t>Oleg Nodelman</w:t>
            </w:r>
          </w:p>
        </w:tc>
        <w:tc>
          <w:tcPr>
            <w:tcW w:w="29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441"/>
        </w:trPr>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Pr>
          <w:p>
            <w:pPr>
              <w:jc w:val="right"/>
              <w:ind w:right="283"/>
              <w:spacing w:after="0"/>
              <w:rPr>
                <w:sz w:val="20"/>
                <w:szCs w:val="20"/>
                <w:color w:val="auto"/>
              </w:rPr>
            </w:pPr>
            <w:r>
              <w:rPr>
                <w:rFonts w:ascii="Arial" w:cs="Arial" w:eastAsia="Arial" w:hAnsi="Arial"/>
                <w:sz w:val="18"/>
                <w:szCs w:val="18"/>
                <w:color w:val="auto"/>
              </w:rPr>
              <w:t>6</w:t>
            </w:r>
          </w:p>
        </w:tc>
        <w:tc>
          <w:tcPr>
            <w:tcW w:w="26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039"/>
          </w:cols>
          <w:pgMar w:left="420" w:top="328"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032724106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Act, in connection with said purchases, and to do and perform every act necessary and proper to be done incident to the exercise of the foregoing power, as fully as the undersigned might or could do if personally present.</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80" w:type="dxa"/>
            <w:vAlign w:val="bottom"/>
            <w:gridSpan w:val="4"/>
          </w:tcPr>
          <w:p>
            <w:pPr>
              <w:spacing w:after="0"/>
              <w:rPr>
                <w:sz w:val="20"/>
                <w:szCs w:val="20"/>
                <w:color w:val="auto"/>
              </w:rPr>
            </w:pPr>
            <w:r>
              <w:rPr>
                <w:rFonts w:ascii="Arial" w:cs="Arial" w:eastAsia="Arial" w:hAnsi="Arial"/>
                <w:sz w:val="20"/>
                <w:szCs w:val="20"/>
                <w:color w:val="auto"/>
              </w:rPr>
              <w:t>Dated: March 10, 2021</w:t>
            </w:r>
          </w:p>
        </w:tc>
        <w:tc>
          <w:tcPr>
            <w:tcW w:w="29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459"/>
        </w:trPr>
        <w:tc>
          <w:tcPr>
            <w:tcW w:w="100" w:type="dxa"/>
            <w:vAlign w:val="bottom"/>
          </w:tcPr>
          <w:p>
            <w:pPr>
              <w:spacing w:after="0"/>
              <w:rPr>
                <w:sz w:val="24"/>
                <w:szCs w:val="24"/>
                <w:color w:val="auto"/>
              </w:rPr>
            </w:pPr>
          </w:p>
        </w:tc>
        <w:tc>
          <w:tcPr>
            <w:tcW w:w="2980" w:type="dxa"/>
            <w:vAlign w:val="bottom"/>
            <w:gridSpan w:val="3"/>
          </w:tcPr>
          <w:p>
            <w:pPr>
              <w:spacing w:after="0"/>
              <w:rPr>
                <w:sz w:val="20"/>
                <w:szCs w:val="20"/>
                <w:color w:val="auto"/>
              </w:rPr>
            </w:pPr>
            <w:r>
              <w:rPr>
                <w:rFonts w:ascii="Arial" w:cs="Arial" w:eastAsia="Arial" w:hAnsi="Arial"/>
                <w:sz w:val="20"/>
                <w:szCs w:val="20"/>
                <w:b w:val="1"/>
                <w:bCs w:val="1"/>
                <w:color w:val="auto"/>
              </w:rPr>
              <w:t>EcoR1 CAPITAL, LLC</w:t>
            </w:r>
          </w:p>
        </w:tc>
        <w:tc>
          <w:tcPr>
            <w:tcW w:w="6320" w:type="dxa"/>
            <w:vAlign w:val="bottom"/>
            <w:gridSpan w:val="3"/>
          </w:tcPr>
          <w:p>
            <w:pPr>
              <w:ind w:left="2640"/>
              <w:spacing w:after="0"/>
              <w:rPr>
                <w:sz w:val="20"/>
                <w:szCs w:val="20"/>
                <w:color w:val="auto"/>
              </w:rPr>
            </w:pPr>
            <w:r>
              <w:rPr>
                <w:rFonts w:ascii="Arial" w:cs="Arial" w:eastAsia="Arial" w:hAnsi="Arial"/>
                <w:sz w:val="20"/>
                <w:szCs w:val="20"/>
                <w:b w:val="1"/>
                <w:bCs w:val="1"/>
                <w:color w:val="auto"/>
                <w:w w:val="97"/>
              </w:rPr>
              <w:t>EcoR1 CAPITAL FUND QUALIFIED, L.P.</w:t>
            </w:r>
          </w:p>
        </w:tc>
      </w:tr>
      <w:tr>
        <w:trPr>
          <w:trHeight w:val="459"/>
        </w:trPr>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320" w:type="dxa"/>
            <w:vAlign w:val="bottom"/>
            <w:gridSpan w:val="3"/>
          </w:tcPr>
          <w:p>
            <w:pPr>
              <w:ind w:left="2640"/>
              <w:spacing w:after="0"/>
              <w:rPr>
                <w:sz w:val="20"/>
                <w:szCs w:val="20"/>
                <w:color w:val="auto"/>
              </w:rPr>
            </w:pPr>
            <w:r>
              <w:rPr>
                <w:rFonts w:ascii="Arial" w:cs="Arial" w:eastAsia="Arial" w:hAnsi="Arial"/>
                <w:sz w:val="20"/>
                <w:szCs w:val="20"/>
                <w:color w:val="auto"/>
              </w:rPr>
              <w:t>By: EcoR1 Capital, LLC, General Partner</w:t>
            </w:r>
          </w:p>
        </w:tc>
      </w:tr>
      <w:tr>
        <w:trPr>
          <w:trHeight w:val="644"/>
        </w:trPr>
        <w:tc>
          <w:tcPr>
            <w:tcW w:w="100" w:type="dxa"/>
            <w:vAlign w:val="bottom"/>
          </w:tcPr>
          <w:p>
            <w:pPr>
              <w:spacing w:after="0"/>
              <w:rPr>
                <w:sz w:val="24"/>
                <w:szCs w:val="24"/>
                <w:color w:val="auto"/>
              </w:rPr>
            </w:pPr>
          </w:p>
        </w:tc>
        <w:tc>
          <w:tcPr>
            <w:tcW w:w="2980" w:type="dxa"/>
            <w:vAlign w:val="bottom"/>
            <w:gridSpan w:val="3"/>
          </w:tcPr>
          <w:p>
            <w:pPr>
              <w:spacing w:after="0"/>
              <w:rPr>
                <w:sz w:val="20"/>
                <w:szCs w:val="20"/>
                <w:color w:val="auto"/>
              </w:rPr>
            </w:pPr>
            <w:r>
              <w:rPr>
                <w:rFonts w:ascii="Arial" w:cs="Arial" w:eastAsia="Arial" w:hAnsi="Arial"/>
                <w:sz w:val="20"/>
                <w:szCs w:val="20"/>
                <w:color w:val="auto"/>
              </w:rPr>
              <w:t>By: /s/ Oleg Nodelman</w:t>
            </w:r>
          </w:p>
        </w:tc>
        <w:tc>
          <w:tcPr>
            <w:tcW w:w="6320" w:type="dxa"/>
            <w:vAlign w:val="bottom"/>
            <w:gridSpan w:val="3"/>
          </w:tcPr>
          <w:p>
            <w:pPr>
              <w:ind w:left="2640"/>
              <w:spacing w:after="0"/>
              <w:rPr>
                <w:sz w:val="20"/>
                <w:szCs w:val="20"/>
                <w:color w:val="auto"/>
              </w:rPr>
            </w:pPr>
            <w:r>
              <w:rPr>
                <w:rFonts w:ascii="Arial" w:cs="Arial" w:eastAsia="Arial" w:hAnsi="Arial"/>
                <w:sz w:val="20"/>
                <w:szCs w:val="20"/>
                <w:color w:val="auto"/>
              </w:rPr>
              <w:t>By: /s/ Oleg Nodelman</w:t>
            </w:r>
          </w:p>
        </w:tc>
      </w:tr>
      <w:tr>
        <w:trPr>
          <w:trHeight w:val="20"/>
        </w:trPr>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3"/>
        </w:trPr>
        <w:tc>
          <w:tcPr>
            <w:tcW w:w="100" w:type="dxa"/>
            <w:vAlign w:val="bottom"/>
          </w:tcPr>
          <w:p>
            <w:pPr>
              <w:spacing w:after="0"/>
              <w:rPr>
                <w:sz w:val="20"/>
                <w:szCs w:val="20"/>
                <w:color w:val="auto"/>
              </w:rPr>
            </w:pPr>
          </w:p>
        </w:tc>
        <w:tc>
          <w:tcPr>
            <w:tcW w:w="2980" w:type="dxa"/>
            <w:vAlign w:val="bottom"/>
            <w:gridSpan w:val="3"/>
          </w:tcPr>
          <w:p>
            <w:pPr>
              <w:spacing w:after="0"/>
              <w:rPr>
                <w:sz w:val="20"/>
                <w:szCs w:val="20"/>
                <w:color w:val="auto"/>
              </w:rPr>
            </w:pPr>
            <w:r>
              <w:rPr>
                <w:rFonts w:ascii="Arial" w:cs="Arial" w:eastAsia="Arial" w:hAnsi="Arial"/>
                <w:sz w:val="20"/>
                <w:szCs w:val="20"/>
                <w:color w:val="auto"/>
              </w:rPr>
              <w:t>Oleg Nodelman</w:t>
            </w:r>
          </w:p>
        </w:tc>
        <w:tc>
          <w:tcPr>
            <w:tcW w:w="6320" w:type="dxa"/>
            <w:vAlign w:val="bottom"/>
            <w:gridSpan w:val="3"/>
          </w:tcPr>
          <w:p>
            <w:pPr>
              <w:ind w:left="2640"/>
              <w:spacing w:after="0"/>
              <w:rPr>
                <w:sz w:val="20"/>
                <w:szCs w:val="20"/>
                <w:color w:val="auto"/>
              </w:rPr>
            </w:pPr>
            <w:r>
              <w:rPr>
                <w:rFonts w:ascii="Arial" w:cs="Arial" w:eastAsia="Arial" w:hAnsi="Arial"/>
                <w:sz w:val="20"/>
                <w:szCs w:val="20"/>
                <w:color w:val="auto"/>
              </w:rPr>
              <w:t>Oleg Nodelman</w:t>
            </w:r>
          </w:p>
        </w:tc>
      </w:tr>
      <w:tr>
        <w:trPr>
          <w:trHeight w:val="250"/>
        </w:trPr>
        <w:tc>
          <w:tcPr>
            <w:tcW w:w="100" w:type="dxa"/>
            <w:vAlign w:val="bottom"/>
          </w:tcPr>
          <w:p>
            <w:pPr>
              <w:spacing w:after="0"/>
              <w:rPr>
                <w:sz w:val="21"/>
                <w:szCs w:val="21"/>
                <w:color w:val="auto"/>
              </w:rPr>
            </w:pPr>
          </w:p>
        </w:tc>
        <w:tc>
          <w:tcPr>
            <w:tcW w:w="2980" w:type="dxa"/>
            <w:vAlign w:val="bottom"/>
            <w:gridSpan w:val="3"/>
          </w:tcPr>
          <w:p>
            <w:pPr>
              <w:spacing w:after="0"/>
              <w:rPr>
                <w:sz w:val="20"/>
                <w:szCs w:val="20"/>
                <w:color w:val="auto"/>
              </w:rPr>
            </w:pPr>
            <w:r>
              <w:rPr>
                <w:rFonts w:ascii="Arial" w:cs="Arial" w:eastAsia="Arial" w:hAnsi="Arial"/>
                <w:sz w:val="20"/>
                <w:szCs w:val="20"/>
                <w:color w:val="auto"/>
              </w:rPr>
              <w:t>Manager</w:t>
            </w:r>
          </w:p>
        </w:tc>
        <w:tc>
          <w:tcPr>
            <w:tcW w:w="6320" w:type="dxa"/>
            <w:vAlign w:val="bottom"/>
            <w:gridSpan w:val="3"/>
          </w:tcPr>
          <w:p>
            <w:pPr>
              <w:ind w:left="2640"/>
              <w:spacing w:after="0"/>
              <w:rPr>
                <w:sz w:val="20"/>
                <w:szCs w:val="20"/>
                <w:color w:val="auto"/>
              </w:rPr>
            </w:pPr>
            <w:r>
              <w:rPr>
                <w:rFonts w:ascii="Arial" w:cs="Arial" w:eastAsia="Arial" w:hAnsi="Arial"/>
                <w:sz w:val="20"/>
                <w:szCs w:val="20"/>
                <w:color w:val="auto"/>
              </w:rPr>
              <w:t>Manager</w:t>
            </w:r>
          </w:p>
        </w:tc>
      </w:tr>
      <w:tr>
        <w:trPr>
          <w:trHeight w:val="873"/>
        </w:trPr>
        <w:tc>
          <w:tcPr>
            <w:tcW w:w="100" w:type="dxa"/>
            <w:vAlign w:val="bottom"/>
          </w:tcPr>
          <w:p>
            <w:pPr>
              <w:spacing w:after="0"/>
              <w:rPr>
                <w:sz w:val="24"/>
                <w:szCs w:val="24"/>
                <w:color w:val="auto"/>
              </w:rPr>
            </w:pPr>
          </w:p>
        </w:tc>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Oleg Nodelman</w:t>
            </w:r>
          </w:p>
        </w:tc>
        <w:tc>
          <w:tcPr>
            <w:tcW w:w="3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4"/>
        </w:trPr>
        <w:tc>
          <w:tcPr>
            <w:tcW w:w="100" w:type="dxa"/>
            <w:vAlign w:val="bottom"/>
          </w:tcPr>
          <w:p>
            <w:pPr>
              <w:spacing w:after="0"/>
              <w:rPr>
                <w:sz w:val="22"/>
                <w:szCs w:val="22"/>
                <w:color w:val="auto"/>
              </w:rPr>
            </w:pPr>
          </w:p>
        </w:tc>
        <w:tc>
          <w:tcPr>
            <w:tcW w:w="2980" w:type="dxa"/>
            <w:vAlign w:val="bottom"/>
            <w:gridSpan w:val="3"/>
          </w:tcPr>
          <w:p>
            <w:pPr>
              <w:spacing w:after="0"/>
              <w:rPr>
                <w:sz w:val="20"/>
                <w:szCs w:val="20"/>
                <w:color w:val="auto"/>
              </w:rPr>
            </w:pPr>
            <w:r>
              <w:rPr>
                <w:rFonts w:ascii="Arial" w:cs="Arial" w:eastAsia="Arial" w:hAnsi="Arial"/>
                <w:sz w:val="20"/>
                <w:szCs w:val="20"/>
                <w:color w:val="auto"/>
              </w:rPr>
              <w:t>Oleg Nodelman</w:t>
            </w:r>
          </w:p>
        </w:tc>
        <w:tc>
          <w:tcPr>
            <w:tcW w:w="29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11"/>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1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1"/>
      <w:numFmt w:val="bullet"/>
      <w:start w:val="1"/>
    </w:lvl>
  </w:abstractNum>
  <w:abstractNum w:abstractNumId="10">
    <w:nsid w:val="1F16E9E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2021-03-10T16:06:46Z</dcterms:created>
  <dcterms:modified xsi:type="dcterms:W3CDTF">2021-03-10T16:06:46Z</dcterms:modified>
</cp:coreProperties>
</file>