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6"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w:t>
      </w:r>
    </w:p>
    <w:p>
      <w:pPr>
        <w:spacing w:after="0" w:line="163" w:lineRule="exact"/>
        <w:rPr>
          <w:sz w:val="24"/>
          <w:szCs w:val="24"/>
          <w:color w:val="auto"/>
        </w:rPr>
      </w:pPr>
    </w:p>
    <w:p>
      <w:pPr>
        <w:ind w:left="760" w:right="160" w:hanging="717"/>
        <w:spacing w:after="0" w:line="220" w:lineRule="auto"/>
        <w:tabs>
          <w:tab w:leader="none" w:pos="760" w:val="left"/>
        </w:tabs>
        <w:numPr>
          <w:ilvl w:val="0"/>
          <w:numId w:val="1"/>
        </w:numPr>
        <w:rPr>
          <w:rFonts w:ascii="Arial" w:cs="Arial" w:eastAsia="Arial" w:hAnsi="Arial"/>
          <w:sz w:val="24"/>
          <w:szCs w:val="24"/>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2023</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6" w:lineRule="exact"/>
        <w:rPr>
          <w:sz w:val="24"/>
          <w:szCs w:val="24"/>
          <w:color w:val="auto"/>
        </w:rPr>
      </w:pPr>
    </w:p>
    <w:p>
      <w:pPr>
        <w:ind w:left="760" w:right="80" w:hanging="717"/>
        <w:spacing w:after="0" w:line="220" w:lineRule="auto"/>
        <w:tabs>
          <w:tab w:leader="none" w:pos="760" w:val="left"/>
        </w:tabs>
        <w:numPr>
          <w:ilvl w:val="0"/>
          <w:numId w:val="2"/>
        </w:numPr>
        <w:rPr>
          <w:rFonts w:ascii="Arial" w:cs="Arial" w:eastAsia="Arial" w:hAnsi="Arial"/>
          <w:sz w:val="24"/>
          <w:szCs w:val="24"/>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50" w:lineRule="exact"/>
        <w:rPr>
          <w:sz w:val="24"/>
          <w:szCs w:val="24"/>
          <w:color w:val="auto"/>
        </w:rPr>
      </w:pPr>
    </w:p>
    <w:tbl>
      <w:tblPr>
        <w:tblLayout w:type="fixed"/>
        <w:tblInd w:w="3100" w:type="dxa"/>
        <w:tblCellMar>
          <w:top w:w="0" w:type="dxa"/>
          <w:left w:w="0" w:type="dxa"/>
          <w:bottom w:w="0" w:type="dxa"/>
          <w:right w:w="0" w:type="dxa"/>
        </w:tblCellMar>
      </w:tblPr>
      <w:tr>
        <w:trPr>
          <w:trHeight w:val="184"/>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0"/>
        </w:trPr>
        <w:tc>
          <w:tcPr>
            <w:tcW w:w="29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80"/>
        </w:trPr>
        <w:tc>
          <w:tcPr>
            <w:tcW w:w="3360" w:type="dxa"/>
            <w:vAlign w:val="bottom"/>
            <w:gridSpan w:val="2"/>
          </w:tcPr>
          <w:p>
            <w:pPr>
              <w:ind w:left="760"/>
              <w:spacing w:after="0"/>
              <w:rPr>
                <w:sz w:val="20"/>
                <w:szCs w:val="20"/>
                <w:color w:val="auto"/>
              </w:rPr>
            </w:pPr>
            <w:r>
              <w:rPr>
                <w:rFonts w:ascii="Times New Roman" w:cs="Times New Roman" w:eastAsia="Times New Roman" w:hAnsi="Times New Roman"/>
                <w:sz w:val="16"/>
                <w:szCs w:val="16"/>
                <w:b w:val="1"/>
                <w:bCs w:val="1"/>
                <w:color w:val="auto"/>
              </w:rPr>
              <w:t>Commission File Number: 001-37985</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ind w:left="3220"/>
        <w:spacing w:after="0" w:line="205" w:lineRule="auto"/>
        <w:rPr>
          <w:sz w:val="20"/>
          <w:szCs w:val="20"/>
          <w:color w:val="auto"/>
        </w:rPr>
      </w:pPr>
      <w:r>
        <w:rPr>
          <w:rFonts w:ascii="Times New Roman" w:cs="Times New Roman" w:eastAsia="Times New Roman" w:hAnsi="Times New Roman"/>
          <w:sz w:val="20"/>
          <w:szCs w:val="20"/>
          <w:b w:val="1"/>
          <w:bCs w:val="1"/>
          <w:color w:val="auto"/>
        </w:rPr>
        <w:t>______________________________________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ANAPTYSBIO,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w:t>
      </w:r>
    </w:p>
    <w:p>
      <w:pPr>
        <w:spacing w:after="0" w:line="151" w:lineRule="exact"/>
        <w:rPr>
          <w:sz w:val="24"/>
          <w:szCs w:val="24"/>
          <w:color w:val="auto"/>
        </w:rPr>
      </w:pPr>
    </w:p>
    <w:p>
      <w:pPr>
        <w:ind w:left="2120"/>
        <w:spacing w:after="0"/>
        <w:tabs>
          <w:tab w:leader="none" w:pos="734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20-3828755</w:t>
      </w:r>
    </w:p>
    <w:p>
      <w:pPr>
        <w:spacing w:after="0" w:line="57" w:lineRule="exact"/>
        <w:rPr>
          <w:sz w:val="24"/>
          <w:szCs w:val="24"/>
          <w:color w:val="auto"/>
        </w:rPr>
      </w:pPr>
    </w:p>
    <w:p>
      <w:pPr>
        <w:ind w:left="1580"/>
        <w:spacing w:after="0"/>
        <w:tabs>
          <w:tab w:leader="none" w:pos="722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ind w:left="1540"/>
        <w:spacing w:after="0"/>
        <w:tabs>
          <w:tab w:leader="none" w:pos="704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3"/>
          <w:szCs w:val="13"/>
          <w:b w:val="1"/>
          <w:bCs w:val="1"/>
          <w:color w:val="auto"/>
        </w:rPr>
        <w:t>Identification Number)</w:t>
      </w:r>
    </w:p>
    <w:p>
      <w:pPr>
        <w:spacing w:after="0" w:line="31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10770 Wateridge Circle, Suite 210</w:t>
      </w:r>
    </w:p>
    <w:p>
      <w:pPr>
        <w:spacing w:after="0" w:line="2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San Diego, CA 92121</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(858) 362-6295</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ind w:left="322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144145</wp:posOffset>
                </wp:positionV>
                <wp:extent cx="0" cy="37465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4650"/>
                        </a:xfrm>
                        <a:prstGeom prst="line">
                          <a:avLst/>
                        </a:prstGeom>
                        <a:solidFill>
                          <a:srgbClr val="FFFFFF"/>
                        </a:solidFill>
                        <a:ln w="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11.35pt" to="4pt,40.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2365375</wp:posOffset>
                </wp:positionH>
                <wp:positionV relativeFrom="paragraph">
                  <wp:posOffset>144145</wp:posOffset>
                </wp:positionV>
                <wp:extent cx="0" cy="37465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4650"/>
                        </a:xfrm>
                        <a:prstGeom prst="line">
                          <a:avLst/>
                        </a:prstGeom>
                        <a:solidFill>
                          <a:srgbClr val="FFFFFF"/>
                        </a:solidFill>
                        <a:ln w="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6.25pt,11.35pt" to="186.25pt,40.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4079875</wp:posOffset>
                </wp:positionH>
                <wp:positionV relativeFrom="paragraph">
                  <wp:posOffset>144145</wp:posOffset>
                </wp:positionV>
                <wp:extent cx="0" cy="37465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4650"/>
                        </a:xfrm>
                        <a:prstGeom prst="line">
                          <a:avLst/>
                        </a:prstGeom>
                        <a:solidFill>
                          <a:srgbClr val="FFFFFF"/>
                        </a:solidFill>
                        <a:ln w="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25pt,11.35pt" to="321.25pt,40.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6451600</wp:posOffset>
                </wp:positionH>
                <wp:positionV relativeFrom="paragraph">
                  <wp:posOffset>144145</wp:posOffset>
                </wp:positionV>
                <wp:extent cx="0" cy="37465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4650"/>
                        </a:xfrm>
                        <a:prstGeom prst="line">
                          <a:avLst/>
                        </a:prstGeom>
                        <a:solidFill>
                          <a:srgbClr val="FFFFFF"/>
                        </a:solidFill>
                        <a:ln w="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8pt,11.35pt" to="508pt,40.85pt" o:allowincell="f" strokecolor="#000000" strokeweight="0pt"/>
            </w:pict>
          </mc:Fallback>
        </mc:AlternateConten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100" w:type="dxa"/>
            <w:vAlign w:val="bottom"/>
            <w:tcBorders>
              <w:right w:val="single" w:sz="8" w:color="auto"/>
            </w:tcBorders>
          </w:tcPr>
          <w:p>
            <w:pPr>
              <w:spacing w:after="0"/>
              <w:rPr>
                <w:sz w:val="24"/>
                <w:szCs w:val="24"/>
                <w:color w:val="auto"/>
              </w:rPr>
            </w:pPr>
          </w:p>
        </w:tc>
        <w:tc>
          <w:tcPr>
            <w:tcW w:w="3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540" w:type="dxa"/>
            <w:vAlign w:val="bottom"/>
            <w:tcBorders>
              <w:top w:val="single" w:sz="8" w:color="auto"/>
              <w:bottom w:val="single" w:sz="8" w:color="auto"/>
            </w:tcBorders>
          </w:tcPr>
          <w:p>
            <w:pPr>
              <w:spacing w:after="0"/>
              <w:rPr>
                <w:sz w:val="24"/>
                <w:szCs w:val="24"/>
                <w:color w:val="auto"/>
              </w:rPr>
            </w:pPr>
          </w:p>
        </w:tc>
        <w:tc>
          <w:tcPr>
            <w:tcW w:w="2160" w:type="dxa"/>
            <w:vAlign w:val="bottom"/>
            <w:tcBorders>
              <w:top w:val="single" w:sz="8" w:color="auto"/>
              <w:bottom w:val="single" w:sz="8" w:color="auto"/>
              <w:right w:val="single" w:sz="8" w:color="auto"/>
            </w:tcBorders>
          </w:tcPr>
          <w:p>
            <w:pPr>
              <w:jc w:val="center"/>
              <w:ind w:right="500"/>
              <w:spacing w:after="0"/>
              <w:rPr>
                <w:sz w:val="20"/>
                <w:szCs w:val="20"/>
                <w:color w:val="auto"/>
              </w:rPr>
            </w:pPr>
            <w:r>
              <w:rPr>
                <w:rFonts w:ascii="Times New Roman" w:cs="Times New Roman" w:eastAsia="Times New Roman" w:hAnsi="Times New Roman"/>
                <w:sz w:val="16"/>
                <w:szCs w:val="16"/>
                <w:color w:val="auto"/>
              </w:rPr>
              <w:t>Trading Symbol(s)</w:t>
            </w:r>
          </w:p>
        </w:tc>
        <w:tc>
          <w:tcPr>
            <w:tcW w:w="374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65"/>
        </w:trPr>
        <w:tc>
          <w:tcPr>
            <w:tcW w:w="100" w:type="dxa"/>
            <w:vAlign w:val="bottom"/>
            <w:tcBorders>
              <w:right w:val="single" w:sz="8" w:color="auto"/>
            </w:tcBorders>
          </w:tcPr>
          <w:p>
            <w:pPr>
              <w:spacing w:after="0"/>
              <w:rPr>
                <w:sz w:val="23"/>
                <w:szCs w:val="23"/>
                <w:color w:val="auto"/>
              </w:rPr>
            </w:pPr>
          </w:p>
        </w:tc>
        <w:tc>
          <w:tcPr>
            <w:tcW w:w="3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540" w:type="dxa"/>
            <w:vAlign w:val="bottom"/>
            <w:tcBorders>
              <w:bottom w:val="single" w:sz="8" w:color="auto"/>
            </w:tcBorders>
          </w:tcPr>
          <w:p>
            <w:pPr>
              <w:spacing w:after="0"/>
              <w:rPr>
                <w:sz w:val="23"/>
                <w:szCs w:val="23"/>
                <w:color w:val="auto"/>
              </w:rPr>
            </w:pPr>
          </w:p>
        </w:tc>
        <w:tc>
          <w:tcPr>
            <w:tcW w:w="2160" w:type="dxa"/>
            <w:vAlign w:val="bottom"/>
            <w:tcBorders>
              <w:bottom w:val="single" w:sz="8" w:color="auto"/>
              <w:right w:val="single" w:sz="8" w:color="auto"/>
            </w:tcBorders>
          </w:tcPr>
          <w:p>
            <w:pPr>
              <w:jc w:val="center"/>
              <w:ind w:right="500"/>
              <w:spacing w:after="0"/>
              <w:rPr>
                <w:sz w:val="20"/>
                <w:szCs w:val="20"/>
                <w:color w:val="auto"/>
              </w:rPr>
            </w:pPr>
            <w:r>
              <w:rPr>
                <w:rFonts w:ascii="Times New Roman" w:cs="Times New Roman" w:eastAsia="Times New Roman" w:hAnsi="Times New Roman"/>
                <w:sz w:val="16"/>
                <w:szCs w:val="16"/>
                <w:color w:val="auto"/>
              </w:rPr>
              <w:t>ANAB</w:t>
            </w:r>
          </w:p>
        </w:tc>
        <w:tc>
          <w:tcPr>
            <w:tcW w:w="37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329"/>
        </w:trPr>
        <w:tc>
          <w:tcPr>
            <w:tcW w:w="4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tc>
        <w:tc>
          <w:tcPr>
            <w:tcW w:w="2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23"/>
        </w:trPr>
        <w:tc>
          <w:tcPr>
            <w:tcW w:w="7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780" w:type="dxa"/>
            <w:vAlign w:val="bottom"/>
          </w:tcPr>
          <w:p>
            <w:pPr>
              <w:jc w:val="center"/>
              <w:spacing w:after="0" w:line="268" w:lineRule="exact"/>
              <w:rPr>
                <w:sz w:val="20"/>
                <w:szCs w:val="20"/>
                <w:color w:val="auto"/>
              </w:rPr>
            </w:pPr>
            <w:r>
              <w:rPr>
                <w:rFonts w:ascii="Times New Roman" w:cs="Times New Roman" w:eastAsia="Times New Roman" w:hAnsi="Times New Roman"/>
                <w:sz w:val="16"/>
                <w:szCs w:val="16"/>
                <w:color w:val="auto"/>
              </w:rPr>
              <w:t xml:space="preserve">Yes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16"/>
                <w:szCs w:val="16"/>
                <w:color w:val="auto"/>
              </w:rPr>
              <w:t xml:space="preserve"> No</w:t>
            </w:r>
          </w:p>
        </w:tc>
        <w:tc>
          <w:tcPr>
            <w:tcW w:w="1740" w:type="dxa"/>
            <w:vAlign w:val="bottom"/>
          </w:tcPr>
          <w:p>
            <w:pPr>
              <w:ind w:left="60"/>
              <w:spacing w:after="0" w:line="268" w:lineRule="exact"/>
              <w:rPr>
                <w:sz w:val="20"/>
                <w:szCs w:val="20"/>
                <w:color w:val="auto"/>
              </w:rPr>
            </w:pPr>
            <w:r>
              <w:rPr>
                <w:rFonts w:ascii="Arial Unicode MS" w:cs="Arial Unicode MS" w:eastAsia="Arial Unicode MS" w:hAnsi="Arial Unicode MS"/>
                <w:sz w:val="20"/>
                <w:szCs w:val="20"/>
                <w:b w:val="1"/>
                <w:bCs w:val="1"/>
                <w:color w:val="auto"/>
              </w:rPr>
              <w:t>☒</w:t>
            </w:r>
          </w:p>
        </w:tc>
      </w:tr>
      <w:tr>
        <w:trPr>
          <w:trHeight w:val="320"/>
        </w:trPr>
        <w:tc>
          <w:tcPr>
            <w:tcW w:w="766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9"/>
              </w:rPr>
              <w:t>Indicate by check mark if the registrant is not required to file reports pursuant to Section 13 or Section 15(d) of the Act.</w:t>
            </w:r>
          </w:p>
        </w:tc>
        <w:tc>
          <w:tcPr>
            <w:tcW w:w="780" w:type="dxa"/>
            <w:vAlign w:val="bottom"/>
          </w:tcPr>
          <w:p>
            <w:pPr>
              <w:jc w:val="center"/>
              <w:spacing w:after="0" w:line="268" w:lineRule="exact"/>
              <w:rPr>
                <w:sz w:val="20"/>
                <w:szCs w:val="20"/>
                <w:color w:val="auto"/>
              </w:rPr>
            </w:pPr>
            <w:r>
              <w:rPr>
                <w:rFonts w:ascii="Times New Roman" w:cs="Times New Roman" w:eastAsia="Times New Roman" w:hAnsi="Times New Roman"/>
                <w:sz w:val="16"/>
                <w:szCs w:val="16"/>
                <w:color w:val="auto"/>
              </w:rPr>
              <w:t xml:space="preserve">Yes </w:t>
            </w:r>
            <w:r>
              <w:rPr>
                <w:rFonts w:ascii="Arial Unicode MS" w:cs="Arial Unicode MS" w:eastAsia="Arial Unicode MS" w:hAnsi="Arial Unicode MS"/>
                <w:sz w:val="20"/>
                <w:szCs w:val="20"/>
                <w:b w:val="1"/>
                <w:bCs w:val="1"/>
                <w:color w:val="auto"/>
              </w:rPr>
              <w:t>☐</w:t>
            </w:r>
          </w:p>
        </w:tc>
        <w:tc>
          <w:tcPr>
            <w:tcW w:w="1740" w:type="dxa"/>
            <w:vAlign w:val="bottom"/>
          </w:tcPr>
          <w:p>
            <w:pPr>
              <w:spacing w:after="0" w:line="268" w:lineRule="exact"/>
              <w:rPr>
                <w:sz w:val="20"/>
                <w:szCs w:val="20"/>
                <w:color w:val="auto"/>
              </w:rPr>
            </w:pPr>
            <w:r>
              <w:rPr>
                <w:rFonts w:ascii="Times New Roman" w:cs="Times New Roman" w:eastAsia="Times New Roman" w:hAnsi="Times New Roman"/>
                <w:sz w:val="16"/>
                <w:szCs w:val="16"/>
                <w:color w:val="auto"/>
              </w:rPr>
              <w:t xml:space="preserve">No </w:t>
            </w:r>
            <w:r>
              <w:rPr>
                <w:rFonts w:ascii="Arial Unicode MS" w:cs="Arial Unicode MS" w:eastAsia="Arial Unicode MS" w:hAnsi="Arial Unicode MS"/>
                <w:sz w:val="20"/>
                <w:szCs w:val="20"/>
                <w:b w:val="1"/>
                <w:bCs w:val="1"/>
                <w:color w:val="auto"/>
              </w:rPr>
              <w:t>☒</w:t>
            </w:r>
          </w:p>
        </w:tc>
      </w:tr>
    </w:tbl>
    <w:p>
      <w:pPr>
        <w:spacing w:after="0" w:line="61" w:lineRule="exact"/>
        <w:rPr>
          <w:sz w:val="24"/>
          <w:szCs w:val="24"/>
          <w:color w:val="auto"/>
        </w:rPr>
      </w:pPr>
    </w:p>
    <w:p>
      <w:pPr>
        <w:ind w:right="20"/>
        <w:spacing w:after="0" w:line="254"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268" w:lineRule="exact"/>
        <w:tabs>
          <w:tab w:leader="none" w:pos="1200" w:val="left"/>
          <w:tab w:leader="none" w:pos="1880" w:val="left"/>
        </w:tabs>
        <w:rPr>
          <w:sz w:val="20"/>
          <w:szCs w:val="20"/>
          <w:color w:val="auto"/>
        </w:rPr>
      </w:pPr>
      <w:r>
        <w:rPr>
          <w:rFonts w:ascii="Times New Roman" w:cs="Times New Roman" w:eastAsia="Times New Roman" w:hAnsi="Times New Roman"/>
          <w:sz w:val="16"/>
          <w:szCs w:val="16"/>
          <w:color w:val="auto"/>
        </w:rPr>
        <w:t>the past 90 days.</w:t>
        <w:tab/>
        <w:t xml:space="preserve">Yes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20"/>
          <w:szCs w:val="20"/>
          <w:b w:val="1"/>
          <w:bCs w:val="1"/>
          <w:color w:val="auto"/>
        </w:rPr>
        <w:t>☐</w:t>
      </w:r>
    </w:p>
    <w:p>
      <w:pPr>
        <w:spacing w:after="0" w:line="70" w:lineRule="exact"/>
        <w:rPr>
          <w:sz w:val="24"/>
          <w:szCs w:val="24"/>
          <w:color w:val="auto"/>
        </w:rPr>
      </w:pPr>
    </w:p>
    <w:p>
      <w:pPr>
        <w:ind w:right="580"/>
        <w:spacing w:after="0" w:line="238"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68" w:lineRule="exact"/>
        <w:tabs>
          <w:tab w:leader="none" w:pos="500" w:val="left"/>
          <w:tab w:leader="none" w:pos="1180" w:val="left"/>
        </w:tabs>
        <w:rPr>
          <w:sz w:val="20"/>
          <w:szCs w:val="20"/>
          <w:color w:val="auto"/>
        </w:rPr>
      </w:pPr>
      <w:r>
        <w:rPr>
          <w:rFonts w:ascii="Times New Roman" w:cs="Times New Roman" w:eastAsia="Times New Roman" w:hAnsi="Times New Roman"/>
          <w:sz w:val="16"/>
          <w:szCs w:val="16"/>
          <w:color w:val="auto"/>
        </w:rPr>
        <w:t>files).</w:t>
        <w:tab/>
        <w:t xml:space="preserve">Yes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20"/>
          <w:szCs w:val="20"/>
          <w:b w:val="1"/>
          <w:bCs w:val="1"/>
          <w:color w:val="auto"/>
        </w:rPr>
        <w:t>☐</w:t>
      </w:r>
    </w:p>
    <w:p>
      <w:pPr>
        <w:spacing w:after="0" w:line="70" w:lineRule="exact"/>
        <w:rPr>
          <w:sz w:val="24"/>
          <w:szCs w:val="24"/>
          <w:color w:val="auto"/>
        </w:rPr>
      </w:pPr>
    </w:p>
    <w:p>
      <w:pPr>
        <w:ind w:right="100"/>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10240"/>
          </w:cols>
          <w:pgMar w:left="1000" w:top="744" w:right="1000" w:bottom="391" w:gutter="0" w:footer="0" w:header="0"/>
        </w:sectPr>
      </w:pPr>
    </w:p>
    <w:p>
      <w:pPr>
        <w:spacing w:after="0" w:line="62" w:lineRule="exact"/>
        <w:rPr>
          <w:sz w:val="24"/>
          <w:szCs w:val="24"/>
          <w:color w:val="auto"/>
        </w:rPr>
      </w:pPr>
    </w:p>
    <w:p>
      <w:pPr>
        <w:ind w:left="40" w:right="200"/>
        <w:spacing w:after="0" w:line="423" w:lineRule="auto"/>
        <w:rPr>
          <w:sz w:val="20"/>
          <w:szCs w:val="20"/>
          <w:color w:val="auto"/>
        </w:rPr>
      </w:pPr>
      <w:r>
        <w:rPr>
          <w:rFonts w:ascii="Times New Roman" w:cs="Times New Roman" w:eastAsia="Times New Roman" w:hAnsi="Times New Roman"/>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8"/>
        </w:trPr>
        <w:tc>
          <w:tcPr>
            <w:tcW w:w="2480" w:type="dxa"/>
            <w:vAlign w:val="bottom"/>
          </w:tcPr>
          <w:p>
            <w:pPr>
              <w:spacing w:after="0" w:line="268" w:lineRule="exact"/>
              <w:rPr>
                <w:sz w:val="20"/>
                <w:szCs w:val="20"/>
                <w:color w:val="auto"/>
              </w:rPr>
            </w:pPr>
            <w:r>
              <w:rPr>
                <w:rFonts w:ascii="Arial Unicode MS" w:cs="Arial Unicode MS" w:eastAsia="Arial Unicode MS" w:hAnsi="Arial Unicode MS"/>
                <w:sz w:val="20"/>
                <w:szCs w:val="20"/>
                <w:b w:val="1"/>
                <w:bCs w:val="1"/>
                <w:color w:val="auto"/>
              </w:rPr>
              <w:t>☐</w:t>
            </w:r>
          </w:p>
        </w:tc>
        <w:tc>
          <w:tcPr>
            <w:tcW w:w="4500" w:type="dxa"/>
            <w:vAlign w:val="bottom"/>
          </w:tcPr>
          <w:p>
            <w:pPr>
              <w:ind w:left="234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tcPr>
          <w:p>
            <w:pPr>
              <w:ind w:left="340"/>
              <w:spacing w:after="0" w:line="268" w:lineRule="exact"/>
              <w:rPr>
                <w:sz w:val="20"/>
                <w:szCs w:val="20"/>
                <w:color w:val="auto"/>
              </w:rPr>
            </w:pPr>
            <w:r>
              <w:rPr>
                <w:rFonts w:ascii="Arial Unicode MS" w:cs="Arial Unicode MS" w:eastAsia="Arial Unicode MS" w:hAnsi="Arial Unicode MS"/>
                <w:sz w:val="20"/>
                <w:szCs w:val="20"/>
                <w:b w:val="1"/>
                <w:bCs w:val="1"/>
                <w:color w:val="auto"/>
                <w:w w:val="81"/>
              </w:rPr>
              <w:t>☐</w:t>
            </w:r>
          </w:p>
        </w:tc>
      </w:tr>
      <w:tr>
        <w:trPr>
          <w:trHeight w:val="300"/>
        </w:trPr>
        <w:tc>
          <w:tcPr>
            <w:tcW w:w="2480" w:type="dxa"/>
            <w:vAlign w:val="bottom"/>
          </w:tcPr>
          <w:p>
            <w:pPr>
              <w:spacing w:after="0" w:line="268" w:lineRule="exact"/>
              <w:rPr>
                <w:sz w:val="20"/>
                <w:szCs w:val="20"/>
                <w:color w:val="auto"/>
              </w:rPr>
            </w:pPr>
            <w:r>
              <w:rPr>
                <w:rFonts w:ascii="Arial Unicode MS" w:cs="Arial Unicode MS" w:eastAsia="Arial Unicode MS" w:hAnsi="Arial Unicode MS"/>
                <w:sz w:val="20"/>
                <w:szCs w:val="20"/>
                <w:b w:val="1"/>
                <w:bCs w:val="1"/>
                <w:color w:val="auto"/>
              </w:rPr>
              <w:t>☒</w:t>
            </w:r>
          </w:p>
        </w:tc>
        <w:tc>
          <w:tcPr>
            <w:tcW w:w="4500" w:type="dxa"/>
            <w:vAlign w:val="bottom"/>
          </w:tcPr>
          <w:p>
            <w:pPr>
              <w:ind w:left="23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ind w:left="340"/>
              <w:spacing w:after="0" w:line="268" w:lineRule="exact"/>
              <w:rPr>
                <w:sz w:val="20"/>
                <w:szCs w:val="20"/>
                <w:color w:val="auto"/>
              </w:rPr>
            </w:pPr>
            <w:r>
              <w:rPr>
                <w:rFonts w:ascii="Arial Unicode MS" w:cs="Arial Unicode MS" w:eastAsia="Arial Unicode MS" w:hAnsi="Arial Unicode MS"/>
                <w:sz w:val="20"/>
                <w:szCs w:val="20"/>
                <w:b w:val="1"/>
                <w:bCs w:val="1"/>
                <w:color w:val="auto"/>
                <w:w w:val="81"/>
              </w:rPr>
              <w:t>☒</w:t>
            </w:r>
          </w:p>
        </w:tc>
      </w:tr>
      <w:tr>
        <w:trPr>
          <w:trHeight w:val="300"/>
        </w:trPr>
        <w:tc>
          <w:tcPr>
            <w:tcW w:w="2480" w:type="dxa"/>
            <w:vAlign w:val="bottom"/>
          </w:tcPr>
          <w:p>
            <w:pPr>
              <w:spacing w:after="0"/>
              <w:rPr>
                <w:sz w:val="24"/>
                <w:szCs w:val="24"/>
                <w:color w:val="auto"/>
              </w:rPr>
            </w:pPr>
          </w:p>
        </w:tc>
        <w:tc>
          <w:tcPr>
            <w:tcW w:w="4500" w:type="dxa"/>
            <w:vAlign w:val="bottom"/>
          </w:tcPr>
          <w:p>
            <w:pPr>
              <w:ind w:left="23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80" w:type="dxa"/>
            <w:vAlign w:val="bottom"/>
          </w:tcPr>
          <w:p>
            <w:pPr>
              <w:ind w:left="340"/>
              <w:spacing w:after="0" w:line="268" w:lineRule="exact"/>
              <w:rPr>
                <w:sz w:val="20"/>
                <w:szCs w:val="20"/>
                <w:color w:val="auto"/>
              </w:rPr>
            </w:pPr>
            <w:r>
              <w:rPr>
                <w:rFonts w:ascii="Arial Unicode MS" w:cs="Arial Unicode MS" w:eastAsia="Arial Unicode MS" w:hAnsi="Arial Unicode MS"/>
                <w:sz w:val="20"/>
                <w:szCs w:val="20"/>
                <w:b w:val="1"/>
                <w:bCs w:val="1"/>
                <w:color w:val="auto"/>
                <w:w w:val="81"/>
              </w:rPr>
              <w:t>☐</w:t>
            </w:r>
          </w:p>
        </w:tc>
      </w:tr>
    </w:tbl>
    <w:p>
      <w:pPr>
        <w:spacing w:after="0" w:line="58" w:lineRule="exact"/>
        <w:rPr>
          <w:sz w:val="24"/>
          <w:szCs w:val="24"/>
          <w:color w:val="auto"/>
        </w:rPr>
      </w:pPr>
    </w:p>
    <w:p>
      <w:pPr>
        <w:sectPr>
          <w:pgSz w:w="12240" w:h="15840" w:orient="portrait"/>
          <w:cols w:equalWidth="0" w:num="2">
            <w:col w:w="1760" w:space="720"/>
            <w:col w:w="7760"/>
          </w:cols>
          <w:pgMar w:left="1000" w:top="744" w:right="1000" w:bottom="391" w:gutter="0" w:footer="0" w:header="0"/>
          <w:type w:val="continuous"/>
        </w:sectPr>
      </w:pPr>
    </w:p>
    <w:p>
      <w:pPr>
        <w:ind w:right="220"/>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b w:val="1"/>
          <w:bCs w:val="1"/>
          <w:color w:val="auto"/>
        </w:rPr>
        <w:t>☐</w:t>
      </w:r>
    </w:p>
    <w:p>
      <w:pPr>
        <w:spacing w:after="0" w:line="210"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w:t>
      </w:r>
    </w:p>
    <w:p>
      <w:pPr>
        <w:spacing w:after="0" w:line="268" w:lineRule="exact"/>
        <w:rPr>
          <w:sz w:val="20"/>
          <w:szCs w:val="20"/>
          <w:color w:val="auto"/>
        </w:rPr>
      </w:pPr>
      <w:r>
        <w:rPr>
          <w:rFonts w:ascii="Times New Roman" w:cs="Times New Roman" w:eastAsia="Times New Roman" w:hAnsi="Times New Roman"/>
          <w:sz w:val="16"/>
          <w:szCs w:val="16"/>
          <w:color w:val="auto"/>
        </w:rPr>
        <w:t xml:space="preserve">audit report. </w:t>
      </w:r>
      <w:r>
        <w:rPr>
          <w:rFonts w:ascii="Arial Unicode MS" w:cs="Arial Unicode MS" w:eastAsia="Arial Unicode MS" w:hAnsi="Arial Unicode MS"/>
          <w:sz w:val="20"/>
          <w:szCs w:val="20"/>
          <w:b w:val="1"/>
          <w:bCs w:val="1"/>
          <w:color w:val="auto"/>
        </w:rPr>
        <w:t>☐</w:t>
      </w:r>
    </w:p>
    <w:p>
      <w:pPr>
        <w:sectPr>
          <w:pgSz w:w="12240" w:h="15840" w:orient="portrait"/>
          <w:cols w:equalWidth="0" w:num="1">
            <w:col w:w="10240"/>
          </w:cols>
          <w:pgMar w:left="1000" w:top="744" w:right="1000" w:bottom="391" w:gutter="0" w:footer="0" w:header="0"/>
          <w:type w:val="continuous"/>
        </w:sectPr>
      </w:pPr>
    </w:p>
    <w:bookmarkStart w:id="1" w:name="page2"/>
    <w:bookmarkEnd w:id="1"/>
    <w:p>
      <w:pPr>
        <w:ind w:right="60"/>
        <w:spacing w:after="0" w:line="22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20"/>
          <w:szCs w:val="20"/>
          <w:b w:val="1"/>
          <w:bCs w:val="1"/>
          <w:color w:val="auto"/>
        </w:rPr>
        <w:t>☐</w:t>
      </w:r>
    </w:p>
    <w:p>
      <w:pPr>
        <w:spacing w:after="0" w:line="62" w:lineRule="exact"/>
        <w:rPr>
          <w:sz w:val="20"/>
          <w:szCs w:val="20"/>
          <w:color w:val="auto"/>
        </w:rPr>
      </w:pPr>
    </w:p>
    <w:p>
      <w:pPr>
        <w:ind w:right="80"/>
        <w:spacing w:after="0" w:line="22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20"/>
          <w:szCs w:val="20"/>
          <w:b w:val="1"/>
          <w:bCs w:val="1"/>
          <w:color w:val="auto"/>
        </w:rPr>
        <w:t>☐</w:t>
      </w:r>
    </w:p>
    <w:p>
      <w:pPr>
        <w:spacing w:after="0" w:line="43" w:lineRule="exact"/>
        <w:rPr>
          <w:sz w:val="20"/>
          <w:szCs w:val="20"/>
          <w:color w:val="auto"/>
        </w:rPr>
      </w:pPr>
    </w:p>
    <w:p>
      <w:pPr>
        <w:spacing w:after="0" w:line="268" w:lineRule="exact"/>
        <w:tabs>
          <w:tab w:leader="none" w:pos="7400" w:val="left"/>
          <w:tab w:leader="none" w:pos="80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20"/>
          <w:szCs w:val="20"/>
          <w:b w:val="1"/>
          <w:bCs w:val="1"/>
          <w:color w:val="auto"/>
        </w:rPr>
        <w: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aggregate market value of voting common equity held by non-affiliates of the registrant was $366,560,992 as of June 30, 2023.</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Registrant’s Common Stock outstanding was 26,763,081 as of March 5, 2024.</w:t>
      </w: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the 2024 Annual Meeting of Stockholders, scheduled to be held on June 12, 2024, are incorporated by reference into Part III of this Annual Report on Form 10-K to the extent stated herein. The Definitive Proxy Statement will be filed within 120 days of the Registrant’s fiscal year ended December 31, 2023. Except with respect to information specifically incorporated by reference in this Form 10-K, the Proxy Statement is not deemed to be filed as part of this Form 10-K.</w:t>
      </w:r>
    </w:p>
    <w:p>
      <w:pPr>
        <w:sectPr>
          <w:pgSz w:w="12240" w:h="15840" w:orient="portrait"/>
          <w:cols w:equalWidth="0" w:num="1">
            <w:col w:w="10160"/>
          </w:cols>
          <w:pgMar w:left="1000" w:top="805" w:right="108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221" w:lineRule="exact"/>
        <w:rPr>
          <w:sz w:val="20"/>
          <w:szCs w:val="20"/>
          <w:color w:val="auto"/>
        </w:rPr>
      </w:pPr>
    </w:p>
    <w:p>
      <w:pPr>
        <w:ind w:left="972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4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7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1420" w:type="dxa"/>
            <w:vAlign w:val="bottom"/>
          </w:tcPr>
          <w:p>
            <w:pPr>
              <w:ind w:left="180"/>
              <w:spacing w:after="0" w:line="199" w:lineRule="exact"/>
              <w:rPr>
                <w:sz w:val="20"/>
                <w:szCs w:val="20"/>
                <w:color w:val="auto"/>
              </w:rPr>
            </w:pPr>
            <w:r>
              <w:rPr>
                <w:rFonts w:ascii="Times New Roman" w:cs="Times New Roman" w:eastAsia="Times New Roman" w:hAnsi="Times New Roman"/>
                <w:sz w:val="18"/>
                <w:szCs w:val="18"/>
                <w:color w:val="auto"/>
              </w:rPr>
              <w:t>Item 1.</w:t>
            </w:r>
          </w:p>
        </w:tc>
        <w:tc>
          <w:tcPr>
            <w:tcW w:w="8820" w:type="dxa"/>
            <w:vAlign w:val="bottom"/>
            <w:gridSpan w:val="8"/>
          </w:tcPr>
          <w:p>
            <w:pPr>
              <w:spacing w:after="0" w:line="199" w:lineRule="exact"/>
              <w:rPr>
                <w:sz w:val="20"/>
                <w:szCs w:val="20"/>
                <w:color w:val="auto"/>
              </w:rPr>
            </w:pPr>
            <w:r>
              <w:rPr>
                <w:rFonts w:ascii="Times New Roman" w:cs="Times New Roman" w:eastAsia="Times New Roman" w:hAnsi="Times New Roman"/>
                <w:sz w:val="18"/>
                <w:szCs w:val="18"/>
                <w:color w:val="0000FF"/>
              </w:rPr>
              <w:t>Business</w:t>
            </w:r>
          </w:p>
        </w:tc>
        <w:tc>
          <w:tcPr>
            <w:tcW w:w="0" w:type="dxa"/>
            <w:vAlign w:val="bottom"/>
          </w:tcPr>
          <w:p>
            <w:pPr>
              <w:spacing w:after="0"/>
              <w:rPr>
                <w:sz w:val="1"/>
                <w:szCs w:val="1"/>
                <w:color w:val="auto"/>
              </w:rPr>
            </w:pPr>
          </w:p>
        </w:tc>
      </w:tr>
      <w:tr>
        <w:trPr>
          <w:trHeight w:val="214"/>
        </w:trPr>
        <w:tc>
          <w:tcPr>
            <w:tcW w:w="142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1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1"/>
        </w:trPr>
        <w:tc>
          <w:tcPr>
            <w:tcW w:w="142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Item 1A.</w:t>
            </w:r>
          </w:p>
        </w:tc>
        <w:tc>
          <w:tcPr>
            <w:tcW w:w="8820" w:type="dxa"/>
            <w:vAlign w:val="bottom"/>
            <w:gridSpan w:val="8"/>
          </w:tcPr>
          <w:p>
            <w:pPr>
              <w:spacing w:after="0" w:line="201" w:lineRule="exact"/>
              <w:rPr>
                <w:sz w:val="20"/>
                <w:szCs w:val="20"/>
                <w:color w:val="auto"/>
              </w:rPr>
            </w:pPr>
            <w:r>
              <w:rPr>
                <w:rFonts w:ascii="Times New Roman" w:cs="Times New Roman" w:eastAsia="Times New Roman" w:hAnsi="Times New Roman"/>
                <w:sz w:val="18"/>
                <w:szCs w:val="18"/>
                <w:color w:val="0000FF"/>
              </w:rPr>
              <w:t>Risk Factors</w:t>
            </w:r>
          </w:p>
        </w:tc>
        <w:tc>
          <w:tcPr>
            <w:tcW w:w="0" w:type="dxa"/>
            <w:vAlign w:val="bottom"/>
          </w:tcPr>
          <w:p>
            <w:pPr>
              <w:spacing w:after="0"/>
              <w:rPr>
                <w:sz w:val="1"/>
                <w:szCs w:val="1"/>
                <w:color w:val="auto"/>
              </w:rPr>
            </w:pPr>
          </w:p>
        </w:tc>
      </w:tr>
      <w:tr>
        <w:trPr>
          <w:trHeight w:val="214"/>
        </w:trPr>
        <w:tc>
          <w:tcPr>
            <w:tcW w:w="1420" w:type="dxa"/>
            <w:vAlign w:val="bottom"/>
          </w:tcPr>
          <w:p>
            <w:pPr>
              <w:spacing w:after="0"/>
              <w:rPr>
                <w:sz w:val="18"/>
                <w:szCs w:val="18"/>
                <w:color w:val="auto"/>
              </w:rPr>
            </w:pPr>
          </w:p>
        </w:tc>
        <w:tc>
          <w:tcPr>
            <w:tcW w:w="740" w:type="dxa"/>
            <w:vAlign w:val="bottom"/>
            <w:tcBorders>
              <w:top w:val="single" w:sz="8" w:color="0000FF"/>
            </w:tcBorders>
            <w:gridSpan w:val="2"/>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7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1"/>
        </w:trPr>
        <w:tc>
          <w:tcPr>
            <w:tcW w:w="142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Item 1B.</w:t>
            </w:r>
          </w:p>
        </w:tc>
        <w:tc>
          <w:tcPr>
            <w:tcW w:w="8820" w:type="dxa"/>
            <w:vAlign w:val="bottom"/>
            <w:gridSpan w:val="8"/>
          </w:tcPr>
          <w:p>
            <w:pPr>
              <w:spacing w:after="0" w:line="201" w:lineRule="exact"/>
              <w:rPr>
                <w:sz w:val="20"/>
                <w:szCs w:val="20"/>
                <w:color w:val="auto"/>
              </w:rPr>
            </w:pPr>
            <w:r>
              <w:rPr>
                <w:rFonts w:ascii="Times New Roman" w:cs="Times New Roman" w:eastAsia="Times New Roman" w:hAnsi="Times New Roman"/>
                <w:sz w:val="18"/>
                <w:szCs w:val="18"/>
                <w:color w:val="0000FF"/>
              </w:rPr>
              <w:t>Unresolved Staff Comments</w:t>
            </w:r>
          </w:p>
        </w:tc>
        <w:tc>
          <w:tcPr>
            <w:tcW w:w="0" w:type="dxa"/>
            <w:vAlign w:val="bottom"/>
          </w:tcPr>
          <w:p>
            <w:pPr>
              <w:spacing w:after="0"/>
              <w:rPr>
                <w:sz w:val="1"/>
                <w:szCs w:val="1"/>
                <w:color w:val="auto"/>
              </w:rPr>
            </w:pPr>
          </w:p>
        </w:tc>
      </w:tr>
      <w:tr>
        <w:trPr>
          <w:trHeight w:val="214"/>
        </w:trPr>
        <w:tc>
          <w:tcPr>
            <w:tcW w:w="1420" w:type="dxa"/>
            <w:vAlign w:val="bottom"/>
          </w:tcPr>
          <w:p>
            <w:pPr>
              <w:spacing w:after="0"/>
              <w:rPr>
                <w:sz w:val="18"/>
                <w:szCs w:val="18"/>
                <w:color w:val="auto"/>
              </w:rPr>
            </w:pPr>
          </w:p>
        </w:tc>
        <w:tc>
          <w:tcPr>
            <w:tcW w:w="740" w:type="dxa"/>
            <w:vAlign w:val="bottom"/>
            <w:tcBorders>
              <w:top w:val="single" w:sz="8" w:color="0000FF"/>
            </w:tcBorders>
            <w:gridSpan w:val="2"/>
          </w:tcPr>
          <w:p>
            <w:pPr>
              <w:spacing w:after="0"/>
              <w:rPr>
                <w:sz w:val="18"/>
                <w:szCs w:val="18"/>
                <w:color w:val="auto"/>
              </w:rPr>
            </w:pPr>
          </w:p>
        </w:tc>
        <w:tc>
          <w:tcPr>
            <w:tcW w:w="280" w:type="dxa"/>
            <w:vAlign w:val="bottom"/>
            <w:tcBorders>
              <w:top w:val="single" w:sz="8" w:color="0000FF"/>
            </w:tcBorders>
            <w:gridSpan w:val="2"/>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1"/>
        </w:trPr>
        <w:tc>
          <w:tcPr>
            <w:tcW w:w="142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Item 1C.</w:t>
            </w:r>
          </w:p>
        </w:tc>
        <w:tc>
          <w:tcPr>
            <w:tcW w:w="8820" w:type="dxa"/>
            <w:vAlign w:val="bottom"/>
            <w:gridSpan w:val="8"/>
          </w:tcPr>
          <w:p>
            <w:pPr>
              <w:spacing w:after="0" w:line="201" w:lineRule="exact"/>
              <w:rPr>
                <w:sz w:val="20"/>
                <w:szCs w:val="20"/>
                <w:color w:val="auto"/>
              </w:rPr>
            </w:pPr>
            <w:r>
              <w:rPr>
                <w:rFonts w:ascii="Times New Roman" w:cs="Times New Roman" w:eastAsia="Times New Roman" w:hAnsi="Times New Roman"/>
                <w:sz w:val="18"/>
                <w:szCs w:val="18"/>
                <w:color w:val="0000FF"/>
              </w:rPr>
              <w:t>Cybersecurity</w:t>
            </w:r>
          </w:p>
        </w:tc>
        <w:tc>
          <w:tcPr>
            <w:tcW w:w="0" w:type="dxa"/>
            <w:vAlign w:val="bottom"/>
          </w:tcPr>
          <w:p>
            <w:pPr>
              <w:spacing w:after="0"/>
              <w:rPr>
                <w:sz w:val="1"/>
                <w:szCs w:val="1"/>
                <w:color w:val="auto"/>
              </w:rPr>
            </w:pPr>
          </w:p>
        </w:tc>
      </w:tr>
      <w:tr>
        <w:trPr>
          <w:trHeight w:val="214"/>
        </w:trPr>
        <w:tc>
          <w:tcPr>
            <w:tcW w:w="1420" w:type="dxa"/>
            <w:vAlign w:val="bottom"/>
          </w:tcPr>
          <w:p>
            <w:pPr>
              <w:spacing w:after="0"/>
              <w:rPr>
                <w:sz w:val="18"/>
                <w:szCs w:val="18"/>
                <w:color w:val="auto"/>
              </w:rPr>
            </w:pPr>
          </w:p>
        </w:tc>
        <w:tc>
          <w:tcPr>
            <w:tcW w:w="740" w:type="dxa"/>
            <w:vAlign w:val="bottom"/>
            <w:tcBorders>
              <w:top w:val="single" w:sz="8" w:color="0000FF"/>
            </w:tcBorders>
            <w:gridSpan w:val="2"/>
          </w:tcPr>
          <w:p>
            <w:pPr>
              <w:spacing w:after="0"/>
              <w:rPr>
                <w:sz w:val="18"/>
                <w:szCs w:val="18"/>
                <w:color w:val="auto"/>
              </w:rPr>
            </w:pPr>
          </w:p>
        </w:tc>
        <w:tc>
          <w:tcPr>
            <w:tcW w:w="280" w:type="dxa"/>
            <w:vAlign w:val="bottom"/>
            <w:tcBorders>
              <w:top w:val="single" w:sz="8" w:color="0000FF"/>
            </w:tcBorders>
            <w:gridSpan w:val="2"/>
          </w:tcPr>
          <w:p>
            <w:pPr>
              <w:spacing w:after="0"/>
              <w:rPr>
                <w:sz w:val="18"/>
                <w:szCs w:val="18"/>
                <w:color w:val="auto"/>
              </w:rPr>
            </w:pPr>
          </w:p>
        </w:tc>
        <w:tc>
          <w:tcPr>
            <w:tcW w:w="7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1"/>
        </w:trPr>
        <w:tc>
          <w:tcPr>
            <w:tcW w:w="142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Item 2.</w:t>
            </w:r>
          </w:p>
        </w:tc>
        <w:tc>
          <w:tcPr>
            <w:tcW w:w="8820" w:type="dxa"/>
            <w:vAlign w:val="bottom"/>
            <w:gridSpan w:val="8"/>
          </w:tcPr>
          <w:p>
            <w:pPr>
              <w:spacing w:after="0" w:line="201" w:lineRule="exact"/>
              <w:rPr>
                <w:sz w:val="20"/>
                <w:szCs w:val="20"/>
                <w:color w:val="auto"/>
              </w:rPr>
            </w:pPr>
            <w:r>
              <w:rPr>
                <w:rFonts w:ascii="Times New Roman" w:cs="Times New Roman" w:eastAsia="Times New Roman" w:hAnsi="Times New Roman"/>
                <w:sz w:val="18"/>
                <w:szCs w:val="18"/>
                <w:color w:val="0000FF"/>
              </w:rPr>
              <w:t>Properties</w:t>
            </w:r>
          </w:p>
        </w:tc>
        <w:tc>
          <w:tcPr>
            <w:tcW w:w="0" w:type="dxa"/>
            <w:vAlign w:val="bottom"/>
          </w:tcPr>
          <w:p>
            <w:pPr>
              <w:spacing w:after="0"/>
              <w:rPr>
                <w:sz w:val="1"/>
                <w:szCs w:val="1"/>
                <w:color w:val="auto"/>
              </w:rPr>
            </w:pPr>
          </w:p>
        </w:tc>
      </w:tr>
      <w:tr>
        <w:trPr>
          <w:trHeight w:val="214"/>
        </w:trPr>
        <w:tc>
          <w:tcPr>
            <w:tcW w:w="1420" w:type="dxa"/>
            <w:vAlign w:val="bottom"/>
          </w:tcPr>
          <w:p>
            <w:pPr>
              <w:spacing w:after="0"/>
              <w:rPr>
                <w:sz w:val="18"/>
                <w:szCs w:val="18"/>
                <w:color w:val="auto"/>
              </w:rPr>
            </w:pPr>
          </w:p>
        </w:tc>
        <w:tc>
          <w:tcPr>
            <w:tcW w:w="740" w:type="dxa"/>
            <w:vAlign w:val="bottom"/>
            <w:tcBorders>
              <w:top w:val="single" w:sz="8" w:color="0000FF"/>
            </w:tcBorders>
            <w:gridSpan w:val="2"/>
          </w:tcPr>
          <w:p>
            <w:pPr>
              <w:spacing w:after="0"/>
              <w:rPr>
                <w:sz w:val="18"/>
                <w:szCs w:val="18"/>
                <w:color w:val="auto"/>
              </w:rPr>
            </w:pPr>
          </w:p>
        </w:tc>
        <w:tc>
          <w:tcPr>
            <w:tcW w:w="80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1"/>
        </w:trPr>
        <w:tc>
          <w:tcPr>
            <w:tcW w:w="142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Item 3.</w:t>
            </w:r>
          </w:p>
        </w:tc>
        <w:tc>
          <w:tcPr>
            <w:tcW w:w="8820" w:type="dxa"/>
            <w:vAlign w:val="bottom"/>
            <w:gridSpan w:val="8"/>
          </w:tcPr>
          <w:p>
            <w:pPr>
              <w:spacing w:after="0" w:line="201" w:lineRule="exact"/>
              <w:rPr>
                <w:sz w:val="20"/>
                <w:szCs w:val="20"/>
                <w:color w:val="auto"/>
              </w:rPr>
            </w:pPr>
            <w:r>
              <w:rPr>
                <w:rFonts w:ascii="Times New Roman" w:cs="Times New Roman" w:eastAsia="Times New Roman" w:hAnsi="Times New Roman"/>
                <w:sz w:val="18"/>
                <w:szCs w:val="18"/>
                <w:color w:val="0000FF"/>
              </w:rPr>
              <w:t>Legal Proceedings</w:t>
            </w:r>
          </w:p>
        </w:tc>
        <w:tc>
          <w:tcPr>
            <w:tcW w:w="0" w:type="dxa"/>
            <w:vAlign w:val="bottom"/>
          </w:tcPr>
          <w:p>
            <w:pPr>
              <w:spacing w:after="0"/>
              <w:rPr>
                <w:sz w:val="1"/>
                <w:szCs w:val="1"/>
                <w:color w:val="auto"/>
              </w:rPr>
            </w:pPr>
          </w:p>
        </w:tc>
      </w:tr>
      <w:tr>
        <w:trPr>
          <w:trHeight w:val="214"/>
        </w:trPr>
        <w:tc>
          <w:tcPr>
            <w:tcW w:w="1420" w:type="dxa"/>
            <w:vAlign w:val="bottom"/>
          </w:tcPr>
          <w:p>
            <w:pPr>
              <w:spacing w:after="0"/>
              <w:rPr>
                <w:sz w:val="18"/>
                <w:szCs w:val="18"/>
                <w:color w:val="auto"/>
              </w:rPr>
            </w:pPr>
          </w:p>
        </w:tc>
        <w:tc>
          <w:tcPr>
            <w:tcW w:w="1340" w:type="dxa"/>
            <w:vAlign w:val="bottom"/>
            <w:tcBorders>
              <w:top w:val="single" w:sz="8" w:color="0000FF"/>
            </w:tcBorders>
            <w:gridSpan w:val="5"/>
          </w:tcPr>
          <w:p>
            <w:pPr>
              <w:spacing w:after="0"/>
              <w:rPr>
                <w:sz w:val="18"/>
                <w:szCs w:val="18"/>
                <w:color w:val="auto"/>
              </w:rPr>
            </w:pPr>
          </w:p>
        </w:tc>
        <w:tc>
          <w:tcPr>
            <w:tcW w:w="7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1"/>
        </w:trPr>
        <w:tc>
          <w:tcPr>
            <w:tcW w:w="142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Item 4.</w:t>
            </w:r>
          </w:p>
        </w:tc>
        <w:tc>
          <w:tcPr>
            <w:tcW w:w="8820" w:type="dxa"/>
            <w:vAlign w:val="bottom"/>
            <w:gridSpan w:val="8"/>
          </w:tcPr>
          <w:p>
            <w:pPr>
              <w:spacing w:after="0" w:line="201" w:lineRule="exact"/>
              <w:rPr>
                <w:sz w:val="20"/>
                <w:szCs w:val="20"/>
                <w:color w:val="auto"/>
              </w:rPr>
            </w:pPr>
            <w:r>
              <w:rPr>
                <w:rFonts w:ascii="Times New Roman" w:cs="Times New Roman" w:eastAsia="Times New Roman" w:hAnsi="Times New Roman"/>
                <w:sz w:val="18"/>
                <w:szCs w:val="18"/>
                <w:color w:val="0000FF"/>
              </w:rPr>
              <w:t>Mine Safety Disclosures</w:t>
            </w:r>
          </w:p>
        </w:tc>
        <w:tc>
          <w:tcPr>
            <w:tcW w:w="0" w:type="dxa"/>
            <w:vAlign w:val="bottom"/>
          </w:tcPr>
          <w:p>
            <w:pPr>
              <w:spacing w:after="0"/>
              <w:rPr>
                <w:sz w:val="1"/>
                <w:szCs w:val="1"/>
                <w:color w:val="auto"/>
              </w:rPr>
            </w:pPr>
          </w:p>
        </w:tc>
      </w:tr>
      <w:tr>
        <w:trPr>
          <w:trHeight w:val="214"/>
        </w:trPr>
        <w:tc>
          <w:tcPr>
            <w:tcW w:w="1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780" w:type="dxa"/>
            <w:vAlign w:val="bottom"/>
            <w:tcBorders>
              <w:top w:val="single" w:sz="8" w:color="0000FF"/>
            </w:tcBorders>
            <w:gridSpan w:val="6"/>
          </w:tcPr>
          <w:p>
            <w:pPr>
              <w:spacing w:after="0"/>
              <w:rPr>
                <w:sz w:val="18"/>
                <w:szCs w:val="18"/>
                <w:color w:val="auto"/>
              </w:rPr>
            </w:pP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92"/>
        </w:trPr>
        <w:tc>
          <w:tcPr>
            <w:tcW w:w="14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2240" w:h="15840" w:orient="portrait"/>
          <w:cols w:equalWidth="0" w:num="1">
            <w:col w:w="10240"/>
          </w:cols>
          <w:pgMar w:left="1000" w:top="786" w:right="1000" w:bottom="1440" w:gutter="0" w:footer="0" w:header="0"/>
        </w:sectPr>
      </w:pPr>
    </w:p>
    <w:tbl>
      <w:tblPr>
        <w:tblLayout w:type="fixed"/>
        <w:tblInd w:w="40" w:type="dxa"/>
        <w:tblCellMar>
          <w:top w:w="0" w:type="dxa"/>
          <w:left w:w="0" w:type="dxa"/>
          <w:bottom w:w="0" w:type="dxa"/>
          <w:right w:w="0" w:type="dxa"/>
        </w:tblCellMar>
      </w:tblPr>
      <w:tr>
        <w:trPr>
          <w:trHeight w:val="207"/>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5.</w:t>
            </w:r>
          </w:p>
        </w:tc>
        <w:tc>
          <w:tcPr>
            <w:tcW w:w="73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r>
      <w:tr>
        <w:trPr>
          <w:trHeight w:val="160"/>
        </w:trPr>
        <w:tc>
          <w:tcPr>
            <w:tcW w:w="1380" w:type="dxa"/>
            <w:vAlign w:val="bottom"/>
          </w:tcPr>
          <w:p>
            <w:pPr>
              <w:spacing w:after="0"/>
              <w:rPr>
                <w:sz w:val="13"/>
                <w:szCs w:val="13"/>
                <w:color w:val="auto"/>
              </w:rPr>
            </w:pPr>
          </w:p>
        </w:tc>
        <w:tc>
          <w:tcPr>
            <w:tcW w:w="760" w:type="dxa"/>
            <w:vAlign w:val="bottom"/>
            <w:tcBorders>
              <w:bottom w:val="single" w:sz="8" w:color="0000FF"/>
            </w:tcBorders>
            <w:gridSpan w:val="2"/>
          </w:tcPr>
          <w:p>
            <w:pPr>
              <w:spacing w:after="0" w:line="160" w:lineRule="exact"/>
              <w:rPr>
                <w:sz w:val="20"/>
                <w:szCs w:val="20"/>
                <w:color w:val="auto"/>
              </w:rPr>
            </w:pPr>
            <w:r>
              <w:rPr>
                <w:rFonts w:ascii="Times New Roman" w:cs="Times New Roman" w:eastAsia="Times New Roman" w:hAnsi="Times New Roman"/>
                <w:sz w:val="18"/>
                <w:szCs w:val="18"/>
                <w:color w:val="0000FF"/>
              </w:rPr>
              <w:t>Securities</w:t>
            </w:r>
          </w:p>
        </w:tc>
        <w:tc>
          <w:tcPr>
            <w:tcW w:w="6620" w:type="dxa"/>
            <w:vAlign w:val="bottom"/>
            <w:gridSpan w:val="15"/>
          </w:tcPr>
          <w:p>
            <w:pPr>
              <w:spacing w:after="0"/>
              <w:rPr>
                <w:sz w:val="13"/>
                <w:szCs w:val="13"/>
                <w:color w:val="auto"/>
              </w:rPr>
            </w:pPr>
          </w:p>
        </w:tc>
      </w:tr>
      <w:tr>
        <w:trPr>
          <w:trHeight w:val="235"/>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6700" w:type="dxa"/>
            <w:vAlign w:val="bottom"/>
            <w:gridSpan w:val="16"/>
          </w:tcPr>
          <w:p>
            <w:pPr>
              <w:spacing w:after="0"/>
              <w:rPr>
                <w:sz w:val="20"/>
                <w:szCs w:val="20"/>
                <w:color w:val="auto"/>
              </w:rPr>
            </w:pPr>
          </w:p>
        </w:tc>
      </w:tr>
      <w:tr>
        <w:trPr>
          <w:trHeight w:val="415"/>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7.</w:t>
            </w:r>
          </w:p>
        </w:tc>
        <w:tc>
          <w:tcPr>
            <w:tcW w:w="7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r>
      <w:tr>
        <w:trPr>
          <w:trHeight w:val="415"/>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20" w:type="dxa"/>
            <w:vAlign w:val="bottom"/>
            <w:gridSpan w:val="3"/>
          </w:tcPr>
          <w:p>
            <w:pPr>
              <w:spacing w:after="0"/>
              <w:rPr>
                <w:sz w:val="24"/>
                <w:szCs w:val="24"/>
                <w:color w:val="auto"/>
              </w:rPr>
            </w:pPr>
          </w:p>
        </w:tc>
      </w:tr>
      <w:tr>
        <w:trPr>
          <w:trHeight w:val="415"/>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8.</w:t>
            </w:r>
          </w:p>
        </w:tc>
        <w:tc>
          <w:tcPr>
            <w:tcW w:w="43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Consolidated Financial Statements and Supplementary Data</w:t>
            </w:r>
          </w:p>
        </w:tc>
        <w:tc>
          <w:tcPr>
            <w:tcW w:w="3020" w:type="dxa"/>
            <w:vAlign w:val="bottom"/>
            <w:gridSpan w:val="6"/>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5"/>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w:t>
            </w:r>
          </w:p>
        </w:tc>
        <w:tc>
          <w:tcPr>
            <w:tcW w:w="7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r>
      <w:tr>
        <w:trPr>
          <w:trHeight w:val="415"/>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40" w:type="dxa"/>
            <w:vAlign w:val="bottom"/>
            <w:tcBorders>
              <w:top w:val="single" w:sz="8" w:color="0000FF"/>
            </w:tcBorders>
            <w:gridSpan w:val="10"/>
          </w:tcPr>
          <w:p>
            <w:pPr>
              <w:spacing w:after="0"/>
              <w:rPr>
                <w:sz w:val="24"/>
                <w:szCs w:val="24"/>
                <w:color w:val="auto"/>
              </w:rPr>
            </w:pPr>
          </w:p>
        </w:tc>
        <w:tc>
          <w:tcPr>
            <w:tcW w:w="860" w:type="dxa"/>
            <w:vAlign w:val="bottom"/>
            <w:gridSpan w:val="2"/>
          </w:tcPr>
          <w:p>
            <w:pPr>
              <w:spacing w:after="0"/>
              <w:rPr>
                <w:sz w:val="24"/>
                <w:szCs w:val="24"/>
                <w:color w:val="auto"/>
              </w:rPr>
            </w:pPr>
          </w:p>
        </w:tc>
      </w:tr>
      <w:tr>
        <w:trPr>
          <w:trHeight w:val="415"/>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6060" w:type="dxa"/>
            <w:vAlign w:val="bottom"/>
            <w:gridSpan w:val="14"/>
          </w:tcPr>
          <w:p>
            <w:pPr>
              <w:spacing w:after="0"/>
              <w:rPr>
                <w:sz w:val="24"/>
                <w:szCs w:val="24"/>
                <w:color w:val="auto"/>
              </w:rPr>
            </w:pPr>
          </w:p>
        </w:tc>
      </w:tr>
      <w:tr>
        <w:trPr>
          <w:trHeight w:val="415"/>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9C.</w:t>
            </w:r>
          </w:p>
        </w:tc>
        <w:tc>
          <w:tcPr>
            <w:tcW w:w="7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r>
      <w:tr>
        <w:trPr>
          <w:trHeight w:val="526"/>
        </w:trPr>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9"/>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10.</w:t>
            </w:r>
          </w:p>
        </w:tc>
        <w:tc>
          <w:tcPr>
            <w:tcW w:w="7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r>
      <w:tr>
        <w:trPr>
          <w:trHeight w:val="415"/>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11.</w:t>
            </w:r>
          </w:p>
        </w:tc>
        <w:tc>
          <w:tcPr>
            <w:tcW w:w="41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3280" w:type="dxa"/>
            <w:vAlign w:val="bottom"/>
            <w:gridSpan w:val="8"/>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5"/>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80" w:type="dxa"/>
            <w:vAlign w:val="bottom"/>
          </w:tcPr>
          <w:p>
            <w:pPr>
              <w:spacing w:after="0"/>
              <w:rPr>
                <w:sz w:val="24"/>
                <w:szCs w:val="24"/>
                <w:color w:val="auto"/>
              </w:rPr>
            </w:pPr>
          </w:p>
        </w:tc>
      </w:tr>
      <w:tr>
        <w:trPr>
          <w:trHeight w:val="415"/>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13.</w:t>
            </w:r>
          </w:p>
        </w:tc>
        <w:tc>
          <w:tcPr>
            <w:tcW w:w="7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r>
      <w:tr>
        <w:trPr>
          <w:trHeight w:val="415"/>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920" w:type="dxa"/>
            <w:vAlign w:val="bottom"/>
            <w:gridSpan w:val="4"/>
          </w:tcPr>
          <w:p>
            <w:pPr>
              <w:spacing w:after="0"/>
              <w:rPr>
                <w:sz w:val="24"/>
                <w:szCs w:val="24"/>
                <w:color w:val="auto"/>
              </w:rPr>
            </w:pPr>
          </w:p>
        </w:tc>
      </w:tr>
      <w:tr>
        <w:trPr>
          <w:trHeight w:val="706"/>
        </w:trPr>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9"/>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15.</w:t>
            </w:r>
          </w:p>
        </w:tc>
        <w:tc>
          <w:tcPr>
            <w:tcW w:w="3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Exhibits, Consolidated Financial Statement Schedules</w:t>
            </w:r>
          </w:p>
        </w:tc>
        <w:tc>
          <w:tcPr>
            <w:tcW w:w="3480" w:type="dxa"/>
            <w:vAlign w:val="bottom"/>
            <w:gridSpan w:val="9"/>
          </w:tcPr>
          <w:p>
            <w:pPr>
              <w:spacing w:after="0"/>
              <w:rPr>
                <w:sz w:val="19"/>
                <w:szCs w:val="19"/>
                <w:color w:val="auto"/>
              </w:rPr>
            </w:pPr>
          </w:p>
        </w:tc>
      </w:tr>
      <w:tr>
        <w:trPr>
          <w:trHeight w:val="415"/>
        </w:trPr>
        <w:tc>
          <w:tcPr>
            <w:tcW w:w="1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5820" w:type="dxa"/>
            <w:vAlign w:val="bottom"/>
            <w:gridSpan w:val="13"/>
          </w:tcPr>
          <w:p>
            <w:pPr>
              <w:spacing w:after="0"/>
              <w:rPr>
                <w:sz w:val="24"/>
                <w:szCs w:val="24"/>
                <w:color w:val="auto"/>
              </w:rPr>
            </w:pPr>
          </w:p>
        </w:tc>
      </w:tr>
      <w:tr>
        <w:trPr>
          <w:trHeight w:val="415"/>
        </w:trPr>
        <w:tc>
          <w:tcPr>
            <w:tcW w:w="1380" w:type="dxa"/>
            <w:vAlign w:val="bottom"/>
          </w:tcPr>
          <w:p>
            <w:pPr>
              <w:spacing w:after="0"/>
              <w:rPr>
                <w:sz w:val="24"/>
                <w:szCs w:val="24"/>
                <w:color w:val="auto"/>
              </w:rPr>
            </w:pPr>
          </w:p>
        </w:tc>
        <w:tc>
          <w:tcPr>
            <w:tcW w:w="7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Signatures</w:t>
            </w:r>
          </w:p>
        </w:tc>
      </w:tr>
      <w:tr>
        <w:trPr>
          <w:trHeight w:val="20"/>
        </w:trPr>
        <w:tc>
          <w:tcPr>
            <w:tcW w:w="13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w:t>
      </w:r>
    </w:p>
    <w:p>
      <w:pPr>
        <w:sectPr>
          <w:pgSz w:w="12240" w:h="15840" w:orient="portrait"/>
          <w:cols w:equalWidth="0" w:num="2">
            <w:col w:w="9280" w:space="720"/>
            <w:col w:w="240"/>
          </w:cols>
          <w:pgMar w:left="1000" w:top="786" w:right="1000"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257" w:lineRule="exact"/>
        <w:rPr>
          <w:sz w:val="20"/>
          <w:szCs w:val="20"/>
          <w:color w:val="auto"/>
        </w:rPr>
      </w:pPr>
    </w:p>
    <w:p>
      <w:pPr>
        <w:ind w:firstLine="630"/>
        <w:spacing w:after="0" w:line="258" w:lineRule="auto"/>
        <w:rPr>
          <w:sz w:val="20"/>
          <w:szCs w:val="20"/>
          <w:color w:val="auto"/>
        </w:rPr>
      </w:pPr>
      <w:r>
        <w:rPr>
          <w:rFonts w:ascii="Times New Roman" w:cs="Times New Roman" w:eastAsia="Times New Roman" w:hAnsi="Times New Roman"/>
          <w:sz w:val="20"/>
          <w:szCs w:val="20"/>
          <w:color w:val="auto"/>
        </w:rPr>
        <w:t>This Annual Report on Form 10-K (“Annual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forward-looking statements in this report include, among other things, statements about:</w:t>
      </w:r>
    </w:p>
    <w:p>
      <w:pPr>
        <w:spacing w:after="0" w:line="130" w:lineRule="exact"/>
        <w:rPr>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cost, and timing of our product candidate development activities and ongoing and planned clinical trials;</w:t>
      </w:r>
    </w:p>
    <w:p>
      <w:pPr>
        <w:spacing w:after="0" w:line="130" w:lineRule="exact"/>
        <w:rPr>
          <w:rFonts w:ascii="Times New Roman" w:cs="Times New Roman" w:eastAsia="Times New Roman" w:hAnsi="Times New Roman"/>
          <w:sz w:val="20"/>
          <w:szCs w:val="20"/>
          <w:color w:val="auto"/>
        </w:rPr>
      </w:pPr>
    </w:p>
    <w:p>
      <w:pPr>
        <w:ind w:left="720" w:right="400" w:hanging="360"/>
        <w:spacing w:after="0" w:line="28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plans to develop and commercialize antibodies, including our two checkpoint agonists in clinical-stage development: rosnilimab and ANB032;</w:t>
      </w:r>
    </w:p>
    <w:p>
      <w:pPr>
        <w:spacing w:after="0" w:line="6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develop our product candidates;</w:t>
      </w:r>
    </w:p>
    <w:p>
      <w:pPr>
        <w:spacing w:after="0" w:line="130" w:lineRule="exact"/>
        <w:rPr>
          <w:rFonts w:ascii="Times New Roman" w:cs="Times New Roman" w:eastAsia="Times New Roman" w:hAnsi="Times New Roman"/>
          <w:sz w:val="20"/>
          <w:szCs w:val="20"/>
          <w:color w:val="auto"/>
        </w:rPr>
      </w:pPr>
    </w:p>
    <w:p>
      <w:pPr>
        <w:ind w:left="720" w:right="180" w:hanging="360"/>
        <w:spacing w:after="0" w:line="266"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likelihood that the clinical data generated in any study we performed, are performing, or plan to perform in a non-U.S. jurisdiction will be subsequently accepted by the </w:t>
      </w:r>
      <w:r>
        <w:rPr>
          <w:rFonts w:ascii="Times New Roman" w:cs="Times New Roman" w:eastAsia="Times New Roman" w:hAnsi="Times New Roman"/>
          <w:sz w:val="20"/>
          <w:szCs w:val="20"/>
          <w:color w:val="231F20"/>
        </w:rPr>
        <w:t>U.S. Food and Drug Administration (“FDA”)</w:t>
      </w:r>
      <w:r>
        <w:rPr>
          <w:rFonts w:ascii="Times New Roman" w:cs="Times New Roman" w:eastAsia="Times New Roman" w:hAnsi="Times New Roman"/>
          <w:sz w:val="20"/>
          <w:szCs w:val="20"/>
          <w:color w:val="auto"/>
        </w:rPr>
        <w:t xml:space="preserve"> and/or by foreign regulatory authorities outside of the jurisdiction where the study was being performed;</w:t>
      </w:r>
    </w:p>
    <w:p>
      <w:pPr>
        <w:spacing w:after="0" w:line="75"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benefits and advantages of our product candidates and approaches versus those of our competitors;</w:t>
      </w:r>
    </w:p>
    <w:p>
      <w:pPr>
        <w:spacing w:after="0" w:line="1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of competing therapies that are or may become available;</w:t>
      </w:r>
    </w:p>
    <w:p>
      <w:pPr>
        <w:spacing w:after="0" w:line="130" w:lineRule="exact"/>
        <w:rPr>
          <w:rFonts w:ascii="Times New Roman" w:cs="Times New Roman" w:eastAsia="Times New Roman" w:hAnsi="Times New Roman"/>
          <w:sz w:val="20"/>
          <w:szCs w:val="20"/>
          <w:color w:val="auto"/>
        </w:rPr>
      </w:pPr>
    </w:p>
    <w:p>
      <w:pPr>
        <w:ind w:left="720" w:right="640" w:hanging="360"/>
        <w:spacing w:after="0" w:line="28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and the ability to obtain and maintain regulatory approvals for our product candidates, partnered product candidates and/or product candidates for which we may receive royalties;</w:t>
      </w:r>
    </w:p>
    <w:p>
      <w:pPr>
        <w:spacing w:after="0" w:line="6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and degree of market acceptance and clinical utility of any approved product candidates;</w:t>
      </w:r>
    </w:p>
    <w:p>
      <w:pPr>
        <w:spacing w:after="0" w:line="1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size and growth potential of the markets for any approved product candidates, and our ability to serve those markets;</w:t>
      </w:r>
    </w:p>
    <w:p>
      <w:pPr>
        <w:spacing w:after="0" w:line="1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commercialization, marketing, and manufacturing capabilities and strategy;</w:t>
      </w:r>
    </w:p>
    <w:p>
      <w:pPr>
        <w:spacing w:after="0" w:line="1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our ability to obtain and maintain intellectual property protection for our product candidates;</w:t>
      </w:r>
    </w:p>
    <w:p>
      <w:pPr>
        <w:spacing w:after="0" w:line="1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developments in the U.S. and foreign countries;</w:t>
      </w:r>
    </w:p>
    <w:p>
      <w:pPr>
        <w:spacing w:after="0" w:line="130" w:lineRule="exact"/>
        <w:rPr>
          <w:rFonts w:ascii="Times New Roman" w:cs="Times New Roman" w:eastAsia="Times New Roman" w:hAnsi="Times New Roman"/>
          <w:sz w:val="20"/>
          <w:szCs w:val="20"/>
          <w:color w:val="auto"/>
        </w:rPr>
      </w:pPr>
    </w:p>
    <w:p>
      <w:pPr>
        <w:ind w:left="720" w:right="920" w:hanging="360"/>
        <w:spacing w:after="0" w:line="28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political, economic or public health events on our business and the United States (“U.S.”) and global economies;</w:t>
      </w:r>
    </w:p>
    <w:p>
      <w:pPr>
        <w:spacing w:after="0" w:line="6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and retain key scientific or management personnel;</w:t>
      </w:r>
    </w:p>
    <w:p>
      <w:pPr>
        <w:spacing w:after="0" w:line="130" w:lineRule="exact"/>
        <w:rPr>
          <w:rFonts w:ascii="Times New Roman" w:cs="Times New Roman" w:eastAsia="Times New Roman" w:hAnsi="Times New Roman"/>
          <w:sz w:val="20"/>
          <w:szCs w:val="20"/>
          <w:color w:val="auto"/>
        </w:rPr>
      </w:pPr>
    </w:p>
    <w:p>
      <w:pPr>
        <w:ind w:left="720" w:right="20" w:hanging="360"/>
        <w:spacing w:after="0" w:line="28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macro-economic factors, including volatility in equity markets, and fluctuations in interest rates and foreign exchange rates;</w:t>
      </w:r>
    </w:p>
    <w:p>
      <w:pPr>
        <w:spacing w:after="0" w:line="61" w:lineRule="exact"/>
        <w:rPr>
          <w:rFonts w:ascii="Times New Roman" w:cs="Times New Roman" w:eastAsia="Times New Roman" w:hAnsi="Times New Roman"/>
          <w:sz w:val="20"/>
          <w:szCs w:val="20"/>
          <w:color w:val="auto"/>
        </w:rPr>
      </w:pPr>
    </w:p>
    <w:p>
      <w:pPr>
        <w:ind w:left="720" w:right="200" w:hanging="360"/>
        <w:spacing w:after="0" w:line="28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funding for our operations on favorable terms or at all, including funding necessary to complete further development and commercialization of our product candidates;</w:t>
      </w:r>
    </w:p>
    <w:p>
      <w:pPr>
        <w:spacing w:after="0" w:line="6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find a licensing partner for imsidolimab and etokimab;</w:t>
      </w:r>
    </w:p>
    <w:p>
      <w:pPr>
        <w:spacing w:after="0" w:line="1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ability of our collaborators to develop and commercialize our partnered product candidates;</w:t>
      </w:r>
    </w:p>
    <w:p>
      <w:pPr>
        <w:spacing w:after="0" w:line="1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use of the net proceeds from our public offerings and other financing transactions; and</w:t>
      </w:r>
    </w:p>
    <w:p>
      <w:pPr>
        <w:spacing w:after="0" w:line="1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estimates regarding expenses, future revenue, capital requirements, and needs for additional financing.</w:t>
      </w:r>
    </w:p>
    <w:p>
      <w:pPr>
        <w:spacing w:after="0" w:line="250" w:lineRule="exact"/>
        <w:rPr>
          <w:sz w:val="20"/>
          <w:szCs w:val="20"/>
          <w:color w:val="auto"/>
        </w:rPr>
      </w:pPr>
    </w:p>
    <w:p>
      <w:pPr>
        <w:ind w:right="120" w:firstLine="630"/>
        <w:spacing w:after="0" w:line="255" w:lineRule="auto"/>
        <w:rPr>
          <w:sz w:val="20"/>
          <w:szCs w:val="20"/>
          <w:color w:val="auto"/>
        </w:rPr>
      </w:pPr>
      <w:r>
        <w:rPr>
          <w:rFonts w:ascii="Times New Roman" w:cs="Times New Roman" w:eastAsia="Times New Roman" w:hAnsi="Times New Roman"/>
          <w:sz w:val="20"/>
          <w:szCs w:val="20"/>
          <w:color w:val="auto"/>
        </w:rPr>
        <w:t>These forward-looking statements are subject to a number of risks, uncertainties, and assumptions, including those described in Item 1A, “Risk Factors,” and elsewhere in this Annual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may not occur, and actual results could differ materially and adversely from those anticipated or implied in the forward-looking statements.</w:t>
      </w:r>
    </w:p>
    <w:p>
      <w:pPr>
        <w:spacing w:after="0" w:line="90" w:lineRule="exact"/>
        <w:rPr>
          <w:sz w:val="20"/>
          <w:szCs w:val="20"/>
          <w:color w:val="auto"/>
        </w:rPr>
      </w:pPr>
    </w:p>
    <w:p>
      <w:pPr>
        <w:ind w:right="140" w:firstLine="630"/>
        <w:spacing w:after="0" w:line="258" w:lineRule="auto"/>
        <w:rPr>
          <w:sz w:val="20"/>
          <w:szCs w:val="20"/>
          <w:color w:val="auto"/>
        </w:rPr>
      </w:pPr>
      <w:r>
        <w:rPr>
          <w:rFonts w:ascii="Times New Roman" w:cs="Times New Roman" w:eastAsia="Times New Roman" w:hAnsi="Times New Roman"/>
          <w:sz w:val="20"/>
          <w:szCs w:val="20"/>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ectPr>
          <w:pgSz w:w="12240" w:h="15840" w:orient="portrait"/>
          <w:cols w:equalWidth="0" w:num="1">
            <w:col w:w="10800"/>
          </w:cols>
          <w:pgMar w:left="720" w:top="651" w:right="720" w:bottom="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800"/>
          </w:cols>
          <w:pgMar w:left="720" w:top="651" w:right="720" w:bottom="0" w:gutter="0" w:footer="0" w:header="0"/>
          <w:type w:val="continuous"/>
        </w:sectPr>
      </w:pPr>
    </w:p>
    <w:bookmarkStart w:id="4" w:name="page5"/>
    <w:bookmarkEnd w:id="4"/>
    <w:p>
      <w:pPr>
        <w:ind w:right="60" w:firstLine="630"/>
        <w:spacing w:after="0" w:line="281" w:lineRule="auto"/>
        <w:rPr>
          <w:sz w:val="20"/>
          <w:szCs w:val="20"/>
          <w:color w:val="auto"/>
        </w:rPr>
      </w:pPr>
      <w:r>
        <w:rPr>
          <w:rFonts w:ascii="Times New Roman" w:cs="Times New Roman" w:eastAsia="Times New Roman" w:hAnsi="Times New Roman"/>
          <w:sz w:val="20"/>
          <w:szCs w:val="20"/>
          <w:color w:val="auto"/>
        </w:rPr>
        <w:t>You should read this Annual Report with the understanding that our actual future results, levels of activity, performance, and events and circumstances may be materially different from what we expect.</w:t>
      </w:r>
    </w:p>
    <w:p>
      <w:pPr>
        <w:spacing w:after="0" w:line="61" w:lineRule="exact"/>
        <w:rPr>
          <w:sz w:val="20"/>
          <w:szCs w:val="20"/>
          <w:color w:val="auto"/>
        </w:rPr>
      </w:pPr>
    </w:p>
    <w:p>
      <w:pPr>
        <w:ind w:firstLine="630"/>
        <w:spacing w:after="0" w:line="275" w:lineRule="auto"/>
        <w:rPr>
          <w:sz w:val="20"/>
          <w:szCs w:val="20"/>
          <w:color w:val="auto"/>
        </w:rPr>
      </w:pPr>
      <w:r>
        <w:rPr>
          <w:rFonts w:ascii="Times New Roman" w:cs="Times New Roman" w:eastAsia="Times New Roman" w:hAnsi="Times New Roman"/>
          <w:sz w:val="19"/>
          <w:szCs w:val="19"/>
          <w:color w:val="auto"/>
        </w:rPr>
        <w:t>Unless the context indicates otherwise, as used in this Annual Report, the terms “AnaptysBio,” “Anaptys,” “company,” “we,” “us” and “our” refer to AnaptysBio, Inc., a Delaware corporation, and its subsidiaries taken as a whole, unless otherwise noted. AnaptysBio is our common law trademark. This Annual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ectPr>
          <w:pgSz w:w="12240" w:h="15840" w:orient="portrait"/>
          <w:cols w:equalWidth="0" w:num="1">
            <w:col w:w="10680"/>
          </w:cols>
          <w:pgMar w:left="720" w:top="65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680"/>
          </w:cols>
          <w:pgMar w:left="720" w:top="658" w:right="840" w:bottom="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37" w:lineRule="exact"/>
        <w:rPr>
          <w:sz w:val="20"/>
          <w:szCs w:val="20"/>
          <w:color w:val="auto"/>
        </w:rPr>
      </w:pPr>
    </w:p>
    <w:p>
      <w:pPr>
        <w:ind w:firstLine="540"/>
        <w:spacing w:after="0" w:line="253" w:lineRule="auto"/>
        <w:rPr>
          <w:sz w:val="20"/>
          <w:szCs w:val="20"/>
          <w:color w:val="auto"/>
        </w:rPr>
      </w:pPr>
      <w:r>
        <w:rPr>
          <w:rFonts w:ascii="Times New Roman" w:cs="Times New Roman" w:eastAsia="Times New Roman" w:hAnsi="Times New Roman"/>
          <w:sz w:val="20"/>
          <w:szCs w:val="20"/>
          <w:color w:val="auto"/>
        </w:rPr>
        <w:t>We are a clinical-stage biotechnology company focused on delivering innovative immunology therapeutics. We are developing immune cell modulating antibodies, including two wholly owned checkpoint agonists in clinical-stage development, for autoimmune and inflammatory diseases: rosnilimab, our PD-1 agonist in a Phase 2b trial for the treatment of moderate-to-severe rheumatoid arthritis (“RA”) and a Phase 2 trial for the treatment of moderate-to-severe ulcerative colitis (“UC”); and ANB032, our BTLA agonist, in a Phase 2b trial for the treatment of moderate-to-severe atopic dermatitis (“AD”). We also have other preclinical immune cell modulator candidates for the treatment of autoimmune and inflammatory diseases in our portfolio, including ANB033, an anti-CD122 antagonist antibody, and ANB101, a BDCA2 modulator antibody. In addition, we have developed two cytokine antagonists that we are exploring options for out-licensing: imsidolimab, our anti-IL-36R antibody, in Phase 3 development for the treatment of generalized pustular psoriasis (“GPP”), and etokimab, our anti-IL-33 antagonist that is Phase 2/3 ready. We have also discovered multiple therapeutic antibodies licensed to GlaxoSmithKline, Inc. (“GSK”) in a financial collaboration for immuno-oncology, including an anti-PD-1 antagonist antibody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(dostarlimab-gxly)) and an anti-TIM-3 antagonist antibody (cobolimab, GSK4069889). We currently recognize revenue from milestones and royalties achieved under our immuno-oncology collaboration with GSK.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Wholly Owned Product Candidate Pipeline</w:t>
      </w:r>
    </w:p>
    <w:p>
      <w:pPr>
        <w:spacing w:after="0" w:line="137" w:lineRule="exact"/>
        <w:rPr>
          <w:sz w:val="20"/>
          <w:szCs w:val="20"/>
          <w:color w:val="auto"/>
        </w:rPr>
      </w:pPr>
    </w:p>
    <w:p>
      <w:pPr>
        <w:ind w:firstLine="540"/>
        <w:spacing w:after="0" w:line="258" w:lineRule="auto"/>
        <w:rPr>
          <w:sz w:val="20"/>
          <w:szCs w:val="20"/>
          <w:color w:val="auto"/>
        </w:rPr>
      </w:pPr>
      <w:r>
        <w:rPr>
          <w:rFonts w:ascii="Times New Roman" w:cs="Times New Roman" w:eastAsia="Times New Roman" w:hAnsi="Times New Roman"/>
          <w:sz w:val="20"/>
          <w:szCs w:val="20"/>
          <w:color w:val="auto"/>
        </w:rPr>
        <w:t>Our immune cell modulating antibodies, including checkpoint agonists for PD-1 and BTLA, treat inflammatory disorders by down regulating immune responses mediated by multiple immune cell types including T cells, B cells, and dendritic cells. T cells require both antigen presentation to the T cell receptor and co-stimulation to be activated. When these interactions are inhibited, T cells can’t be effectively primed to expand and differentiate into inflammatory T cells. Inhibition of at least one of these signals is the basis of checkpoint agonism.</w:t>
      </w:r>
    </w:p>
    <w:p>
      <w:pPr>
        <w:spacing w:after="0" w:line="84" w:lineRule="exact"/>
        <w:rPr>
          <w:sz w:val="20"/>
          <w:szCs w:val="20"/>
          <w:color w:val="auto"/>
        </w:rPr>
      </w:pPr>
    </w:p>
    <w:p>
      <w:pPr>
        <w:ind w:right="80" w:firstLine="540"/>
        <w:spacing w:after="0" w:line="281" w:lineRule="auto"/>
        <w:rPr>
          <w:sz w:val="20"/>
          <w:szCs w:val="20"/>
          <w:color w:val="auto"/>
        </w:rPr>
      </w:pPr>
      <w:r>
        <w:rPr>
          <w:rFonts w:ascii="Times New Roman" w:cs="Times New Roman" w:eastAsia="Times New Roman" w:hAnsi="Times New Roman"/>
          <w:sz w:val="20"/>
          <w:szCs w:val="20"/>
          <w:color w:val="auto"/>
        </w:rPr>
        <w:t>We believe these molecules have potential applicability across a broad range of autoimmune and inflammatory diseases, including dermatology, rheumatology, gastroenterology, respiratory, and neurology therapeutic areas.</w:t>
      </w:r>
    </w:p>
    <w:p>
      <w:pPr>
        <w:spacing w:after="0" w:line="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Rosnilimab</w:t>
      </w:r>
    </w:p>
    <w:p>
      <w:pPr>
        <w:spacing w:after="0" w:line="134" w:lineRule="exact"/>
        <w:rPr>
          <w:sz w:val="20"/>
          <w:szCs w:val="20"/>
          <w:color w:val="auto"/>
        </w:rPr>
      </w:pPr>
    </w:p>
    <w:p>
      <w:pPr>
        <w:ind w:right="40" w:firstLine="540"/>
        <w:spacing w:after="0" w:line="258" w:lineRule="auto"/>
        <w:rPr>
          <w:sz w:val="20"/>
          <w:szCs w:val="20"/>
          <w:color w:val="auto"/>
        </w:rPr>
      </w:pPr>
      <w:r>
        <w:rPr>
          <w:rFonts w:ascii="Times New Roman" w:cs="Times New Roman" w:eastAsia="Times New Roman" w:hAnsi="Times New Roman"/>
          <w:sz w:val="20"/>
          <w:szCs w:val="20"/>
          <w:color w:val="auto"/>
        </w:rPr>
        <w:t>PD-1, or programmed cell death protein 1, is an inhibitory checkpoint receptor that regulates T cell proliferation, and cytokine secretion. It is expressed preferentially on activated T cells, reducing the potential for off-target activity by rosnilimab. Genetic mutations in the PD-1 pathway are known to be associated with increased susceptibility to human inflammatory diseases which leads us to believe that rosnilimab is applicable to diseases where PD-1 checkpoint receptor function may be insufficient to maintain immune homeostasis.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Rosnilimab is an IgG1 antibody that directly targets PD-1+ T cells, resulting in their agonism or depletion, broadly</w:t>
      </w:r>
    </w:p>
    <w:p>
      <w:pPr>
        <w:spacing w:after="0" w:line="30"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9"/>
          <w:szCs w:val="19"/>
          <w:color w:val="auto"/>
        </w:rPr>
        <w:t>impacting pathogenic drivers of autoimmune and inflammatory diseases. An IgG1 PD-1 agonist acts through three distinct mechanisms: depletion of PD-1</w:t>
      </w:r>
      <w:r>
        <w:rPr>
          <w:rFonts w:ascii="Times New Roman" w:cs="Times New Roman" w:eastAsia="Times New Roman" w:hAnsi="Times New Roman"/>
          <w:sz w:val="25"/>
          <w:szCs w:val="25"/>
          <w:color w:val="auto"/>
          <w:vertAlign w:val="superscript"/>
        </w:rPr>
        <w:t>high</w:t>
      </w:r>
      <w:r>
        <w:rPr>
          <w:rFonts w:ascii="Times New Roman" w:cs="Times New Roman" w:eastAsia="Times New Roman" w:hAnsi="Times New Roman"/>
          <w:sz w:val="19"/>
          <w:szCs w:val="19"/>
          <w:color w:val="auto"/>
        </w:rPr>
        <w:t xml:space="preserve"> effector T cells, depletion of PD-1</w:t>
      </w:r>
      <w:r>
        <w:rPr>
          <w:rFonts w:ascii="Times New Roman" w:cs="Times New Roman" w:eastAsia="Times New Roman" w:hAnsi="Times New Roman"/>
          <w:sz w:val="25"/>
          <w:szCs w:val="25"/>
          <w:color w:val="auto"/>
          <w:vertAlign w:val="superscript"/>
        </w:rPr>
        <w:t>high</w:t>
      </w:r>
      <w:r>
        <w:rPr>
          <w:rFonts w:ascii="Times New Roman" w:cs="Times New Roman" w:eastAsia="Times New Roman" w:hAnsi="Times New Roman"/>
          <w:sz w:val="19"/>
          <w:szCs w:val="19"/>
          <w:color w:val="auto"/>
        </w:rPr>
        <w:t xml:space="preserve"> Tfh and Tph cells, and agonism of PD-1</w:t>
      </w:r>
      <w:r>
        <w:rPr>
          <w:rFonts w:ascii="Times New Roman" w:cs="Times New Roman" w:eastAsia="Times New Roman" w:hAnsi="Times New Roman"/>
          <w:sz w:val="25"/>
          <w:szCs w:val="25"/>
          <w:color w:val="auto"/>
          <w:vertAlign w:val="superscript"/>
        </w:rPr>
        <w:t>int</w:t>
      </w:r>
      <w:r>
        <w:rPr>
          <w:rFonts w:ascii="Times New Roman" w:cs="Times New Roman" w:eastAsia="Times New Roman" w:hAnsi="Times New Roman"/>
          <w:sz w:val="19"/>
          <w:szCs w:val="19"/>
          <w:color w:val="auto"/>
        </w:rPr>
        <w:t xml:space="preserve"> T cells. This</w:t>
      </w:r>
    </w:p>
    <w:p>
      <w:pPr>
        <w:spacing w:after="0" w:line="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9"/>
          <w:szCs w:val="19"/>
          <w:color w:val="auto"/>
        </w:rPr>
        <w:t>drives specific immunological outcomes in both inflamed tissue and the periphery, such as reduction in T cell proliferation, migration, and cytokine secretion, and reduction of plasma cell generation and autoantibody levels. Rosnilimab is designed to enable formation of a tight immune synapse by binding to the PD-1 checkpoint receptor on a membrane-proximal epitope, and simultaneously anchoring to an Fc receptor, on an opposing cell, supporting crosslinking and excluding activating phosphatases</w:t>
      </w:r>
    </w:p>
    <w:p>
      <w:pPr>
        <w:spacing w:after="0" w:line="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0"/>
          <w:szCs w:val="20"/>
          <w:color w:val="auto"/>
        </w:rPr>
        <w:t>such as CD45. Rosnilimab also facilitates depletion by bringing effector cells into closer proximity to pathogenically activated PD-1</w:t>
      </w:r>
      <w:r>
        <w:rPr>
          <w:rFonts w:ascii="Times New Roman" w:cs="Times New Roman" w:eastAsia="Times New Roman" w:hAnsi="Times New Roman"/>
          <w:sz w:val="26"/>
          <w:szCs w:val="26"/>
          <w:color w:val="auto"/>
          <w:vertAlign w:val="superscript"/>
        </w:rPr>
        <w:t>high</w:t>
      </w:r>
      <w:r>
        <w:rPr>
          <w:rFonts w:ascii="Times New Roman" w:cs="Times New Roman" w:eastAsia="Times New Roman" w:hAnsi="Times New Roman"/>
          <w:sz w:val="20"/>
          <w:szCs w:val="20"/>
          <w:color w:val="auto"/>
        </w:rPr>
        <w:t xml:space="preserve"> T cells.</w:t>
      </w:r>
    </w:p>
    <w:p>
      <w:pPr>
        <w:spacing w:after="0" w:line="25" w:lineRule="exact"/>
        <w:rPr>
          <w:sz w:val="20"/>
          <w:szCs w:val="20"/>
          <w:color w:val="auto"/>
        </w:rPr>
      </w:pPr>
    </w:p>
    <w:p>
      <w:pPr>
        <w:ind w:right="160" w:firstLine="540"/>
        <w:spacing w:after="0" w:line="262" w:lineRule="auto"/>
        <w:rPr>
          <w:sz w:val="20"/>
          <w:szCs w:val="20"/>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studies, when PD-1+ T cells were cocultured in the presence of NK cells, rosnilimab demonstrated potent depletion of PD-1+ T cells. In separate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studies, in which T cells were stimulated in the presence of only dendritic cells (in the absence of any cells capable of mediating depletion), rosnilimab demonstrated potent agonism properties such as a reduction in PD-1+T cell proliferation and reduction in secretion of inflammatory cytokines.</w:t>
      </w:r>
    </w:p>
    <w:p>
      <w:pPr>
        <w:spacing w:after="0" w:line="80" w:lineRule="exact"/>
        <w:rPr>
          <w:sz w:val="20"/>
          <w:szCs w:val="20"/>
          <w:color w:val="auto"/>
        </w:rPr>
      </w:pPr>
    </w:p>
    <w:p>
      <w:pPr>
        <w:ind w:right="40" w:firstLine="540"/>
        <w:spacing w:after="0" w:line="253" w:lineRule="auto"/>
        <w:rPr>
          <w:sz w:val="20"/>
          <w:szCs w:val="20"/>
          <w:color w:val="auto"/>
        </w:rPr>
      </w:pPr>
      <w:r>
        <w:rPr>
          <w:rFonts w:ascii="Times New Roman" w:cs="Times New Roman" w:eastAsia="Times New Roman" w:hAnsi="Times New Roman"/>
          <w:sz w:val="20"/>
          <w:szCs w:val="20"/>
          <w:color w:val="auto"/>
        </w:rPr>
        <w:t>We announced positive top-line data from a healthy volunteer Phase 1 trial of rosnilimab in November 2021. A total of 144 subjects were enrolled in the randomized, double-blind, placebo-controlled healthy volunteer Phase 1 trial, where single ascending dose (“SAD”) cohorts received subcutaneous or intravenous (“IV”) single doses of rosnilimab up to 600mg or placebo, while multiple ascending dose (“MAD”) cohorts received four weekly subcutaneous doses of rosnilimab ranging up to 400mg or placebo. Rosnilimab was generally well-tolerated and no dose limiting toxicities were observed. Two serious adverse events (“SAEs”) were reported in single dose cohorts, including obstructive pancreatitis in a placebo-dosed subject and COVID-19 infection in a rosnilimab-dosed subject leading to discontinuation. The COVID-19 infection was deemed unrelated to treatment. No SAEs were reported in subjects receiving multiple doses of rosnilimab or placebo</w:t>
      </w:r>
      <w:r>
        <w:rPr>
          <w:rFonts w:ascii="Times New Roman" w:cs="Times New Roman" w:eastAsia="Times New Roman" w:hAnsi="Times New Roman"/>
          <w:sz w:val="24"/>
          <w:szCs w:val="24"/>
          <w:color w:val="008080"/>
        </w:rPr>
        <w:t>.</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240"/>
          </w:cols>
          <w:pgMar w:left="1000" w:top="786" w:right="1000" w:bottom="0" w:gutter="0" w:footer="0" w:header="0"/>
          <w:type w:val="continuous"/>
        </w:sectPr>
      </w:pPr>
    </w:p>
    <w:bookmarkStart w:id="6" w:name="page7"/>
    <w:bookmarkEnd w:id="6"/>
    <w:p>
      <w:pPr>
        <w:ind w:right="240" w:firstLine="540"/>
        <w:spacing w:after="0" w:line="274" w:lineRule="auto"/>
        <w:rPr>
          <w:sz w:val="20"/>
          <w:szCs w:val="20"/>
          <w:color w:val="auto"/>
        </w:rPr>
      </w:pPr>
      <w:r>
        <w:rPr>
          <w:rFonts w:ascii="Times New Roman" w:cs="Times New Roman" w:eastAsia="Times New Roman" w:hAnsi="Times New Roman"/>
          <w:sz w:val="19"/>
          <w:szCs w:val="19"/>
          <w:color w:val="auto"/>
        </w:rPr>
        <w:t>Rosnilimab demonstrated a favorable pharmacokinetic (“PK”) profile with an estimated two-week half-life for subcutaneous and IV routes of administration. Full PD-1 receptor occupancy was observed rapidly and was maintained for at</w:t>
      </w:r>
    </w:p>
    <w:p>
      <w:pPr>
        <w:spacing w:after="0" w:line="1"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19"/>
          <w:szCs w:val="19"/>
          <w:color w:val="auto"/>
        </w:rPr>
        <w:t>least 30 days. Potent and sustained reduction was observed in peripheral PD-1+ T cells for &gt;30 days, including &gt;90% reduction of PD-1</w:t>
      </w:r>
      <w:r>
        <w:rPr>
          <w:rFonts w:ascii="Times New Roman" w:cs="Times New Roman" w:eastAsia="Times New Roman" w:hAnsi="Times New Roman"/>
          <w:sz w:val="25"/>
          <w:szCs w:val="25"/>
          <w:color w:val="auto"/>
          <w:vertAlign w:val="superscript"/>
        </w:rPr>
        <w:t>high</w:t>
      </w:r>
      <w:r>
        <w:rPr>
          <w:rFonts w:ascii="Times New Roman" w:cs="Times New Roman" w:eastAsia="Times New Roman" w:hAnsi="Times New Roman"/>
          <w:sz w:val="19"/>
          <w:szCs w:val="19"/>
          <w:color w:val="auto"/>
        </w:rPr>
        <w:t xml:space="preserve"> T cells and a &gt;50% reduction of PD-1+ T cells bringing the overall T cell composition to a less activated state,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without meaningfully reducing overall T cell numbers.</w:t>
      </w:r>
    </w:p>
    <w:p>
      <w:pPr>
        <w:spacing w:after="0" w:line="108" w:lineRule="exact"/>
        <w:rPr>
          <w:sz w:val="20"/>
          <w:szCs w:val="20"/>
          <w:color w:val="auto"/>
        </w:rPr>
      </w:pPr>
    </w:p>
    <w:p>
      <w:pPr>
        <w:ind w:right="20" w:firstLine="540"/>
        <w:spacing w:after="0" w:line="258" w:lineRule="auto"/>
        <w:rPr>
          <w:sz w:val="20"/>
          <w:szCs w:val="20"/>
          <w:color w:val="auto"/>
        </w:rPr>
      </w:pPr>
      <w:r>
        <w:rPr>
          <w:rFonts w:ascii="Times New Roman" w:cs="Times New Roman" w:eastAsia="Times New Roman" w:hAnsi="Times New Roman"/>
          <w:sz w:val="20"/>
          <w:szCs w:val="20"/>
          <w:color w:val="auto"/>
        </w:rPr>
        <w:t>We also completed a randomized placebo-controlled 45-patient Phase 2 trial assessing a single 400mg monthly dose of rosnilimab over six months in moderate-to-severe alopecia areata patients. In January 2023, we reported interim results of blinded data which suggested that sufficient improvement in the severity of alopecia tool (SALT) endpoint necessary to justify further development in alopecia was not achieved. Furthermore, we reported safety and pharmacodynamics data suggesting that rosnilimab was generally well tolerated, with no dose limiting toxicities observed and no SAEs reported.</w:t>
      </w:r>
    </w:p>
    <w:p>
      <w:pPr>
        <w:spacing w:after="0" w:line="84" w:lineRule="exact"/>
        <w:rPr>
          <w:sz w:val="20"/>
          <w:szCs w:val="20"/>
          <w:color w:val="auto"/>
        </w:rPr>
      </w:pPr>
    </w:p>
    <w:p>
      <w:pPr>
        <w:ind w:right="40" w:firstLine="540"/>
        <w:spacing w:after="0" w:line="255" w:lineRule="auto"/>
        <w:rPr>
          <w:sz w:val="20"/>
          <w:szCs w:val="20"/>
          <w:color w:val="auto"/>
        </w:rPr>
      </w:pPr>
      <w:r>
        <w:rPr>
          <w:rFonts w:ascii="Times New Roman" w:cs="Times New Roman" w:eastAsia="Times New Roman" w:hAnsi="Times New Roman"/>
          <w:sz w:val="20"/>
          <w:szCs w:val="20"/>
          <w:color w:val="auto"/>
        </w:rPr>
        <w:t>We are conducting a randomized placebo-controlled 420-patient global Phase 2b trial assessing three dose levels of subcutaneously administrated rosnilimab in moderate-to-severe RA for up to 28 weeks on well-established endpoints including ACR20/50/70 and DAS28-CRP. We anticipate reporting top-line data on the primary endpoint in the RA trial by mid 2025. We are also conducting a randomized placebo-controlled 130-patient, global Phase 2 trial assessing two dose levels of subcutaneously administered rosnilimab in moderate-to-severe UC for up to 24 weeks on well-established endpoints including clinical remission on the modified Mayo score (“mMS”), clinical response on the mMS and endoscopic remission. We anticipate reporting top-line data on the primary endpoint in the UC trial in the first half of 2026.</w:t>
      </w:r>
    </w:p>
    <w:p>
      <w:pPr>
        <w:spacing w:after="0" w:line="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ANB032</w:t>
      </w:r>
    </w:p>
    <w:p>
      <w:pPr>
        <w:spacing w:after="0" w:line="134" w:lineRule="exact"/>
        <w:rPr>
          <w:sz w:val="20"/>
          <w:szCs w:val="20"/>
          <w:color w:val="auto"/>
        </w:rPr>
      </w:pPr>
    </w:p>
    <w:p>
      <w:pPr>
        <w:jc w:val="both"/>
        <w:ind w:right="700" w:firstLine="540"/>
        <w:spacing w:after="0" w:line="266" w:lineRule="auto"/>
        <w:rPr>
          <w:sz w:val="20"/>
          <w:szCs w:val="20"/>
          <w:color w:val="auto"/>
        </w:rPr>
      </w:pPr>
      <w:r>
        <w:rPr>
          <w:rFonts w:ascii="Times New Roman" w:cs="Times New Roman" w:eastAsia="Times New Roman" w:hAnsi="Times New Roman"/>
          <w:sz w:val="20"/>
          <w:szCs w:val="20"/>
          <w:color w:val="auto"/>
        </w:rPr>
        <w:t>BTLA, or B and T lymphocyte attenuator, is an inhibitory checkpoint receptor that regulates T cells, B cells, and dendritic cell (“DC”) function. BTLA is expressed only on immune cells and preferentially on activated immune cells, potentially enabling a broad mechanism of action while avoiding off-target activity.</w:t>
      </w:r>
    </w:p>
    <w:p>
      <w:pPr>
        <w:spacing w:after="0" w:line="75" w:lineRule="exact"/>
        <w:rPr>
          <w:sz w:val="20"/>
          <w:szCs w:val="20"/>
          <w:color w:val="auto"/>
        </w:rPr>
      </w:pPr>
    </w:p>
    <w:p>
      <w:pPr>
        <w:ind w:right="160" w:firstLine="540"/>
        <w:spacing w:after="0" w:line="278" w:lineRule="auto"/>
        <w:rPr>
          <w:sz w:val="20"/>
          <w:szCs w:val="20"/>
          <w:color w:val="auto"/>
        </w:rPr>
      </w:pPr>
      <w:r>
        <w:rPr>
          <w:rFonts w:ascii="Times New Roman" w:cs="Times New Roman" w:eastAsia="Times New Roman" w:hAnsi="Times New Roman"/>
          <w:sz w:val="19"/>
          <w:szCs w:val="19"/>
          <w:color w:val="auto"/>
        </w:rPr>
        <w:t>ANB032 is a non-depleting antibody that binds to BTLA, and is anticipated to down-modulate the activity of T cells, B cells and dendritic cells both in inflamed tissue and the periphery via: agonism resulting in inhibition of T cell expansion and migration, broad reduction of inflammatory Th1, Th2, Th17 and Th22 cytokines, and modulation of dendritic cells including inhibition of dendritic cell maturation, reduction in costimulatory molecule expression, and enhanced inducement of Tregs.</w:t>
      </w:r>
    </w:p>
    <w:p>
      <w:pPr>
        <w:spacing w:after="0" w:line="64" w:lineRule="exact"/>
        <w:rPr>
          <w:sz w:val="20"/>
          <w:szCs w:val="20"/>
          <w:color w:val="auto"/>
        </w:rPr>
      </w:pPr>
    </w:p>
    <w:p>
      <w:pPr>
        <w:ind w:right="500" w:firstLine="540"/>
        <w:spacing w:after="0" w:line="285" w:lineRule="auto"/>
        <w:rPr>
          <w:sz w:val="20"/>
          <w:szCs w:val="20"/>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studies, ANB032 demonstrated potent agonism and, in a murine model of GvHD, demonstrated superior disease-modification compared to control antibodies.</w:t>
      </w:r>
    </w:p>
    <w:p>
      <w:pPr>
        <w:spacing w:after="0" w:line="58" w:lineRule="exact"/>
        <w:rPr>
          <w:sz w:val="20"/>
          <w:szCs w:val="20"/>
          <w:color w:val="auto"/>
        </w:rPr>
      </w:pPr>
    </w:p>
    <w:p>
      <w:pPr>
        <w:ind w:right="140" w:firstLine="540"/>
        <w:spacing w:after="0" w:line="255" w:lineRule="auto"/>
        <w:rPr>
          <w:sz w:val="20"/>
          <w:szCs w:val="20"/>
          <w:color w:val="auto"/>
        </w:rPr>
      </w:pPr>
      <w:r>
        <w:rPr>
          <w:rFonts w:ascii="Times New Roman" w:cs="Times New Roman" w:eastAsia="Times New Roman" w:hAnsi="Times New Roman"/>
          <w:sz w:val="20"/>
          <w:szCs w:val="20"/>
          <w:color w:val="auto"/>
        </w:rPr>
        <w:t>We announced positive top-line data from a healthy volunteer Phase 1 trial of ANB032, under a CTN, in April 2022. A total of 96 subjects were enrolled in the randomized, double-blind, placebo-controlled healthy volunteer Phase 1 trial, where SAD cohorts received subcutaneous or IV single doses of ANB032 or placebo, while MAD cohorts received four weekly subcutaneous doses of ANB032 or placebo. ANB032 was generally well-tolerated and no dose limiting toxicities were observed. No SAEs were reported. ANB032 demonstrated a favorable PK profile with an estimated two-week half-life for subcutaneous and IV routes of administration. Full BTLA receptor occupancy was observed rapidly and was maintained for at least 30 days.</w:t>
      </w:r>
    </w:p>
    <w:p>
      <w:pPr>
        <w:spacing w:after="0" w:line="90" w:lineRule="exact"/>
        <w:rPr>
          <w:sz w:val="20"/>
          <w:szCs w:val="20"/>
          <w:color w:val="auto"/>
        </w:rPr>
      </w:pPr>
    </w:p>
    <w:p>
      <w:pPr>
        <w:ind w:firstLine="540"/>
        <w:spacing w:after="0" w:line="258" w:lineRule="auto"/>
        <w:rPr>
          <w:sz w:val="20"/>
          <w:szCs w:val="20"/>
          <w:color w:val="auto"/>
        </w:rPr>
      </w:pPr>
      <w:r>
        <w:rPr>
          <w:rFonts w:ascii="Times New Roman" w:cs="Times New Roman" w:eastAsia="Times New Roman" w:hAnsi="Times New Roman"/>
          <w:sz w:val="20"/>
          <w:szCs w:val="20"/>
          <w:color w:val="auto"/>
        </w:rPr>
        <w:t>While Th2 targeted therapies provide benefit to patients with chronic moderate-to-severe atopic dermatitis (AD), there is compelling evidence that AD is broader than a Th2 driven disease, as Th1, Th17, Th22 and other cell types, including dendritic cells, contribute significantly to the pathogenesis. ANB032 inhibition of inflammatory Th1, Th2, Th17 and Th22 activity, and modulation of additional cell types such as B cells and dendritic cells, creates the potential for broader, deeper and more durable responses than more narrowly targeted interventions.</w:t>
      </w:r>
    </w:p>
    <w:p>
      <w:pPr>
        <w:spacing w:after="0" w:line="84" w:lineRule="exact"/>
        <w:rPr>
          <w:sz w:val="20"/>
          <w:szCs w:val="20"/>
          <w:color w:val="auto"/>
        </w:rPr>
      </w:pPr>
    </w:p>
    <w:p>
      <w:pPr>
        <w:ind w:firstLine="540"/>
        <w:spacing w:after="0" w:line="258" w:lineRule="auto"/>
        <w:rPr>
          <w:sz w:val="20"/>
          <w:szCs w:val="20"/>
          <w:color w:val="auto"/>
        </w:rPr>
      </w:pPr>
      <w:r>
        <w:rPr>
          <w:rFonts w:ascii="Times New Roman" w:cs="Times New Roman" w:eastAsia="Times New Roman" w:hAnsi="Times New Roman"/>
          <w:sz w:val="20"/>
          <w:szCs w:val="20"/>
          <w:color w:val="auto"/>
        </w:rPr>
        <w:t>We are conducting a randomized placebo-controlled 160 patient global Phase 2b trial assessing three dose levels of subcutaneously administered ANB032 in moderate-to-severe AD for 12 weeks on well-established endpoints including EASI75 and IGA 0/1 measured at week 14. Patients will then be followed for an additional 24 weeks after the final dose at week 12 to understand longer term safety as well as the potential for prolonged and sustained efficacy. We anticipate reporting top-line data on the primary endpoint from this trial by the end of 2024.</w:t>
      </w:r>
    </w:p>
    <w:p>
      <w:pPr>
        <w:spacing w:after="0" w:line="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ANB033</w:t>
      </w:r>
    </w:p>
    <w:p>
      <w:pPr>
        <w:spacing w:after="0" w:line="134" w:lineRule="exact"/>
        <w:rPr>
          <w:sz w:val="20"/>
          <w:szCs w:val="20"/>
          <w:color w:val="auto"/>
        </w:rPr>
      </w:pPr>
    </w:p>
    <w:p>
      <w:pPr>
        <w:ind w:right="120" w:firstLine="540"/>
        <w:spacing w:after="0" w:line="270" w:lineRule="auto"/>
        <w:rPr>
          <w:sz w:val="20"/>
          <w:szCs w:val="20"/>
          <w:color w:val="auto"/>
        </w:rPr>
      </w:pPr>
      <w:r>
        <w:rPr>
          <w:rFonts w:ascii="Times New Roman" w:cs="Times New Roman" w:eastAsia="Times New Roman" w:hAnsi="Times New Roman"/>
          <w:sz w:val="19"/>
          <w:szCs w:val="19"/>
          <w:color w:val="auto"/>
        </w:rPr>
        <w:t>ANB033 targets CD122, the common beta subunit shared by the IL-15 and IL-2 receptors. IL-15 and IL-2 signaling mediate the proliferation and survival of NK cells and certain CD8 T cell subsets. ANB033 is an antibody designed with an affinity to CD122 that inhibits IL-15 and IL-2 signaling through the low affinity IL-2 receptor (comprised of CD122 and the common gamma subunit, CD132) while sparing IL-2 signaling through the high affinity IL-2 receptor (comprised of CD122, CD132 and the alpha receptor subunit for IL-2, CD25) expressed by regulatory T cells. This leads to the potential to achieve and maintain remission of inflammation through the reduction of disease-causing NK cells and certain CD8 T cell subsets, while sparing regulatory T cells. By preventing the consumption of IL-2 by pathogenic cells that express the low affinity IL-2 receptor, circulating levels of IL-2 may increase, potentially enhancing regulatory T cell numbers that express the high affinity</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240"/>
          </w:cols>
          <w:pgMar w:left="1000" w:top="793" w:right="1000" w:bottom="0" w:gutter="0" w:footer="0" w:header="0"/>
          <w:type w:val="continuous"/>
        </w:sectPr>
      </w:pPr>
    </w:p>
    <w:bookmarkStart w:id="7" w:name="page8"/>
    <w:bookmarkEnd w:id="7"/>
    <w:p>
      <w:pPr>
        <w:ind w:right="160"/>
        <w:spacing w:after="0" w:line="281" w:lineRule="auto"/>
        <w:rPr>
          <w:sz w:val="20"/>
          <w:szCs w:val="20"/>
          <w:color w:val="auto"/>
        </w:rPr>
      </w:pPr>
      <w:r>
        <w:rPr>
          <w:rFonts w:ascii="Times New Roman" w:cs="Times New Roman" w:eastAsia="Times New Roman" w:hAnsi="Times New Roman"/>
          <w:sz w:val="20"/>
          <w:szCs w:val="20"/>
          <w:color w:val="auto"/>
        </w:rPr>
        <w:t>IL-2 receptor in the setting of inflammation. We anticipate submitting an IND for a Phase 1 clinical trial with ANB033 during the second quarter of 2024.</w:t>
      </w:r>
    </w:p>
    <w:p>
      <w:pPr>
        <w:spacing w:after="0" w:line="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ANB101</w:t>
      </w:r>
    </w:p>
    <w:p>
      <w:pPr>
        <w:spacing w:after="0" w:line="134" w:lineRule="exact"/>
        <w:rPr>
          <w:sz w:val="20"/>
          <w:szCs w:val="20"/>
          <w:color w:val="auto"/>
        </w:rPr>
      </w:pPr>
    </w:p>
    <w:p>
      <w:pPr>
        <w:ind w:right="40" w:firstLine="540"/>
        <w:spacing w:after="0" w:line="253" w:lineRule="auto"/>
        <w:rPr>
          <w:sz w:val="20"/>
          <w:szCs w:val="20"/>
          <w:color w:val="auto"/>
        </w:rPr>
      </w:pPr>
      <w:r>
        <w:rPr>
          <w:rFonts w:ascii="Times New Roman" w:cs="Times New Roman" w:eastAsia="Times New Roman" w:hAnsi="Times New Roman"/>
          <w:sz w:val="20"/>
          <w:szCs w:val="20"/>
          <w:color w:val="auto"/>
        </w:rPr>
        <w:t>Blood dendritic cell antigen 2 (“BDCA2”) is a molecule specifically expressed on plasmacytoid dendritic cells (pDCs), a class of immune cells which, while found in relatively small numbers in healthy patients, are enriched in patients with a variety of inflammatory diseases, that is critical to the regulation of toll-like receptor signaling and interferon secretion. pDCs are a key upstream node in the inflammatory cascade that serve as a bridge between innate and adaptive immunity. They have been shown to be prolific secretors of type I interferons, which drive activation of a variety of downstream cell types including T cells and monocytes. Together with their ability to present antigens to the adaptive immune system, this creates a pro-inflammatory environment for the establishment and perpetuation of autoimmune pathology. BDCA2 has been implicated in the pathophysiology of systemic lupus erythematosus (SLE), where there exists mechanistic clinical proof of concept for pDC modulation. ANB101 is a BDCA2 modulator antibody that targets pDCs and potently inhibits interferon secretion and modulates antigen presentation for the treatment of autoimmune and inflammatory diseases. We anticipate submitting an IND for a Phase 1 clinical trial with ANB101 during the second half of 2024.</w:t>
      </w:r>
    </w:p>
    <w:p>
      <w:pPr>
        <w:spacing w:after="0" w:line="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Imsidolimab</w:t>
      </w:r>
    </w:p>
    <w:p>
      <w:pPr>
        <w:spacing w:after="0" w:line="134" w:lineRule="exact"/>
        <w:rPr>
          <w:sz w:val="20"/>
          <w:szCs w:val="20"/>
          <w:color w:val="auto"/>
        </w:rPr>
      </w:pPr>
    </w:p>
    <w:p>
      <w:pPr>
        <w:ind w:firstLine="540"/>
        <w:spacing w:after="0" w:line="258" w:lineRule="auto"/>
        <w:rPr>
          <w:sz w:val="20"/>
          <w:szCs w:val="20"/>
          <w:color w:val="auto"/>
        </w:rPr>
      </w:pPr>
      <w:r>
        <w:rPr>
          <w:rFonts w:ascii="Times New Roman" w:cs="Times New Roman" w:eastAsia="Times New Roman" w:hAnsi="Times New Roman"/>
          <w:sz w:val="20"/>
          <w:szCs w:val="20"/>
          <w:color w:val="auto"/>
        </w:rPr>
        <w:t>Imsidolimab is an IgG4 antibody that inhibits the function of the interleukin-36-receptor, or IL-36R, that is being developed for the treatment of GPP. We completed a Phase 1 clinical trial in healthy volunteers, which was presented at the European Academy of Allergy and Clinical Immunology in 2018, where imsidolimab was well-tolerated, no dose-limiting toxicities were observed, and no SAEs were reported. In July 2020, the FDA granted Orphan Drug Designation for imsidolimab for the treatment of patients with GPP.</w:t>
      </w:r>
    </w:p>
    <w:p>
      <w:pPr>
        <w:spacing w:after="0" w:line="84" w:lineRule="exact"/>
        <w:rPr>
          <w:sz w:val="20"/>
          <w:szCs w:val="20"/>
          <w:color w:val="auto"/>
        </w:rPr>
      </w:pPr>
    </w:p>
    <w:p>
      <w:pPr>
        <w:ind w:right="40" w:firstLine="540"/>
        <w:spacing w:after="0" w:line="254" w:lineRule="auto"/>
        <w:rPr>
          <w:sz w:val="20"/>
          <w:szCs w:val="20"/>
          <w:color w:val="auto"/>
        </w:rPr>
      </w:pPr>
      <w:r>
        <w:rPr>
          <w:rFonts w:ascii="Times New Roman" w:cs="Times New Roman" w:eastAsia="Times New Roman" w:hAnsi="Times New Roman"/>
          <w:sz w:val="20"/>
          <w:szCs w:val="20"/>
          <w:color w:val="auto"/>
        </w:rPr>
        <w:t>We initiated two Phase 3 clinical trials for imsidolimab in GPP. We successfully completed the first randomized placebo-controlled trial, called GEMINI-1, in 45 patients, assessing two, single dose levels of IV-administered imsidolimab. As of October 2023, of the patients who received a single dose of 750mg IV imsidolimab, 53.3% achieved Generalized Pustular Psoriasis Physician Global Assessment (GPPPGA) 0/1 (clear or almost clear) at Week 4, our primary endpoint, compared to 13.3% of patients on placebo (p=0.0131). The GPPPGA assessment, representing a stringent and comprehensive characterization of disease severity, required satisfying an overall clinical response score of 0/1 (clear or almost clear) collectively across each GPP disease attribute, including pustulation, erythema and scaling. Imsidolimab demonstrated favorable safety, tolerability, and immunogenicity with no elevation of infection risk compared to placebo, no serious adverse events, and only 1 of 30 patients treated with imsidolimab generating anti-drug antibodies over the course of the study.</w:t>
      </w:r>
    </w:p>
    <w:p>
      <w:pPr>
        <w:spacing w:after="0" w:line="89" w:lineRule="exact"/>
        <w:rPr>
          <w:sz w:val="20"/>
          <w:szCs w:val="20"/>
          <w:color w:val="auto"/>
        </w:rPr>
      </w:pPr>
    </w:p>
    <w:p>
      <w:pPr>
        <w:ind w:right="20" w:firstLine="540"/>
        <w:spacing w:after="0" w:line="272" w:lineRule="auto"/>
        <w:rPr>
          <w:sz w:val="20"/>
          <w:szCs w:val="20"/>
          <w:color w:val="auto"/>
        </w:rPr>
      </w:pPr>
      <w:r>
        <w:rPr>
          <w:rFonts w:ascii="Times New Roman" w:cs="Times New Roman" w:eastAsia="Times New Roman" w:hAnsi="Times New Roman"/>
          <w:sz w:val="19"/>
          <w:szCs w:val="19"/>
          <w:color w:val="auto"/>
        </w:rPr>
        <w:t>Patients completing the GEMINI-1 trial were eligible to be subsequently enrolled in GEMINI-2, our second Phase 3 trial for imsidolimab in GPP, where they receive monthly doses of 200mg subcutaneous imsidolimab or placebo depending upon whether they are responders, partial responders or non-responders to treatment under GEMINI-1. Additionally, 66.7% (10/15) of placebo patients exited GEMINI-1 early, crossed-over to GEMINI-2 and were eligible to receive rescue therapy with a single dose of 750mg IV imsidolimab. The objective of GEMINI-2 is to assess the long-term safety of imsidolimab through 3 years of monthly dosing, as well as assess the efficacy of imsidolimab to reduce the incidence or severity of recurrent flares of GPP.</w:t>
      </w:r>
    </w:p>
    <w:p>
      <w:pPr>
        <w:spacing w:after="0" w:line="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We intend to out-license imsidolimab in 2024.</w:t>
      </w:r>
    </w:p>
    <w:p>
      <w:pPr>
        <w:spacing w:after="0" w:line="1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Etokimab</w:t>
      </w:r>
    </w:p>
    <w:p>
      <w:pPr>
        <w:spacing w:after="0" w:line="134" w:lineRule="exact"/>
        <w:rPr>
          <w:sz w:val="20"/>
          <w:szCs w:val="20"/>
          <w:color w:val="auto"/>
        </w:rPr>
      </w:pPr>
    </w:p>
    <w:p>
      <w:pPr>
        <w:ind w:firstLine="540"/>
        <w:spacing w:after="0" w:line="254" w:lineRule="auto"/>
        <w:rPr>
          <w:sz w:val="20"/>
          <w:szCs w:val="20"/>
          <w:color w:val="auto"/>
        </w:rPr>
      </w:pPr>
      <w:r>
        <w:rPr>
          <w:rFonts w:ascii="Times New Roman" w:cs="Times New Roman" w:eastAsia="Times New Roman" w:hAnsi="Times New Roman"/>
          <w:sz w:val="20"/>
          <w:szCs w:val="20"/>
          <w:color w:val="auto"/>
        </w:rPr>
        <w:t>Etokimab inhibits IL-33 function and acts upstream of key cell types involved in atopy and the subsequent release of Th2 cytokines. IL-33 is a pro-inflammatory cytokine that signals through the ST2 receptor, which multiple studies suggest serves as a central mediator of various immune responses leading to Th2-type inflammatory disorders, including asthma, COPD, atopic and other epithelial-driven diseases. Individuals with asthma symptoms express higher levels of IL-33 than healthy control subjects. IL-33 initiates a diverse array of cellular immune responses, including the activation of mast cells, basophils and eosinophils, leading to production of downstream cytokines, such as IL-4, IL-5 and IL-13, which are associated with atopic diseases. IL-33 also acts on Th2 effector cells and Innate Lymphoid Cell Type 2 (ILC2), two types of white blood cells that initiate and orchestrate atopic responses.</w:t>
      </w:r>
    </w:p>
    <w:p>
      <w:pPr>
        <w:spacing w:after="0" w:line="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We have no ongoing clinical trials of etokimab and etokimab is available to out-license.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Collaborative Programs</w:t>
      </w:r>
    </w:p>
    <w:p>
      <w:pPr>
        <w:spacing w:after="0" w:line="137" w:lineRule="exact"/>
        <w:rPr>
          <w:sz w:val="20"/>
          <w:szCs w:val="20"/>
          <w:color w:val="auto"/>
        </w:rPr>
      </w:pPr>
    </w:p>
    <w:p>
      <w:pPr>
        <w:ind w:right="240" w:firstLine="540"/>
        <w:spacing w:after="0" w:line="281" w:lineRule="auto"/>
        <w:rPr>
          <w:sz w:val="20"/>
          <w:szCs w:val="20"/>
          <w:color w:val="auto"/>
        </w:rPr>
      </w:pPr>
      <w:r>
        <w:rPr>
          <w:rFonts w:ascii="Times New Roman" w:cs="Times New Roman" w:eastAsia="Times New Roman" w:hAnsi="Times New Roman"/>
          <w:sz w:val="20"/>
          <w:szCs w:val="20"/>
          <w:color w:val="auto"/>
        </w:rPr>
        <w:t>Multiple Company-discovered antibody programs have been advanced to preclinical and clinical milestones under our collaborations. Our collaborations include an immuno-oncology-focused collaboration with GSK.</w:t>
      </w:r>
    </w:p>
    <w:p>
      <w:pPr>
        <w:spacing w:after="0" w:line="61" w:lineRule="exact"/>
        <w:rPr>
          <w:sz w:val="20"/>
          <w:szCs w:val="20"/>
          <w:color w:val="auto"/>
        </w:rPr>
      </w:pPr>
    </w:p>
    <w:p>
      <w:pPr>
        <w:jc w:val="both"/>
        <w:ind w:right="100" w:firstLine="540"/>
        <w:spacing w:after="0" w:line="266" w:lineRule="auto"/>
        <w:rPr>
          <w:sz w:val="20"/>
          <w:szCs w:val="20"/>
          <w:color w:val="auto"/>
        </w:rPr>
      </w:pPr>
      <w:r>
        <w:rPr>
          <w:rFonts w:ascii="Times New Roman" w:cs="Times New Roman" w:eastAsia="Times New Roman" w:hAnsi="Times New Roman"/>
          <w:sz w:val="20"/>
          <w:szCs w:val="20"/>
          <w:color w:val="auto"/>
        </w:rPr>
        <w:t xml:space="preserve">Under the GSK Agreement, a Biologics License Application (“BLA”) for our most advanced partnered program, which is an anti-PD-1 antagonist antibody called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(dostarlimab), was approved by the FDA in April 2021 for the treatment of advanced or recurrent deficient mismatch repair endometrial cancer (dMMREC). In February 2023, the FDA granted full</w:t>
      </w:r>
    </w:p>
    <w:p>
      <w:pPr>
        <w:sectPr>
          <w:pgSz w:w="12240" w:h="15840" w:orient="portrait"/>
          <w:cols w:equalWidth="0" w:num="1">
            <w:col w:w="10240"/>
          </w:cols>
          <w:pgMar w:left="1000" w:top="793" w:right="1000" w:bottom="0" w:gutter="0" w:footer="0" w:header="0"/>
        </w:sect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240"/>
          </w:cols>
          <w:pgMar w:left="1000" w:top="793" w:right="1000" w:bottom="0" w:gutter="0" w:footer="0" w:header="0"/>
          <w:type w:val="continuous"/>
        </w:sectPr>
      </w:pPr>
    </w:p>
    <w:bookmarkStart w:id="8" w:name="page9"/>
    <w:bookmarkEnd w:id="8"/>
    <w:p>
      <w:pPr>
        <w:spacing w:after="0" w:line="254" w:lineRule="auto"/>
        <w:rPr>
          <w:sz w:val="20"/>
          <w:szCs w:val="20"/>
          <w:color w:val="auto"/>
        </w:rPr>
      </w:pPr>
      <w:r>
        <w:rPr>
          <w:rFonts w:ascii="Times New Roman" w:cs="Times New Roman" w:eastAsia="Times New Roman" w:hAnsi="Times New Roman"/>
          <w:sz w:val="20"/>
          <w:szCs w:val="20"/>
          <w:color w:val="auto"/>
        </w:rPr>
        <w:t xml:space="preserve">approval for this indication (from an accelerated approval). In addition, in April 2021 the European Medicines Agency (“EMA”) granted conditional marketing authorization in the European Union (“EU”) for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for use in women with mismatch repair deficient (dMMR)/microsatellite instability-high (MSI-H) recurrent or advanced endometrial cancer who have progressed on or following prior treatment with a platinum containing regimen. A second FDA approval was received in August 2021 for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in pan-deficient mismatch repair tumors (PdMMRT). In July 2023, the FDA approved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in combination with chemotherapy for the treatment of adult patients with mismatch repair deficient (dMMR)/microsatellite instability-high (MSI-H) primary advanced or recurrent endometrial cancer. In December 2023, the EMA approved, in the EU, </w:t>
      </w:r>
      <w:r>
        <w:rPr>
          <w:rFonts w:ascii="Times New Roman" w:cs="Times New Roman" w:eastAsia="Times New Roman" w:hAnsi="Times New Roman"/>
          <w:sz w:val="20"/>
          <w:szCs w:val="20"/>
          <w:b w:val="1"/>
          <w:bCs w:val="1"/>
          <w:i w:val="1"/>
          <w:iCs w:val="1"/>
          <w:color w:val="auto"/>
        </w:rPr>
        <w:t xml:space="preserve">Jemperli </w:t>
      </w:r>
      <w:r>
        <w:rPr>
          <w:rFonts w:ascii="Times New Roman" w:cs="Times New Roman" w:eastAsia="Times New Roman" w:hAnsi="Times New Roman"/>
          <w:sz w:val="20"/>
          <w:szCs w:val="20"/>
          <w:color w:val="auto"/>
        </w:rPr>
        <w:t>plus chemotherapy for dMMR/MSI-H primary advanced or recurrent endometrial cancer.</w:t>
      </w:r>
    </w:p>
    <w:p>
      <w:pPr>
        <w:spacing w:after="0" w:line="89" w:lineRule="exact"/>
        <w:rPr>
          <w:sz w:val="20"/>
          <w:szCs w:val="20"/>
          <w:color w:val="auto"/>
        </w:rPr>
      </w:pPr>
    </w:p>
    <w:p>
      <w:pPr>
        <w:ind w:right="40" w:firstLine="54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Jemperli </w:t>
      </w:r>
      <w:r>
        <w:rPr>
          <w:rFonts w:ascii="Times New Roman" w:cs="Times New Roman" w:eastAsia="Times New Roman" w:hAnsi="Times New Roman"/>
          <w:sz w:val="20"/>
          <w:szCs w:val="20"/>
          <w:color w:val="auto"/>
        </w:rPr>
        <w:t>is in clinical trials for various solid tumor indications, including a Phase 3 trial in first-line ovarian cancer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top-line results expected in the first half of 2024.</w:t>
      </w:r>
    </w:p>
    <w:p>
      <w:pPr>
        <w:spacing w:after="0" w:line="58" w:lineRule="exact"/>
        <w:rPr>
          <w:sz w:val="20"/>
          <w:szCs w:val="20"/>
          <w:color w:val="auto"/>
        </w:rPr>
      </w:pPr>
    </w:p>
    <w:p>
      <w:pPr>
        <w:ind w:right="80" w:firstLine="540"/>
        <w:spacing w:after="0" w:line="258" w:lineRule="auto"/>
        <w:rPr>
          <w:sz w:val="20"/>
          <w:szCs w:val="20"/>
          <w:color w:val="auto"/>
        </w:rPr>
      </w:pPr>
      <w:r>
        <w:rPr>
          <w:rFonts w:ascii="Times New Roman" w:cs="Times New Roman" w:eastAsia="Times New Roman" w:hAnsi="Times New Roman"/>
          <w:sz w:val="20"/>
          <w:szCs w:val="20"/>
          <w:color w:val="auto"/>
        </w:rPr>
        <w:t>In addition, under the collaboration, GSK is developing dostarlimab in combination with another development program from the GSK Agreement, including cobolimab, an anti-TIM-3 antibody. GSK is conducting a Phase 3 trial, COSTAR Lung, which is a randomized, open label 3-arm trial comparing cobolimab plus dostarlimab plus docetaxel to dostarlimab plus docetaxel to docetaxel alone in patients with advanced non-small-cell lung cancer (“NSCLC”) who have progressed on prior anti-PD-(L)1 therapy and chemotherapy with top-line results expected in the second half of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Product Candidates</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following table summarizes certain key information about our wholly-owned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6515100" cy="3776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extLst>
                    </a:blip>
                    <a:srcRect/>
                    <a:stretch>
                      <a:fillRect/>
                    </a:stretch>
                  </pic:blipFill>
                  <pic:spPr bwMode="auto">
                    <a:xfrm>
                      <a:off x="0" y="0"/>
                      <a:ext cx="6515100" cy="3776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137" w:lineRule="exact"/>
        <w:rPr>
          <w:sz w:val="20"/>
          <w:szCs w:val="20"/>
          <w:color w:val="auto"/>
        </w:rPr>
      </w:pPr>
    </w:p>
    <w:p>
      <w:pPr>
        <w:ind w:firstLine="630"/>
        <w:spacing w:after="0" w:line="258" w:lineRule="auto"/>
        <w:rPr>
          <w:sz w:val="20"/>
          <w:szCs w:val="20"/>
          <w:color w:val="auto"/>
        </w:rPr>
      </w:pPr>
      <w:r>
        <w:rPr>
          <w:rFonts w:ascii="Times New Roman" w:cs="Times New Roman" w:eastAsia="Times New Roman" w:hAnsi="Times New Roman"/>
          <w:sz w:val="20"/>
          <w:szCs w:val="20"/>
          <w:color w:val="auto"/>
        </w:rPr>
        <w:t>We are a clinical-stage biotechnology company focused on delivering innovative immunology therapeutics. Our immune cell modulating antibodies modulate key nodes governing the body’s regulation of autoimmunity and inflammation. Dysregulated immune responses may result in abnormal and pathological inflammation in diseases with large and substantially underserved patient populations in the therapeutic areas of dermatology, rheumatology, gastroenterology, respiratory and neurology. The key elements of our strategy include:</w:t>
      </w:r>
    </w:p>
    <w:p>
      <w:pPr>
        <w:spacing w:after="0" w:line="84" w:lineRule="exact"/>
        <w:rPr>
          <w:sz w:val="20"/>
          <w:szCs w:val="20"/>
          <w:color w:val="auto"/>
        </w:rPr>
      </w:pPr>
    </w:p>
    <w:p>
      <w:pPr>
        <w:ind w:left="720" w:right="360" w:hanging="370"/>
        <w:spacing w:after="0" w:line="28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Enabling broad development of our immune cell modulator portfolio, including our checkpoint agonist programs, rosnilimab and ANB032, in indications including moderate-to-severe RA, UC and AD.</w:t>
      </w:r>
    </w:p>
    <w:p>
      <w:pPr>
        <w:spacing w:after="0" w:line="57" w:lineRule="exact"/>
        <w:rPr>
          <w:rFonts w:ascii="Times New Roman" w:cs="Times New Roman" w:eastAsia="Times New Roman" w:hAnsi="Times New Roman"/>
          <w:sz w:val="20"/>
          <w:szCs w:val="20"/>
          <w:color w:val="auto"/>
        </w:rPr>
      </w:pPr>
    </w:p>
    <w:p>
      <w:pPr>
        <w:jc w:val="both"/>
        <w:ind w:left="720" w:right="60" w:hanging="370"/>
        <w:spacing w:after="0" w:line="268"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Generating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in vivo</w:t>
      </w:r>
      <w:r>
        <w:rPr>
          <w:rFonts w:ascii="Times New Roman" w:cs="Times New Roman" w:eastAsia="Times New Roman" w:hAnsi="Times New Roman"/>
          <w:sz w:val="20"/>
          <w:szCs w:val="20"/>
          <w:color w:val="auto"/>
        </w:rPr>
        <w:t xml:space="preserve"> translational and clinical data to characterize the differentiation of our molecules from in-class competitors and, relative to standard of care, treat patient populations most likely to have deeper and/or more durable responses by restoring immune balance.</w:t>
      </w:r>
    </w:p>
    <w:p>
      <w:pPr>
        <w:sectPr>
          <w:pgSz w:w="12240" w:h="15840" w:orient="portrait"/>
          <w:cols w:equalWidth="0" w:num="1">
            <w:col w:w="10160"/>
          </w:cols>
          <w:pgMar w:left="1000" w:top="793" w:right="1080" w:bottom="0" w:gutter="0" w:footer="0" w:header="0"/>
        </w:sectPr>
      </w:pP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160"/>
          </w:cols>
          <w:pgMar w:left="1000" w:top="793" w:right="1080" w:bottom="0" w:gutter="0" w:footer="0" w:header="0"/>
          <w:type w:val="continuous"/>
        </w:sectPr>
      </w:pPr>
    </w:p>
    <w:bookmarkStart w:id="9" w:name="page10"/>
    <w:bookmarkEnd w:id="9"/>
    <w:p>
      <w:pPr>
        <w:ind w:left="720" w:right="360" w:hanging="370"/>
        <w:spacing w:after="0" w:line="266"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Facilitating the global commercialization of our checkpoint agonists while retaining rights in key therapeutic areas and/or commercial markets to enable us to become a fully integrated discovery, development and commercial organization.</w:t>
      </w:r>
    </w:p>
    <w:p>
      <w:pPr>
        <w:spacing w:after="0" w:line="75" w:lineRule="exact"/>
        <w:rPr>
          <w:rFonts w:ascii="Times New Roman" w:cs="Times New Roman" w:eastAsia="Times New Roman" w:hAnsi="Times New Roman"/>
          <w:sz w:val="20"/>
          <w:szCs w:val="20"/>
          <w:color w:val="auto"/>
        </w:rPr>
      </w:pPr>
    </w:p>
    <w:p>
      <w:pPr>
        <w:ind w:left="720" w:right="600" w:hanging="370"/>
        <w:spacing w:after="0" w:line="281"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 to leverage our research expertise to generate potentially best-in-class antibodies against high-value immunological targets.</w:t>
      </w:r>
    </w:p>
    <w:p>
      <w:pPr>
        <w:spacing w:after="0" w:line="61" w:lineRule="exact"/>
        <w:rPr>
          <w:rFonts w:ascii="Times New Roman" w:cs="Times New Roman" w:eastAsia="Times New Roman" w:hAnsi="Times New Roman"/>
          <w:sz w:val="20"/>
          <w:szCs w:val="20"/>
          <w:color w:val="auto"/>
        </w:rPr>
      </w:pPr>
    </w:p>
    <w:p>
      <w:pPr>
        <w:ind w:left="720" w:right="60" w:hanging="370"/>
        <w:spacing w:after="0" w:line="286" w:lineRule="auto"/>
        <w:tabs>
          <w:tab w:leader="none" w:pos="7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Maximizing return on equity through execution against a multi-year capital and operating plan, including the potential for future royalty revenues from our GSK immuno-oncology collaboration and, where actionable, monetizing our legacy cytokine antagonist programs and enabling further external development and, potentially, commercialization.</w:t>
      </w:r>
    </w:p>
    <w:p>
      <w:pPr>
        <w:spacing w:after="0" w:line="59" w:lineRule="exact"/>
        <w:rPr>
          <w:sz w:val="20"/>
          <w:szCs w:val="20"/>
          <w:color w:val="auto"/>
        </w:rPr>
      </w:pPr>
    </w:p>
    <w:p>
      <w:pPr>
        <w:ind w:right="140" w:firstLine="630"/>
        <w:spacing w:after="0" w:line="266" w:lineRule="auto"/>
        <w:rPr>
          <w:sz w:val="20"/>
          <w:szCs w:val="20"/>
          <w:color w:val="auto"/>
        </w:rPr>
      </w:pPr>
      <w:r>
        <w:rPr>
          <w:rFonts w:ascii="Times New Roman" w:cs="Times New Roman" w:eastAsia="Times New Roman" w:hAnsi="Times New Roman"/>
          <w:sz w:val="20"/>
          <w:szCs w:val="20"/>
          <w:color w:val="auto"/>
        </w:rPr>
        <w:t>As described in the section titled “Risk Factors” and elsewhere in this report, the clinical development of drug product candidates is subject to a wide range of risks and uncertainties, any of which could cause our actual development strategy or timeframes to vary.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Antibody Overview</w:t>
      </w:r>
    </w:p>
    <w:p>
      <w:pPr>
        <w:spacing w:after="0" w:line="137"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Antibodies are complex proteins naturally generated by the immune system to neutralize foreign pathogens such as bacteria or viruses. B cells, a white blood cell type responsible for the generation of antibodies in response to pathogens, secrete billions of antibodies with different specificities into the bloodstream. Antibodies are structurally distinct Y-shaped proteins formed through the combination of two long proteins, called heavy chains, and two short proteins, called light chains. Each heavy and light chain pair forms a binding site where the antibody specifically binds its target, otherwise known as an antigen, at the Fab domain of the antibody molecule. The specificity of each antibody to a target, and the potency of its binding strength to that target are defined by the amino acid sequences of heavy and light chains in the Fab domain of the antibody</w:t>
      </w:r>
    </w:p>
    <w:p>
      <w:pPr>
        <w:spacing w:after="0" w:line="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auto"/>
        </w:rPr>
        <w:t>molecule. The other end of the antibody, called the Fc domain, is responsible for communication between the antibody and the rest of the immune system.</w:t>
      </w:r>
    </w:p>
    <w:p>
      <w:pPr>
        <w:spacing w:after="0" w:line="82" w:lineRule="exact"/>
        <w:rPr>
          <w:sz w:val="20"/>
          <w:szCs w:val="20"/>
          <w:color w:val="auto"/>
        </w:rPr>
      </w:pPr>
    </w:p>
    <w:p>
      <w:pPr>
        <w:ind w:firstLine="630"/>
        <w:spacing w:after="0" w:line="258" w:lineRule="auto"/>
        <w:rPr>
          <w:sz w:val="20"/>
          <w:szCs w:val="20"/>
          <w:color w:val="auto"/>
        </w:rPr>
      </w:pPr>
      <w:r>
        <w:rPr>
          <w:rFonts w:ascii="Times New Roman" w:cs="Times New Roman" w:eastAsia="Times New Roman" w:hAnsi="Times New Roman"/>
          <w:sz w:val="20"/>
          <w:szCs w:val="20"/>
          <w:color w:val="auto"/>
        </w:rPr>
        <w:t>Therapeutic antibodies are typically non-naturally occurring, or recombinant, antibodies specifically developed to treat human diseases by binding to certain proteins, and thereby modulating key biological processes. Therapeutic antibodies are injectable products that are typically dosed subcutaneously or intravenously, unlike synthetic chemistry-based “small molecule” therapeutics that may also be administered orally. Therapeutic antibodies have the following key features that we believe make them more predictable than small molecules:</w:t>
      </w:r>
    </w:p>
    <w:p>
      <w:pPr>
        <w:spacing w:after="0" w:line="80" w:lineRule="exact"/>
        <w:rPr>
          <w:sz w:val="20"/>
          <w:szCs w:val="20"/>
          <w:color w:val="auto"/>
        </w:rPr>
      </w:pPr>
    </w:p>
    <w:p>
      <w:pPr>
        <w:ind w:left="720" w:right="140" w:hanging="370"/>
        <w:spacing w:after="0" w:line="273" w:lineRule="auto"/>
        <w:tabs>
          <w:tab w:leader="none" w:pos="7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Fab Domain. </w:t>
      </w:r>
      <w:r>
        <w:rPr>
          <w:rFonts w:ascii="Times New Roman" w:cs="Times New Roman" w:eastAsia="Times New Roman" w:hAnsi="Times New Roman"/>
          <w:sz w:val="19"/>
          <w:szCs w:val="19"/>
          <w:color w:val="auto"/>
        </w:rPr>
        <w:t>Due to the relatively large size and complex nature of the antibody Fab domain, antibodies generally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bind with high specificity to the desired therapeutic target and tend to exhibit less off-target binding to unrelated proteins, which lowers the risk of unintended biological side effects such as toxicity. Because target proteins are typically larger than antibody Fab domains, antibodies can be generated against a variety of specific binding epitopes on a given single protein, which can alter the functional activity of the protein. For example, antibodies binding to unique epitopes on a single target protein can act as antagonists or agonists of the natural target protein function.</w:t>
      </w:r>
    </w:p>
    <w:p>
      <w:pPr>
        <w:spacing w:after="0" w:line="68" w:lineRule="exact"/>
        <w:rPr>
          <w:rFonts w:ascii="Times New Roman" w:cs="Times New Roman" w:eastAsia="Times New Roman" w:hAnsi="Times New Roman"/>
          <w:sz w:val="19"/>
          <w:szCs w:val="19"/>
          <w:color w:val="auto"/>
        </w:rPr>
      </w:pPr>
    </w:p>
    <w:p>
      <w:pPr>
        <w:ind w:left="720" w:right="80" w:hanging="370"/>
        <w:spacing w:after="0" w:line="253"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Fc Domain. </w:t>
      </w:r>
      <w:r>
        <w:rPr>
          <w:rFonts w:ascii="Times New Roman" w:cs="Times New Roman" w:eastAsia="Times New Roman" w:hAnsi="Times New Roman"/>
          <w:sz w:val="20"/>
          <w:szCs w:val="20"/>
          <w:color w:val="auto"/>
        </w:rPr>
        <w:t>The Fc domain of an antibody is the tail region that interacts with cell surface receptors called Fc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receptors and some proteins of the complement system. In humans, there are five Fc domains referred to as isotypes (IgA, IgD, IgM, IgG, IgE) and numerous Fc receptors expressed on specialized immune cells. Many therapeutic antibodies are subtypes of the IgG isotype and are chosen specifically to limit or induce immune system activity for therapeutic purposes. Engagement of Fc domains by specific Fc receptors can modulate biological activity, for example, by clustering the target protein on the cell surface in an immune synapse, leading to modulation of the target protein activity and hence altering the function of the cell expressing the target protein. Specific Fc domain and Fc receptor interactions may also trigger killing of a cell, often referred to as “effector function” of the antibody, via cytotoxic mechanisms depending on the cell type bearing the Fc receptor. In some therapeutic settings, mutations can be made to the Fc domain to weaken or entirely abrogate Fc receptor interactions. In creating the most efficacious therapeutic antibody, an appropriate Fc domain is often utilized to avoid or induce immune system activity that contributes to its broader mechanism of action. We believe that therapeutic antibodies can be significantly de-risked preclinically for specificity, toxicology, pharmacokinetics, and modulation of immune system activity, which is not generally true for small molecule drugs.</w:t>
      </w:r>
    </w:p>
    <w:p>
      <w:pPr>
        <w:spacing w:after="0" w:line="85" w:lineRule="exact"/>
        <w:rPr>
          <w:rFonts w:ascii="Times New Roman" w:cs="Times New Roman" w:eastAsia="Times New Roman" w:hAnsi="Times New Roman"/>
          <w:sz w:val="20"/>
          <w:szCs w:val="20"/>
          <w:color w:val="auto"/>
        </w:rPr>
      </w:pPr>
    </w:p>
    <w:p>
      <w:pPr>
        <w:ind w:left="720" w:right="20" w:hanging="370"/>
        <w:spacing w:after="0" w:line="268"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Pharmacokinetics and Dosing Frequency</w:t>
      </w:r>
      <w:r>
        <w:rPr>
          <w:rFonts w:ascii="Times New Roman" w:cs="Times New Roman" w:eastAsia="Times New Roman" w:hAnsi="Times New Roman"/>
          <w:sz w:val="20"/>
          <w:szCs w:val="20"/>
          <w:color w:val="auto"/>
        </w:rPr>
        <w:t>. As complex proteins, antibodies are metabolized and distributed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differently than small molecules. Full length antibodies tend to exhibit serum half-lives of seven to 24 days in humans, leading to bi-weekly or monthly dosing as typical practice for therapeutic antibodies.</w:t>
      </w:r>
    </w:p>
    <w:p>
      <w:pPr>
        <w:spacing w:after="0" w:line="69" w:lineRule="exact"/>
        <w:rPr>
          <w:rFonts w:ascii="Times New Roman" w:cs="Times New Roman" w:eastAsia="Times New Roman" w:hAnsi="Times New Roman"/>
          <w:sz w:val="20"/>
          <w:szCs w:val="20"/>
          <w:color w:val="auto"/>
        </w:rPr>
      </w:pPr>
    </w:p>
    <w:p>
      <w:pPr>
        <w:ind w:left="720" w:right="220" w:hanging="370"/>
        <w:spacing w:after="0" w:line="268"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Potency and Dose Quantities. </w:t>
      </w:r>
      <w:r>
        <w:rPr>
          <w:rFonts w:ascii="Times New Roman" w:cs="Times New Roman" w:eastAsia="Times New Roman" w:hAnsi="Times New Roman"/>
          <w:sz w:val="20"/>
          <w:szCs w:val="20"/>
          <w:color w:val="auto"/>
        </w:rPr>
        <w:t>Antibodies are typically highly potent in binding affinity to their desired target,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binding dissociation constants in the low nanomolar to picomolar range. Hence, antibodies tend to be dosed at low amounts (less than 1 gram quantities per course of therapy).</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220"/>
          </w:cols>
          <w:pgMar w:left="1000" w:top="793" w:right="1020" w:bottom="0" w:gutter="0" w:footer="0" w:header="0"/>
          <w:type w:val="continuous"/>
        </w:sectPr>
      </w:pPr>
    </w:p>
    <w:bookmarkStart w:id="10" w:name="page11"/>
    <w:bookmarkEnd w:id="10"/>
    <w:p>
      <w:pPr>
        <w:jc w:val="both"/>
        <w:ind w:right="380" w:firstLine="630"/>
        <w:spacing w:after="0" w:line="286" w:lineRule="auto"/>
        <w:rPr>
          <w:sz w:val="20"/>
          <w:szCs w:val="20"/>
          <w:color w:val="auto"/>
        </w:rPr>
      </w:pPr>
      <w:r>
        <w:rPr>
          <w:rFonts w:ascii="Times New Roman" w:cs="Times New Roman" w:eastAsia="Times New Roman" w:hAnsi="Times New Roman"/>
          <w:sz w:val="19"/>
          <w:szCs w:val="19"/>
          <w:color w:val="auto"/>
        </w:rPr>
        <w:t>Our approach to antibody design focuses on discovering and optimizing therapeutic antibodies tailored to modulate immune function. We use a variety of technologies to optimize the Fab domain of an antibody in ways that we believe both create a therapeutic antibody with highly potent functional activity and mitigate potential manufacturing liabilities.</w:t>
      </w:r>
    </w:p>
    <w:p>
      <w:pPr>
        <w:spacing w:after="0" w:line="59" w:lineRule="exact"/>
        <w:rPr>
          <w:sz w:val="20"/>
          <w:szCs w:val="20"/>
          <w:color w:val="auto"/>
        </w:rPr>
      </w:pPr>
    </w:p>
    <w:p>
      <w:pPr>
        <w:ind w:right="60" w:firstLine="630"/>
        <w:spacing w:after="0" w:line="258" w:lineRule="auto"/>
        <w:rPr>
          <w:sz w:val="20"/>
          <w:szCs w:val="20"/>
          <w:color w:val="auto"/>
        </w:rPr>
      </w:pPr>
      <w:r>
        <w:rPr>
          <w:rFonts w:ascii="Times New Roman" w:cs="Times New Roman" w:eastAsia="Times New Roman" w:hAnsi="Times New Roman"/>
          <w:sz w:val="20"/>
          <w:szCs w:val="20"/>
          <w:color w:val="auto"/>
        </w:rPr>
        <w:t>We also optimize the Fc domain of the antibody, when needed, to tailor it for specific activity such as reducing Fc receptor interactions or optimizing Fc receptor interactions, in combination with the Fab domain of the antibody, to specifically modulate immune cell function, engage effector function that kills specific targeted immune cells, or leverage a combination of both activities. We further optimize the overall antibody through humanization and removal of liabilities that could potentially affect the structure, stability, pharmacology, manufacturability or immunogenicity of the antibody.</w:t>
      </w:r>
    </w:p>
    <w:p>
      <w:pPr>
        <w:spacing w:after="0" w:line="84" w:lineRule="exact"/>
        <w:rPr>
          <w:sz w:val="20"/>
          <w:szCs w:val="20"/>
          <w:color w:val="auto"/>
        </w:rPr>
      </w:pPr>
    </w:p>
    <w:p>
      <w:pPr>
        <w:ind w:right="80" w:firstLine="630"/>
        <w:spacing w:after="0" w:line="266" w:lineRule="auto"/>
        <w:rPr>
          <w:sz w:val="20"/>
          <w:szCs w:val="20"/>
          <w:color w:val="auto"/>
        </w:rPr>
      </w:pPr>
      <w:r>
        <w:rPr>
          <w:rFonts w:ascii="Times New Roman" w:cs="Times New Roman" w:eastAsia="Times New Roman" w:hAnsi="Times New Roman"/>
          <w:sz w:val="20"/>
          <w:szCs w:val="20"/>
          <w:color w:val="auto"/>
        </w:rPr>
        <w:t>Optimized antibodies are tested in an extensive suite of immune cell assays, using engineered cell lines, and more relevantly, primary human immune cells from healthy and diseased individuals that we believe most accurately recapitulate the conditions in which the antibody will need to have optimal activity in patients.</w:t>
      </w:r>
    </w:p>
    <w:p>
      <w:pPr>
        <w:spacing w:after="0" w:line="75" w:lineRule="exact"/>
        <w:rPr>
          <w:sz w:val="20"/>
          <w:szCs w:val="20"/>
          <w:color w:val="auto"/>
        </w:rPr>
      </w:pPr>
    </w:p>
    <w:p>
      <w:pPr>
        <w:ind w:right="180" w:firstLine="630"/>
        <w:spacing w:after="0" w:line="281" w:lineRule="auto"/>
        <w:rPr>
          <w:sz w:val="20"/>
          <w:szCs w:val="20"/>
          <w:color w:val="auto"/>
        </w:rPr>
      </w:pPr>
      <w:r>
        <w:rPr>
          <w:rFonts w:ascii="Times New Roman" w:cs="Times New Roman" w:eastAsia="Times New Roman" w:hAnsi="Times New Roman"/>
          <w:sz w:val="20"/>
          <w:szCs w:val="20"/>
          <w:color w:val="auto"/>
        </w:rPr>
        <w:t>We believe that our approach to antibody design allows us to effectively tailor antibody discovery to achieve a unique therapeutic benefit.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Collaborations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GlaxoSmithKline</w:t>
      </w:r>
    </w:p>
    <w:p>
      <w:pPr>
        <w:spacing w:after="0" w:line="137" w:lineRule="exact"/>
        <w:rPr>
          <w:sz w:val="20"/>
          <w:szCs w:val="20"/>
          <w:color w:val="auto"/>
        </w:rPr>
      </w:pPr>
    </w:p>
    <w:p>
      <w:pPr>
        <w:ind w:right="100" w:firstLine="630"/>
        <w:spacing w:after="0" w:line="253" w:lineRule="auto"/>
        <w:rPr>
          <w:sz w:val="20"/>
          <w:szCs w:val="20"/>
          <w:color w:val="auto"/>
        </w:rPr>
      </w:pPr>
      <w:r>
        <w:rPr>
          <w:rFonts w:ascii="Times New Roman" w:cs="Times New Roman" w:eastAsia="Times New Roman" w:hAnsi="Times New Roman"/>
          <w:sz w:val="20"/>
          <w:szCs w:val="20"/>
          <w:color w:val="auto"/>
        </w:rPr>
        <w:t xml:space="preserve">In March 2014, we entered into a Collaboration and Exclusive License Agreement with GSK (the “GSK Agreement”) with TESARO, Inc. (“Tesaro”), an oncology-focused biopharmaceutical company now a part of GlaxoSmithKline (Tesaro and GlaxoSmithKline are hereinafter referred to, collectively, as “GSK”). Under the terms of the GSK Agreement, as amended, we agreed to perform certain discovery and early preclinical development of therapeutic antibodies with the goal of generating immunotherapy antibodies for subsequent preclinical, clinical, regulatory, and commercial development to be performed by GSK. Under the terms of the GSK Agreement, GSK agreed to provide funding to us for research and development services related to antibody discovery programs for three specific targets. Currently, under the GSK Agreement, GSK is developing </w:t>
      </w:r>
      <w:r>
        <w:rPr>
          <w:rFonts w:ascii="Times New Roman" w:cs="Times New Roman" w:eastAsia="Times New Roman" w:hAnsi="Times New Roman"/>
          <w:sz w:val="20"/>
          <w:szCs w:val="20"/>
          <w:b w:val="1"/>
          <w:bCs w:val="1"/>
          <w:i w:val="1"/>
          <w:iCs w:val="1"/>
          <w:color w:val="auto"/>
        </w:rPr>
        <w:t xml:space="preserve">Jemperli </w:t>
      </w:r>
      <w:r>
        <w:rPr>
          <w:rFonts w:ascii="Times New Roman" w:cs="Times New Roman" w:eastAsia="Times New Roman" w:hAnsi="Times New Roman"/>
          <w:sz w:val="20"/>
          <w:szCs w:val="20"/>
          <w:color w:val="auto"/>
        </w:rPr>
        <w:t>(dostarlimab), an anti-PD-1 antagonist antibody, as a monotherapy for various solid tumor indications. In addition,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GSK is developing dostarlimab in combination with additional therapies under the collaboration, including with another development program from the GSK Agreement: cobolimab, an anti-TIM-3 antibody, in 2L NSCLC. In October 2023, Amendment No. 5 to the GSK Agreement was agreed by both parties to terminate the anti-LAG-3 antagonist antibody development program under the GSK Agreement. In accordance with the GSK Agreement and this amendment, we have regained full global rights to the anti-LAG-3 antagonist antibody development program.</w:t>
      </w:r>
    </w:p>
    <w:p>
      <w:pPr>
        <w:spacing w:after="0" w:line="88" w:lineRule="exact"/>
        <w:rPr>
          <w:sz w:val="20"/>
          <w:szCs w:val="20"/>
          <w:color w:val="auto"/>
        </w:rPr>
      </w:pPr>
    </w:p>
    <w:p>
      <w:pPr>
        <w:ind w:right="40" w:firstLine="630"/>
        <w:spacing w:after="0" w:line="254" w:lineRule="auto"/>
        <w:rPr>
          <w:sz w:val="20"/>
          <w:szCs w:val="20"/>
          <w:color w:val="auto"/>
        </w:rPr>
      </w:pPr>
      <w:r>
        <w:rPr>
          <w:rFonts w:ascii="Times New Roman" w:cs="Times New Roman" w:eastAsia="Times New Roman" w:hAnsi="Times New Roman"/>
          <w:sz w:val="20"/>
          <w:szCs w:val="20"/>
          <w:color w:val="auto"/>
        </w:rPr>
        <w:t xml:space="preserve">For each remaining development program under the GSK Agreement, we are eligible to receive milestone payments if certain preclinical and clinical trial events are achieved by GSK, if certain U.S. and European regulatory submissions and approvals in multiple indications are achieved, and upon the achievement of specified levels of annual worldwide net sales. We will also be eligible to receive tiered 4-8% royalties related to worldwide net sales of products developed under the collaboration. On October 23, 2020, Amendment No. 3 to the GSK Agreement (the “Amendment”) was agreed to by both parties to permit GSK to conduct development and commercialization in combination with any third-party molecules of Zejula, an oral, once-daily poly (ADP-ribose) polymerase (PARP) inhibitor. Under the Amendment, we were granted increased royalties upon sales of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equal to 8% of Net Sales (as defined in the GSK Agreement) below $1.0 billion and from 12% up to 25% of Net Sales above $1.0 billion.</w:t>
      </w:r>
    </w:p>
    <w:p>
      <w:pPr>
        <w:spacing w:after="0" w:line="86" w:lineRule="exact"/>
        <w:rPr>
          <w:sz w:val="20"/>
          <w:szCs w:val="20"/>
          <w:color w:val="auto"/>
        </w:rPr>
      </w:pPr>
    </w:p>
    <w:p>
      <w:pPr>
        <w:ind w:firstLine="630"/>
        <w:spacing w:after="0" w:line="256" w:lineRule="auto"/>
        <w:rPr>
          <w:sz w:val="20"/>
          <w:szCs w:val="20"/>
          <w:color w:val="auto"/>
        </w:rPr>
      </w:pPr>
      <w:r>
        <w:rPr>
          <w:rFonts w:ascii="Times New Roman" w:cs="Times New Roman" w:eastAsia="Times New Roman" w:hAnsi="Times New Roman"/>
          <w:sz w:val="20"/>
          <w:szCs w:val="20"/>
          <w:color w:val="auto"/>
        </w:rPr>
        <w:t>In October 2021, we signed a royalty monetization agreement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with Sagard Healthcare Royalty Partners, LP (“Sagard”). Under the terms of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we received $250.0 million, upon closing in December 2021, in exchange for royalties payable to us under the GSK collaboration on annual global net sales of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below $1.0 billion, as well as certain milestone payments, starting in October 2021. The aggregate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royalties and certain future milestones to be received by Sagard under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are capped at certain fixed multiples of the upfront payment based on time. For more information see Note 5 — Sale of Future Royalties in the accompanying notes to the consolidated financial statements.</w:t>
      </w:r>
    </w:p>
    <w:p>
      <w:pPr>
        <w:spacing w:after="0" w:line="87" w:lineRule="exact"/>
        <w:rPr>
          <w:sz w:val="20"/>
          <w:szCs w:val="20"/>
          <w:color w:val="auto"/>
        </w:rPr>
      </w:pPr>
    </w:p>
    <w:p>
      <w:pPr>
        <w:ind w:right="100" w:firstLine="630"/>
        <w:spacing w:after="0" w:line="266" w:lineRule="auto"/>
        <w:rPr>
          <w:sz w:val="20"/>
          <w:szCs w:val="20"/>
          <w:color w:val="auto"/>
        </w:rPr>
      </w:pPr>
      <w:r>
        <w:rPr>
          <w:rFonts w:ascii="Times New Roman" w:cs="Times New Roman" w:eastAsia="Times New Roman" w:hAnsi="Times New Roman"/>
          <w:sz w:val="20"/>
          <w:szCs w:val="20"/>
          <w:color w:val="auto"/>
        </w:rPr>
        <w:t>The GSK Agreement, as amended, expires when no further payments are due to us, unless earlier terminated. Either party may terminate the GSK Agreement, as amended, in the event of an uncured material breach by the other party. GSK may terminate the GSK Agreement, as amended, at any time upon 90 days’ prior written notice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37" w:lineRule="exact"/>
        <w:rPr>
          <w:sz w:val="20"/>
          <w:szCs w:val="20"/>
          <w:color w:val="auto"/>
        </w:rPr>
      </w:pPr>
    </w:p>
    <w:p>
      <w:pPr>
        <w:jc w:val="both"/>
        <w:ind w:right="260" w:firstLine="630"/>
        <w:spacing w:after="0" w:line="278" w:lineRule="auto"/>
        <w:rPr>
          <w:sz w:val="20"/>
          <w:szCs w:val="20"/>
          <w:color w:val="auto"/>
        </w:rPr>
      </w:pPr>
      <w:r>
        <w:rPr>
          <w:rFonts w:ascii="Times New Roman" w:cs="Times New Roman" w:eastAsia="Times New Roman" w:hAnsi="Times New Roman"/>
          <w:sz w:val="19"/>
          <w:szCs w:val="19"/>
          <w:color w:val="auto"/>
        </w:rPr>
        <w:t>Our intellectual property is critical to our business and we strive to protect it, including by obtaining and maintaining patent protection in the United States and internationally for product candidates, novel biological discoveries, epitopes, new therapeutic approaches and potential indications, and other inventions that are important to our business. In total, our patent portfolio, including patents co-owned with GSK, patents licensed from Centessa Pharmaceuticals (UK) Ltd., and patents to</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240"/>
          </w:cols>
          <w:pgMar w:left="1000" w:top="793" w:right="1000" w:bottom="0" w:gutter="0" w:footer="0" w:header="0"/>
          <w:type w:val="continuous"/>
        </w:sectPr>
      </w:pPr>
    </w:p>
    <w:bookmarkStart w:id="11" w:name="page12"/>
    <w:bookmarkEnd w:id="11"/>
    <w:p>
      <w:pPr>
        <w:ind w:right="180"/>
        <w:spacing w:after="0" w:line="281" w:lineRule="auto"/>
        <w:rPr>
          <w:sz w:val="20"/>
          <w:szCs w:val="20"/>
          <w:color w:val="auto"/>
        </w:rPr>
      </w:pPr>
      <w:r>
        <w:rPr>
          <w:rFonts w:ascii="Times New Roman" w:cs="Times New Roman" w:eastAsia="Times New Roman" w:hAnsi="Times New Roman"/>
          <w:sz w:val="20"/>
          <w:szCs w:val="20"/>
          <w:color w:val="auto"/>
        </w:rPr>
        <w:t>certain antibody discovery technology consisted of approximately 93 issued patents and 103 pending patent applications as of December 31, 2023.</w:t>
      </w:r>
    </w:p>
    <w:p>
      <w:pPr>
        <w:spacing w:after="0" w:line="61" w:lineRule="exact"/>
        <w:rPr>
          <w:sz w:val="20"/>
          <w:szCs w:val="20"/>
          <w:color w:val="auto"/>
        </w:rPr>
      </w:pPr>
    </w:p>
    <w:p>
      <w:pPr>
        <w:jc w:val="both"/>
        <w:ind w:right="220" w:firstLine="630"/>
        <w:spacing w:after="0" w:line="286" w:lineRule="auto"/>
        <w:rPr>
          <w:sz w:val="20"/>
          <w:szCs w:val="20"/>
          <w:color w:val="auto"/>
        </w:rPr>
      </w:pPr>
      <w:r>
        <w:rPr>
          <w:rFonts w:ascii="Times New Roman" w:cs="Times New Roman" w:eastAsia="Times New Roman" w:hAnsi="Times New Roman"/>
          <w:sz w:val="19"/>
          <w:szCs w:val="19"/>
          <w:color w:val="auto"/>
        </w:rPr>
        <w:t>For our product candidates, generally we initially pursue patent protection covering compositions of matter including antibody sequences, methods of use, and methods of production. Throughout the development of our product candidates, we seek to identify additional means of obtaining patent protection that would potentially enhance commercial success.</w:t>
      </w:r>
    </w:p>
    <w:p>
      <w:pPr>
        <w:spacing w:after="0" w:line="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patent portfolios for our internal programs are outlined below:</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Rosnilimab</w:t>
      </w:r>
    </w:p>
    <w:p>
      <w:pPr>
        <w:spacing w:after="0" w:line="137" w:lineRule="exact"/>
        <w:rPr>
          <w:sz w:val="20"/>
          <w:szCs w:val="20"/>
          <w:color w:val="auto"/>
        </w:rPr>
      </w:pPr>
    </w:p>
    <w:p>
      <w:pPr>
        <w:ind w:right="200" w:firstLine="630"/>
        <w:spacing w:after="0" w:line="258" w:lineRule="auto"/>
        <w:rPr>
          <w:sz w:val="20"/>
          <w:szCs w:val="20"/>
          <w:color w:val="auto"/>
        </w:rPr>
      </w:pPr>
      <w:r>
        <w:rPr>
          <w:rFonts w:ascii="Times New Roman" w:cs="Times New Roman" w:eastAsia="Times New Roman" w:hAnsi="Times New Roman"/>
          <w:sz w:val="20"/>
          <w:szCs w:val="20"/>
          <w:color w:val="auto"/>
        </w:rPr>
        <w:t>As of December 31, 2023, we owned 16 patent applications in various countries directed to the antibody sequence of rosnilimab and its variants, methods of use and related matters. We intend to prosecute our pending applications, and/or other patent applications claiming priority thereto, and pursue patent issuance and protection in key commercial markets where significant product sales may occur. Patents that may issue from or claim priority to our pending applications could provide protection for aspects of this product candidate until June 2040.</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ANB032</w:t>
      </w:r>
    </w:p>
    <w:p>
      <w:pPr>
        <w:spacing w:after="0" w:line="137" w:lineRule="exact"/>
        <w:rPr>
          <w:sz w:val="20"/>
          <w:szCs w:val="20"/>
          <w:color w:val="auto"/>
        </w:rPr>
      </w:pPr>
    </w:p>
    <w:p>
      <w:pPr>
        <w:ind w:right="80" w:firstLine="630"/>
        <w:spacing w:after="0" w:line="256" w:lineRule="auto"/>
        <w:rPr>
          <w:sz w:val="20"/>
          <w:szCs w:val="20"/>
          <w:color w:val="auto"/>
        </w:rPr>
      </w:pPr>
      <w:r>
        <w:rPr>
          <w:rFonts w:ascii="Times New Roman" w:cs="Times New Roman" w:eastAsia="Times New Roman" w:hAnsi="Times New Roman"/>
          <w:sz w:val="20"/>
          <w:szCs w:val="20"/>
          <w:color w:val="auto"/>
        </w:rPr>
        <w:t>As of December 31, 2023, we owned 16 patent applications in various countries, one international (PCT) patent application and one U.S. provisional patent application directed to the antibody sequence of ANB032 and its variants, methods of use and related matters. We intend to prosecute the pending patent applications, and/or other patent applications claiming priority thereto, and pursue patent issuance and protection in key commercial markets where significant product sales may occur. Patents that may issue from or claim priority to our pending applications could provide protection for aspects of this product candidate until May 2044.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ANB033</w:t>
      </w:r>
    </w:p>
    <w:p>
      <w:pPr>
        <w:spacing w:after="0" w:line="137" w:lineRule="exact"/>
        <w:rPr>
          <w:sz w:val="20"/>
          <w:szCs w:val="20"/>
          <w:color w:val="auto"/>
        </w:rPr>
      </w:pPr>
    </w:p>
    <w:p>
      <w:pPr>
        <w:ind w:right="80" w:firstLine="630"/>
        <w:spacing w:after="0" w:line="275" w:lineRule="auto"/>
        <w:rPr>
          <w:sz w:val="20"/>
          <w:szCs w:val="20"/>
          <w:color w:val="auto"/>
        </w:rPr>
      </w:pPr>
      <w:r>
        <w:rPr>
          <w:rFonts w:ascii="Times New Roman" w:cs="Times New Roman" w:eastAsia="Times New Roman" w:hAnsi="Times New Roman"/>
          <w:sz w:val="19"/>
          <w:szCs w:val="19"/>
          <w:color w:val="auto"/>
        </w:rPr>
        <w:t>As of December 31, 2023, we owned one international (PCT) patent application directed to the antibody sequence of ANB033 and its variants, methods of use and related matters. We intend to prosecute the pending international (PCT) patent application, file additional patent applications claiming priority to the international (PCT) patent application, and pursue patent issuance, in key commercial markets where significant product sales may occur. Patents that may issue claiming priority to our international (PCT) patent application could provide protection for aspects of this product candidate until November 2043.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ANB101/102</w:t>
      </w:r>
    </w:p>
    <w:p>
      <w:pPr>
        <w:spacing w:after="0" w:line="137" w:lineRule="exact"/>
        <w:rPr>
          <w:sz w:val="20"/>
          <w:szCs w:val="20"/>
          <w:color w:val="auto"/>
        </w:rPr>
      </w:pPr>
    </w:p>
    <w:p>
      <w:pPr>
        <w:ind w:right="320" w:firstLine="630"/>
        <w:spacing w:after="0" w:line="258" w:lineRule="auto"/>
        <w:rPr>
          <w:sz w:val="20"/>
          <w:szCs w:val="20"/>
          <w:color w:val="auto"/>
        </w:rPr>
      </w:pPr>
      <w:r>
        <w:rPr>
          <w:rFonts w:ascii="Times New Roman" w:cs="Times New Roman" w:eastAsia="Times New Roman" w:hAnsi="Times New Roman"/>
          <w:sz w:val="20"/>
          <w:szCs w:val="20"/>
          <w:color w:val="auto"/>
        </w:rPr>
        <w:t>As of December 31, 2023, we owned rights to 13 patent applications in various countries directed to the antibody sequence of ANB101/102 and their variants, methods of use and related matters. We intend to prosecute the pending applications, and/or other patent applications claiming priority thereto, and pursue patent issuance and protection in key commercial markets where significant product sales may occur. Patents that may issue from or claim priority to the pending applications could provide protection for aspects of these product candidates until August 2040.</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Imsidolimab</w:t>
      </w:r>
    </w:p>
    <w:p>
      <w:pPr>
        <w:spacing w:after="0" w:line="137" w:lineRule="exact"/>
        <w:rPr>
          <w:sz w:val="20"/>
          <w:szCs w:val="20"/>
          <w:color w:val="auto"/>
        </w:rPr>
      </w:pPr>
    </w:p>
    <w:p>
      <w:pPr>
        <w:ind w:right="40" w:firstLine="630"/>
        <w:spacing w:after="0" w:line="258" w:lineRule="auto"/>
        <w:rPr>
          <w:sz w:val="20"/>
          <w:szCs w:val="20"/>
          <w:color w:val="auto"/>
        </w:rPr>
      </w:pPr>
      <w:r>
        <w:rPr>
          <w:rFonts w:ascii="Times New Roman" w:cs="Times New Roman" w:eastAsia="Times New Roman" w:hAnsi="Times New Roman"/>
          <w:sz w:val="20"/>
          <w:szCs w:val="20"/>
          <w:color w:val="auto"/>
        </w:rPr>
        <w:t>As of December 31, 2023, we owned 51 patents and patent applications in various countries directed to the antibody sequence of imsidolimab and its variants, methods of use and related matters. We intend to prosecute our pending applications, and/or other patent applications claiming priority thereto, and pursue patent issuance and protection in key commercial markets where significant product sales may occur. Patents that have issued, or that may issue from or claim priority to our pending applications could provide protection for aspects of this product candidate until May 2042.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Etokimab</w:t>
      </w:r>
    </w:p>
    <w:p>
      <w:pPr>
        <w:spacing w:after="0" w:line="137" w:lineRule="exact"/>
        <w:rPr>
          <w:sz w:val="20"/>
          <w:szCs w:val="20"/>
          <w:color w:val="auto"/>
        </w:rPr>
      </w:pPr>
    </w:p>
    <w:p>
      <w:pPr>
        <w:ind w:right="40" w:firstLine="630"/>
        <w:spacing w:after="0" w:line="258" w:lineRule="auto"/>
        <w:rPr>
          <w:sz w:val="20"/>
          <w:szCs w:val="20"/>
          <w:color w:val="auto"/>
        </w:rPr>
      </w:pPr>
      <w:r>
        <w:rPr>
          <w:rFonts w:ascii="Times New Roman" w:cs="Times New Roman" w:eastAsia="Times New Roman" w:hAnsi="Times New Roman"/>
          <w:sz w:val="20"/>
          <w:szCs w:val="20"/>
          <w:color w:val="auto"/>
        </w:rPr>
        <w:t>As of December 31, 2022, we owned 18 patents and patent applications in various countries directed to the antibody sequence of etokimab and its variants, methods of use and related matters. We intend to prosecute our pending applications, and/or other patent applications claiming priority thereto, and pursue patent issuance and protection in key commercial markets where significant product sales may occur. Patents that have issued, or that may issue from or claim priority to our pending applications could provide protection for aspects of this product candidate until January 2035.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Dostarlimab (GSK4057190)</w:t>
      </w:r>
    </w:p>
    <w:p>
      <w:pPr>
        <w:spacing w:after="0" w:line="137" w:lineRule="exact"/>
        <w:rPr>
          <w:sz w:val="20"/>
          <w:szCs w:val="20"/>
          <w:color w:val="auto"/>
        </w:rPr>
      </w:pPr>
    </w:p>
    <w:p>
      <w:pPr>
        <w:jc w:val="both"/>
        <w:ind w:firstLine="630"/>
        <w:spacing w:after="0" w:line="286" w:lineRule="auto"/>
        <w:rPr>
          <w:sz w:val="20"/>
          <w:szCs w:val="20"/>
          <w:color w:val="auto"/>
        </w:rPr>
      </w:pPr>
      <w:r>
        <w:rPr>
          <w:rFonts w:ascii="Times New Roman" w:cs="Times New Roman" w:eastAsia="Times New Roman" w:hAnsi="Times New Roman"/>
          <w:sz w:val="19"/>
          <w:szCs w:val="19"/>
          <w:color w:val="auto"/>
        </w:rPr>
        <w:t>As of December 31, 2023, we owned or co-owned 24 patents and patent applications in various countries directed to the antibody sequence of GSK4057190 (dostarlimab), an anti-PD-1 antagonist, and its variants, methods of use and related matters. We intend to prosecute our pending applications, and/or other patent applications claiming priority thereto, and pursue patent</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220"/>
          </w:cols>
          <w:pgMar w:left="1000" w:top="793" w:right="1020" w:bottom="0" w:gutter="0" w:footer="0" w:header="0"/>
          <w:type w:val="continuous"/>
        </w:sectPr>
      </w:pPr>
    </w:p>
    <w:bookmarkStart w:id="12" w:name="page13"/>
    <w:bookmarkEnd w:id="12"/>
    <w:p>
      <w:pPr>
        <w:ind w:right="120"/>
        <w:spacing w:after="0" w:line="266" w:lineRule="auto"/>
        <w:rPr>
          <w:sz w:val="20"/>
          <w:szCs w:val="20"/>
          <w:color w:val="auto"/>
        </w:rPr>
      </w:pPr>
      <w:r>
        <w:rPr>
          <w:rFonts w:ascii="Times New Roman" w:cs="Times New Roman" w:eastAsia="Times New Roman" w:hAnsi="Times New Roman"/>
          <w:sz w:val="20"/>
          <w:szCs w:val="20"/>
          <w:color w:val="auto"/>
        </w:rPr>
        <w:t>issuance and protection in key commercial markets where significant product sales may occur. Patents that have issued, or that may issue from or claim priority to our pending applications, could provide protection for aspects of this product until June 2038.</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Cobolimab (GSK4069889)</w:t>
      </w:r>
    </w:p>
    <w:p>
      <w:pPr>
        <w:spacing w:after="0" w:line="137" w:lineRule="exact"/>
        <w:rPr>
          <w:sz w:val="20"/>
          <w:szCs w:val="20"/>
          <w:color w:val="auto"/>
        </w:rPr>
      </w:pPr>
    </w:p>
    <w:p>
      <w:pPr>
        <w:ind w:firstLine="630"/>
        <w:spacing w:after="0" w:line="256" w:lineRule="auto"/>
        <w:rPr>
          <w:sz w:val="20"/>
          <w:szCs w:val="20"/>
          <w:color w:val="auto"/>
        </w:rPr>
      </w:pPr>
      <w:r>
        <w:rPr>
          <w:rFonts w:ascii="Times New Roman" w:cs="Times New Roman" w:eastAsia="Times New Roman" w:hAnsi="Times New Roman"/>
          <w:sz w:val="20"/>
          <w:szCs w:val="20"/>
          <w:color w:val="auto"/>
        </w:rPr>
        <w:t>As of December 31, 2023, we owned or co-owned 24 patents and patent applications in various countries directed to the antibody sequence of GSK4069889 (cobolimab), an anti-TIM-3 antagonist, and its variants, methods of use and related matters. We intend to prosecute our pending applications, and/or other patent applications claiming priority thereto, and pursue patent issuance and protection in key commercial markets where significant product sales may occur. Patents that have issued, or that may issue from or claim priority to our pending applications, could provide protection for aspects of this product candidate until November 2037.</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Intellectual Property Matters</w:t>
      </w:r>
    </w:p>
    <w:p>
      <w:pPr>
        <w:spacing w:after="0" w:line="137" w:lineRule="exact"/>
        <w:rPr>
          <w:sz w:val="20"/>
          <w:szCs w:val="20"/>
          <w:color w:val="auto"/>
        </w:rPr>
      </w:pPr>
    </w:p>
    <w:p>
      <w:pPr>
        <w:ind w:right="20" w:firstLine="630"/>
        <w:spacing w:after="0" w:line="254" w:lineRule="auto"/>
        <w:rPr>
          <w:sz w:val="20"/>
          <w:szCs w:val="20"/>
          <w:color w:val="auto"/>
        </w:rPr>
      </w:pPr>
      <w:r>
        <w:rPr>
          <w:rFonts w:ascii="Times New Roman" w:cs="Times New Roman" w:eastAsia="Times New Roman" w:hAnsi="Times New Roman"/>
          <w:sz w:val="20"/>
          <w:szCs w:val="20"/>
          <w:color w:val="auto"/>
        </w:rPr>
        <w:t>The patent positions of biotechnology companies like ours are generally uncertain and involve complex legal, scientific and factual questions. In addition, the coverage claimed in a patent application can be significantly reduced before the patent is issued, and its scope can be reinterpreted after issuance. Consequently, we may not obtain or maintain adequate patent protection for any of our product candidates.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intellectual property, please see “Risk Factors— Risks Related to Our Intellectual Property.”</w:t>
      </w:r>
    </w:p>
    <w:p>
      <w:pPr>
        <w:spacing w:after="0" w:line="93" w:lineRule="exact"/>
        <w:rPr>
          <w:sz w:val="20"/>
          <w:szCs w:val="20"/>
          <w:color w:val="auto"/>
        </w:rPr>
      </w:pPr>
    </w:p>
    <w:p>
      <w:pPr>
        <w:ind w:firstLine="630"/>
        <w:spacing w:after="0" w:line="252" w:lineRule="auto"/>
        <w:rPr>
          <w:sz w:val="20"/>
          <w:szCs w:val="20"/>
          <w:color w:val="auto"/>
        </w:rPr>
      </w:pPr>
      <w:r>
        <w:rPr>
          <w:rFonts w:ascii="Times New Roman" w:cs="Times New Roman" w:eastAsia="Times New Roman" w:hAnsi="Times New Roman"/>
          <w:sz w:val="20"/>
          <w:szCs w:val="20"/>
          <w:color w:val="auto"/>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also may be accorded a patent term adjustment (“PTA”) under certain circumstances to compensate for delays in obtaining the patent from the U.S. Patent and Trademark Office (“USPTO”). In some instances, such a PTA may result in a U.S. patent term extending beyond 20 years from the earliest date of filing a non-provisional patent application related to the U.S. patent. In addition, the term of a U.S.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96" w:lineRule="exact"/>
        <w:rPr>
          <w:sz w:val="20"/>
          <w:szCs w:val="20"/>
          <w:color w:val="auto"/>
        </w:rPr>
      </w:pPr>
    </w:p>
    <w:p>
      <w:pPr>
        <w:ind w:right="40" w:firstLine="630"/>
        <w:spacing w:after="0" w:line="254" w:lineRule="auto"/>
        <w:rPr>
          <w:sz w:val="20"/>
          <w:szCs w:val="20"/>
          <w:color w:val="auto"/>
        </w:rPr>
      </w:pPr>
      <w:r>
        <w:rPr>
          <w:rFonts w:ascii="Times New Roman" w:cs="Times New Roman" w:eastAsia="Times New Roman" w:hAnsi="Times New Roman"/>
          <w:sz w:val="20"/>
          <w:szCs w:val="20"/>
          <w:color w:val="auto"/>
        </w:rPr>
        <w:t>We also rely on trade secrets relating to our research and development and product candidates and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technology. Thus, we may not be able to meaningfully protect our trade secrets.</w:t>
      </w:r>
    </w:p>
    <w:p>
      <w:pPr>
        <w:spacing w:after="0" w:line="110" w:lineRule="exact"/>
        <w:rPr>
          <w:sz w:val="20"/>
          <w:szCs w:val="20"/>
          <w:color w:val="auto"/>
        </w:rPr>
      </w:pPr>
    </w:p>
    <w:p>
      <w:pPr>
        <w:ind w:right="200" w:firstLine="630"/>
        <w:spacing w:after="0" w:line="274" w:lineRule="auto"/>
        <w:rPr>
          <w:sz w:val="20"/>
          <w:szCs w:val="20"/>
          <w:color w:val="auto"/>
        </w:rPr>
      </w:pPr>
      <w:r>
        <w:rPr>
          <w:rFonts w:ascii="Times New Roman" w:cs="Times New Roman" w:eastAsia="Times New Roman" w:hAnsi="Times New Roman"/>
          <w:sz w:val="19"/>
          <w:szCs w:val="19"/>
          <w:color w:val="auto"/>
        </w:rPr>
        <w:t>It is our policy to require our employees, consultants, outside scientific collaborators, sponsored researchers and other advisors to execute confidentiality agreements upon the commencement of employment or consulting relationships with</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137" w:lineRule="exact"/>
        <w:rPr>
          <w:sz w:val="20"/>
          <w:szCs w:val="20"/>
          <w:color w:val="auto"/>
        </w:rPr>
      </w:pPr>
    </w:p>
    <w:p>
      <w:pPr>
        <w:ind w:right="80" w:firstLine="630"/>
        <w:spacing w:after="0" w:line="278" w:lineRule="auto"/>
        <w:rPr>
          <w:sz w:val="20"/>
          <w:szCs w:val="20"/>
          <w:color w:val="auto"/>
        </w:rPr>
      </w:pPr>
      <w:r>
        <w:rPr>
          <w:rFonts w:ascii="Times New Roman" w:cs="Times New Roman" w:eastAsia="Times New Roman" w:hAnsi="Times New Roman"/>
          <w:sz w:val="19"/>
          <w:szCs w:val="19"/>
          <w:color w:val="auto"/>
        </w:rPr>
        <w:t>We must manufacture our product candidates for clinical trial use in compliance with current good manufacturing practices (“cGMP”). The cGMP regulations include requirements relating to organization of personnel, buildings and facilities, equipment, control of materials, components and drug product containers and closures, production and process controls, packaging and labeling controls, holding and distribution, laboratory controls, records and reports, and returned or salvaged</w:t>
      </w:r>
    </w:p>
    <w:p>
      <w:pPr>
        <w:sectPr>
          <w:pgSz w:w="12240" w:h="15840" w:orient="portrait"/>
          <w:cols w:equalWidth="0" w:num="1">
            <w:col w:w="10240"/>
          </w:cols>
          <w:pgMar w:left="1000" w:top="793" w:right="1000" w:bottom="0" w:gutter="0" w:footer="0" w:header="0"/>
        </w:sect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240"/>
          </w:cols>
          <w:pgMar w:left="1000" w:top="793" w:right="1000" w:bottom="0" w:gutter="0" w:footer="0" w:header="0"/>
          <w:type w:val="continuous"/>
        </w:sectPr>
      </w:pPr>
    </w:p>
    <w:bookmarkStart w:id="13" w:name="page14"/>
    <w:bookmarkEnd w:id="13"/>
    <w:p>
      <w:pPr>
        <w:ind w:right="60"/>
        <w:spacing w:after="0" w:line="260" w:lineRule="auto"/>
        <w:rPr>
          <w:sz w:val="20"/>
          <w:szCs w:val="20"/>
          <w:color w:val="auto"/>
        </w:rPr>
      </w:pPr>
      <w:r>
        <w:rPr>
          <w:rFonts w:ascii="Times New Roman" w:cs="Times New Roman" w:eastAsia="Times New Roman" w:hAnsi="Times New Roman"/>
          <w:sz w:val="20"/>
          <w:szCs w:val="20"/>
          <w:color w:val="auto"/>
        </w:rPr>
        <w:t>products. The manufacturing facilities for our product candidates must meet cGMP requirements and global regulatory requirements before any product is approved and we can manufacture commercial products. Our third-party manufacturers will be subject to periodic regulatory inspections of facilities by the FDA and other authorities, including procedures and operations used in the testing and manufacture of our products to assess compliance with applicable regulations.</w:t>
      </w:r>
    </w:p>
    <w:p>
      <w:pPr>
        <w:spacing w:after="0" w:line="83" w:lineRule="exact"/>
        <w:rPr>
          <w:sz w:val="20"/>
          <w:szCs w:val="20"/>
          <w:color w:val="auto"/>
        </w:rPr>
      </w:pPr>
    </w:p>
    <w:p>
      <w:pPr>
        <w:ind w:firstLine="630"/>
        <w:spacing w:after="0" w:line="260" w:lineRule="auto"/>
        <w:rPr>
          <w:sz w:val="20"/>
          <w:szCs w:val="20"/>
          <w:color w:val="auto"/>
        </w:rPr>
      </w:pPr>
      <w:r>
        <w:rPr>
          <w:rFonts w:ascii="Times New Roman" w:cs="Times New Roman" w:eastAsia="Times New Roman" w:hAnsi="Times New Roman"/>
          <w:sz w:val="20"/>
          <w:szCs w:val="20"/>
          <w:color w:val="auto"/>
        </w:rPr>
        <w:t xml:space="preserve">Our internal manufacturing capabilities include non-cGMP antibody and reagent production using small scale quantities for characterization and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in vivo</w:t>
      </w:r>
      <w:r>
        <w:rPr>
          <w:rFonts w:ascii="Times New Roman" w:cs="Times New Roman" w:eastAsia="Times New Roman" w:hAnsi="Times New Roman"/>
          <w:sz w:val="20"/>
          <w:szCs w:val="20"/>
          <w:color w:val="auto"/>
        </w:rPr>
        <w:t xml:space="preserve"> preclinical assessment of product candidates. We do not have and we do not currently plan to acquire or develop the facilities or capabilities to manufacture our product candidates for use in human clinical trials.</w:t>
      </w:r>
    </w:p>
    <w:p>
      <w:pPr>
        <w:spacing w:after="0" w:line="83" w:lineRule="exact"/>
        <w:rPr>
          <w:sz w:val="20"/>
          <w:szCs w:val="20"/>
          <w:color w:val="auto"/>
        </w:rPr>
      </w:pPr>
    </w:p>
    <w:p>
      <w:pPr>
        <w:ind w:right="120" w:firstLine="630"/>
        <w:spacing w:after="0" w:line="254" w:lineRule="auto"/>
        <w:rPr>
          <w:sz w:val="20"/>
          <w:szCs w:val="20"/>
          <w:color w:val="auto"/>
        </w:rPr>
      </w:pPr>
      <w:r>
        <w:rPr>
          <w:rFonts w:ascii="Times New Roman" w:cs="Times New Roman" w:eastAsia="Times New Roman" w:hAnsi="Times New Roman"/>
          <w:sz w:val="20"/>
          <w:szCs w:val="20"/>
          <w:color w:val="auto"/>
        </w:rPr>
        <w:t>We rely on third-party manufacturers to generate cGMP compliant cell lines and will rely on them to produce cGMP drug substance and drug product required for our clinical trials, and we expect to continue to rely on third parties to manufacture clinical trial drug supplies for the foreseeable future. We also contract with additional third parties for the testing, labeling, packaging, storage and distribution of investigational drug products. We have personnel with significant technical, manufacturing, analytical, quality, including cGMP, and project management experience to oversee our third-party manufacturers and to manage manufacturing and quality data and information for regulatory compliance purposes. While our contract manufacturers have not yet produced commercially-approved cGMP batches of our product candidates, they have previously manufactured products for other companies in compliance with cGMP and have been previously inspected by regulatory authorities for compliance with cGMP standards.</w:t>
      </w:r>
    </w:p>
    <w:p>
      <w:pPr>
        <w:spacing w:after="0" w:line="89" w:lineRule="exact"/>
        <w:rPr>
          <w:sz w:val="20"/>
          <w:szCs w:val="20"/>
          <w:color w:val="auto"/>
        </w:rPr>
      </w:pPr>
    </w:p>
    <w:p>
      <w:pPr>
        <w:ind w:right="100" w:firstLine="630"/>
        <w:spacing w:after="0" w:line="258" w:lineRule="auto"/>
        <w:rPr>
          <w:sz w:val="20"/>
          <w:szCs w:val="20"/>
          <w:color w:val="auto"/>
        </w:rPr>
      </w:pPr>
      <w:r>
        <w:rPr>
          <w:rFonts w:ascii="Times New Roman" w:cs="Times New Roman" w:eastAsia="Times New Roman" w:hAnsi="Times New Roman"/>
          <w:sz w:val="20"/>
          <w:szCs w:val="20"/>
          <w:color w:val="auto"/>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Third-party manufacturers often encounter difficulties involving production yields, quality control and quality assurance, as well as shortages of qualified personnel.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37" w:lineRule="exact"/>
        <w:rPr>
          <w:sz w:val="20"/>
          <w:szCs w:val="20"/>
          <w:color w:val="auto"/>
        </w:rPr>
      </w:pPr>
    </w:p>
    <w:p>
      <w:pPr>
        <w:ind w:right="40" w:firstLine="630"/>
        <w:spacing w:after="0" w:line="253" w:lineRule="auto"/>
        <w:rPr>
          <w:sz w:val="20"/>
          <w:szCs w:val="20"/>
          <w:color w:val="auto"/>
        </w:rPr>
      </w:pPr>
      <w:r>
        <w:rPr>
          <w:rFonts w:ascii="Times New Roman" w:cs="Times New Roman" w:eastAsia="Times New Roman" w:hAnsi="Times New Roman"/>
          <w:sz w:val="20"/>
          <w:szCs w:val="20"/>
          <w:color w:val="auto"/>
        </w:rPr>
        <w:t>The biotechnology and pharmaceutical industries are characterized by continuing technological advancement and significant competition. While we believe that our product candidates, technology, knowledge, experience and scientific resources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93" w:lineRule="exact"/>
        <w:rPr>
          <w:sz w:val="20"/>
          <w:szCs w:val="20"/>
          <w:color w:val="auto"/>
        </w:rPr>
      </w:pPr>
    </w:p>
    <w:p>
      <w:pPr>
        <w:ind w:right="80" w:firstLine="630"/>
        <w:spacing w:after="0" w:line="256" w:lineRule="auto"/>
        <w:rPr>
          <w:sz w:val="20"/>
          <w:szCs w:val="20"/>
          <w:color w:val="auto"/>
        </w:rPr>
      </w:pPr>
      <w:r>
        <w:rPr>
          <w:rFonts w:ascii="Times New Roman" w:cs="Times New Roman" w:eastAsia="Times New Roman" w:hAnsi="Times New Roman"/>
          <w:sz w:val="20"/>
          <w:szCs w:val="20"/>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88" w:lineRule="exact"/>
        <w:rPr>
          <w:sz w:val="20"/>
          <w:szCs w:val="20"/>
          <w:color w:val="auto"/>
        </w:rPr>
      </w:pPr>
    </w:p>
    <w:p>
      <w:pPr>
        <w:ind w:right="620" w:firstLine="630"/>
        <w:spacing w:after="0" w:line="281" w:lineRule="auto"/>
        <w:rPr>
          <w:sz w:val="20"/>
          <w:szCs w:val="20"/>
          <w:color w:val="auto"/>
        </w:rPr>
      </w:pPr>
      <w:r>
        <w:rPr>
          <w:rFonts w:ascii="Times New Roman" w:cs="Times New Roman" w:eastAsia="Times New Roman" w:hAnsi="Times New Roman"/>
          <w:sz w:val="20"/>
          <w:szCs w:val="20"/>
          <w:color w:val="auto"/>
        </w:rPr>
        <w:t>Specifically, there are several companies developing or marketing treatments that may be approved for the same indications and/or diseases as our product candidates, including major pharmaceutical companies.</w:t>
      </w:r>
    </w:p>
    <w:p>
      <w:pPr>
        <w:spacing w:after="0" w:line="61" w:lineRule="exact"/>
        <w:rPr>
          <w:sz w:val="20"/>
          <w:szCs w:val="20"/>
          <w:color w:val="auto"/>
        </w:rPr>
      </w:pPr>
    </w:p>
    <w:p>
      <w:pPr>
        <w:ind w:right="60" w:firstLine="630"/>
        <w:spacing w:after="0" w:line="253" w:lineRule="auto"/>
        <w:rPr>
          <w:sz w:val="20"/>
          <w:szCs w:val="20"/>
          <w:color w:val="auto"/>
        </w:rPr>
      </w:pPr>
      <w:r>
        <w:rPr>
          <w:rFonts w:ascii="Times New Roman" w:cs="Times New Roman" w:eastAsia="Times New Roman" w:hAnsi="Times New Roman"/>
          <w:sz w:val="20"/>
          <w:szCs w:val="20"/>
          <w:color w:val="auto"/>
        </w:rPr>
        <w:t>For our PD-1 agonist antibody program, our competitors include other PD-1 agonist antibodies peresolimab (Eli Lilly) in Phase 2b development for the treatment of rheumatoid arthritis, JNJ-67484703 (Janssen) in Phase 2 development for the treatment of atopic dermatitis, a PD-1 agonist antibody (Boehringer Ingelheim) in Phase 1 development, and GS-0151 (Gilead) in preclinical development. Our commercial-stage competitors in moderate-to-severe rheumatoid arthritis include monoclonal antibodies targeting anti-TNF (Humira; Abbvie), IL-6 (Actemra; Roche and Kevzara; Regeneron), CD-80/86 (Orencia; BMS), CD-20 (Rituxan; Roche), and janus kinase inhibitors (Rinvoq; AbbVie, Olumiant; Eli Lilly, and Xeljanz; Pfizer). Commercial-stage competitors in moderate-to-severe ulcerative colitis include monoclonal antibodies targeting anti-TNF (Humira; Abbvie and Remicade; Johnson &amp; Johnson), anti-α4β7 (Entyvio; Takeda), anti-IL-23 (Stelara; Johnson &amp; Johnson and Omvoh; Eli Lilly) and S1P inhibitors (Zeposia; Bristol Myers Squibb and Velsipity; Pfizer) and janus kinase inhibitors (Rinvoq; AbbVie, and Xeljanz; Pfizer) as well as monoclonal antibodies targeting anti-TL1A (PRA023; Merck, RVT-3101; Roche and TEV’574; Teva/Sanofi) in Phase 2 and 3 development.</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220"/>
          </w:cols>
          <w:pgMar w:left="1000" w:top="793" w:right="1020" w:bottom="0" w:gutter="0" w:footer="0" w:header="0"/>
          <w:type w:val="continuous"/>
        </w:sectPr>
      </w:pPr>
    </w:p>
    <w:bookmarkStart w:id="14" w:name="page15"/>
    <w:bookmarkEnd w:id="14"/>
    <w:p>
      <w:pPr>
        <w:ind w:firstLine="630"/>
        <w:spacing w:after="0" w:line="256" w:lineRule="auto"/>
        <w:rPr>
          <w:sz w:val="20"/>
          <w:szCs w:val="20"/>
          <w:color w:val="auto"/>
        </w:rPr>
      </w:pPr>
      <w:r>
        <w:rPr>
          <w:rFonts w:ascii="Times New Roman" w:cs="Times New Roman" w:eastAsia="Times New Roman" w:hAnsi="Times New Roman"/>
          <w:sz w:val="20"/>
          <w:szCs w:val="20"/>
          <w:color w:val="auto"/>
        </w:rPr>
        <w:t>For our BTLA agonist antibody program, our competitors include another BTLA agonist antibody, GS-0272 (Gilead) in Phase 1b development for SLE and rheumatoid arthritis. Commercial-stage competitors in moderate-to-severe atopic dermatitis include topical and oral corticosteroids, calcineurin inhibitors (Protopic; LEO Pharma and Elidel; Bausch Health), monoclonal antibodies targeting IL-4/13 (Dupixent; Regeneron/Sanofi), IL-13 (Adbry; LEO Pharma and Ebglyss; Lilly), IL-31 (nemolizumab; Galderma) and janus kinase inhibitors (Rinvoq; AbbVie and abrocitinib; Pfizer) as well as monoclonal antibodies targeting OX-40/OX40L (rocatinlimab; Amgen and amlitelimab; Sanofi) in Phase 3 development.</w:t>
      </w:r>
    </w:p>
    <w:p>
      <w:pPr>
        <w:spacing w:after="0" w:line="88" w:lineRule="exact"/>
        <w:rPr>
          <w:sz w:val="20"/>
          <w:szCs w:val="20"/>
          <w:color w:val="auto"/>
        </w:rPr>
      </w:pPr>
    </w:p>
    <w:p>
      <w:pPr>
        <w:ind w:right="260" w:firstLine="630"/>
        <w:spacing w:after="0" w:line="256" w:lineRule="auto"/>
        <w:rPr>
          <w:sz w:val="20"/>
          <w:szCs w:val="20"/>
          <w:color w:val="auto"/>
        </w:rPr>
      </w:pPr>
      <w:r>
        <w:rPr>
          <w:rFonts w:ascii="Times New Roman" w:cs="Times New Roman" w:eastAsia="Times New Roman" w:hAnsi="Times New Roman"/>
          <w:sz w:val="20"/>
          <w:szCs w:val="20"/>
          <w:color w:val="auto"/>
        </w:rPr>
        <w:t>For our anti-CD122 antagonist antibody program, our clinical competitors include other anti-CD122 antagonist antibodies, auremolimab (Incyte), in Phase 1 development for vitiligo and FB-102 (Forte Bioscience) in preclinical development, and three anti-IL-15 monoclonal antibodies, AMG 714 (Amgen), currently in Phase 2 development for the treatment of vitiligo, CALY-002 (Calypso, which Novartis has agreed to acquire), currently in Phase 1b development for the treatment of celiac disease and eosinophilic esophagitis, and TEV-‘408 (Teva), currently in Phase 1b development for the treatment of celiac disease.</w:t>
      </w:r>
    </w:p>
    <w:p>
      <w:pPr>
        <w:spacing w:after="0" w:line="88" w:lineRule="exact"/>
        <w:rPr>
          <w:sz w:val="20"/>
          <w:szCs w:val="20"/>
          <w:color w:val="auto"/>
        </w:rPr>
      </w:pPr>
    </w:p>
    <w:p>
      <w:pPr>
        <w:ind w:right="60" w:firstLine="630"/>
        <w:spacing w:after="0" w:line="260" w:lineRule="auto"/>
        <w:rPr>
          <w:sz w:val="20"/>
          <w:szCs w:val="20"/>
          <w:color w:val="auto"/>
        </w:rPr>
      </w:pPr>
      <w:r>
        <w:rPr>
          <w:rFonts w:ascii="Times New Roman" w:cs="Times New Roman" w:eastAsia="Times New Roman" w:hAnsi="Times New Roman"/>
          <w:sz w:val="20"/>
          <w:szCs w:val="20"/>
          <w:color w:val="auto"/>
        </w:rPr>
        <w:t>For our anti-BDCA2 program, our competitors include one other anti-BDCA2 antibody, litifilimab (Biogen) in Phase 3 development for SLE and CLE, and one clinical-stage anti-ILT7 antibodies that target plasmacytoid dendritic cells for depletion, daxdilimab (Amgen) in Phase 2 development for alopecia areata, dermatomyositis or anti-synthetase inflammatory myositis, and discoid lupus erythematosus.</w:t>
      </w:r>
    </w:p>
    <w:p>
      <w:pPr>
        <w:spacing w:after="0" w:line="83" w:lineRule="exact"/>
        <w:rPr>
          <w:sz w:val="20"/>
          <w:szCs w:val="20"/>
          <w:color w:val="auto"/>
        </w:rPr>
      </w:pPr>
    </w:p>
    <w:p>
      <w:pPr>
        <w:ind w:right="680" w:firstLine="630"/>
        <w:spacing w:after="0" w:line="281" w:lineRule="auto"/>
        <w:rPr>
          <w:sz w:val="20"/>
          <w:szCs w:val="20"/>
          <w:color w:val="auto"/>
        </w:rPr>
      </w:pPr>
      <w:r>
        <w:rPr>
          <w:rFonts w:ascii="Times New Roman" w:cs="Times New Roman" w:eastAsia="Times New Roman" w:hAnsi="Times New Roman"/>
          <w:sz w:val="20"/>
          <w:szCs w:val="20"/>
          <w:color w:val="auto"/>
        </w:rPr>
        <w:t>For imsidolimab in the treatment of GPP, our competitors include one other anti-IL-36 receptor antibody called SPEVIGO or spesolimab (Boehringer Ingelheim), approved for GPP flares in adults.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 and Product Approval</w:t>
      </w:r>
    </w:p>
    <w:p>
      <w:pPr>
        <w:spacing w:after="0" w:line="137" w:lineRule="exact"/>
        <w:rPr>
          <w:sz w:val="20"/>
          <w:szCs w:val="20"/>
          <w:color w:val="auto"/>
        </w:rPr>
      </w:pPr>
    </w:p>
    <w:p>
      <w:pPr>
        <w:ind w:firstLine="630"/>
        <w:spacing w:after="0" w:line="256" w:lineRule="auto"/>
        <w:rPr>
          <w:sz w:val="20"/>
          <w:szCs w:val="20"/>
          <w:color w:val="auto"/>
        </w:rPr>
      </w:pPr>
      <w:r>
        <w:rPr>
          <w:rFonts w:ascii="Times New Roman" w:cs="Times New Roman" w:eastAsia="Times New Roman" w:hAnsi="Times New Roman"/>
          <w:sz w:val="20"/>
          <w:szCs w:val="20"/>
          <w:color w:val="auto"/>
        </w:rPr>
        <w:t>Government authorities in the United States, at the federal, state and local level, and in other countries and jurisdictions, including the EU,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FDA approval process</w:t>
      </w:r>
    </w:p>
    <w:p>
      <w:pPr>
        <w:spacing w:after="0" w:line="137" w:lineRule="exact"/>
        <w:rPr>
          <w:sz w:val="20"/>
          <w:szCs w:val="20"/>
          <w:color w:val="auto"/>
        </w:rPr>
      </w:pPr>
    </w:p>
    <w:p>
      <w:pPr>
        <w:ind w:right="80" w:firstLine="630"/>
        <w:spacing w:after="0" w:line="253" w:lineRule="auto"/>
        <w:rPr>
          <w:sz w:val="20"/>
          <w:szCs w:val="20"/>
          <w:color w:val="auto"/>
        </w:rPr>
      </w:pPr>
      <w:r>
        <w:rPr>
          <w:rFonts w:ascii="Times New Roman" w:cs="Times New Roman" w:eastAsia="Times New Roman" w:hAnsi="Times New Roman"/>
          <w:sz w:val="20"/>
          <w:szCs w:val="20"/>
          <w:color w:val="auto"/>
        </w:rPr>
        <w:t>In the United States, pharmaceutical products are subject to extensive regulation by the FDA. The Federal Food, Drug, and Cosmetic Act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 Act, except the section of the FDC Act which governs the approval of new drug applications (“NDAs”). Biological products are approved for marketing under provisions of the Public Health Service Act (“PHSA”), via a BLA. However, the application process and requirements for approval of BLAs are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91" w:lineRule="exact"/>
        <w:rPr>
          <w:sz w:val="20"/>
          <w:szCs w:val="20"/>
          <w:color w:val="auto"/>
        </w:rPr>
      </w:pPr>
    </w:p>
    <w:p>
      <w:pPr>
        <w:ind w:right="40" w:firstLine="630"/>
        <w:spacing w:after="0"/>
        <w:rPr>
          <w:sz w:val="20"/>
          <w:szCs w:val="20"/>
          <w:color w:val="auto"/>
        </w:rPr>
      </w:pPr>
      <w:r>
        <w:rPr>
          <w:rFonts w:ascii="Times New Roman" w:cs="Times New Roman" w:eastAsia="Times New Roman" w:hAnsi="Times New Roman"/>
          <w:sz w:val="20"/>
          <w:szCs w:val="20"/>
          <w:color w:val="auto"/>
        </w:rPr>
        <w:t>Biological product development for a new product or certain changes to an approved product in the United States typically involves preclinical laboratory and animal tests, the submission to the FDA of an investigational new drug application (“IND”), which must become effective before clinical testing may commence in the United States,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84" w:lineRule="exact"/>
        <w:rPr>
          <w:sz w:val="20"/>
          <w:szCs w:val="20"/>
          <w:color w:val="auto"/>
        </w:rPr>
      </w:pPr>
    </w:p>
    <w:p>
      <w:pPr>
        <w:ind w:firstLine="630"/>
        <w:spacing w:after="0" w:line="268" w:lineRule="auto"/>
        <w:rPr>
          <w:sz w:val="20"/>
          <w:szCs w:val="20"/>
          <w:color w:val="auto"/>
        </w:rPr>
      </w:pPr>
      <w:r>
        <w:rPr>
          <w:rFonts w:ascii="Times New Roman" w:cs="Times New Roman" w:eastAsia="Times New Roman" w:hAnsi="Times New Roman"/>
          <w:sz w:val="19"/>
          <w:szCs w:val="19"/>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(“GLPs”). The results of preclinical testing are submitted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biologic to healthy volunteers or patients under the supervision of a qualified investigator. Clinical trials must be conducted: (i) in compliance with federal regulations; (ii) in compliance with good</w:t>
      </w:r>
    </w:p>
    <w:p>
      <w:pPr>
        <w:sectPr>
          <w:pgSz w:w="12240" w:h="15840" w:orient="portrait"/>
          <w:cols w:equalWidth="0" w:num="1">
            <w:col w:w="10220"/>
          </w:cols>
          <w:pgMar w:left="1000" w:top="793" w:right="1020" w:bottom="0" w:gutter="0" w:footer="0" w:header="0"/>
        </w:sect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220"/>
          </w:cols>
          <w:pgMar w:left="1000" w:top="793" w:right="1020" w:bottom="0" w:gutter="0" w:footer="0" w:header="0"/>
          <w:type w:val="continuous"/>
        </w:sectPr>
      </w:pPr>
    </w:p>
    <w:bookmarkStart w:id="15" w:name="page16"/>
    <w:bookmarkEnd w:id="15"/>
    <w:p>
      <w:pPr>
        <w:ind w:right="40"/>
        <w:spacing w:after="0" w:line="260" w:lineRule="auto"/>
        <w:rPr>
          <w:sz w:val="20"/>
          <w:szCs w:val="20"/>
          <w:color w:val="auto"/>
        </w:rPr>
      </w:pPr>
      <w:r>
        <w:rPr>
          <w:rFonts w:ascii="Times New Roman" w:cs="Times New Roman" w:eastAsia="Times New Roman" w:hAnsi="Times New Roman"/>
          <w:sz w:val="20"/>
          <w:szCs w:val="20"/>
          <w:color w:val="auto"/>
        </w:rPr>
        <w:t>clinical practices (“GCPs”),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83" w:lineRule="exact"/>
        <w:rPr>
          <w:sz w:val="20"/>
          <w:szCs w:val="20"/>
          <w:color w:val="auto"/>
        </w:rPr>
      </w:pPr>
    </w:p>
    <w:p>
      <w:pPr>
        <w:ind w:right="160" w:firstLine="630"/>
        <w:spacing w:after="0" w:line="256" w:lineRule="auto"/>
        <w:rPr>
          <w:sz w:val="20"/>
          <w:szCs w:val="20"/>
          <w:color w:val="auto"/>
        </w:rPr>
      </w:pPr>
      <w:r>
        <w:rPr>
          <w:rFonts w:ascii="Times New Roman" w:cs="Times New Roman" w:eastAsia="Times New Roman" w:hAnsi="Times New Roman"/>
          <w:sz w:val="20"/>
          <w:szCs w:val="20"/>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trial protocol and informed consent information for patients in clinical trials must also be submitted to an institutional review board (“IRB”) for approval. An IRB may also require the clinical trial at the site to be halted, either temporarily or permanently, for failure to comply with the IRB’s requirements, or may impose other conditions.</w:t>
      </w:r>
    </w:p>
    <w:p>
      <w:pPr>
        <w:spacing w:after="0" w:line="88" w:lineRule="exact"/>
        <w:rPr>
          <w:sz w:val="20"/>
          <w:szCs w:val="20"/>
          <w:color w:val="auto"/>
        </w:rPr>
      </w:pPr>
    </w:p>
    <w:p>
      <w:pPr>
        <w:ind w:right="20" w:firstLine="630"/>
        <w:spacing w:after="0" w:line="267" w:lineRule="auto"/>
        <w:rPr>
          <w:sz w:val="20"/>
          <w:szCs w:val="20"/>
          <w:color w:val="auto"/>
        </w:rPr>
      </w:pPr>
      <w:r>
        <w:rPr>
          <w:rFonts w:ascii="Times New Roman" w:cs="Times New Roman" w:eastAsia="Times New Roman" w:hAnsi="Times New Roman"/>
          <w:sz w:val="19"/>
          <w:szCs w:val="19"/>
          <w:color w:val="auto"/>
        </w:rPr>
        <w:t>Clinical trials to support BLAs for marketing approval are typically conducted in three sequential phases, but the phases may overlap. In Phase 1, the initial introduction of the biologic into healthy human subjects or patients, the product is tested to assess metabolism, pharmacokinetics, pharmacological actions, side effects associated with increasing doses, and, if possible, early evidence on effectiveness. Phase 2 usually involves clinical trials in a limited patient population to determine the effectiveness of the drug or biologic for a particular indication, dosage tolerance, and optimal dosage, and to identify common adverse effects and safety risks. If a compound demonstrates evidence of effectiveness and an acceptable safety profile in Phase 2 evaluations, Phase 3 clinical trials are undertaken to obtain the additional information about clinical efficacy and safety in a larger number of patients, typically at geographically dispersed clinical trial sites, to permit the FDA to evaluate the overall benefit risk relationship of the drug or biologic and to provide adequate information for the labeling of the product. In most cases, the FDA requires two adequate and well-controlled Phase 3 clinical trials to demonstrate the efficacy of the biologic. A single Phase 3 clinical trial may be sufficient in rare instances, including (i) where the clinical trial is a large multicenter clinical trial demonstrating internal consistency and a statistically persuasive finding of a clinically meaningful effect on mortality, irreversible morbidity or prevention of a disease with a potentially serious outcome and confirmation of the result in a second clinical trial would be practically or ethically impossible or (ii) when in conjunction with other confirmatory evidence.</w:t>
      </w:r>
    </w:p>
    <w:p>
      <w:pPr>
        <w:spacing w:after="0" w:line="77" w:lineRule="exact"/>
        <w:rPr>
          <w:sz w:val="20"/>
          <w:szCs w:val="20"/>
          <w:color w:val="auto"/>
        </w:rPr>
      </w:pPr>
    </w:p>
    <w:p>
      <w:pPr>
        <w:ind w:firstLine="630"/>
        <w:spacing w:after="0" w:line="252" w:lineRule="auto"/>
        <w:rPr>
          <w:sz w:val="20"/>
          <w:szCs w:val="20"/>
          <w:color w:val="auto"/>
        </w:rPr>
      </w:pPr>
      <w:r>
        <w:rPr>
          <w:rFonts w:ascii="Times New Roman" w:cs="Times New Roman" w:eastAsia="Times New Roman" w:hAnsi="Times New Roman"/>
          <w:sz w:val="20"/>
          <w:szCs w:val="20"/>
          <w:color w:val="auto"/>
        </w:rPr>
        <w:t>After completion of the required clinical testing, a BLA is prepared and submitted to the FDA. FDA approval of the BLA is required before marketing of the product may begin in the United States. The BLA must include the results of all preclinical, clinical, and other testing and a compilation of data relating to the product’s pharmacology, chemistry, manufacture, and controls. The cost of preparing and submitting a BLA is substantial. The submission of most BLAs is additionally subject to a substantial application user fee, and the applicant under an approved BLA is also subject to annual product and establishment user fees. These fees are typically increased annually. The FDA has 60 days from its receipt of a BLA to determine whether the application will be accepted for filing based on the agency’s threshold determination that it is sufficiently complete to permit substantive review. Once the submission is filed, the FDA begins an in-depth review. The FDA has agreed to certain performance goals in the review of BLAs. Most such applications for standard review biologic products are reviewed within 10 months of the date the BLA is filed with the FDA; most applications for priority review biologics are reviewed within six months of the date the BLA is filed with the FDA. Priority review can be applied to a biologic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98" w:lineRule="exact"/>
        <w:rPr>
          <w:sz w:val="20"/>
          <w:szCs w:val="20"/>
          <w:color w:val="auto"/>
        </w:rPr>
      </w:pPr>
    </w:p>
    <w:p>
      <w:pPr>
        <w:ind w:right="20" w:firstLine="630"/>
        <w:spacing w:after="0" w:line="254" w:lineRule="auto"/>
        <w:rPr>
          <w:sz w:val="20"/>
          <w:szCs w:val="20"/>
          <w:color w:val="auto"/>
        </w:rPr>
      </w:pPr>
      <w:r>
        <w:rPr>
          <w:rFonts w:ascii="Times New Roman" w:cs="Times New Roman" w:eastAsia="Times New Roman" w:hAnsi="Times New Roman"/>
          <w:sz w:val="20"/>
          <w:szCs w:val="20"/>
          <w:color w:val="auto"/>
        </w:rPr>
        <w:t>The FDA may also refer applications for novel biologic products, or biologic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product is manufactured. The FDA will not approve the product unless compliance with cGMP is satisfactory and the BLA contains data that provide substantial evidence that the biologic is safe, pure, potent and effective in the indication studied.</w:t>
      </w:r>
    </w:p>
    <w:p>
      <w:pPr>
        <w:spacing w:after="0" w:line="93" w:lineRule="exact"/>
        <w:rPr>
          <w:sz w:val="20"/>
          <w:szCs w:val="20"/>
          <w:color w:val="auto"/>
        </w:rPr>
      </w:pPr>
    </w:p>
    <w:p>
      <w:pPr>
        <w:ind w:firstLine="630"/>
        <w:spacing w:after="0" w:line="254" w:lineRule="auto"/>
        <w:rPr>
          <w:sz w:val="20"/>
          <w:szCs w:val="20"/>
          <w:color w:val="auto"/>
        </w:rPr>
      </w:pPr>
      <w:r>
        <w:rPr>
          <w:rFonts w:ascii="Times New Roman" w:cs="Times New Roman" w:eastAsia="Times New Roman" w:hAnsi="Times New Roman"/>
          <w:sz w:val="20"/>
          <w:szCs w:val="20"/>
          <w:color w:val="auto"/>
        </w:rPr>
        <w:t>After the FDA evaluates the BLA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of the biologic with specific prescribing information for specific indications. As a condition of BLA approval, the FDA may require a risk evaluation and mitigation strategy (“REMS”) to help ensure that the benefits of the biologic outweigh the potential risks. REMS can include medication guides, communication plans for health care professionals, and elements to assure safe use (“ETASU”). ETASU can include, but are not limited to, special training or</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240"/>
          </w:cols>
          <w:pgMar w:left="1000" w:top="793" w:right="1000" w:bottom="0" w:gutter="0" w:footer="0" w:header="0"/>
          <w:type w:val="continuous"/>
        </w:sectPr>
      </w:pPr>
    </w:p>
    <w:bookmarkStart w:id="16" w:name="page17"/>
    <w:bookmarkEnd w:id="16"/>
    <w:p>
      <w:pPr>
        <w:ind w:right="480"/>
        <w:spacing w:after="0" w:line="260" w:lineRule="auto"/>
        <w:rPr>
          <w:sz w:val="20"/>
          <w:szCs w:val="20"/>
          <w:color w:val="auto"/>
        </w:rPr>
      </w:pPr>
      <w:r>
        <w:rPr>
          <w:rFonts w:ascii="Times New Roman" w:cs="Times New Roman" w:eastAsia="Times New Roman" w:hAnsi="Times New Roman"/>
          <w:sz w:val="20"/>
          <w:szCs w:val="20"/>
          <w:color w:val="auto"/>
        </w:rPr>
        <w:t>certification for prescribing or dispensing, dispensing only under certain circumstances, special monitoring, and the use of patient registries. The requirement for a REMS can materially affect the potential market and profitability of the</w:t>
      </w:r>
    </w:p>
    <w:p>
      <w:pPr>
        <w:spacing w:after="0" w:line="2"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20"/>
          <w:szCs w:val="20"/>
          <w:color w:val="auto"/>
        </w:rPr>
        <w:t>product. Moreover, product approval may require substantial post-approval testing and surveillance to monitor the product’s safety or efficacy.</w:t>
      </w:r>
    </w:p>
    <w:p>
      <w:pPr>
        <w:spacing w:after="0" w:line="82" w:lineRule="exact"/>
        <w:rPr>
          <w:sz w:val="20"/>
          <w:szCs w:val="20"/>
          <w:color w:val="auto"/>
        </w:rPr>
      </w:pPr>
    </w:p>
    <w:p>
      <w:pPr>
        <w:ind w:right="100" w:firstLine="630"/>
        <w:spacing w:after="0" w:line="256" w:lineRule="auto"/>
        <w:rPr>
          <w:sz w:val="20"/>
          <w:szCs w:val="20"/>
          <w:color w:val="auto"/>
        </w:rPr>
      </w:pPr>
      <w:r>
        <w:rPr>
          <w:rFonts w:ascii="Times New Roman" w:cs="Times New Roman" w:eastAsia="Times New Roman" w:hAnsi="Times New Roman"/>
          <w:sz w:val="20"/>
          <w:szCs w:val="20"/>
          <w:color w:val="auto"/>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clinical studies to support an IND</w:t>
      </w:r>
    </w:p>
    <w:p>
      <w:pPr>
        <w:spacing w:after="0" w:line="137" w:lineRule="exact"/>
        <w:rPr>
          <w:sz w:val="20"/>
          <w:szCs w:val="20"/>
          <w:color w:val="auto"/>
        </w:rPr>
      </w:pPr>
    </w:p>
    <w:p>
      <w:pPr>
        <w:ind w:right="240" w:firstLine="630"/>
        <w:spacing w:after="0" w:line="260" w:lineRule="auto"/>
        <w:rPr>
          <w:sz w:val="20"/>
          <w:szCs w:val="20"/>
          <w:color w:val="auto"/>
        </w:rPr>
      </w:pPr>
      <w:r>
        <w:rPr>
          <w:rFonts w:ascii="Times New Roman" w:cs="Times New Roman" w:eastAsia="Times New Roman" w:hAnsi="Times New Roman"/>
          <w:sz w:val="20"/>
          <w:szCs w:val="20"/>
          <w:color w:val="auto"/>
        </w:rPr>
        <w:t>The FDA will accept as support for an IND a well-designed, well-conducted, non-IND foreign clinical study if it was conducted in accordance with GCP and the FDA is able to validate the data from the study through an onsite inspection, if necessary. A sponsor or applicant who wishes to rely on a non-IND foreign clinical study to support an IND must submit the following supporting information to the FDA to demonstrate that the study conformed to GCP:</w:t>
      </w:r>
    </w:p>
    <w:p>
      <w:pPr>
        <w:spacing w:after="0" w:line="83" w:lineRule="exact"/>
        <w:rPr>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investigator’s qualifications;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the research facilities;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detailed summary of the protocol and study results and, if requested, case records or additional background data;</w:t>
      </w:r>
    </w:p>
    <w:p>
      <w:pPr>
        <w:spacing w:after="0" w:line="130" w:lineRule="exact"/>
        <w:rPr>
          <w:rFonts w:ascii="Times New Roman" w:cs="Times New Roman" w:eastAsia="Times New Roman" w:hAnsi="Times New Roman"/>
          <w:sz w:val="20"/>
          <w:szCs w:val="20"/>
          <w:color w:val="auto"/>
        </w:rPr>
      </w:pPr>
    </w:p>
    <w:p>
      <w:pPr>
        <w:ind w:left="720" w:right="320" w:hanging="370"/>
        <w:spacing w:after="0" w:line="281"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the drug substance and drug product, including the components, formulation, specifications, and, if available, the bioavailability of the drug product;</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showing that the study is adequate and well controlled;</w:t>
      </w:r>
    </w:p>
    <w:p>
      <w:pPr>
        <w:spacing w:after="0" w:line="130"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the independent ethics committee that reviewed the study and a statement that the independent ethics committee meets the required definition;</w:t>
      </w:r>
    </w:p>
    <w:p>
      <w:pPr>
        <w:spacing w:after="0" w:line="6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summary of the independent ethics committee’s decision to approve or modify and approve the study, or to provide a favorable opinion;</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how informed consent was obtained;</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what incentives, if any, were provided to subjects to participate;</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how the sponsors monitored the study and ensured that the study was consistent with the protocol;</w:t>
      </w:r>
    </w:p>
    <w:p>
      <w:pPr>
        <w:spacing w:after="0" w:line="130" w:lineRule="exact"/>
        <w:rPr>
          <w:rFonts w:ascii="Times New Roman" w:cs="Times New Roman" w:eastAsia="Times New Roman" w:hAnsi="Times New Roman"/>
          <w:sz w:val="20"/>
          <w:szCs w:val="20"/>
          <w:color w:val="auto"/>
        </w:rPr>
      </w:pPr>
    </w:p>
    <w:p>
      <w:pPr>
        <w:ind w:left="720" w:right="220" w:hanging="370"/>
        <w:spacing w:after="0" w:line="281"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how investigators were trained to comply with GCP and to conduct the study in accordance with the study protocol; and</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on whether written commitments by investigators to comply with GCP and the protocol were obtained.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of clinical trial information</w:t>
      </w:r>
    </w:p>
    <w:p>
      <w:pPr>
        <w:spacing w:after="0" w:line="137" w:lineRule="exact"/>
        <w:rPr>
          <w:sz w:val="20"/>
          <w:szCs w:val="20"/>
          <w:color w:val="auto"/>
        </w:rPr>
      </w:pPr>
    </w:p>
    <w:p>
      <w:pPr>
        <w:ind w:right="180" w:firstLine="630"/>
        <w:spacing w:after="0" w:line="256" w:lineRule="auto"/>
        <w:rPr>
          <w:sz w:val="20"/>
          <w:szCs w:val="20"/>
          <w:color w:val="auto"/>
        </w:rPr>
      </w:pPr>
      <w:r>
        <w:rPr>
          <w:rFonts w:ascii="Times New Roman" w:cs="Times New Roman" w:eastAsia="Times New Roman" w:hAnsi="Times New Roman"/>
          <w:sz w:val="20"/>
          <w:szCs w:val="20"/>
          <w:color w:val="auto"/>
        </w:rPr>
        <w:t>Sponsors of clinical trials of FDA-regulated products, including biological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clinical trials can be delayed in certain circumstances for up to two years after the date of completion of the clinical trial. Competitors may use this publicly available information to gain knowledge regarding the progress of development programs.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Pediatric information</w:t>
      </w:r>
    </w:p>
    <w:p>
      <w:pPr>
        <w:spacing w:after="0" w:line="137" w:lineRule="exact"/>
        <w:rPr>
          <w:sz w:val="20"/>
          <w:szCs w:val="20"/>
          <w:color w:val="auto"/>
        </w:rPr>
      </w:pPr>
    </w:p>
    <w:p>
      <w:pPr>
        <w:ind w:right="20" w:firstLine="630"/>
        <w:spacing w:after="0" w:line="256" w:lineRule="auto"/>
        <w:rPr>
          <w:sz w:val="20"/>
          <w:szCs w:val="20"/>
          <w:color w:val="auto"/>
        </w:rPr>
      </w:pPr>
      <w:r>
        <w:rPr>
          <w:rFonts w:ascii="Times New Roman" w:cs="Times New Roman" w:eastAsia="Times New Roman" w:hAnsi="Times New Roman"/>
          <w:sz w:val="20"/>
          <w:szCs w:val="20"/>
          <w:color w:val="auto"/>
        </w:rPr>
        <w:t>Under the Pediatric Research Equity Act (“PREA”), NDAs or BLAs or supplements to NDAs or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the PREA does not apply to any biological product for an indication for which Orphan Drug Designation has been granted.</w:t>
      </w:r>
    </w:p>
    <w:p>
      <w:pPr>
        <w:spacing w:after="0" w:line="88" w:lineRule="exact"/>
        <w:rPr>
          <w:sz w:val="20"/>
          <w:szCs w:val="20"/>
          <w:color w:val="auto"/>
        </w:rPr>
      </w:pPr>
    </w:p>
    <w:p>
      <w:pPr>
        <w:ind w:right="120" w:firstLine="630"/>
        <w:spacing w:after="0" w:line="309" w:lineRule="auto"/>
        <w:rPr>
          <w:sz w:val="20"/>
          <w:szCs w:val="20"/>
          <w:color w:val="auto"/>
        </w:rPr>
      </w:pPr>
      <w:r>
        <w:rPr>
          <w:rFonts w:ascii="Times New Roman" w:cs="Times New Roman" w:eastAsia="Times New Roman" w:hAnsi="Times New Roman"/>
          <w:sz w:val="19"/>
          <w:szCs w:val="19"/>
          <w:color w:val="auto"/>
        </w:rPr>
        <w:t>The Best Pharmaceuticals for Children Act (“BPCA”) provides sponsors of NDAs with an additional six-month period of market exclusivity for all unexpired patent or non-patent exclusivity on all forms of the drug containing the active moiety if</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240"/>
          </w:cols>
          <w:pgMar w:left="1000" w:top="793" w:right="1000" w:bottom="0" w:gutter="0" w:footer="0" w:header="0"/>
          <w:type w:val="continuous"/>
        </w:sectPr>
      </w:pPr>
    </w:p>
    <w:bookmarkStart w:id="17" w:name="page18"/>
    <w:bookmarkEnd w:id="17"/>
    <w:p>
      <w:pPr>
        <w:ind w:left="10" w:right="20"/>
        <w:spacing w:after="0" w:line="266" w:lineRule="auto"/>
        <w:rPr>
          <w:sz w:val="20"/>
          <w:szCs w:val="20"/>
          <w:color w:val="auto"/>
        </w:rPr>
      </w:pPr>
      <w:r>
        <w:rPr>
          <w:rFonts w:ascii="Times New Roman" w:cs="Times New Roman" w:eastAsia="Times New Roman" w:hAnsi="Times New Roman"/>
          <w:sz w:val="20"/>
          <w:szCs w:val="20"/>
          <w:color w:val="auto"/>
        </w:rPr>
        <w:t>the sponsor submits results of pediatric studies specifically requested by the FDA under BPCA within required timeframes. The BPCA provides sponsors of BLAs an additional six-month extension for all unexpired non-patent market exclusivity on all forms of the biological containing the active moiety pursuant to the BPCA if the conditions under the BPCA are met.</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Additional controls for biologics</w:t>
      </w:r>
    </w:p>
    <w:p>
      <w:pPr>
        <w:spacing w:after="0" w:line="137" w:lineRule="exact"/>
        <w:rPr>
          <w:sz w:val="20"/>
          <w:szCs w:val="20"/>
          <w:color w:val="auto"/>
        </w:rPr>
      </w:pPr>
    </w:p>
    <w:p>
      <w:pPr>
        <w:ind w:left="10" w:firstLine="630"/>
        <w:spacing w:after="0" w:line="258" w:lineRule="auto"/>
        <w:rPr>
          <w:sz w:val="20"/>
          <w:szCs w:val="20"/>
          <w:color w:val="auto"/>
        </w:rPr>
      </w:pPr>
      <w:r>
        <w:rPr>
          <w:rFonts w:ascii="Times New Roman" w:cs="Times New Roman" w:eastAsia="Times New Roman" w:hAnsi="Times New Roman"/>
          <w:sz w:val="20"/>
          <w:szCs w:val="20"/>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84" w:lineRule="exact"/>
        <w:rPr>
          <w:sz w:val="20"/>
          <w:szCs w:val="20"/>
          <w:color w:val="auto"/>
        </w:rPr>
      </w:pPr>
    </w:p>
    <w:p>
      <w:pPr>
        <w:ind w:left="10" w:firstLine="630"/>
        <w:spacing w:after="0" w:line="256" w:lineRule="auto"/>
        <w:rPr>
          <w:sz w:val="20"/>
          <w:szCs w:val="20"/>
          <w:color w:val="auto"/>
        </w:rPr>
      </w:pPr>
      <w:r>
        <w:rPr>
          <w:rFonts w:ascii="Times New Roman" w:cs="Times New Roman" w:eastAsia="Times New Roman" w:hAnsi="Times New Roman"/>
          <w:sz w:val="20"/>
          <w:szCs w:val="20"/>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88" w:lineRule="exact"/>
        <w:rPr>
          <w:sz w:val="20"/>
          <w:szCs w:val="20"/>
          <w:color w:val="auto"/>
        </w:rPr>
      </w:pPr>
    </w:p>
    <w:p>
      <w:pPr>
        <w:ind w:left="10" w:right="60" w:firstLine="630"/>
        <w:spacing w:after="0" w:line="266" w:lineRule="auto"/>
        <w:rPr>
          <w:sz w:val="20"/>
          <w:szCs w:val="20"/>
          <w:color w:val="auto"/>
        </w:rPr>
      </w:pPr>
      <w:r>
        <w:rPr>
          <w:rFonts w:ascii="Times New Roman" w:cs="Times New Roman" w:eastAsia="Times New Roman" w:hAnsi="Times New Roman"/>
          <w:sz w:val="20"/>
          <w:szCs w:val="20"/>
          <w:color w:val="auto"/>
        </w:rPr>
        <w:t>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Patent term restoration</w:t>
      </w:r>
    </w:p>
    <w:p>
      <w:pPr>
        <w:spacing w:after="0" w:line="137" w:lineRule="exact"/>
        <w:rPr>
          <w:sz w:val="20"/>
          <w:szCs w:val="20"/>
          <w:color w:val="auto"/>
        </w:rPr>
      </w:pPr>
    </w:p>
    <w:p>
      <w:pPr>
        <w:ind w:left="10" w:right="140" w:firstLine="630"/>
        <w:spacing w:after="0" w:line="258" w:lineRule="auto"/>
        <w:rPr>
          <w:sz w:val="20"/>
          <w:szCs w:val="20"/>
          <w:color w:val="auto"/>
        </w:rPr>
      </w:pPr>
      <w:r>
        <w:rPr>
          <w:rFonts w:ascii="Times New Roman" w:cs="Times New Roman" w:eastAsia="Times New Roman" w:hAnsi="Times New Roman"/>
          <w:sz w:val="20"/>
          <w:szCs w:val="20"/>
          <w:color w:val="auto"/>
        </w:rPr>
        <w:t>After approval, owners of relevant drug or biologic patents may apply for up to a five year patent extension. The allowable patent term extension is calculated as half of the drug’s testing phase—the time between IND application and NDA or BLA submission—and all of the review phase—the time between NDA or BLA submission and approval up to a maximum of five years. The time can be shortened if FDA determines that the applicant did not pursue approval with due diligence. The total patent term after the extension may not exceed 14 years from the date of marketing approval.</w:t>
      </w:r>
    </w:p>
    <w:p>
      <w:pPr>
        <w:spacing w:after="0" w:line="84" w:lineRule="exact"/>
        <w:rPr>
          <w:sz w:val="20"/>
          <w:szCs w:val="20"/>
          <w:color w:val="auto"/>
        </w:rPr>
      </w:pPr>
    </w:p>
    <w:p>
      <w:pPr>
        <w:ind w:left="10" w:right="180" w:firstLine="630"/>
        <w:spacing w:after="0" w:line="258" w:lineRule="auto"/>
        <w:rPr>
          <w:sz w:val="20"/>
          <w:szCs w:val="20"/>
          <w:color w:val="auto"/>
        </w:rPr>
      </w:pPr>
      <w:r>
        <w:rPr>
          <w:rFonts w:ascii="Times New Roman" w:cs="Times New Roman" w:eastAsia="Times New Roman" w:hAnsi="Times New Roman"/>
          <w:sz w:val="20"/>
          <w:szCs w:val="20"/>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or biologic for which an NDA or BLA has not been submitted.</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Biosimilars</w:t>
      </w:r>
    </w:p>
    <w:p>
      <w:pPr>
        <w:spacing w:after="0" w:line="137" w:lineRule="exact"/>
        <w:rPr>
          <w:sz w:val="20"/>
          <w:szCs w:val="20"/>
          <w:color w:val="auto"/>
        </w:rPr>
      </w:pPr>
    </w:p>
    <w:p>
      <w:pPr>
        <w:ind w:left="10" w:right="40" w:firstLine="630"/>
        <w:spacing w:after="0" w:line="253" w:lineRule="auto"/>
        <w:rPr>
          <w:sz w:val="20"/>
          <w:szCs w:val="20"/>
          <w:color w:val="auto"/>
        </w:rPr>
      </w:pPr>
      <w:r>
        <w:rPr>
          <w:rFonts w:ascii="Times New Roman" w:cs="Times New Roman" w:eastAsia="Times New Roman" w:hAnsi="Times New Roman"/>
          <w:sz w:val="20"/>
          <w:szCs w:val="20"/>
          <w:color w:val="auto"/>
        </w:rPr>
        <w:t>The Biologics Price Competition and Innovation Act of 2009 (“BPCIA”) created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the U.S. Department of Health and Human Services (“HHS”) waives a required element.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The first biosimilar was approved by the FDA in 2015, and the first interchangeable product was approved in 2021.</w:t>
      </w:r>
    </w:p>
    <w:p>
      <w:pPr>
        <w:spacing w:after="0" w:line="93" w:lineRule="exact"/>
        <w:rPr>
          <w:sz w:val="20"/>
          <w:szCs w:val="20"/>
          <w:color w:val="auto"/>
        </w:rPr>
      </w:pPr>
    </w:p>
    <w:p>
      <w:pPr>
        <w:ind w:left="10" w:right="100" w:firstLine="630"/>
        <w:spacing w:after="0" w:line="269" w:lineRule="auto"/>
        <w:rPr>
          <w:sz w:val="20"/>
          <w:szCs w:val="20"/>
          <w:color w:val="auto"/>
        </w:rPr>
      </w:pPr>
      <w:r>
        <w:rPr>
          <w:rFonts w:ascii="Times New Roman" w:cs="Times New Roman" w:eastAsia="Times New Roman" w:hAnsi="Times New Roman"/>
          <w:sz w:val="19"/>
          <w:szCs w:val="19"/>
          <w:color w:val="auto"/>
        </w:rPr>
        <w:t>A reference biologic is granted 12 years of exclusivity from the time of first licensure of the reference product, and no application for a biosimilar can be submitted for four years from the date of licensure of the reference product. The first biologic product submitted under the abbreviated approval pathway that is determined to be interchangeable with the reference product has exclusivity against a finding of interchangeability for other biologics for the same condition of use for the lesser of</w:t>
      </w:r>
    </w:p>
    <w:p>
      <w:pPr>
        <w:spacing w:after="0" w:line="1" w:lineRule="exact"/>
        <w:rPr>
          <w:sz w:val="20"/>
          <w:szCs w:val="20"/>
          <w:color w:val="auto"/>
        </w:rPr>
      </w:pPr>
    </w:p>
    <w:p>
      <w:pPr>
        <w:ind w:left="10" w:hanging="10"/>
        <w:spacing w:after="0" w:line="253" w:lineRule="auto"/>
        <w:tabs>
          <w:tab w:leader="none" w:pos="249"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Post-approval requirements</w:t>
      </w:r>
    </w:p>
    <w:p>
      <w:pPr>
        <w:sectPr>
          <w:pgSz w:w="12240" w:h="15840" w:orient="portrait"/>
          <w:cols w:equalWidth="0" w:num="1">
            <w:col w:w="10250"/>
          </w:cols>
          <w:pgMar w:left="99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250"/>
          </w:cols>
          <w:pgMar w:left="990" w:top="793" w:right="1000" w:bottom="0" w:gutter="0" w:footer="0" w:header="0"/>
          <w:type w:val="continuous"/>
        </w:sectPr>
      </w:pPr>
    </w:p>
    <w:bookmarkStart w:id="18" w:name="page19"/>
    <w:bookmarkEnd w:id="18"/>
    <w:p>
      <w:pPr>
        <w:ind w:right="40" w:firstLine="630"/>
        <w:spacing w:after="0" w:line="260" w:lineRule="auto"/>
        <w:rPr>
          <w:sz w:val="20"/>
          <w:szCs w:val="20"/>
          <w:color w:val="auto"/>
        </w:rPr>
      </w:pPr>
      <w:r>
        <w:rPr>
          <w:rFonts w:ascii="Times New Roman" w:cs="Times New Roman" w:eastAsia="Times New Roman" w:hAnsi="Times New Roman"/>
          <w:sz w:val="20"/>
          <w:szCs w:val="20"/>
          <w:color w:val="auto"/>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w:t>
      </w:r>
    </w:p>
    <w:p>
      <w:pPr>
        <w:spacing w:after="0" w:line="83" w:lineRule="exact"/>
        <w:rPr>
          <w:sz w:val="20"/>
          <w:szCs w:val="20"/>
          <w:color w:val="auto"/>
        </w:rPr>
      </w:pPr>
    </w:p>
    <w:p>
      <w:pPr>
        <w:ind w:right="160" w:firstLine="630"/>
        <w:spacing w:after="0" w:line="258" w:lineRule="auto"/>
        <w:rPr>
          <w:sz w:val="20"/>
          <w:szCs w:val="20"/>
          <w:color w:val="auto"/>
        </w:rPr>
      </w:pPr>
      <w:r>
        <w:rPr>
          <w:rFonts w:ascii="Times New Roman" w:cs="Times New Roman" w:eastAsia="Times New Roman" w:hAnsi="Times New Roman"/>
          <w:sz w:val="20"/>
          <w:szCs w:val="20"/>
          <w:color w:val="auto"/>
        </w:rPr>
        <w:t>Biologics may be marketed only for the approved indications and in accordance with the provisions of the approved labeling. Changes to some of the conditions established in an approved application, including changes in indications, labeling, or manufacturing processes or facilities, may require a submission to and approval by the FDA before the change can be implemented. A BLA supplement for a new indication typically requires clinical data similar to that in the original application and similar procedures and actions in reviewing BLA or supplements as in reviewing BLAs.</w:t>
      </w:r>
    </w:p>
    <w:p>
      <w:pPr>
        <w:spacing w:after="0" w:line="84" w:lineRule="exact"/>
        <w:rPr>
          <w:sz w:val="20"/>
          <w:szCs w:val="20"/>
          <w:color w:val="auto"/>
        </w:rPr>
      </w:pPr>
    </w:p>
    <w:p>
      <w:pPr>
        <w:ind w:firstLine="630"/>
        <w:spacing w:after="0" w:line="252" w:lineRule="auto"/>
        <w:rPr>
          <w:sz w:val="20"/>
          <w:szCs w:val="20"/>
          <w:color w:val="auto"/>
        </w:rPr>
      </w:pPr>
      <w:r>
        <w:rPr>
          <w:rFonts w:ascii="Times New Roman" w:cs="Times New Roman" w:eastAsia="Times New Roman" w:hAnsi="Times New Roman"/>
          <w:sz w:val="20"/>
          <w:szCs w:val="20"/>
          <w:color w:val="auto"/>
        </w:rPr>
        <w:t>Adverse event reporting and submission of periodic reports are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 In addition, biological product manufacturers in the U.S. must comply with applicable provisions of the Drug Supply Chain Security Act and provide and receive product tracing information, maintain appropriate licenses, ensure they only work with other properly licensed entities and have procedures in place to identify and properly handle suspect and illegitimate products.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U.S. health care laws and compliance requirements</w:t>
      </w:r>
    </w:p>
    <w:p>
      <w:pPr>
        <w:spacing w:after="0" w:line="137" w:lineRule="exact"/>
        <w:rPr>
          <w:sz w:val="20"/>
          <w:szCs w:val="20"/>
          <w:color w:val="auto"/>
        </w:rPr>
      </w:pPr>
    </w:p>
    <w:p>
      <w:pPr>
        <w:ind w:right="120" w:firstLine="630"/>
        <w:spacing w:after="0" w:line="255" w:lineRule="auto"/>
        <w:rPr>
          <w:sz w:val="20"/>
          <w:szCs w:val="20"/>
          <w:color w:val="auto"/>
        </w:rPr>
      </w:pPr>
      <w:r>
        <w:rPr>
          <w:rFonts w:ascii="Times New Roman" w:cs="Times New Roman" w:eastAsia="Times New Roman" w:hAnsi="Times New Roman"/>
          <w:sz w:val="20"/>
          <w:szCs w:val="20"/>
          <w:color w:val="auto"/>
        </w:rPr>
        <w:t>In the United States, our activities are potentially subject to regulation by various federal, state and local authorities in addition to the FDA, including but not limited to, the Centers for Medicare and Medicaid Services (“CMS”), other divisions of the HHS (such as the Office of Inspector General), the U.S. Department of Justice (“DOJ”), and individual U.S. Attorney offices within the DOJ, and state and local governments. For example, sales, marketing and scientific/educational grant programs may have to comply with the anti-fraud and abuse provisions of the Social Security Act, anti-kickback statutes, false claims laws, the privacy and security provisions of the Health Insurance Portability and Accountability Act (“HIPAA”), and similar state laws, each as amended, as applicable.</w:t>
      </w:r>
    </w:p>
    <w:p>
      <w:pPr>
        <w:spacing w:after="0" w:line="90"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 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88" w:lineRule="exact"/>
        <w:rPr>
          <w:sz w:val="20"/>
          <w:szCs w:val="20"/>
          <w:color w:val="auto"/>
        </w:rPr>
      </w:pPr>
    </w:p>
    <w:p>
      <w:pPr>
        <w:ind w:firstLine="630"/>
        <w:spacing w:after="0" w:line="258" w:lineRule="auto"/>
        <w:rPr>
          <w:sz w:val="20"/>
          <w:szCs w:val="20"/>
          <w:color w:val="auto"/>
        </w:rPr>
      </w:pPr>
      <w:r>
        <w:rPr>
          <w:rFonts w:ascii="Times New Roman" w:cs="Times New Roman" w:eastAsia="Times New Roman" w:hAnsi="Times New Roman"/>
          <w:sz w:val="20"/>
          <w:szCs w:val="20"/>
          <w:color w:val="auto"/>
        </w:rPr>
        <w:t>Additionally, the intent standard under the Anti-Kickback Statute was amended by the Patient Protection and Affordable Care Act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84" w:lineRule="exact"/>
        <w:rPr>
          <w:sz w:val="20"/>
          <w:szCs w:val="20"/>
          <w:color w:val="auto"/>
        </w:rPr>
      </w:pPr>
    </w:p>
    <w:p>
      <w:pPr>
        <w:ind w:right="380" w:firstLine="630"/>
        <w:spacing w:after="0" w:line="266" w:lineRule="auto"/>
        <w:rPr>
          <w:sz w:val="20"/>
          <w:szCs w:val="20"/>
          <w:color w:val="auto"/>
        </w:rPr>
      </w:pPr>
      <w:r>
        <w:rPr>
          <w:rFonts w:ascii="Times New Roman" w:cs="Times New Roman" w:eastAsia="Times New Roman" w:hAnsi="Times New Roman"/>
          <w:sz w:val="20"/>
          <w:szCs w:val="20"/>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75" w:lineRule="exact"/>
        <w:rPr>
          <w:sz w:val="20"/>
          <w:szCs w:val="20"/>
          <w:color w:val="auto"/>
        </w:rPr>
      </w:pPr>
    </w:p>
    <w:p>
      <w:pPr>
        <w:ind w:right="80" w:firstLine="630"/>
        <w:spacing w:after="0" w:line="309" w:lineRule="auto"/>
        <w:rPr>
          <w:sz w:val="20"/>
          <w:szCs w:val="20"/>
          <w:color w:val="auto"/>
        </w:rPr>
      </w:pPr>
      <w:r>
        <w:rPr>
          <w:rFonts w:ascii="Times New Roman" w:cs="Times New Roman" w:eastAsia="Times New Roman" w:hAnsi="Times New Roman"/>
          <w:sz w:val="19"/>
          <w:szCs w:val="19"/>
          <w:color w:val="auto"/>
        </w:rPr>
        <w:t>Federal false claims and false statement laws, including the federal False Claims Act, prohibit, among other things, any person or entity from knowingly presenting, or causing to be presented, a false or fraudulent claim for payment to, or approval</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240"/>
          </w:cols>
          <w:pgMar w:left="1000" w:top="793" w:right="1000" w:bottom="0" w:gutter="0" w:footer="0" w:header="0"/>
          <w:type w:val="continuous"/>
        </w:sectPr>
      </w:pPr>
    </w:p>
    <w:bookmarkStart w:id="19" w:name="page20"/>
    <w:bookmarkEnd w:id="19"/>
    <w:p>
      <w:pPr>
        <w:ind w:right="140"/>
        <w:spacing w:after="0" w:line="255" w:lineRule="auto"/>
        <w:rPr>
          <w:sz w:val="20"/>
          <w:szCs w:val="20"/>
          <w:color w:val="auto"/>
        </w:rPr>
      </w:pPr>
      <w:r>
        <w:rPr>
          <w:rFonts w:ascii="Times New Roman" w:cs="Times New Roman" w:eastAsia="Times New Roman" w:hAnsi="Times New Roman"/>
          <w:sz w:val="20"/>
          <w:szCs w:val="20"/>
          <w:color w:val="auto"/>
        </w:rPr>
        <w:t>by, the federal health care programs, including Medicare and Medicaid,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 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w:t>
      </w:r>
    </w:p>
    <w:p>
      <w:pPr>
        <w:spacing w:after="0" w:line="90" w:lineRule="exact"/>
        <w:rPr>
          <w:sz w:val="20"/>
          <w:szCs w:val="20"/>
          <w:color w:val="auto"/>
        </w:rPr>
      </w:pPr>
    </w:p>
    <w:p>
      <w:pPr>
        <w:ind w:right="60" w:firstLine="630"/>
        <w:spacing w:after="0" w:line="254" w:lineRule="auto"/>
        <w:rPr>
          <w:sz w:val="20"/>
          <w:szCs w:val="20"/>
          <w:color w:val="auto"/>
        </w:rPr>
      </w:pPr>
      <w:r>
        <w:rPr>
          <w:rFonts w:ascii="Times New Roman" w:cs="Times New Roman" w:eastAsia="Times New Roman" w:hAnsi="Times New Roman"/>
          <w:sz w:val="20"/>
          <w:szCs w:val="20"/>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 care benefit program, including private third-party payors, willfully obstructing a criminal investigation of a health care offense, and knowingly and willfully falsifying, concealing or covering up by trick, scheme or device, a material fact or making any materially false, fictitious or fraudulent statement in connection with the delivery of or payment for health care benefits, items or services. Like the Anti-Kickback Statute, the ACA amended the intent standard for certain health care fraud statutes under HIPAA such that a person or entity no longer needs to have actual knowledge of the statute or specific intent to violate it in order to have committed a violation.</w:t>
      </w:r>
    </w:p>
    <w:p>
      <w:pPr>
        <w:spacing w:after="0" w:line="89" w:lineRule="exact"/>
        <w:rPr>
          <w:sz w:val="20"/>
          <w:szCs w:val="20"/>
          <w:color w:val="auto"/>
        </w:rPr>
      </w:pPr>
    </w:p>
    <w:p>
      <w:pPr>
        <w:ind w:right="40" w:firstLine="630"/>
        <w:spacing w:after="0" w:line="266" w:lineRule="auto"/>
        <w:rPr>
          <w:sz w:val="20"/>
          <w:szCs w:val="20"/>
          <w:color w:val="auto"/>
        </w:rPr>
      </w:pPr>
      <w:r>
        <w:rPr>
          <w:rFonts w:ascii="Times New Roman" w:cs="Times New Roman" w:eastAsia="Times New Roman" w:hAnsi="Times New Roman"/>
          <w:sz w:val="20"/>
          <w:szCs w:val="20"/>
          <w:color w:val="auto"/>
        </w:rPr>
        <w:t>Also, many states have similar fraud and abuse statutes or regulations that apply to items and services reimbursed under Medicaid and other state programs, or, in several states, apply regardless of the payor. Additionally, to the extent that our product is sold in a foreign country, we may be subject to similar foreign laws.</w:t>
      </w:r>
    </w:p>
    <w:p>
      <w:pPr>
        <w:spacing w:after="0" w:line="75"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We may be subject to data privacy and security regulations by both the federal government and the states in which we conduct our business. HIPAA, as amended by the Health Information Technology for Economic and Clinical Health Act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and may not have the same effect, thus complicating compliance efforts.</w:t>
      </w:r>
    </w:p>
    <w:p>
      <w:pPr>
        <w:spacing w:after="0" w:line="93" w:lineRule="exact"/>
        <w:rPr>
          <w:sz w:val="20"/>
          <w:szCs w:val="20"/>
          <w:color w:val="auto"/>
        </w:rPr>
      </w:pPr>
    </w:p>
    <w:p>
      <w:pPr>
        <w:ind w:firstLine="630"/>
        <w:spacing w:after="0" w:line="254" w:lineRule="auto"/>
        <w:rPr>
          <w:sz w:val="20"/>
          <w:szCs w:val="20"/>
          <w:color w:val="auto"/>
        </w:rPr>
      </w:pPr>
      <w:r>
        <w:rPr>
          <w:rFonts w:ascii="Times New Roman" w:cs="Times New Roman" w:eastAsia="Times New Roman" w:hAnsi="Times New Roman"/>
          <w:sz w:val="20"/>
          <w:szCs w:val="20"/>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89" w:lineRule="exact"/>
        <w:rPr>
          <w:sz w:val="20"/>
          <w:szCs w:val="20"/>
          <w:color w:val="auto"/>
        </w:rPr>
      </w:pPr>
    </w:p>
    <w:p>
      <w:pPr>
        <w:ind w:right="40" w:firstLine="630"/>
        <w:spacing w:after="0" w:line="253" w:lineRule="auto"/>
        <w:rPr>
          <w:sz w:val="20"/>
          <w:szCs w:val="20"/>
          <w:color w:val="auto"/>
        </w:rPr>
      </w:pPr>
      <w:r>
        <w:rPr>
          <w:rFonts w:ascii="Times New Roman" w:cs="Times New Roman" w:eastAsia="Times New Roman" w:hAnsi="Times New Roman"/>
          <w:sz w:val="20"/>
          <w:szCs w:val="20"/>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 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93" w:lineRule="exact"/>
        <w:rPr>
          <w:sz w:val="20"/>
          <w:szCs w:val="20"/>
          <w:color w:val="auto"/>
        </w:rPr>
      </w:pPr>
    </w:p>
    <w:p>
      <w:pPr>
        <w:ind w:right="220" w:firstLine="630"/>
        <w:spacing w:after="0" w:line="275" w:lineRule="auto"/>
        <w:rPr>
          <w:sz w:val="20"/>
          <w:szCs w:val="20"/>
          <w:color w:val="auto"/>
        </w:rPr>
      </w:pPr>
      <w:r>
        <w:rPr>
          <w:rFonts w:ascii="Times New Roman" w:cs="Times New Roman" w:eastAsia="Times New Roman" w:hAnsi="Times New Roman"/>
          <w:sz w:val="19"/>
          <w:szCs w:val="19"/>
          <w:color w:val="auto"/>
        </w:rPr>
        <w:t>If our operations are found to be in violation of any of the federal and state health 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240"/>
          </w:cols>
          <w:pgMar w:left="1000" w:top="793" w:right="1000" w:bottom="0" w:gutter="0" w:footer="0" w:header="0"/>
          <w:type w:val="continuous"/>
        </w:sectPr>
      </w:pPr>
    </w:p>
    <w:bookmarkStart w:id="20" w:name="page21"/>
    <w:bookmarkEnd w:id="20"/>
    <w:p>
      <w:pPr>
        <w:ind w:right="480"/>
        <w:spacing w:after="0" w:line="281" w:lineRule="auto"/>
        <w:rPr>
          <w:sz w:val="20"/>
          <w:szCs w:val="20"/>
          <w:color w:val="auto"/>
        </w:rPr>
      </w:pPr>
      <w:r>
        <w:rPr>
          <w:rFonts w:ascii="Times New Roman" w:cs="Times New Roman" w:eastAsia="Times New Roman" w:hAnsi="Times New Roman"/>
          <w:sz w:val="20"/>
          <w:szCs w:val="20"/>
          <w:color w:val="auto"/>
        </w:rPr>
        <w:t>burdens, diminished profits and future earnings, and the curtailment or restructuring of our operations, any of which could adversely affect our ability to operate our business and our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Coverage, pricing and reimbursement</w:t>
      </w:r>
    </w:p>
    <w:p>
      <w:pPr>
        <w:spacing w:after="0" w:line="137" w:lineRule="exact"/>
        <w:rPr>
          <w:sz w:val="20"/>
          <w:szCs w:val="20"/>
          <w:color w:val="auto"/>
        </w:rPr>
      </w:pPr>
    </w:p>
    <w:p>
      <w:pPr>
        <w:ind w:firstLine="630"/>
        <w:spacing w:after="0" w:line="266" w:lineRule="auto"/>
        <w:rPr>
          <w:sz w:val="20"/>
          <w:szCs w:val="20"/>
          <w:color w:val="auto"/>
        </w:rPr>
      </w:pPr>
      <w:r>
        <w:rPr>
          <w:rFonts w:ascii="Times New Roman" w:cs="Times New Roman" w:eastAsia="Times New Roman" w:hAnsi="Times New Roman"/>
          <w:sz w:val="19"/>
          <w:szCs w:val="19"/>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 party payors provide coverage, and establish adequate reimbursement levels for such products. In the United States, third-party payors include federal and state health 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86" w:lineRule="exact"/>
        <w:rPr>
          <w:sz w:val="20"/>
          <w:szCs w:val="20"/>
          <w:color w:val="auto"/>
        </w:rPr>
      </w:pPr>
    </w:p>
    <w:p>
      <w:pPr>
        <w:ind w:right="40" w:firstLine="630"/>
        <w:spacing w:after="0" w:line="254" w:lineRule="auto"/>
        <w:rPr>
          <w:sz w:val="20"/>
          <w:szCs w:val="20"/>
          <w:color w:val="auto"/>
        </w:rPr>
      </w:pPr>
      <w:r>
        <w:rPr>
          <w:rFonts w:ascii="Times New Roman" w:cs="Times New Roman" w:eastAsia="Times New Roman" w:hAnsi="Times New Roman"/>
          <w:sz w:val="20"/>
          <w:szCs w:val="20"/>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89" w:lineRule="exact"/>
        <w:rPr>
          <w:sz w:val="20"/>
          <w:szCs w:val="20"/>
          <w:color w:val="auto"/>
        </w:rPr>
      </w:pPr>
    </w:p>
    <w:p>
      <w:pPr>
        <w:ind w:firstLine="630"/>
        <w:spacing w:after="0" w:line="256" w:lineRule="auto"/>
        <w:rPr>
          <w:sz w:val="20"/>
          <w:szCs w:val="20"/>
          <w:color w:val="auto"/>
        </w:rPr>
      </w:pPr>
      <w:r>
        <w:rPr>
          <w:rFonts w:ascii="Times New Roman" w:cs="Times New Roman" w:eastAsia="Times New Roman" w:hAnsi="Times New Roman"/>
          <w:sz w:val="20"/>
          <w:szCs w:val="20"/>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 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Healthcare reform</w:t>
      </w:r>
    </w:p>
    <w:p>
      <w:pPr>
        <w:spacing w:after="0" w:line="137" w:lineRule="exact"/>
        <w:rPr>
          <w:sz w:val="20"/>
          <w:szCs w:val="20"/>
          <w:color w:val="auto"/>
        </w:rPr>
      </w:pPr>
    </w:p>
    <w:p>
      <w:pPr>
        <w:ind w:right="100" w:firstLine="630"/>
        <w:spacing w:after="0" w:line="267" w:lineRule="auto"/>
        <w:rPr>
          <w:sz w:val="20"/>
          <w:szCs w:val="20"/>
          <w:color w:val="auto"/>
        </w:rPr>
      </w:pPr>
      <w:r>
        <w:rPr>
          <w:rFonts w:ascii="Times New Roman" w:cs="Times New Roman" w:eastAsia="Times New Roman" w:hAnsi="Times New Roman"/>
          <w:sz w:val="19"/>
          <w:szCs w:val="19"/>
          <w:color w:val="auto"/>
        </w:rPr>
        <w:t>Healthcare reforms that have been adopted, and that may be adopted in the future, could result in further reductions in coverage and levels of reimbursement for pharmaceutical products, increases in rebates payable under U.S. government rebate programs and additional downward pressure on pharmaceutical product prices. Recently, healthcare reform initiatives culminated in the enactment of the Inflation Reduction Act (“IRA”), in August 2022, which, among other things, allows the HHS to negotiate the selling price of certain drugs and biologics that CMS reimburses under Medicare Part B and Part D, although only high-expenditure single-source drugs that have been approved for at least 7 years (11 years for biologics) can be selected by CMS for negotiation, with the negotiated price taking effect two years after the selection year. The negotiated prices, which will first become effective in 2026, will be capped at a statutory ceiling price. Beginning in January 2023 for Medicare Part B and October 2022 for Medicare Part D, the IRA will also penalize drug manufacturers that increase prices of Medicare Part B and Part D drugs at a rate greater than the rate of inflation.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240"/>
          </w:cols>
          <w:pgMar w:left="1000" w:top="793" w:right="1000" w:bottom="0" w:gutter="0" w:footer="0" w:header="0"/>
          <w:type w:val="continuous"/>
        </w:sectPr>
      </w:pPr>
    </w:p>
    <w:bookmarkStart w:id="21" w:name="page22"/>
    <w:bookmarkEnd w:id="21"/>
    <w:p>
      <w:pPr>
        <w:ind w:right="100"/>
        <w:spacing w:after="0" w:line="281" w:lineRule="auto"/>
        <w:rPr>
          <w:sz w:val="20"/>
          <w:szCs w:val="20"/>
          <w:color w:val="auto"/>
        </w:rPr>
      </w:pPr>
      <w:r>
        <w:rPr>
          <w:rFonts w:ascii="Times New Roman" w:cs="Times New Roman" w:eastAsia="Times New Roman" w:hAnsi="Times New Roman"/>
          <w:sz w:val="20"/>
          <w:szCs w:val="20"/>
          <w:color w:val="auto"/>
        </w:rPr>
        <w:t>subsidies for individuals purchasing health insurance coverage in ACA marketplaces through plan year 2025. These provisions began taking effect progressively starting in 2023, although they may be subject to legal challenges.</w:t>
      </w:r>
    </w:p>
    <w:p>
      <w:pPr>
        <w:spacing w:after="0" w:line="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We expect that additional state and federal healthcare reform measures will be adopted in the future.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Foreign Corrupt Practices Act</w:t>
      </w:r>
    </w:p>
    <w:p>
      <w:pPr>
        <w:spacing w:after="0" w:line="137" w:lineRule="exact"/>
        <w:rPr>
          <w:sz w:val="20"/>
          <w:szCs w:val="20"/>
          <w:color w:val="auto"/>
        </w:rPr>
      </w:pPr>
    </w:p>
    <w:p>
      <w:pPr>
        <w:ind w:right="80" w:firstLine="630"/>
        <w:spacing w:after="0" w:line="255" w:lineRule="auto"/>
        <w:rPr>
          <w:sz w:val="20"/>
          <w:szCs w:val="20"/>
          <w:color w:val="auto"/>
        </w:rPr>
      </w:pPr>
      <w:r>
        <w:rPr>
          <w:rFonts w:ascii="Times New Roman" w:cs="Times New Roman" w:eastAsia="Times New Roman" w:hAnsi="Times New Roman"/>
          <w:sz w:val="20"/>
          <w:szCs w:val="20"/>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regulation</w:t>
      </w:r>
    </w:p>
    <w:p>
      <w:pPr>
        <w:spacing w:after="0" w:line="137" w:lineRule="exact"/>
        <w:rPr>
          <w:sz w:val="20"/>
          <w:szCs w:val="20"/>
          <w:color w:val="auto"/>
        </w:rPr>
      </w:pPr>
    </w:p>
    <w:p>
      <w:pPr>
        <w:ind w:firstLine="630"/>
        <w:spacing w:after="0" w:line="254" w:lineRule="auto"/>
        <w:rPr>
          <w:sz w:val="20"/>
          <w:szCs w:val="20"/>
          <w:color w:val="auto"/>
        </w:rPr>
      </w:pPr>
      <w:r>
        <w:rPr>
          <w:rFonts w:ascii="Times New Roman" w:cs="Times New Roman" w:eastAsia="Times New Roman" w:hAnsi="Times New Roman"/>
          <w:sz w:val="20"/>
          <w:szCs w:val="20"/>
          <w:color w:val="auto"/>
        </w:rPr>
        <w:t>In addition to the foregoing, we are also subject to numerous federal, state and local laws relating to such matters as safe working conditions, manufacturing practices, environmental protection, fire hazard control, and disposal of hazardous or potentially hazardous substances, including the Occupational Safety and Health Act, the Resource Conservancy and Recovery Act and the Toxic Substances Control Act.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Europe / rest of world government regulation</w:t>
      </w:r>
    </w:p>
    <w:p>
      <w:pPr>
        <w:spacing w:after="0" w:line="137" w:lineRule="exact"/>
        <w:rPr>
          <w:sz w:val="20"/>
          <w:szCs w:val="20"/>
          <w:color w:val="auto"/>
        </w:rPr>
      </w:pPr>
    </w:p>
    <w:p>
      <w:pPr>
        <w:ind w:right="20" w:firstLine="630"/>
        <w:spacing w:after="0" w:line="253" w:lineRule="auto"/>
        <w:rPr>
          <w:sz w:val="20"/>
          <w:szCs w:val="20"/>
          <w:color w:val="auto"/>
        </w:rPr>
      </w:pPr>
      <w:r>
        <w:rPr>
          <w:rFonts w:ascii="Times New Roman" w:cs="Times New Roman" w:eastAsia="Times New Roman" w:hAnsi="Times New Roman"/>
          <w:sz w:val="20"/>
          <w:szCs w:val="20"/>
          <w:color w:val="auto"/>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United Kingdom (“UK”) and countries in the EU, for example, a Clinical Trial Authorisation (“CTA”) must be submitted to each country’s national health authority and an independent ethics committee, much like the FDA and IRB, respectively. Once the CTA is approved in accordance with a country’s requirements, clinical trial development may proceed. Because biologically sourced raw materials are subject to unique contamination risks, their use may be restricted in some countries.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91" w:lineRule="exact"/>
        <w:rPr>
          <w:sz w:val="20"/>
          <w:szCs w:val="20"/>
          <w:color w:val="auto"/>
        </w:rPr>
      </w:pPr>
    </w:p>
    <w:p>
      <w:pPr>
        <w:ind w:right="20" w:firstLine="630"/>
        <w:spacing w:after="0" w:line="255" w:lineRule="auto"/>
        <w:rPr>
          <w:sz w:val="20"/>
          <w:szCs w:val="20"/>
          <w:color w:val="auto"/>
        </w:rPr>
      </w:pPr>
      <w:r>
        <w:rPr>
          <w:rFonts w:ascii="Times New Roman" w:cs="Times New Roman" w:eastAsia="Times New Roman" w:hAnsi="Times New Roman"/>
          <w:sz w:val="20"/>
          <w:szCs w:val="20"/>
          <w:color w:val="auto"/>
        </w:rPr>
        <w:t>To obtain regulatory approval of an investigational drug or biological product under EU and UK regulatory systems, we must submit a marketing authorization application. The application used to file the BLA in the United States is similar to that required in the EU and the UK, with the exception of, among other things, country-specific document requirements. For other countries outside of the EU and the UK,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90" w:lineRule="exact"/>
        <w:rPr>
          <w:sz w:val="20"/>
          <w:szCs w:val="20"/>
          <w:color w:val="auto"/>
        </w:rPr>
      </w:pPr>
    </w:p>
    <w:p>
      <w:pPr>
        <w:jc w:val="both"/>
        <w:ind w:right="140" w:firstLine="630"/>
        <w:spacing w:after="0" w:line="266" w:lineRule="auto"/>
        <w:rPr>
          <w:sz w:val="20"/>
          <w:szCs w:val="20"/>
          <w:color w:val="auto"/>
        </w:rPr>
      </w:pPr>
      <w:r>
        <w:rPr>
          <w:rFonts w:ascii="Times New Roman" w:cs="Times New Roman" w:eastAsia="Times New Roman" w:hAnsi="Times New Roman"/>
          <w:sz w:val="20"/>
          <w:szCs w:val="20"/>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Human Capital Resources</w:t>
      </w:r>
    </w:p>
    <w:p>
      <w:pPr>
        <w:spacing w:after="0" w:line="77" w:lineRule="exact"/>
        <w:rPr>
          <w:sz w:val="20"/>
          <w:szCs w:val="20"/>
          <w:color w:val="auto"/>
        </w:rPr>
      </w:pPr>
    </w:p>
    <w:p>
      <w:pPr>
        <w:ind w:right="120" w:firstLine="630"/>
        <w:spacing w:after="0" w:line="260" w:lineRule="auto"/>
        <w:rPr>
          <w:sz w:val="20"/>
          <w:szCs w:val="20"/>
          <w:color w:val="auto"/>
        </w:rPr>
      </w:pPr>
      <w:r>
        <w:rPr>
          <w:rFonts w:ascii="Times New Roman" w:cs="Times New Roman" w:eastAsia="Times New Roman" w:hAnsi="Times New Roman"/>
          <w:sz w:val="20"/>
          <w:szCs w:val="20"/>
          <w:color w:val="auto"/>
        </w:rPr>
        <w:t>As of December 31, 2023, we had 117 employees. Of these employees, 85 were primarily engaged in research and development activities and 29 held a doctorate degree such as an M.D., Ph.D., or PharmD. None of our employees are represented by a labor union or covered by collective bargaining agreements. We have never experienced a work stoppage and believe that we have good employee relations.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240"/>
          </w:cols>
          <w:pgMar w:left="1000" w:top="793" w:right="1000" w:bottom="0" w:gutter="0" w:footer="0" w:header="0"/>
          <w:type w:val="continuous"/>
        </w:sectPr>
      </w:pPr>
    </w:p>
    <w:bookmarkStart w:id="22" w:name="page23"/>
    <w:bookmarkEnd w:id="22"/>
    <w:p>
      <w:pPr>
        <w:ind w:right="40" w:firstLine="630"/>
        <w:spacing w:after="0" w:line="256" w:lineRule="auto"/>
        <w:rPr>
          <w:sz w:val="20"/>
          <w:szCs w:val="20"/>
          <w:color w:val="auto"/>
        </w:rPr>
      </w:pPr>
      <w:r>
        <w:rPr>
          <w:rFonts w:ascii="Times New Roman" w:cs="Times New Roman" w:eastAsia="Times New Roman" w:hAnsi="Times New Roman"/>
          <w:sz w:val="20"/>
          <w:szCs w:val="20"/>
          <w:color w:val="auto"/>
        </w:rPr>
        <w:t>We view our diverse employee population and our culture as key to our success. Our company culture prioritizes learning, supports growth and empowers us to reach new heights. We recruit employees with the skills and training relevant to succeed and thrive in their functional responsibilities. We assess the likelihood that a particular candidate will contribute to the Company’s overall goals, and beyond their specifically assigned tasks. Depending on the position, our recruitment reach can be local as well as national. We provide competitive compensation and benefits that are tailored specifically to the needs and requests of our employees.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137" w:lineRule="exact"/>
        <w:rPr>
          <w:sz w:val="20"/>
          <w:szCs w:val="20"/>
          <w:color w:val="auto"/>
        </w:rPr>
      </w:pPr>
    </w:p>
    <w:p>
      <w:pPr>
        <w:ind w:right="60" w:firstLine="630"/>
        <w:spacing w:after="0" w:line="260" w:lineRule="auto"/>
        <w:rPr>
          <w:sz w:val="20"/>
          <w:szCs w:val="20"/>
          <w:color w:val="auto"/>
        </w:rPr>
      </w:pPr>
      <w:r>
        <w:rPr>
          <w:rFonts w:ascii="Times New Roman" w:cs="Times New Roman" w:eastAsia="Times New Roman" w:hAnsi="Times New Roman"/>
          <w:sz w:val="20"/>
          <w:szCs w:val="20"/>
          <w:color w:val="auto"/>
        </w:rPr>
        <w:t>We were incorporated under the laws of the State of Delaware in November 2005. Our principal executive offices are located at 10770 Wateridge Circle, Suite 210, San Diego, California 92121, and our telephone number is (858) 362-6295. Our website address is www.anaptysbio.com. The information contained on, or that can be accessed through, our website is not part of, and is not incorporated by reference into, this report.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37" w:lineRule="exact"/>
        <w:rPr>
          <w:sz w:val="20"/>
          <w:szCs w:val="20"/>
          <w:color w:val="auto"/>
        </w:rPr>
      </w:pPr>
    </w:p>
    <w:p>
      <w:pPr>
        <w:ind w:right="240" w:firstLine="630"/>
        <w:spacing w:after="0" w:line="260" w:lineRule="auto"/>
        <w:rPr>
          <w:sz w:val="20"/>
          <w:szCs w:val="20"/>
          <w:color w:val="auto"/>
        </w:rPr>
      </w:pPr>
      <w:r>
        <w:rPr>
          <w:rFonts w:ascii="Times New Roman" w:cs="Times New Roman" w:eastAsia="Times New Roman" w:hAnsi="Times New Roman"/>
          <w:sz w:val="20"/>
          <w:szCs w:val="20"/>
          <w:color w:val="auto"/>
        </w:rPr>
        <w:t xml:space="preserve">We file Annual Reports on Form 10-K, Quarterly Reports on Form 10-Q, Current Reports on Form 8-K and other information with the Securities and Exchange Commission (“SEC”). Our filings with the SEC are available free of charge on the SEC’s website at </w:t>
      </w:r>
      <w:r>
        <w:rPr>
          <w:rFonts w:ascii="Times New Roman" w:cs="Times New Roman" w:eastAsia="Times New Roman" w:hAnsi="Times New Roman"/>
          <w:sz w:val="20"/>
          <w:szCs w:val="20"/>
          <w:b w:val="1"/>
          <w:bCs w:val="1"/>
          <w:i w:val="1"/>
          <w:iCs w:val="1"/>
          <w:color w:val="auto"/>
        </w:rPr>
        <w:t>www.sec.gov</w:t>
      </w:r>
      <w:r>
        <w:rPr>
          <w:rFonts w:ascii="Times New Roman" w:cs="Times New Roman" w:eastAsia="Times New Roman" w:hAnsi="Times New Roman"/>
          <w:sz w:val="20"/>
          <w:szCs w:val="20"/>
          <w:color w:val="auto"/>
        </w:rPr>
        <w:t xml:space="preserve"> and on our website under the “Investors” tab as soon as reasonably practicable after we electronically file such material with, or furnish it to, the SEC.</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33" w:lineRule="exact"/>
        <w:rPr>
          <w:sz w:val="20"/>
          <w:szCs w:val="20"/>
          <w:color w:val="auto"/>
        </w:rPr>
      </w:pPr>
    </w:p>
    <w:p>
      <w:pPr>
        <w:ind w:right="60" w:firstLine="63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u w:val="single" w:color="auto"/>
          <w:color w:val="auto"/>
        </w:rPr>
        <w:t>Summary of Risk Factors</w:t>
      </w:r>
    </w:p>
    <w:p>
      <w:pPr>
        <w:spacing w:after="0" w:line="137" w:lineRule="exact"/>
        <w:rPr>
          <w:sz w:val="20"/>
          <w:szCs w:val="20"/>
          <w:color w:val="auto"/>
        </w:rPr>
      </w:pPr>
    </w:p>
    <w:p>
      <w:pPr>
        <w:ind w:firstLine="630"/>
        <w:spacing w:after="0" w:line="266" w:lineRule="auto"/>
        <w:rPr>
          <w:sz w:val="20"/>
          <w:szCs w:val="20"/>
          <w:color w:val="auto"/>
        </w:rPr>
      </w:pPr>
      <w:r>
        <w:rPr>
          <w:rFonts w:ascii="Times New Roman" w:cs="Times New Roman" w:eastAsia="Times New Roman" w:hAnsi="Times New Roman"/>
          <w:sz w:val="20"/>
          <w:szCs w:val="20"/>
          <w:color w:val="auto"/>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spacing w:after="0" w:line="75" w:lineRule="exact"/>
        <w:rPr>
          <w:sz w:val="20"/>
          <w:szCs w:val="20"/>
          <w:color w:val="auto"/>
        </w:rPr>
      </w:pPr>
    </w:p>
    <w:p>
      <w:pPr>
        <w:ind w:left="980" w:right="180" w:hanging="450"/>
        <w:spacing w:after="0" w:line="258" w:lineRule="auto"/>
        <w:tabs>
          <w:tab w:leader="none" w:pos="9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83" w:lineRule="exact"/>
        <w:rPr>
          <w:rFonts w:ascii="Times New Roman" w:cs="Times New Roman" w:eastAsia="Times New Roman" w:hAnsi="Times New Roman"/>
          <w:sz w:val="20"/>
          <w:szCs w:val="20"/>
          <w:color w:val="auto"/>
        </w:rPr>
      </w:pPr>
    </w:p>
    <w:p>
      <w:pPr>
        <w:ind w:left="980" w:right="80" w:hanging="450"/>
        <w:spacing w:after="0" w:line="260" w:lineRule="auto"/>
        <w:tabs>
          <w:tab w:leader="none" w:pos="9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only limited data regarding the safety profile of our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83" w:lineRule="exact"/>
        <w:rPr>
          <w:rFonts w:ascii="Times New Roman" w:cs="Times New Roman" w:eastAsia="Times New Roman" w:hAnsi="Times New Roman"/>
          <w:sz w:val="20"/>
          <w:szCs w:val="20"/>
          <w:color w:val="auto"/>
        </w:rPr>
      </w:pPr>
    </w:p>
    <w:p>
      <w:pPr>
        <w:ind w:left="980" w:hanging="450"/>
        <w:spacing w:after="0" w:line="266" w:lineRule="auto"/>
        <w:tabs>
          <w:tab w:leader="none" w:pos="9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75" w:lineRule="exact"/>
        <w:rPr>
          <w:rFonts w:ascii="Times New Roman" w:cs="Times New Roman" w:eastAsia="Times New Roman" w:hAnsi="Times New Roman"/>
          <w:sz w:val="20"/>
          <w:szCs w:val="20"/>
          <w:color w:val="auto"/>
        </w:rPr>
      </w:pPr>
    </w:p>
    <w:p>
      <w:pPr>
        <w:ind w:left="980" w:right="540" w:hanging="450"/>
        <w:spacing w:after="0" w:line="281" w:lineRule="auto"/>
        <w:tabs>
          <w:tab w:leader="none" w:pos="9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 if our product candidates receive regulatory approval, they will be subject to significant post-marketing regulatory requirements.</w:t>
      </w:r>
    </w:p>
    <w:p>
      <w:pPr>
        <w:spacing w:after="0" w:line="61" w:lineRule="exact"/>
        <w:rPr>
          <w:rFonts w:ascii="Times New Roman" w:cs="Times New Roman" w:eastAsia="Times New Roman" w:hAnsi="Times New Roman"/>
          <w:sz w:val="20"/>
          <w:szCs w:val="20"/>
          <w:color w:val="auto"/>
        </w:rPr>
      </w:pPr>
    </w:p>
    <w:p>
      <w:pPr>
        <w:ind w:left="980" w:right="500" w:hanging="450"/>
        <w:spacing w:after="0" w:line="281" w:lineRule="auto"/>
        <w:tabs>
          <w:tab w:leader="none" w:pos="9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successful in our efforts to expand our pipeline of product candidates and develop marketable products.</w:t>
      </w:r>
    </w:p>
    <w:p>
      <w:pPr>
        <w:spacing w:after="0" w:line="61" w:lineRule="exact"/>
        <w:rPr>
          <w:rFonts w:ascii="Times New Roman" w:cs="Times New Roman" w:eastAsia="Times New Roman" w:hAnsi="Times New Roman"/>
          <w:sz w:val="20"/>
          <w:szCs w:val="20"/>
          <w:color w:val="auto"/>
        </w:rPr>
      </w:pPr>
    </w:p>
    <w:p>
      <w:pPr>
        <w:ind w:left="980" w:right="520" w:hanging="450"/>
        <w:spacing w:after="0" w:line="266" w:lineRule="auto"/>
        <w:tabs>
          <w:tab w:leader="none" w:pos="9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recently commenced clinical development of rosnilimab and ANB032, and have no history of commercializing biotechnology products, which may make it difficult to evaluate the prospects for our future viability.</w:t>
      </w:r>
    </w:p>
    <w:p>
      <w:pPr>
        <w:spacing w:after="0" w:line="75" w:lineRule="exact"/>
        <w:rPr>
          <w:rFonts w:ascii="Times New Roman" w:cs="Times New Roman" w:eastAsia="Times New Roman" w:hAnsi="Times New Roman"/>
          <w:sz w:val="20"/>
          <w:szCs w:val="20"/>
          <w:color w:val="auto"/>
        </w:rPr>
      </w:pPr>
    </w:p>
    <w:p>
      <w:pPr>
        <w:ind w:left="980" w:right="120" w:hanging="450"/>
        <w:spacing w:after="0" w:line="281" w:lineRule="auto"/>
        <w:tabs>
          <w:tab w:leader="none" w:pos="9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significant competition, and if our competitors develop and market products that are more effective, safer or less expensive than our product candidates, our commercial opportunities will be negatively impacted.</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240"/>
          </w:cols>
          <w:pgMar w:left="1000" w:top="793" w:right="1000" w:bottom="0" w:gutter="0" w:footer="0" w:header="0"/>
          <w:type w:val="continuous"/>
        </w:sectPr>
      </w:pPr>
    </w:p>
    <w:bookmarkStart w:id="23" w:name="page24"/>
    <w:bookmarkEnd w:id="23"/>
    <w:p>
      <w:pPr>
        <w:ind w:left="980" w:right="540" w:hanging="450"/>
        <w:spacing w:after="0" w:line="281" w:lineRule="auto"/>
        <w:tabs>
          <w:tab w:leader="none" w:pos="9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product candidates may not achieve adequate market acceptance among physicians, patients, health care payors and others in the medical community necessary for commercial success.</w:t>
      </w:r>
    </w:p>
    <w:p>
      <w:pPr>
        <w:spacing w:after="0" w:line="61" w:lineRule="exact"/>
        <w:rPr>
          <w:rFonts w:ascii="Times New Roman" w:cs="Times New Roman" w:eastAsia="Times New Roman" w:hAnsi="Times New Roman"/>
          <w:sz w:val="20"/>
          <w:szCs w:val="20"/>
          <w:color w:val="auto"/>
        </w:rPr>
      </w:pPr>
    </w:p>
    <w:p>
      <w:pPr>
        <w:ind w:left="980" w:right="60" w:hanging="450"/>
        <w:spacing w:after="0" w:line="266" w:lineRule="auto"/>
        <w:tabs>
          <w:tab w:leader="none" w:pos="9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5" w:lineRule="exact"/>
        <w:rPr>
          <w:rFonts w:ascii="Times New Roman" w:cs="Times New Roman" w:eastAsia="Times New Roman" w:hAnsi="Times New Roman"/>
          <w:sz w:val="20"/>
          <w:szCs w:val="20"/>
          <w:color w:val="auto"/>
        </w:rPr>
      </w:pPr>
    </w:p>
    <w:p>
      <w:pPr>
        <w:ind w:left="980" w:right="100" w:hanging="450"/>
        <w:spacing w:after="0" w:line="260" w:lineRule="auto"/>
        <w:tabs>
          <w:tab w:leader="none" w:pos="9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83" w:lineRule="exact"/>
        <w:rPr>
          <w:rFonts w:ascii="Times New Roman" w:cs="Times New Roman" w:eastAsia="Times New Roman" w:hAnsi="Times New Roman"/>
          <w:sz w:val="20"/>
          <w:szCs w:val="20"/>
          <w:color w:val="auto"/>
        </w:rPr>
      </w:pPr>
    </w:p>
    <w:p>
      <w:pPr>
        <w:ind w:left="980" w:hanging="450"/>
        <w:spacing w:after="0" w:line="266" w:lineRule="auto"/>
        <w:tabs>
          <w:tab w:leader="none" w:pos="9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economic or public health events may have a material impact on the U.S. and global economies and could have a material adverse impact on our employees, contractors and patients, which could adversely and materially impact our business, financial condition and results of operations.</w:t>
      </w:r>
    </w:p>
    <w:p>
      <w:pPr>
        <w:spacing w:after="0" w:line="75"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limited operating revenue and a history of operational losses and may not achieve or sustain profitability.</w:t>
      </w:r>
    </w:p>
    <w:p>
      <w:pPr>
        <w:spacing w:after="0" w:line="130" w:lineRule="exact"/>
        <w:rPr>
          <w:rFonts w:ascii="Times New Roman" w:cs="Times New Roman" w:eastAsia="Times New Roman" w:hAnsi="Times New Roman"/>
          <w:sz w:val="20"/>
          <w:szCs w:val="20"/>
          <w:color w:val="auto"/>
        </w:rPr>
      </w:pPr>
    </w:p>
    <w:p>
      <w:pPr>
        <w:ind w:left="980" w:right="120" w:hanging="450"/>
        <w:spacing w:after="0" w:line="281" w:lineRule="auto"/>
        <w:tabs>
          <w:tab w:leader="none" w:pos="9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no products approved for commercial sale, and to date we have not generated any revenue or profit from sales of our product candidates.</w:t>
      </w:r>
    </w:p>
    <w:p>
      <w:pPr>
        <w:spacing w:after="0" w:line="61" w:lineRule="exact"/>
        <w:rPr>
          <w:rFonts w:ascii="Times New Roman" w:cs="Times New Roman" w:eastAsia="Times New Roman" w:hAnsi="Times New Roman"/>
          <w:sz w:val="20"/>
          <w:szCs w:val="20"/>
          <w:color w:val="auto"/>
        </w:rPr>
      </w:pPr>
    </w:p>
    <w:p>
      <w:pPr>
        <w:ind w:left="980" w:right="100" w:hanging="450"/>
        <w:spacing w:after="0" w:line="266" w:lineRule="auto"/>
        <w:tabs>
          <w:tab w:leader="none" w:pos="9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75" w:lineRule="exact"/>
        <w:rPr>
          <w:rFonts w:ascii="Times New Roman" w:cs="Times New Roman" w:eastAsia="Times New Roman" w:hAnsi="Times New Roman"/>
          <w:sz w:val="20"/>
          <w:szCs w:val="20"/>
          <w:color w:val="auto"/>
        </w:rPr>
      </w:pPr>
    </w:p>
    <w:p>
      <w:pPr>
        <w:ind w:left="980" w:hanging="450"/>
        <w:spacing w:after="0" w:line="266" w:lineRule="auto"/>
        <w:tabs>
          <w:tab w:leader="none" w:pos="9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existing collaboration with GSK is important to our business, and future collaborations may also be important to us. If we are unable to maintain this collaboration, or if this collaboration is not successful, our business could be adversely affected.</w:t>
      </w:r>
    </w:p>
    <w:p>
      <w:pPr>
        <w:spacing w:after="0" w:line="75" w:lineRule="exact"/>
        <w:rPr>
          <w:rFonts w:ascii="Times New Roman" w:cs="Times New Roman" w:eastAsia="Times New Roman" w:hAnsi="Times New Roman"/>
          <w:sz w:val="20"/>
          <w:szCs w:val="20"/>
          <w:color w:val="auto"/>
        </w:rPr>
      </w:pPr>
    </w:p>
    <w:p>
      <w:pPr>
        <w:ind w:left="980" w:hanging="450"/>
        <w:spacing w:after="0" w:line="266" w:lineRule="auto"/>
        <w:tabs>
          <w:tab w:leader="none" w:pos="9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succeed in establishing and maintaining additional development and commercialization collaborations, including the development or out-licensing of our legacy product candidates, which could adversely affect our ability to develop and commercialize product candidates.</w:t>
      </w:r>
    </w:p>
    <w:p>
      <w:pPr>
        <w:spacing w:after="0" w:line="75" w:lineRule="exact"/>
        <w:rPr>
          <w:rFonts w:ascii="Times New Roman" w:cs="Times New Roman" w:eastAsia="Times New Roman" w:hAnsi="Times New Roman"/>
          <w:sz w:val="20"/>
          <w:szCs w:val="20"/>
          <w:color w:val="auto"/>
        </w:rPr>
      </w:pPr>
    </w:p>
    <w:p>
      <w:pPr>
        <w:ind w:left="980" w:right="180" w:hanging="450"/>
        <w:spacing w:after="0" w:line="281" w:lineRule="auto"/>
        <w:tabs>
          <w:tab w:leader="none" w:pos="9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obtain or protect intellectual property rights in the U.S. and throughout the world, we may not be able to compete effectively in our market.</w:t>
      </w:r>
    </w:p>
    <w:p>
      <w:pPr>
        <w:spacing w:after="0" w:line="61"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must attract and retain highly skilled employees in order to succeed.</w:t>
      </w:r>
    </w:p>
    <w:p>
      <w:pPr>
        <w:spacing w:after="0" w:line="130" w:lineRule="exact"/>
        <w:rPr>
          <w:rFonts w:ascii="Times New Roman" w:cs="Times New Roman" w:eastAsia="Times New Roman" w:hAnsi="Times New Roman"/>
          <w:sz w:val="20"/>
          <w:szCs w:val="20"/>
          <w:color w:val="auto"/>
        </w:rPr>
      </w:pPr>
    </w:p>
    <w:p>
      <w:pPr>
        <w:ind w:left="980" w:right="500" w:hanging="450"/>
        <w:spacing w:after="0" w:line="281" w:lineRule="auto"/>
        <w:tabs>
          <w:tab w:leader="none" w:pos="9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price of our stock has been and may continue to be volatile, and you could lose all or part of your investment.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Discovery and Development of Our Product Candidates</w:t>
      </w:r>
    </w:p>
    <w:p>
      <w:pPr>
        <w:spacing w:after="0" w:line="13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b w:val="1"/>
          <w:bCs w:val="1"/>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83" w:lineRule="exact"/>
        <w:rPr>
          <w:sz w:val="20"/>
          <w:szCs w:val="20"/>
          <w:color w:val="auto"/>
        </w:rPr>
      </w:pPr>
    </w:p>
    <w:p>
      <w:pPr>
        <w:ind w:right="100" w:firstLine="630"/>
        <w:spacing w:after="0" w:line="260" w:lineRule="auto"/>
        <w:rPr>
          <w:sz w:val="20"/>
          <w:szCs w:val="20"/>
          <w:color w:val="auto"/>
        </w:rPr>
      </w:pPr>
      <w:r>
        <w:rPr>
          <w:rFonts w:ascii="Times New Roman" w:cs="Times New Roman" w:eastAsia="Times New Roman" w:hAnsi="Times New Roman"/>
          <w:sz w:val="20"/>
          <w:szCs w:val="20"/>
          <w:color w:val="auto"/>
        </w:rPr>
        <w:t>We are developing therapeutic antibodies, including our wholly-owned product candidates, as well as other programs that are being developed by our collaborators. However, all of our wholly-owned and most of partnered product candidates are in various stages of development, and, for a wide variety of reasons discussed below, may fail in development or suffer delays that adversely affect their commercial viability.</w:t>
      </w:r>
    </w:p>
    <w:p>
      <w:pPr>
        <w:spacing w:after="0" w:line="83" w:lineRule="exact"/>
        <w:rPr>
          <w:sz w:val="20"/>
          <w:szCs w:val="20"/>
          <w:color w:val="auto"/>
        </w:rPr>
      </w:pPr>
    </w:p>
    <w:p>
      <w:pPr>
        <w:jc w:val="both"/>
        <w:ind w:right="140" w:firstLine="630"/>
        <w:spacing w:after="0" w:line="260" w:lineRule="auto"/>
        <w:rPr>
          <w:sz w:val="20"/>
          <w:szCs w:val="20"/>
          <w:color w:val="auto"/>
        </w:rPr>
      </w:pPr>
      <w:r>
        <w:rPr>
          <w:rFonts w:ascii="Times New Roman" w:cs="Times New Roman" w:eastAsia="Times New Roman" w:hAnsi="Times New Roman"/>
          <w:sz w:val="20"/>
          <w:szCs w:val="20"/>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w:t>
      </w:r>
    </w:p>
    <w:p>
      <w:pPr>
        <w:spacing w:after="0" w:line="83" w:lineRule="exact"/>
        <w:rPr>
          <w:sz w:val="20"/>
          <w:szCs w:val="20"/>
          <w:color w:val="auto"/>
        </w:rPr>
      </w:pPr>
    </w:p>
    <w:p>
      <w:pPr>
        <w:ind w:right="60" w:firstLine="630"/>
        <w:spacing w:after="0" w:line="255" w:lineRule="auto"/>
        <w:rPr>
          <w:sz w:val="20"/>
          <w:szCs w:val="20"/>
          <w:color w:val="auto"/>
        </w:rPr>
      </w:pPr>
      <w:r>
        <w:rPr>
          <w:rFonts w:ascii="Times New Roman" w:cs="Times New Roman" w:eastAsia="Times New Roman" w:hAnsi="Times New Roman"/>
          <w:sz w:val="20"/>
          <w:szCs w:val="20"/>
          <w:color w:val="auto"/>
        </w:rPr>
        <w:t>Furthermore, we may conduct clinical trials of a product candidate in multiple indications based on assumptions about the product candidate’s mechanism of action. However, it is possible that our assumptions regarding the effectiveness of a product candidate’s mechanism of action may be incorrect and that the product candidate may be ineffective in certain diseases or disorders. If this were the case, then the results from any clinical trials of a product candidate that we conduct are less likely to be positive. For example, we believed imsidolimab’s mechanism of action, the inhibition of IL-36R, provided the potential for imsidolimab to be effective for treatment of a range of dermatological inflammatory diseases. However, top-line data from clinical trials of imsidolimab in indications other than GPP did not demonstrate efficacy.</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220"/>
          </w:cols>
          <w:pgMar w:left="1000" w:top="793" w:right="1020" w:bottom="0" w:gutter="0" w:footer="0" w:header="0"/>
          <w:type w:val="continuous"/>
        </w:sectPr>
      </w:pPr>
    </w:p>
    <w:bookmarkStart w:id="24" w:name="page25"/>
    <w:bookmarkEnd w:id="24"/>
    <w:p>
      <w:pPr>
        <w:ind w:firstLine="680"/>
        <w:spacing w:after="0" w:line="286" w:lineRule="auto"/>
        <w:rPr>
          <w:sz w:val="20"/>
          <w:szCs w:val="20"/>
          <w:color w:val="auto"/>
        </w:rPr>
      </w:pPr>
      <w:r>
        <w:rPr>
          <w:rFonts w:ascii="Times New Roman" w:cs="Times New Roman" w:eastAsia="Times New Roman" w:hAnsi="Times New Roman"/>
          <w:sz w:val="19"/>
          <w:szCs w:val="19"/>
          <w:color w:val="auto"/>
        </w:rPr>
        <w:t>If our other ongoing or future clinical trials of any of our product candidates, including rosnilimab, ANB032, imsidolimab, ANB033 or ANB101, are unsuccessful, whether for one of the reasons mentioned above or otherwise, our product candidates may be delayed in development or fail entirely, which would have a material adverse impact on our business.</w:t>
      </w:r>
    </w:p>
    <w:p>
      <w:pPr>
        <w:spacing w:after="0" w:line="59" w:lineRule="exact"/>
        <w:rPr>
          <w:sz w:val="20"/>
          <w:szCs w:val="20"/>
          <w:color w:val="auto"/>
        </w:rPr>
      </w:pPr>
    </w:p>
    <w:p>
      <w:pPr>
        <w:ind w:right="420" w:firstLine="630"/>
        <w:spacing w:after="0" w:line="281" w:lineRule="auto"/>
        <w:rPr>
          <w:sz w:val="20"/>
          <w:szCs w:val="20"/>
          <w:color w:val="auto"/>
        </w:rPr>
      </w:pPr>
      <w:r>
        <w:rPr>
          <w:rFonts w:ascii="Times New Roman" w:cs="Times New Roman" w:eastAsia="Times New Roman" w:hAnsi="Times New Roman"/>
          <w:sz w:val="20"/>
          <w:szCs w:val="20"/>
          <w:color w:val="auto"/>
        </w:rPr>
        <w:t>The success of our current product candidates, and any other product candidates we may develop in the future, will depend on many factors, including the following:</w:t>
      </w:r>
    </w:p>
    <w:p>
      <w:pPr>
        <w:spacing w:after="0" w:line="61" w:lineRule="exact"/>
        <w:rPr>
          <w:sz w:val="20"/>
          <w:szCs w:val="20"/>
          <w:color w:val="auto"/>
        </w:rPr>
      </w:pPr>
    </w:p>
    <w:p>
      <w:pPr>
        <w:ind w:left="980" w:hanging="450"/>
        <w:spacing w:after="0"/>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regulatory permission to initiate clinical trials;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 enrollment of patients in, and the completion of, our planned clinical trials;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receiving marketing approvals from applicable regulatory authorities;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commercial manufacturing capabilities and/or making arrangements with third-party manufacturers;</w:t>
      </w:r>
    </w:p>
    <w:p>
      <w:pPr>
        <w:spacing w:after="0" w:line="130" w:lineRule="exact"/>
        <w:rPr>
          <w:rFonts w:ascii="Times New Roman" w:cs="Times New Roman" w:eastAsia="Times New Roman" w:hAnsi="Times New Roman"/>
          <w:sz w:val="20"/>
          <w:szCs w:val="20"/>
          <w:color w:val="auto"/>
        </w:rPr>
      </w:pPr>
    </w:p>
    <w:p>
      <w:pPr>
        <w:ind w:left="980" w:right="140" w:hanging="450"/>
        <w:spacing w:after="0" w:line="281" w:lineRule="auto"/>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and maintaining patent and trade secret protection and non-patent exclusivity for our product candidates and their components;</w:t>
      </w:r>
    </w:p>
    <w:p>
      <w:pPr>
        <w:spacing w:after="0" w:line="61"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enforcing and defending intellectual property rights and claims;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achieving desirable therapeutic properties for our product candidates’ intended indications;</w:t>
      </w:r>
    </w:p>
    <w:p>
      <w:pPr>
        <w:spacing w:after="0" w:line="130" w:lineRule="exact"/>
        <w:rPr>
          <w:rFonts w:ascii="Times New Roman" w:cs="Times New Roman" w:eastAsia="Times New Roman" w:hAnsi="Times New Roman"/>
          <w:sz w:val="20"/>
          <w:szCs w:val="20"/>
          <w:color w:val="auto"/>
        </w:rPr>
      </w:pPr>
    </w:p>
    <w:p>
      <w:pPr>
        <w:ind w:left="980" w:right="360" w:hanging="450"/>
        <w:spacing w:after="0" w:line="281" w:lineRule="auto"/>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launching commercial sales of our product candidates, if and when approved, whether alone or in collaboration with third parties;</w:t>
      </w:r>
    </w:p>
    <w:p>
      <w:pPr>
        <w:spacing w:after="0" w:line="61" w:lineRule="exact"/>
        <w:rPr>
          <w:rFonts w:ascii="Times New Roman" w:cs="Times New Roman" w:eastAsia="Times New Roman" w:hAnsi="Times New Roman"/>
          <w:sz w:val="20"/>
          <w:szCs w:val="20"/>
          <w:color w:val="auto"/>
        </w:rPr>
      </w:pPr>
    </w:p>
    <w:p>
      <w:pPr>
        <w:ind w:left="980" w:right="260" w:hanging="450"/>
        <w:spacing w:after="0" w:line="281" w:lineRule="auto"/>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acceptance of our product candidates, if and when approved, by patients, the medical community and third-party payors;</w:t>
      </w:r>
    </w:p>
    <w:p>
      <w:pPr>
        <w:spacing w:after="0" w:line="61"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effectively competing with other therapies; and</w:t>
      </w:r>
    </w:p>
    <w:p>
      <w:pPr>
        <w:spacing w:after="0" w:line="130" w:lineRule="exact"/>
        <w:rPr>
          <w:rFonts w:ascii="Times New Roman" w:cs="Times New Roman" w:eastAsia="Times New Roman" w:hAnsi="Times New Roman"/>
          <w:sz w:val="20"/>
          <w:szCs w:val="20"/>
          <w:color w:val="auto"/>
        </w:rPr>
      </w:pPr>
    </w:p>
    <w:p>
      <w:pPr>
        <w:ind w:left="980" w:right="180" w:hanging="450"/>
        <w:spacing w:after="0" w:line="281" w:lineRule="auto"/>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an acceptable safety profile of our product candidates through clinical trials and following regulatory approval.</w:t>
      </w:r>
    </w:p>
    <w:p>
      <w:pPr>
        <w:spacing w:after="0" w:line="61" w:lineRule="exact"/>
        <w:rPr>
          <w:sz w:val="20"/>
          <w:szCs w:val="20"/>
          <w:color w:val="auto"/>
        </w:rPr>
      </w:pPr>
    </w:p>
    <w:p>
      <w:pPr>
        <w:ind w:right="80" w:firstLine="630"/>
        <w:spacing w:after="0" w:line="281" w:lineRule="auto"/>
        <w:rPr>
          <w:sz w:val="20"/>
          <w:szCs w:val="20"/>
          <w:color w:val="auto"/>
        </w:rPr>
      </w:pPr>
      <w:r>
        <w:rPr>
          <w:rFonts w:ascii="Times New Roman" w:cs="Times New Roman" w:eastAsia="Times New Roman" w:hAnsi="Times New Roman"/>
          <w:sz w:val="20"/>
          <w:szCs w:val="20"/>
          <w:color w:val="auto"/>
        </w:rPr>
        <w:t>If we do not achieve one or more of these factors in a timely manner or at all, we could experience significant delays or an inability to successfully commercialize our product candidates, which would harm our business.</w:t>
      </w:r>
    </w:p>
    <w:p>
      <w:pPr>
        <w:spacing w:after="0" w:line="61" w:lineRule="exact"/>
        <w:rPr>
          <w:sz w:val="20"/>
          <w:szCs w:val="20"/>
          <w:color w:val="auto"/>
        </w:rPr>
      </w:pPr>
    </w:p>
    <w:p>
      <w:pPr>
        <w:ind w:firstLine="630"/>
        <w:spacing w:after="0" w:line="270" w:lineRule="auto"/>
        <w:rPr>
          <w:sz w:val="20"/>
          <w:szCs w:val="20"/>
          <w:color w:val="auto"/>
        </w:rPr>
      </w:pPr>
      <w:r>
        <w:rPr>
          <w:rFonts w:ascii="Times New Roman" w:cs="Times New Roman" w:eastAsia="Times New Roman" w:hAnsi="Times New Roman"/>
          <w:sz w:val="19"/>
          <w:szCs w:val="19"/>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w:t>
      </w:r>
    </w:p>
    <w:p>
      <w:pPr>
        <w:spacing w:after="0" w:line="187"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20"/>
          <w:szCs w:val="20"/>
          <w:b w:val="1"/>
          <w:bCs w:val="1"/>
          <w:color w:val="auto"/>
        </w:rPr>
        <w:t>We have only limited data regarding the safety profile of our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83" w:lineRule="exact"/>
        <w:rPr>
          <w:sz w:val="20"/>
          <w:szCs w:val="20"/>
          <w:color w:val="auto"/>
        </w:rPr>
      </w:pPr>
    </w:p>
    <w:p>
      <w:pPr>
        <w:ind w:firstLine="630"/>
        <w:spacing w:after="0" w:line="256" w:lineRule="auto"/>
        <w:rPr>
          <w:sz w:val="20"/>
          <w:szCs w:val="20"/>
          <w:color w:val="auto"/>
        </w:rPr>
      </w:pPr>
      <w:r>
        <w:rPr>
          <w:rFonts w:ascii="Times New Roman" w:cs="Times New Roman" w:eastAsia="Times New Roman" w:hAnsi="Times New Roman"/>
          <w:sz w:val="20"/>
          <w:szCs w:val="20"/>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88" w:lineRule="exact"/>
        <w:rPr>
          <w:sz w:val="20"/>
          <w:szCs w:val="20"/>
          <w:color w:val="auto"/>
        </w:rPr>
      </w:pPr>
    </w:p>
    <w:p>
      <w:pPr>
        <w:ind w:right="40" w:firstLine="630"/>
        <w:spacing w:after="0" w:line="268" w:lineRule="auto"/>
        <w:rPr>
          <w:sz w:val="20"/>
          <w:szCs w:val="20"/>
          <w:color w:val="auto"/>
        </w:rPr>
      </w:pPr>
      <w:r>
        <w:rPr>
          <w:rFonts w:ascii="Times New Roman" w:cs="Times New Roman" w:eastAsia="Times New Roman" w:hAnsi="Times New Roman"/>
          <w:sz w:val="19"/>
          <w:szCs w:val="19"/>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Phase 2 and Phase 3 clinical trials with rosnilimab, ANB032 and imsidolimab are ongoing.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ectPr>
          <w:pgSz w:w="12240" w:h="15840" w:orient="portrait"/>
          <w:cols w:equalWidth="0" w:num="1">
            <w:col w:w="10240"/>
          </w:cols>
          <w:pgMar w:left="1000" w:top="793" w:right="1000" w:bottom="0" w:gutter="0" w:footer="0" w:header="0"/>
        </w:sect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240"/>
          </w:cols>
          <w:pgMar w:left="1000" w:top="793" w:right="1000" w:bottom="0" w:gutter="0" w:footer="0" w:header="0"/>
          <w:type w:val="continuous"/>
        </w:sectPr>
      </w:pPr>
    </w:p>
    <w:bookmarkStart w:id="25" w:name="page26"/>
    <w:bookmarkEnd w:id="25"/>
    <w:p>
      <w:pPr>
        <w:ind w:right="180" w:firstLine="630"/>
        <w:spacing w:after="0" w:line="253" w:lineRule="auto"/>
        <w:rPr>
          <w:sz w:val="20"/>
          <w:szCs w:val="20"/>
          <w:color w:val="auto"/>
        </w:rPr>
      </w:pPr>
      <w:r>
        <w:rPr>
          <w:rFonts w:ascii="Times New Roman" w:cs="Times New Roman" w:eastAsia="Times New Roman" w:hAnsi="Times New Roman"/>
          <w:sz w:val="20"/>
          <w:szCs w:val="20"/>
          <w:color w:val="auto"/>
        </w:rPr>
        <w:t>Some patients in our clinical trials have experienced adverse events, including SAEs. Subjects in our ongoing and planned clinical trials may in the future suffer significant adverse events or other side effects not observed in our preclinical studies or in our Phase 1, Phase 2 or Phase 3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 efficacy to the satisfaction of regulatory authorities or do not otherwise produce positive results, we or our collaborators may incur additional costs or experience delays in completing, or ultimately be unable to complete, the development and commercialization of our product candidates.</w:t>
      </w:r>
    </w:p>
    <w:p>
      <w:pPr>
        <w:spacing w:after="0" w:line="88"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96" w:lineRule="exact"/>
        <w:rPr>
          <w:sz w:val="20"/>
          <w:szCs w:val="20"/>
          <w:color w:val="auto"/>
        </w:rPr>
      </w:pPr>
    </w:p>
    <w:p>
      <w:pPr>
        <w:jc w:val="both"/>
        <w:ind w:right="80" w:firstLine="630"/>
        <w:spacing w:after="0" w:line="258" w:lineRule="auto"/>
        <w:rPr>
          <w:sz w:val="20"/>
          <w:szCs w:val="20"/>
          <w:color w:val="auto"/>
        </w:rPr>
      </w:pPr>
      <w:r>
        <w:rPr>
          <w:rFonts w:ascii="Times New Roman" w:cs="Times New Roman" w:eastAsia="Times New Roman" w:hAnsi="Times New Roman"/>
          <w:sz w:val="20"/>
          <w:szCs w:val="20"/>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testing.</w:t>
      </w:r>
    </w:p>
    <w:p>
      <w:pPr>
        <w:spacing w:after="0" w:line="19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20"/>
          <w:szCs w:val="20"/>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77" w:lineRule="exact"/>
        <w:rPr>
          <w:sz w:val="20"/>
          <w:szCs w:val="20"/>
          <w:color w:val="auto"/>
        </w:rPr>
      </w:pPr>
    </w:p>
    <w:p>
      <w:pPr>
        <w:ind w:right="40" w:firstLine="630"/>
        <w:spacing w:after="0" w:line="253" w:lineRule="auto"/>
        <w:rPr>
          <w:sz w:val="20"/>
          <w:szCs w:val="20"/>
          <w:color w:val="auto"/>
        </w:rPr>
      </w:pPr>
      <w:r>
        <w:rPr>
          <w:rFonts w:ascii="Times New Roman" w:cs="Times New Roman" w:eastAsia="Times New Roman" w:hAnsi="Times New Roman"/>
          <w:sz w:val="20"/>
          <w:szCs w:val="20"/>
          <w:color w:val="auto"/>
        </w:rPr>
        <w:t>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88"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Even if we or our collaborators initiate and complete clinical trials for our product candidates, these product candidates will not be permitted to be marketed in the United States until approval of a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or the designs of any of our later-stage clinical studies. We thus may not have the full benefit of the FDA’s or foreign regulatory authorities’ current thinking on clinical trial designs or product development for our target indications. For example, although we believe our Phase 3 trials for imsidolimab for GPP, GEMINI-1 and GEMINI-2, with GEMINI-1 having demonstrated evidence of efficacy and safety in GPP patients, will be sufficient to obtain BLA approval, the FDA may determine that we will need additional clinical trials in order to obtain approval of a BLA.</w:t>
      </w:r>
    </w:p>
    <w:p>
      <w:pPr>
        <w:sectPr>
          <w:pgSz w:w="12240" w:h="15840" w:orient="portrait"/>
          <w:cols w:equalWidth="0" w:num="1">
            <w:col w:w="10240"/>
          </w:cols>
          <w:pgMar w:left="1000" w:top="793" w:right="1000" w:bottom="0" w:gutter="0" w:footer="0" w:header="0"/>
        </w:sect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240"/>
          </w:cols>
          <w:pgMar w:left="1000" w:top="793" w:right="1000" w:bottom="0" w:gutter="0" w:footer="0" w:header="0"/>
          <w:type w:val="continuous"/>
        </w:sectPr>
      </w:pPr>
    </w:p>
    <w:bookmarkStart w:id="26" w:name="page27"/>
    <w:bookmarkEnd w:id="26"/>
    <w:p>
      <w:pPr>
        <w:ind w:right="20" w:firstLine="630"/>
        <w:spacing w:after="0" w:line="260" w:lineRule="auto"/>
        <w:rPr>
          <w:sz w:val="20"/>
          <w:szCs w:val="20"/>
          <w:color w:val="auto"/>
        </w:rPr>
      </w:pPr>
      <w:r>
        <w:rPr>
          <w:rFonts w:ascii="Times New Roman" w:cs="Times New Roman" w:eastAsia="Times New Roman" w:hAnsi="Times New Roman"/>
          <w:sz w:val="20"/>
          <w:szCs w:val="20"/>
          <w:color w:val="auto"/>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spacing w:after="0" w:line="83" w:lineRule="exact"/>
        <w:rPr>
          <w:sz w:val="20"/>
          <w:szCs w:val="20"/>
          <w:color w:val="auto"/>
        </w:rPr>
      </w:pPr>
    </w:p>
    <w:p>
      <w:pPr>
        <w:ind w:left="980" w:right="200" w:hanging="450"/>
        <w:spacing w:after="0" w:line="281" w:lineRule="auto"/>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imposition of a clinical hold for safety reasons or following an inspection of clinical trial operations or site by the FDA or other regulatory authorities;</w:t>
      </w:r>
    </w:p>
    <w:p>
      <w:pPr>
        <w:spacing w:after="0" w:line="61"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manufacturing challenges;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insufficient supply or quality of product candidates or other materials necessary to conduct clinical trials;</w:t>
      </w:r>
    </w:p>
    <w:p>
      <w:pPr>
        <w:spacing w:after="0" w:line="130" w:lineRule="exact"/>
        <w:rPr>
          <w:rFonts w:ascii="Times New Roman" w:cs="Times New Roman" w:eastAsia="Times New Roman" w:hAnsi="Times New Roman"/>
          <w:sz w:val="20"/>
          <w:szCs w:val="20"/>
          <w:color w:val="auto"/>
        </w:rPr>
      </w:pPr>
    </w:p>
    <w:p>
      <w:pPr>
        <w:jc w:val="both"/>
        <w:ind w:left="980" w:right="100" w:hanging="450"/>
        <w:spacing w:after="0" w:line="266" w:lineRule="auto"/>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reaching or failure to reach agreement on acceptable clinical trial contracts or clinical trial protocols with prospective trial sites and contract research organizations (“CROs”) or failure by such CROs or trials sites to carry out the clinical trial in accordance with our agreed-upon terms;</w:t>
      </w:r>
    </w:p>
    <w:p>
      <w:pPr>
        <w:spacing w:after="0" w:line="75"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non-clinical or clinical sites becoming unavailable due to political, economic, or public health events;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sites electing to terminate their participation in one of our clinical trials;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or unwillingness of patients or medical investigators to follow clinical trial protocols;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required clinical trial administrative actions;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slower than anticipated patient enrollment;</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changing standards of care;</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safety concerns;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availability or prevalence of use of a comparative drug or required prior therapy; or</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outcomes or financial constraints.</w:t>
      </w:r>
    </w:p>
    <w:p>
      <w:pPr>
        <w:spacing w:after="0" w:line="130" w:lineRule="exact"/>
        <w:rPr>
          <w:sz w:val="20"/>
          <w:szCs w:val="20"/>
          <w:color w:val="auto"/>
        </w:rPr>
      </w:pPr>
    </w:p>
    <w:p>
      <w:pPr>
        <w:ind w:right="60" w:firstLine="630"/>
        <w:spacing w:after="0" w:line="254" w:lineRule="auto"/>
        <w:rPr>
          <w:sz w:val="20"/>
          <w:szCs w:val="20"/>
          <w:color w:val="auto"/>
        </w:rPr>
      </w:pPr>
      <w:r>
        <w:rPr>
          <w:rFonts w:ascii="Times New Roman" w:cs="Times New Roman" w:eastAsia="Times New Roman" w:hAnsi="Times New Roman"/>
          <w:sz w:val="20"/>
          <w:szCs w:val="20"/>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89" w:lineRule="exact"/>
        <w:rPr>
          <w:sz w:val="20"/>
          <w:szCs w:val="20"/>
          <w:color w:val="auto"/>
        </w:rPr>
      </w:pPr>
    </w:p>
    <w:p>
      <w:pPr>
        <w:ind w:right="540" w:firstLine="495"/>
        <w:spacing w:after="0" w:line="281" w:lineRule="auto"/>
        <w:rPr>
          <w:sz w:val="20"/>
          <w:szCs w:val="20"/>
          <w:color w:val="auto"/>
        </w:rPr>
      </w:pPr>
      <w:r>
        <w:rPr>
          <w:rFonts w:ascii="Times New Roman" w:cs="Times New Roman" w:eastAsia="Times New Roman" w:hAnsi="Times New Roman"/>
          <w:sz w:val="20"/>
          <w:szCs w:val="20"/>
          <w:color w:val="auto"/>
        </w:rPr>
        <w:t>If we or our collaborators experience any of the issues described above, or other similar or related issues, we or our collaborators may:</w:t>
      </w:r>
    </w:p>
    <w:p>
      <w:pPr>
        <w:spacing w:after="0" w:line="61" w:lineRule="exact"/>
        <w:rPr>
          <w:sz w:val="20"/>
          <w:szCs w:val="20"/>
          <w:color w:val="auto"/>
        </w:rPr>
      </w:pPr>
    </w:p>
    <w:p>
      <w:pPr>
        <w:ind w:left="980" w:hanging="450"/>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delayed in obtaining marketing approval for our product candidates;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obtain marketing approval at all;</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marketing approval in some countries and not in others;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approval for indications or patient populations that are not as broad as intended or desired;</w:t>
      </w:r>
    </w:p>
    <w:p>
      <w:pPr>
        <w:spacing w:after="0" w:line="130" w:lineRule="exact"/>
        <w:rPr>
          <w:rFonts w:ascii="Times New Roman" w:cs="Times New Roman" w:eastAsia="Times New Roman" w:hAnsi="Times New Roman"/>
          <w:sz w:val="20"/>
          <w:szCs w:val="20"/>
          <w:color w:val="auto"/>
        </w:rPr>
      </w:pPr>
    </w:p>
    <w:p>
      <w:pPr>
        <w:ind w:left="980" w:right="140" w:hanging="450"/>
        <w:spacing w:after="0" w:line="281" w:lineRule="auto"/>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approval with labeling that includes significant use or distribution restrictions or safety warnings, including boxed warnings;</w:t>
      </w:r>
    </w:p>
    <w:p>
      <w:pPr>
        <w:spacing w:after="0" w:line="61"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subject to additional post-marketing testing requirements; or</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the product removed from the market after obtaining marketing approval.</w:t>
      </w:r>
    </w:p>
    <w:p>
      <w:pPr>
        <w:spacing w:after="0" w:line="2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0"/>
          <w:szCs w:val="20"/>
          <w:b w:val="1"/>
          <w:bCs w:val="1"/>
          <w:color w:val="auto"/>
        </w:rPr>
        <w:t>Even if our product candidates receive regulatory approval, they will be subject to significant post-marketing regulatory requirements.</w:t>
      </w:r>
    </w:p>
    <w:p>
      <w:pPr>
        <w:spacing w:after="0" w:line="59" w:lineRule="exact"/>
        <w:rPr>
          <w:sz w:val="20"/>
          <w:szCs w:val="20"/>
          <w:color w:val="auto"/>
        </w:rPr>
      </w:pPr>
    </w:p>
    <w:p>
      <w:pPr>
        <w:ind w:right="80" w:firstLine="630"/>
        <w:spacing w:after="0" w:line="258" w:lineRule="auto"/>
        <w:rPr>
          <w:sz w:val="20"/>
          <w:szCs w:val="20"/>
          <w:color w:val="auto"/>
        </w:rPr>
      </w:pPr>
      <w:r>
        <w:rPr>
          <w:rFonts w:ascii="Times New Roman" w:cs="Times New Roman" w:eastAsia="Times New Roman" w:hAnsi="Times New Roman"/>
          <w:sz w:val="20"/>
          <w:szCs w:val="20"/>
          <w:color w:val="auto"/>
        </w:rPr>
        <w:t>Any regulatory approvals that we or our collaborators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240"/>
          </w:cols>
          <w:pgMar w:left="1000" w:top="793" w:right="1000" w:bottom="0" w:gutter="0" w:footer="0" w:header="0"/>
          <w:type w:val="continuous"/>
        </w:sectPr>
      </w:pPr>
    </w:p>
    <w:bookmarkStart w:id="27" w:name="page28"/>
    <w:bookmarkEnd w:id="27"/>
    <w:p>
      <w:pPr>
        <w:ind w:right="20"/>
        <w:spacing w:after="0" w:line="253" w:lineRule="auto"/>
        <w:rPr>
          <w:sz w:val="20"/>
          <w:szCs w:val="20"/>
          <w:color w:val="auto"/>
        </w:rPr>
      </w:pPr>
      <w:r>
        <w:rPr>
          <w:rFonts w:ascii="Times New Roman" w:cs="Times New Roman" w:eastAsia="Times New Roman" w:hAnsi="Times New Roman"/>
          <w:sz w:val="20"/>
          <w:szCs w:val="20"/>
          <w:color w:val="auto"/>
        </w:rPr>
        <w:t>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 standards. If we, our collaborators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or our collaborators, including requiring recall or withdrawal of the product from the market or suspension of manufacturing. In addition, failure to comply with FDA and foreign regulatory requirements may, either before or after product approval, if any, subject our company or our collaborators to administrative or judicially imposed sanctions, including:</w:t>
      </w:r>
    </w:p>
    <w:p>
      <w:pPr>
        <w:spacing w:after="0" w:line="88" w:lineRule="exact"/>
        <w:rPr>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our ability to conduct clinical trials, including full or partial clinical holds on ongoing or planned trials;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products, manufacturers or manufacturing process;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warning or untitled letters;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and criminal penalties;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injunctions;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suspension or withdrawal of regulatory approvals;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seizures, detentions or import bans;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voluntary or mandatory product recalls and publicity requirements;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or partial suspension of production;</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imposition of restrictions on operations, including costly new manufacturing requirements; and</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to approve pending BLAs or supplements to approved BLAs.</w:t>
      </w:r>
    </w:p>
    <w:p>
      <w:pPr>
        <w:spacing w:after="0" w:line="250" w:lineRule="exact"/>
        <w:rPr>
          <w:sz w:val="20"/>
          <w:szCs w:val="20"/>
          <w:color w:val="auto"/>
        </w:rPr>
      </w:pPr>
    </w:p>
    <w:p>
      <w:pPr>
        <w:ind w:right="480" w:firstLine="630"/>
        <w:spacing w:after="0" w:line="281" w:lineRule="auto"/>
        <w:rPr>
          <w:sz w:val="20"/>
          <w:szCs w:val="20"/>
          <w:color w:val="auto"/>
        </w:rPr>
      </w:pPr>
      <w:r>
        <w:rPr>
          <w:rFonts w:ascii="Times New Roman" w:cs="Times New Roman" w:eastAsia="Times New Roman" w:hAnsi="Times New Roman"/>
          <w:sz w:val="20"/>
          <w:szCs w:val="20"/>
          <w:color w:val="auto"/>
        </w:rPr>
        <w:t>The occurrence of any event or penalty described above may inhibit our ability, alone or with our collaborators, to commercialize our product candidates and generate revenue.</w:t>
      </w:r>
    </w:p>
    <w:p>
      <w:pPr>
        <w:spacing w:after="0" w:line="61" w:lineRule="exact"/>
        <w:rPr>
          <w:sz w:val="20"/>
          <w:szCs w:val="20"/>
          <w:color w:val="auto"/>
        </w:rPr>
      </w:pPr>
    </w:p>
    <w:p>
      <w:pPr>
        <w:ind w:right="220" w:firstLine="630"/>
        <w:spacing w:after="0" w:line="256" w:lineRule="auto"/>
        <w:rPr>
          <w:sz w:val="20"/>
          <w:szCs w:val="20"/>
          <w:color w:val="auto"/>
        </w:rPr>
      </w:pPr>
      <w:r>
        <w:rPr>
          <w:rFonts w:ascii="Times New Roman" w:cs="Times New Roman" w:eastAsia="Times New Roman" w:hAnsi="Times New Roman"/>
          <w:sz w:val="20"/>
          <w:szCs w:val="20"/>
          <w:color w:val="auto"/>
        </w:rPr>
        <w:t>Advertising and promotion of any product candidate that obtains approval in the United States will be heavily scrutinized by the FDA, the DOJ, the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88" w:lineRule="exact"/>
        <w:rPr>
          <w:sz w:val="20"/>
          <w:szCs w:val="20"/>
          <w:color w:val="auto"/>
        </w:rPr>
      </w:pPr>
    </w:p>
    <w:p>
      <w:pPr>
        <w:ind w:firstLine="630"/>
        <w:spacing w:after="0" w:line="252" w:lineRule="auto"/>
        <w:rPr>
          <w:sz w:val="20"/>
          <w:szCs w:val="20"/>
          <w:color w:val="auto"/>
        </w:rPr>
      </w:pPr>
      <w:r>
        <w:rPr>
          <w:rFonts w:ascii="Times New Roman" w:cs="Times New Roman" w:eastAsia="Times New Roman" w:hAnsi="Times New Roman"/>
          <w:sz w:val="20"/>
          <w:szCs w:val="20"/>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 and state unfair competition laws with respect to how our products are marketed and promoted. Furthermore, the off-label use of our products may increase the risk of product liability claims. If we do not lawfully promote our approved products, we may become subject to such litigation and, if we do not successfully defend against such actions, those actions may have an adverse effect on our business, financial condition and results of operations.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240"/>
          </w:cols>
          <w:pgMar w:left="1000" w:top="793" w:right="100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color w:val="auto"/>
        </w:rPr>
        <w:t>We may not be successful in our efforts to expand our pipeline of product candidates and develop marketable products.</w:t>
      </w:r>
    </w:p>
    <w:p>
      <w:pPr>
        <w:spacing w:after="0" w:line="137" w:lineRule="exact"/>
        <w:rPr>
          <w:sz w:val="20"/>
          <w:szCs w:val="20"/>
          <w:color w:val="auto"/>
        </w:rPr>
      </w:pPr>
    </w:p>
    <w:p>
      <w:pPr>
        <w:ind w:right="80" w:firstLine="630"/>
        <w:spacing w:after="0" w:line="253" w:lineRule="auto"/>
        <w:rPr>
          <w:sz w:val="20"/>
          <w:szCs w:val="20"/>
          <w:color w:val="auto"/>
        </w:rPr>
      </w:pPr>
      <w:r>
        <w:rPr>
          <w:rFonts w:ascii="Times New Roman" w:cs="Times New Roman" w:eastAsia="Times New Roman" w:hAnsi="Times New Roman"/>
          <w:sz w:val="20"/>
          <w:szCs w:val="20"/>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successfully develop, partner and/or commercialize product candidates, we may not be able to obtain product or partnership revenue in future periods, which would adversely affect our business, prospects, financial condition and results of operations.</w:t>
      </w:r>
    </w:p>
    <w:p>
      <w:pPr>
        <w:spacing w:after="0" w:line="93" w:lineRule="exact"/>
        <w:rPr>
          <w:sz w:val="20"/>
          <w:szCs w:val="20"/>
          <w:color w:val="auto"/>
        </w:rPr>
      </w:pPr>
    </w:p>
    <w:p>
      <w:pPr>
        <w:ind w:firstLine="630"/>
        <w:spacing w:after="0" w:line="254" w:lineRule="auto"/>
        <w:rPr>
          <w:sz w:val="20"/>
          <w:szCs w:val="20"/>
          <w:color w:val="auto"/>
        </w:rPr>
      </w:pPr>
      <w:r>
        <w:rPr>
          <w:rFonts w:ascii="Times New Roman" w:cs="Times New Roman" w:eastAsia="Times New Roman" w:hAnsi="Times New Roman"/>
          <w:sz w:val="20"/>
          <w:szCs w:val="20"/>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02" w:lineRule="exact"/>
        <w:rPr>
          <w:sz w:val="20"/>
          <w:szCs w:val="20"/>
          <w:color w:val="auto"/>
        </w:rPr>
      </w:pPr>
    </w:p>
    <w:p>
      <w:pPr>
        <w:ind w:right="160"/>
        <w:spacing w:after="0" w:line="313" w:lineRule="auto"/>
        <w:rPr>
          <w:sz w:val="20"/>
          <w:szCs w:val="20"/>
          <w:color w:val="auto"/>
        </w:rPr>
      </w:pPr>
      <w:r>
        <w:rPr>
          <w:rFonts w:ascii="Times New Roman" w:cs="Times New Roman" w:eastAsia="Times New Roman" w:hAnsi="Times New Roman"/>
          <w:sz w:val="19"/>
          <w:szCs w:val="19"/>
          <w:b w:val="1"/>
          <w:bCs w:val="1"/>
          <w:color w:val="auto"/>
        </w:rPr>
        <w:t>We have recently commenced Phase 2 clinical development of rosnilimab and ANB032, and have no history of commercializing biotechnology products, which may make it difficult to evaluate the prospects for our future viability.</w:t>
      </w:r>
    </w:p>
    <w:p>
      <w:pPr>
        <w:spacing w:after="0" w:line="37" w:lineRule="exact"/>
        <w:rPr>
          <w:sz w:val="20"/>
          <w:szCs w:val="20"/>
          <w:color w:val="auto"/>
        </w:rPr>
      </w:pPr>
    </w:p>
    <w:p>
      <w:pPr>
        <w:ind w:right="20" w:firstLine="630"/>
        <w:spacing w:after="0" w:line="253" w:lineRule="auto"/>
        <w:rPr>
          <w:sz w:val="20"/>
          <w:szCs w:val="20"/>
          <w:color w:val="auto"/>
        </w:rPr>
      </w:pPr>
      <w:r>
        <w:rPr>
          <w:rFonts w:ascii="Times New Roman" w:cs="Times New Roman" w:eastAsia="Times New Roman" w:hAnsi="Times New Roman"/>
          <w:sz w:val="20"/>
          <w:szCs w:val="20"/>
          <w:color w:val="auto"/>
        </w:rPr>
        <w:t>Our operations to date have been largely limited to financing and staffing our company, developing our technology, and developing our wholly-owned product candidates and other product candidates in partnerships with our collaborators. As a company, we have only very limited experience conducting pivotal Phase 3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96" w:lineRule="exact"/>
        <w:rPr>
          <w:sz w:val="20"/>
          <w:szCs w:val="20"/>
          <w:color w:val="auto"/>
        </w:rPr>
      </w:pPr>
    </w:p>
    <w:p>
      <w:pPr>
        <w:jc w:val="both"/>
        <w:ind w:right="40" w:firstLine="630"/>
        <w:spacing w:after="0" w:line="266" w:lineRule="auto"/>
        <w:rPr>
          <w:sz w:val="20"/>
          <w:szCs w:val="20"/>
          <w:color w:val="auto"/>
        </w:rPr>
      </w:pPr>
      <w:r>
        <w:rPr>
          <w:rFonts w:ascii="Times New Roman" w:cs="Times New Roman" w:eastAsia="Times New Roman" w:hAnsi="Times New Roman"/>
          <w:sz w:val="20"/>
          <w:szCs w:val="20"/>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75" w:lineRule="exact"/>
        <w:rPr>
          <w:sz w:val="20"/>
          <w:szCs w:val="20"/>
          <w:color w:val="auto"/>
        </w:rPr>
      </w:pPr>
    </w:p>
    <w:p>
      <w:pPr>
        <w:jc w:val="both"/>
        <w:ind w:left="980" w:right="100" w:hanging="450"/>
        <w:spacing w:after="0" w:line="262" w:lineRule="auto"/>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74"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suspension or termination of a clinical trial once commenced;</w:t>
      </w:r>
    </w:p>
    <w:p>
      <w:pPr>
        <w:spacing w:after="0" w:line="126" w:lineRule="exact"/>
        <w:rPr>
          <w:rFonts w:ascii="Times New Roman" w:cs="Times New Roman" w:eastAsia="Times New Roman" w:hAnsi="Times New Roman"/>
          <w:sz w:val="20"/>
          <w:szCs w:val="20"/>
          <w:color w:val="auto"/>
        </w:rPr>
      </w:pPr>
    </w:p>
    <w:p>
      <w:pPr>
        <w:ind w:left="980" w:right="460" w:hanging="450"/>
        <w:spacing w:after="0" w:line="281" w:lineRule="auto"/>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conditions imposed by the FDA or foreign regulatory authorities regarding the number, scope or design of our clinical trials;</w:t>
      </w:r>
    </w:p>
    <w:p>
      <w:pPr>
        <w:spacing w:after="0" w:line="61"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enrolling research subjects in clinical trials;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 drop-out rates of research subjects;</w:t>
      </w:r>
    </w:p>
    <w:p>
      <w:pPr>
        <w:spacing w:after="0" w:line="130" w:lineRule="exact"/>
        <w:rPr>
          <w:rFonts w:ascii="Times New Roman" w:cs="Times New Roman" w:eastAsia="Times New Roman" w:hAnsi="Times New Roman"/>
          <w:sz w:val="20"/>
          <w:szCs w:val="20"/>
          <w:color w:val="auto"/>
        </w:rPr>
      </w:pPr>
    </w:p>
    <w:p>
      <w:pPr>
        <w:ind w:left="980" w:right="340" w:hanging="450"/>
        <w:spacing w:after="0" w:line="281" w:lineRule="auto"/>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inadequate supply or quality of clinical trial materials or other supplies necessary for the conduct of our clinical trials;</w:t>
      </w:r>
    </w:p>
    <w:p>
      <w:pPr>
        <w:spacing w:after="0" w:line="61"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than anticipated clinical trial costs;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poor effectiveness or unacceptable side effects of our product candidates during clinical trials;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unfavorable FDA or other regulatory agency inspection and review of a clinical trial site;</w:t>
      </w:r>
    </w:p>
    <w:p>
      <w:pPr>
        <w:spacing w:after="0" w:line="130" w:lineRule="exact"/>
        <w:rPr>
          <w:rFonts w:ascii="Times New Roman" w:cs="Times New Roman" w:eastAsia="Times New Roman" w:hAnsi="Times New Roman"/>
          <w:sz w:val="20"/>
          <w:szCs w:val="20"/>
          <w:color w:val="auto"/>
        </w:rPr>
      </w:pPr>
    </w:p>
    <w:p>
      <w:pPr>
        <w:ind w:left="980" w:right="360" w:hanging="450"/>
        <w:spacing w:after="0" w:line="281" w:lineRule="auto"/>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our third-party contractors or investigators to comply with regulatory requirements or otherwise meet their contractual obligations in a timely manner, or at all;</w:t>
      </w:r>
    </w:p>
    <w:p>
      <w:pPr>
        <w:sectPr>
          <w:pgSz w:w="12240" w:h="15840" w:orient="portrait"/>
          <w:cols w:equalWidth="0" w:num="1">
            <w:col w:w="10240"/>
          </w:cols>
          <w:pgMar w:left="1000" w:top="786" w:right="1000" w:bottom="0" w:gutter="0" w:footer="0" w:header="0"/>
        </w:sect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240"/>
          </w:cols>
          <w:pgMar w:left="1000" w:top="786" w:right="1000" w:bottom="0" w:gutter="0" w:footer="0" w:header="0"/>
          <w:type w:val="continuous"/>
        </w:sectPr>
      </w:pPr>
    </w:p>
    <w:bookmarkStart w:id="29" w:name="page30"/>
    <w:bookmarkEnd w:id="29"/>
    <w:p>
      <w:pPr>
        <w:ind w:left="980" w:right="420" w:hanging="450"/>
        <w:spacing w:after="0" w:line="281" w:lineRule="auto"/>
        <w:tabs>
          <w:tab w:leader="none" w:pos="9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serious and unexpected drug-related side effects experienced by participants in our planned clinical trials or by individuals using drugs similar to our product candidates;</w:t>
      </w:r>
    </w:p>
    <w:p>
      <w:pPr>
        <w:spacing w:after="0" w:line="61" w:lineRule="exact"/>
        <w:rPr>
          <w:rFonts w:ascii="Times New Roman" w:cs="Times New Roman" w:eastAsia="Times New Roman" w:hAnsi="Times New Roman"/>
          <w:sz w:val="20"/>
          <w:szCs w:val="20"/>
          <w:color w:val="auto"/>
        </w:rPr>
      </w:pPr>
    </w:p>
    <w:p>
      <w:pPr>
        <w:ind w:left="980" w:right="620" w:hanging="450"/>
        <w:spacing w:after="0" w:line="309" w:lineRule="auto"/>
        <w:tabs>
          <w:tab w:leader="none" w:pos="98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delays and changes in regulatory requirements, policy and guidelines, including the imposition of additional regulatory oversight around clinical testing generally or with respect to our technology in particular; or</w:t>
      </w:r>
    </w:p>
    <w:p>
      <w:pPr>
        <w:spacing w:after="0" w:line="37" w:lineRule="exact"/>
        <w:rPr>
          <w:rFonts w:ascii="Times New Roman" w:cs="Times New Roman" w:eastAsia="Times New Roman" w:hAnsi="Times New Roman"/>
          <w:sz w:val="19"/>
          <w:szCs w:val="19"/>
          <w:color w:val="auto"/>
        </w:rPr>
      </w:pPr>
    </w:p>
    <w:p>
      <w:pPr>
        <w:ind w:left="980" w:hanging="450"/>
        <w:spacing w:after="0"/>
        <w:tabs>
          <w:tab w:leader="none" w:pos="9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varying interpretations of data by the FDA and foreign regulatory authorities.</w:t>
      </w:r>
    </w:p>
    <w:p>
      <w:pPr>
        <w:spacing w:after="0" w:line="130" w:lineRule="exact"/>
        <w:rPr>
          <w:sz w:val="20"/>
          <w:szCs w:val="20"/>
          <w:color w:val="auto"/>
        </w:rPr>
      </w:pPr>
    </w:p>
    <w:p>
      <w:pPr>
        <w:ind w:right="20" w:firstLine="630"/>
        <w:spacing w:after="0" w:line="281" w:lineRule="auto"/>
        <w:rPr>
          <w:sz w:val="20"/>
          <w:szCs w:val="20"/>
          <w:color w:val="auto"/>
        </w:rPr>
      </w:pPr>
      <w:r>
        <w:rPr>
          <w:rFonts w:ascii="Times New Roman" w:cs="Times New Roman" w:eastAsia="Times New Roman" w:hAnsi="Times New Roman"/>
          <w:sz w:val="20"/>
          <w:szCs w:val="20"/>
          <w:color w:val="auto"/>
        </w:rPr>
        <w:t>Consequently, any predictions you make about our future success or viability based on our operating history may not be as accurate as they could be if we had an established track record in conducting clinical trials or commercializing products.</w:t>
      </w:r>
    </w:p>
    <w:p>
      <w:pPr>
        <w:spacing w:after="0" w:line="61" w:lineRule="exact"/>
        <w:rPr>
          <w:sz w:val="20"/>
          <w:szCs w:val="20"/>
          <w:color w:val="auto"/>
        </w:rPr>
      </w:pPr>
    </w:p>
    <w:p>
      <w:pPr>
        <w:ind w:right="240" w:firstLine="630"/>
        <w:spacing w:after="0" w:line="266" w:lineRule="auto"/>
        <w:rPr>
          <w:sz w:val="20"/>
          <w:szCs w:val="20"/>
          <w:color w:val="auto"/>
        </w:rPr>
      </w:pPr>
      <w:r>
        <w:rPr>
          <w:rFonts w:ascii="Times New Roman" w:cs="Times New Roman" w:eastAsia="Times New Roman" w:hAnsi="Times New Roman"/>
          <w:sz w:val="20"/>
          <w:szCs w:val="20"/>
          <w:color w:val="auto"/>
        </w:rPr>
        <w:t>Further, as a clinical stage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1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20"/>
          <w:szCs w:val="20"/>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9" w:lineRule="exact"/>
        <w:rPr>
          <w:sz w:val="20"/>
          <w:szCs w:val="20"/>
          <w:color w:val="auto"/>
        </w:rPr>
      </w:pPr>
    </w:p>
    <w:p>
      <w:pPr>
        <w:ind w:firstLine="630"/>
        <w:spacing w:after="0" w:line="252" w:lineRule="auto"/>
        <w:rPr>
          <w:sz w:val="20"/>
          <w:szCs w:val="20"/>
          <w:color w:val="auto"/>
        </w:rPr>
      </w:pPr>
      <w:r>
        <w:rPr>
          <w:rFonts w:ascii="Times New Roman" w:cs="Times New Roman" w:eastAsia="Times New Roman" w:hAnsi="Times New Roman"/>
          <w:sz w:val="20"/>
          <w:szCs w:val="20"/>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of.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99" w:lineRule="exact"/>
        <w:rPr>
          <w:sz w:val="20"/>
          <w:szCs w:val="20"/>
          <w:color w:val="auto"/>
        </w:rPr>
      </w:pPr>
    </w:p>
    <w:p>
      <w:pPr>
        <w:ind w:right="80" w:firstLine="630"/>
        <w:spacing w:after="0" w:line="253" w:lineRule="auto"/>
        <w:rPr>
          <w:sz w:val="20"/>
          <w:szCs w:val="20"/>
          <w:color w:val="auto"/>
        </w:rPr>
      </w:pPr>
      <w:r>
        <w:rPr>
          <w:rFonts w:ascii="Times New Roman" w:cs="Times New Roman" w:eastAsia="Times New Roman" w:hAnsi="Times New Roman"/>
          <w:sz w:val="20"/>
          <w:szCs w:val="20"/>
          <w:color w:val="auto"/>
        </w:rPr>
        <w:t>For our PD-1 agonist antibody program, our competitors include other PD-1 agonist antibodies peresolimab (Eli Lilly) in Phase 2b development for the treatment of rheumatoid arthritis, JNJ-67484703 (Janssen) in Phase 2 development for the treatment of atopic dermatitis, a PD-1 agonist antibody (Boehringer Ingelheim) in Phase 1 development, and GS-0151 (Gilead) in preclinical development. Our commercial-stage competitors in moderate-to-severe rheumatoid arthritis include monoclonal antibodies targeting anti-TNF (Humira; Abbvie), IL-6 (Actemra; Roche and Kevzara; Regeneron), CD-80/86 (Orencia; BMS), CD-20 (Rituxan; Roche), and janus kinase inhibitors (Rinvoq; AbbVie, Olumiant; Eli Lilly, and Xeljanz; Pfizer). Commercial-stage competitors in moderate-to-severe ulcerative colitis include monoclonal antibodies targeting anti-TNF (Humira; Abbvie and Remicade; Johnson &amp; Johnson), anti-α4β7 (Entyvio; Takeda), anti-IL-23 (Stelara; Johnson &amp; Johnson and Omvoh; Eli Lilly) and S1P inhibitors (Zeposia; Bristol Myers Squibb and Velsipity; Pfizer) and janus kinase inhibitors (Rinvoq; AbbVie, and Xeljanz; Pfizer) as well as monoclonal antibodies targeting anti-TL1A (PRA023; Merck, RVT-3101; Roche and TEV’574; Teva/Sanofi) in Phase 2 and 3 development.</w:t>
      </w:r>
    </w:p>
    <w:p>
      <w:pPr>
        <w:spacing w:after="0" w:line="93" w:lineRule="exact"/>
        <w:rPr>
          <w:sz w:val="20"/>
          <w:szCs w:val="20"/>
          <w:color w:val="auto"/>
        </w:rPr>
      </w:pPr>
    </w:p>
    <w:p>
      <w:pPr>
        <w:ind w:right="20" w:firstLine="630"/>
        <w:spacing w:after="0" w:line="256" w:lineRule="auto"/>
        <w:rPr>
          <w:sz w:val="20"/>
          <w:szCs w:val="20"/>
          <w:color w:val="auto"/>
        </w:rPr>
      </w:pPr>
      <w:r>
        <w:rPr>
          <w:rFonts w:ascii="Times New Roman" w:cs="Times New Roman" w:eastAsia="Times New Roman" w:hAnsi="Times New Roman"/>
          <w:sz w:val="20"/>
          <w:szCs w:val="20"/>
          <w:color w:val="auto"/>
        </w:rPr>
        <w:t>For our BTLA agonist antibody program, our competitors include another BTLA agonist antibody, GS-0272 (Gilead) in Phase 1b development for SLE and rheumatoid arthritis. Commercial-stage competitors in moderate-to-severe atopic dermatitis include topical and oral corticosteroids, calcineurin inhibitors (Protopic; LEO Pharma and Elidel; Bausch Health), monoclonal antibodies targeting IL-4/13 (Dupixent; Regeneron/Sanofi), IL-13 (Adbry; LEO Pharma and Ebglyss; Lilly), IL-31 (nemolizumab; Galderma) and janus kinase inhibitors (Rinvoq; AbbVie and abrocitinib; Pfizer) as well as monoclonal antibodies targeting OX-40/OX40L (rocatinlimab; Amgen and amlitelimab; Sanofi) in Phase 3 development.</w:t>
      </w:r>
    </w:p>
    <w:p>
      <w:pPr>
        <w:spacing w:after="0" w:line="88" w:lineRule="exact"/>
        <w:rPr>
          <w:sz w:val="20"/>
          <w:szCs w:val="20"/>
          <w:color w:val="auto"/>
        </w:rPr>
      </w:pPr>
    </w:p>
    <w:p>
      <w:pPr>
        <w:ind w:right="280" w:firstLine="630"/>
        <w:spacing w:after="0" w:line="256" w:lineRule="auto"/>
        <w:rPr>
          <w:sz w:val="20"/>
          <w:szCs w:val="20"/>
          <w:color w:val="auto"/>
        </w:rPr>
      </w:pPr>
      <w:r>
        <w:rPr>
          <w:rFonts w:ascii="Times New Roman" w:cs="Times New Roman" w:eastAsia="Times New Roman" w:hAnsi="Times New Roman"/>
          <w:sz w:val="20"/>
          <w:szCs w:val="20"/>
          <w:color w:val="auto"/>
        </w:rPr>
        <w:t>For our anti-CD122 antagonist antibody program, our clinical competitors include other anti-CD122 antagonist antibodies, auremolimab (Incyte), in Phase 1 development for vitiligo and FB-102 (Forte Bioscience) in preclinical development, and three anti-IL-15 monoclonal antibodies, AMG 714 (Amgen), currently in Phase 2 development for the treatment of vitiligo, CALY-002 (Calypso, which Novartis has agreed to acquire), currently in Phase 1b development for the treatment of celiac disease and eosinophilic esophagitis, and TEV-‘408 (Teva), currently in Phase 1b development for the treatment of celiac disease.</w:t>
      </w:r>
    </w:p>
    <w:p>
      <w:pPr>
        <w:spacing w:after="0" w:line="88" w:lineRule="exact"/>
        <w:rPr>
          <w:sz w:val="20"/>
          <w:szCs w:val="20"/>
          <w:color w:val="auto"/>
        </w:rPr>
      </w:pPr>
    </w:p>
    <w:p>
      <w:pPr>
        <w:ind w:right="80" w:firstLine="630"/>
        <w:spacing w:after="0" w:line="260" w:lineRule="auto"/>
        <w:rPr>
          <w:sz w:val="20"/>
          <w:szCs w:val="20"/>
          <w:color w:val="auto"/>
        </w:rPr>
      </w:pPr>
      <w:r>
        <w:rPr>
          <w:rFonts w:ascii="Times New Roman" w:cs="Times New Roman" w:eastAsia="Times New Roman" w:hAnsi="Times New Roman"/>
          <w:sz w:val="20"/>
          <w:szCs w:val="20"/>
          <w:color w:val="auto"/>
        </w:rPr>
        <w:t>For our anti-BDCA2 program, our competitors include one other anti-BDCA2 antibody, litifilimab (Biogen) in Phase 3 development for SLE and CLE, and one clinical-stage anti-ILT7 antibodies that target plasmacytoid dendritic cells for depletion, daxdilimab (Amgen) in Phase 2 development for alopecia areata, dermatomyositis or anti-synthetase inflammatory myositis, and discoid lupus erythematosus.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240"/>
          </w:cols>
          <w:pgMar w:left="1000" w:top="793" w:right="1000" w:bottom="0" w:gutter="0" w:footer="0" w:header="0"/>
          <w:type w:val="continuous"/>
        </w:sectPr>
      </w:pPr>
    </w:p>
    <w:bookmarkStart w:id="30" w:name="page31"/>
    <w:bookmarkEnd w:id="30"/>
    <w:p>
      <w:pPr>
        <w:ind w:right="700" w:firstLine="630"/>
        <w:spacing w:after="0" w:line="281" w:lineRule="auto"/>
        <w:rPr>
          <w:sz w:val="20"/>
          <w:szCs w:val="20"/>
          <w:color w:val="auto"/>
        </w:rPr>
      </w:pPr>
      <w:r>
        <w:rPr>
          <w:rFonts w:ascii="Times New Roman" w:cs="Times New Roman" w:eastAsia="Times New Roman" w:hAnsi="Times New Roman"/>
          <w:sz w:val="20"/>
          <w:szCs w:val="20"/>
          <w:color w:val="auto"/>
        </w:rPr>
        <w:t>For imsidolimab in the treatment of GPP, our competitors include one other anti-IL-36 receptor antibody called SPEVIGO or spesolimab (Boehringer Ingelheim), approved for GPP flares in adults.</w:t>
      </w:r>
    </w:p>
    <w:p>
      <w:pPr>
        <w:spacing w:after="0" w:line="61" w:lineRule="exact"/>
        <w:rPr>
          <w:sz w:val="20"/>
          <w:szCs w:val="20"/>
          <w:color w:val="auto"/>
        </w:rPr>
      </w:pPr>
    </w:p>
    <w:p>
      <w:pPr>
        <w:ind w:firstLine="630"/>
        <w:spacing w:after="0" w:line="271" w:lineRule="auto"/>
        <w:rPr>
          <w:sz w:val="20"/>
          <w:szCs w:val="20"/>
          <w:color w:val="auto"/>
        </w:rPr>
      </w:pPr>
      <w:r>
        <w:rPr>
          <w:rFonts w:ascii="Times New Roman" w:cs="Times New Roman" w:eastAsia="Times New Roman" w:hAnsi="Times New Roman"/>
          <w:sz w:val="19"/>
          <w:szCs w:val="19"/>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biosimilar products. Even if our product candidates achieve marketing approval, they may be priced at a significant premium over competitive biosimilar products if any have been approved by then.</w:t>
      </w:r>
    </w:p>
    <w:p>
      <w:pPr>
        <w:spacing w:after="0" w:line="73" w:lineRule="exact"/>
        <w:rPr>
          <w:sz w:val="20"/>
          <w:szCs w:val="20"/>
          <w:color w:val="auto"/>
        </w:rPr>
      </w:pPr>
    </w:p>
    <w:p>
      <w:pPr>
        <w:ind w:right="60" w:firstLine="630"/>
        <w:spacing w:after="0" w:line="255" w:lineRule="auto"/>
        <w:rPr>
          <w:sz w:val="20"/>
          <w:szCs w:val="20"/>
          <w:color w:val="auto"/>
        </w:rPr>
      </w:pPr>
      <w:r>
        <w:rPr>
          <w:rFonts w:ascii="Times New Roman" w:cs="Times New Roman" w:eastAsia="Times New Roman" w:hAnsi="Times New Roman"/>
          <w:sz w:val="20"/>
          <w:szCs w:val="20"/>
          <w:color w:val="auto"/>
        </w:rPr>
        <w:t>Smaller and other early-stage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20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20"/>
          <w:szCs w:val="20"/>
          <w:b w:val="1"/>
          <w:bCs w:val="1"/>
          <w:color w:val="auto"/>
        </w:rPr>
        <w:t>Our product candidates may not achieve adequate market acceptance among physicians, patients, health care payors and others in the medical community necessary for commercial success.</w:t>
      </w:r>
    </w:p>
    <w:p>
      <w:pPr>
        <w:spacing w:after="0" w:line="59" w:lineRule="exact"/>
        <w:rPr>
          <w:sz w:val="20"/>
          <w:szCs w:val="20"/>
          <w:color w:val="auto"/>
        </w:rPr>
      </w:pPr>
    </w:p>
    <w:p>
      <w:pPr>
        <w:ind w:right="280" w:firstLine="630"/>
        <w:spacing w:after="0" w:line="266" w:lineRule="auto"/>
        <w:rPr>
          <w:sz w:val="20"/>
          <w:szCs w:val="20"/>
          <w:color w:val="auto"/>
        </w:rPr>
      </w:pPr>
      <w:r>
        <w:rPr>
          <w:rFonts w:ascii="Times New Roman" w:cs="Times New Roman" w:eastAsia="Times New Roman" w:hAnsi="Times New Roman"/>
          <w:sz w:val="20"/>
          <w:szCs w:val="20"/>
          <w:color w:val="auto"/>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spacing w:after="0" w:line="75" w:lineRule="exact"/>
        <w:rPr>
          <w:sz w:val="20"/>
          <w:szCs w:val="20"/>
          <w:color w:val="auto"/>
        </w:rPr>
      </w:pPr>
    </w:p>
    <w:p>
      <w:pPr>
        <w:ind w:left="980" w:hanging="450"/>
        <w:spacing w:after="0"/>
        <w:tabs>
          <w:tab w:leader="none" w:pos="9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efficacy and safety profile as demonstrated in planned clinical trials;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market introduction of the product candidate as well as competitive products;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clinical indications for which the product candidate is approved;</w:t>
      </w:r>
    </w:p>
    <w:p>
      <w:pPr>
        <w:spacing w:after="0" w:line="130" w:lineRule="exact"/>
        <w:rPr>
          <w:rFonts w:ascii="Times New Roman" w:cs="Times New Roman" w:eastAsia="Times New Roman" w:hAnsi="Times New Roman"/>
          <w:sz w:val="20"/>
          <w:szCs w:val="20"/>
          <w:color w:val="auto"/>
        </w:rPr>
      </w:pPr>
    </w:p>
    <w:p>
      <w:pPr>
        <w:ind w:left="980" w:right="320" w:hanging="450"/>
        <w:spacing w:after="0" w:line="281" w:lineRule="auto"/>
        <w:tabs>
          <w:tab w:leader="none" w:pos="9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use of our products, if approved, such as boxed warnings or contraindications in labeling or a REMS, if any, which may not be required of alternative treatments and competitor products;</w:t>
      </w:r>
    </w:p>
    <w:p>
      <w:pPr>
        <w:spacing w:after="0" w:line="61"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acceptance of the product candidate as a safe and effective treatment by physicians, clinics and patients;</w:t>
      </w:r>
    </w:p>
    <w:p>
      <w:pPr>
        <w:spacing w:after="0" w:line="130" w:lineRule="exact"/>
        <w:rPr>
          <w:rFonts w:ascii="Times New Roman" w:cs="Times New Roman" w:eastAsia="Times New Roman" w:hAnsi="Times New Roman"/>
          <w:sz w:val="20"/>
          <w:szCs w:val="20"/>
          <w:color w:val="auto"/>
        </w:rPr>
      </w:pPr>
    </w:p>
    <w:p>
      <w:pPr>
        <w:ind w:left="980" w:right="420" w:hanging="450"/>
        <w:spacing w:after="0" w:line="281" w:lineRule="auto"/>
        <w:tabs>
          <w:tab w:leader="none" w:pos="9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and perceived advantages of product candidates over alternative treatments, including any similar generic treatments;</w:t>
      </w:r>
    </w:p>
    <w:p>
      <w:pPr>
        <w:spacing w:after="0" w:line="61"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treatment in relation to alternative treatments;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of coverage and adequate reimbursement and pricing by third parties and government authorities;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relative convenience and ease of administration;</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frequency and severity of adverse events;</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sales and marketing efforts; and</w:t>
      </w:r>
    </w:p>
    <w:p>
      <w:pPr>
        <w:spacing w:after="0" w:line="130" w:lineRule="exact"/>
        <w:rPr>
          <w:rFonts w:ascii="Times New Roman" w:cs="Times New Roman" w:eastAsia="Times New Roman" w:hAnsi="Times New Roman"/>
          <w:sz w:val="20"/>
          <w:szCs w:val="20"/>
          <w:color w:val="auto"/>
        </w:rPr>
      </w:pPr>
    </w:p>
    <w:p>
      <w:pPr>
        <w:ind w:left="980" w:hanging="450"/>
        <w:spacing w:after="0"/>
        <w:tabs>
          <w:tab w:leader="none" w:pos="9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unfavorable publicity relating to the product candidate.</w:t>
      </w:r>
    </w:p>
    <w:p>
      <w:pPr>
        <w:spacing w:after="0" w:line="210" w:lineRule="exact"/>
        <w:rPr>
          <w:sz w:val="20"/>
          <w:szCs w:val="20"/>
          <w:color w:val="auto"/>
        </w:rPr>
      </w:pPr>
    </w:p>
    <w:p>
      <w:pPr>
        <w:jc w:val="both"/>
        <w:ind w:right="420" w:firstLine="630"/>
        <w:spacing w:after="0" w:line="266" w:lineRule="auto"/>
        <w:rPr>
          <w:sz w:val="20"/>
          <w:szCs w:val="20"/>
          <w:color w:val="auto"/>
        </w:rPr>
      </w:pPr>
      <w:r>
        <w:rPr>
          <w:rFonts w:ascii="Times New Roman" w:cs="Times New Roman" w:eastAsia="Times New Roman" w:hAnsi="Times New Roman"/>
          <w:sz w:val="20"/>
          <w:szCs w:val="20"/>
          <w:color w:val="auto"/>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spacing w:after="0" w:line="188" w:lineRule="exact"/>
        <w:rPr>
          <w:sz w:val="20"/>
          <w:szCs w:val="20"/>
          <w:color w:val="auto"/>
        </w:rPr>
      </w:pPr>
    </w:p>
    <w:p>
      <w:pPr>
        <w:ind w:right="160" w:firstLine="630"/>
        <w:spacing w:after="0" w:line="268" w:lineRule="auto"/>
        <w:rPr>
          <w:sz w:val="20"/>
          <w:szCs w:val="20"/>
          <w:color w:val="auto"/>
        </w:rPr>
      </w:pPr>
      <w:r>
        <w:rPr>
          <w:rFonts w:ascii="Times New Roman" w:cs="Times New Roman" w:eastAsia="Times New Roman" w:hAnsi="Times New Roman"/>
          <w:sz w:val="20"/>
          <w:szCs w:val="20"/>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7" w:lineRule="exact"/>
        <w:rPr>
          <w:sz w:val="20"/>
          <w:szCs w:val="20"/>
          <w:color w:val="auto"/>
        </w:rPr>
      </w:pPr>
    </w:p>
    <w:p>
      <w:pPr>
        <w:ind w:right="20" w:firstLine="630"/>
        <w:spacing w:after="0" w:line="255" w:lineRule="auto"/>
        <w:rPr>
          <w:sz w:val="20"/>
          <w:szCs w:val="20"/>
          <w:color w:val="auto"/>
        </w:rPr>
      </w:pPr>
      <w:r>
        <w:rPr>
          <w:rFonts w:ascii="Times New Roman" w:cs="Times New Roman" w:eastAsia="Times New Roman" w:hAnsi="Times New Roman"/>
          <w:sz w:val="20"/>
          <w:szCs w:val="20"/>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w:t>
      </w:r>
    </w:p>
    <w:p>
      <w:pPr>
        <w:sectPr>
          <w:pgSz w:w="12240" w:h="15840" w:orient="portrait"/>
          <w:cols w:equalWidth="0" w:num="1">
            <w:col w:w="10240"/>
          </w:cols>
          <w:pgMar w:left="1000" w:top="793" w:right="1000" w:bottom="0" w:gutter="0" w:footer="0" w:header="0"/>
        </w:sect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240"/>
          </w:cols>
          <w:pgMar w:left="1000" w:top="793" w:right="1000" w:bottom="0" w:gutter="0" w:footer="0" w:header="0"/>
          <w:type w:val="continuous"/>
        </w:sectPr>
      </w:pPr>
    </w:p>
    <w:bookmarkStart w:id="31" w:name="page32"/>
    <w:bookmarkEnd w:id="31"/>
    <w:p>
      <w:pPr>
        <w:ind w:right="100"/>
        <w:spacing w:after="0" w:line="254" w:lineRule="auto"/>
        <w:rPr>
          <w:sz w:val="20"/>
          <w:szCs w:val="20"/>
          <w:color w:val="auto"/>
        </w:rPr>
      </w:pPr>
      <w:r>
        <w:rPr>
          <w:rFonts w:ascii="Times New Roman" w:cs="Times New Roman" w:eastAsia="Times New Roman" w:hAnsi="Times New Roman"/>
          <w:sz w:val="20"/>
          <w:szCs w:val="20"/>
          <w:color w:val="auto"/>
        </w:rPr>
        <w:t>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0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20"/>
          <w:szCs w:val="20"/>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83" w:lineRule="exact"/>
        <w:rPr>
          <w:sz w:val="20"/>
          <w:szCs w:val="20"/>
          <w:color w:val="auto"/>
        </w:rPr>
      </w:pPr>
    </w:p>
    <w:p>
      <w:pPr>
        <w:ind w:right="40" w:firstLine="630"/>
        <w:spacing w:after="0" w:line="253" w:lineRule="auto"/>
        <w:rPr>
          <w:sz w:val="20"/>
          <w:szCs w:val="20"/>
          <w:color w:val="auto"/>
        </w:rPr>
      </w:pPr>
      <w:r>
        <w:rPr>
          <w:rFonts w:ascii="Times New Roman" w:cs="Times New Roman" w:eastAsia="Times New Roman" w:hAnsi="Times New Roman"/>
          <w:sz w:val="20"/>
          <w:szCs w:val="20"/>
          <w:color w:val="auto"/>
        </w:rPr>
        <w:t>The process of manufacturing biologics is complex, highly regulated and subject to multiple risks, and requires significant expertise and capital investment, including the development of advanced manufacturing techniques and process controls.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or supply chain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We and our contract manufacturers must comply with cGMPs for the manufacturing of biologics used in clinical trials and, if approved, marketed products. Moreover, if the FDA determines that our manufacturer is not in compliance with FDA laws and regulations, including cGMPs, the FDA may deny BLA approval until the deficiencies are corrected or we replace the manufacturer in our BLA with a manufacturer that is in compliance.</w:t>
      </w:r>
    </w:p>
    <w:p>
      <w:pPr>
        <w:spacing w:after="0" w:line="91" w:lineRule="exact"/>
        <w:rPr>
          <w:sz w:val="20"/>
          <w:szCs w:val="20"/>
          <w:color w:val="auto"/>
        </w:rPr>
      </w:pPr>
    </w:p>
    <w:p>
      <w:pPr>
        <w:ind w:firstLine="630"/>
        <w:spacing w:after="0" w:line="258" w:lineRule="auto"/>
        <w:rPr>
          <w:sz w:val="20"/>
          <w:szCs w:val="20"/>
          <w:color w:val="auto"/>
        </w:rPr>
      </w:pPr>
      <w:r>
        <w:rPr>
          <w:rFonts w:ascii="Times New Roman" w:cs="Times New Roman" w:eastAsia="Times New Roman" w:hAnsi="Times New Roman"/>
          <w:sz w:val="20"/>
          <w:szCs w:val="20"/>
          <w:color w:val="auto"/>
        </w:rPr>
        <w:t>Furthermore, all of our therapeutic antibodies are manufactured by starting with cells which are stored in a cell bank. We have one master cell bank for each antibody manufactured in accordance with cGMP and create multiple working cell banks to support cGMP manufacturing, and believe we would have adequate backup should any cell bank be lost in a catastrophic event. However, it is possible that we could lose multiple cell banks and have our manufacturing severely impacted by the need to replace the cell banks.</w:t>
      </w:r>
    </w:p>
    <w:p>
      <w:pPr>
        <w:spacing w:after="0" w:line="84" w:lineRule="exact"/>
        <w:rPr>
          <w:sz w:val="20"/>
          <w:szCs w:val="20"/>
          <w:color w:val="auto"/>
        </w:rPr>
      </w:pPr>
    </w:p>
    <w:p>
      <w:pPr>
        <w:ind w:firstLine="630"/>
        <w:spacing w:after="0" w:line="252" w:lineRule="auto"/>
        <w:rPr>
          <w:sz w:val="20"/>
          <w:szCs w:val="20"/>
          <w:color w:val="auto"/>
        </w:rPr>
      </w:pPr>
      <w:r>
        <w:rPr>
          <w:rFonts w:ascii="Times New Roman" w:cs="Times New Roman" w:eastAsia="Times New Roman" w:hAnsi="Times New Roman"/>
          <w:sz w:val="20"/>
          <w:szCs w:val="20"/>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U.S. Although we have not experienced any material supply interruptions to date, it is possible that political, economic or public health events could cause such interruptions in the future. If our manufacturers are unable to produce sufficient quantities for clinical trials or for commercialization, commercialization efforts would be impaired, which would have an adverse effect on our business, financial condition, results of operations and growth prospects.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w:t>
      </w:r>
    </w:p>
    <w:p>
      <w:pPr>
        <w:spacing w:after="0" w:line="96" w:lineRule="exact"/>
        <w:rPr>
          <w:sz w:val="20"/>
          <w:szCs w:val="20"/>
          <w:color w:val="auto"/>
        </w:rPr>
      </w:pPr>
    </w:p>
    <w:p>
      <w:pPr>
        <w:ind w:right="60" w:firstLine="630"/>
        <w:spacing w:after="0" w:line="253" w:lineRule="auto"/>
        <w:rPr>
          <w:sz w:val="20"/>
          <w:szCs w:val="20"/>
          <w:color w:val="auto"/>
        </w:rPr>
      </w:pPr>
      <w:r>
        <w:rPr>
          <w:rFonts w:ascii="Times New Roman" w:cs="Times New Roman" w:eastAsia="Times New Roman" w:hAnsi="Times New Roman"/>
          <w:sz w:val="20"/>
          <w:szCs w:val="20"/>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Even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 Accordingly, failures or difficulties faced at any level of our manufacturing process could adversely affect our business and delay or impede the development and commercialization of our product candidates or products and could have an adverse effect on our business, prospects, financial condition and results of operations.</w:t>
      </w:r>
    </w:p>
    <w:p>
      <w:pPr>
        <w:sectPr>
          <w:pgSz w:w="12240" w:h="15840" w:orient="portrait"/>
          <w:cols w:equalWidth="0" w:num="1">
            <w:col w:w="10240"/>
          </w:cols>
          <w:pgMar w:left="1000" w:top="793" w:right="1000" w:bottom="0"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240"/>
          </w:cols>
          <w:pgMar w:left="1000" w:top="793" w:right="1000" w:bottom="0" w:gutter="0" w:footer="0" w:header="0"/>
          <w:type w:val="continuous"/>
        </w:sectPr>
      </w:pPr>
    </w:p>
    <w:bookmarkStart w:id="32" w:name="page33"/>
    <w:bookmarkEnd w:id="32"/>
    <w:p>
      <w:pPr>
        <w:jc w:val="both"/>
        <w:ind w:right="40"/>
        <w:spacing w:after="0" w:line="268" w:lineRule="auto"/>
        <w:rPr>
          <w:sz w:val="20"/>
          <w:szCs w:val="20"/>
          <w:color w:val="auto"/>
        </w:rPr>
      </w:pPr>
      <w:r>
        <w:rPr>
          <w:rFonts w:ascii="Times New Roman" w:cs="Times New Roman" w:eastAsia="Times New Roman" w:hAnsi="Times New Roman"/>
          <w:sz w:val="20"/>
          <w:szCs w:val="20"/>
          <w:b w:val="1"/>
          <w:bCs w:val="1"/>
          <w:color w:val="auto"/>
        </w:rPr>
        <w:t>Political, economic or public health events may have a material impact on the U.S. and global economies and could have a material adverse impact on our employees, contractors and patients, which could adversely and materially impact our business, financial condition and results of operations.</w:t>
      </w:r>
    </w:p>
    <w:p>
      <w:pPr>
        <w:spacing w:after="0" w:line="77" w:lineRule="exact"/>
        <w:rPr>
          <w:sz w:val="20"/>
          <w:szCs w:val="20"/>
          <w:color w:val="auto"/>
        </w:rPr>
      </w:pPr>
    </w:p>
    <w:p>
      <w:pPr>
        <w:ind w:firstLine="630"/>
        <w:spacing w:after="0" w:line="256" w:lineRule="auto"/>
        <w:rPr>
          <w:sz w:val="20"/>
          <w:szCs w:val="20"/>
          <w:color w:val="auto"/>
        </w:rPr>
      </w:pPr>
      <w:r>
        <w:rPr>
          <w:rFonts w:ascii="Times New Roman" w:cs="Times New Roman" w:eastAsia="Times New Roman" w:hAnsi="Times New Roman"/>
          <w:sz w:val="20"/>
          <w:szCs w:val="20"/>
          <w:color w:val="auto"/>
        </w:rPr>
        <w:t>Political, economic, or public health events, such as the COVID-19 pandemic and related mitigation measures or actual or perceived instability in the U.S. and global banking systems, have had, and may continue to have, an adverse impact on global economic conditions, which could have an adverse effect on our business and financial condition, including impairing our ability to raise capital when needed. The extent to which any political, economic or public health event impacts our business and operations will depend on future developments that are highly uncertain and cannot be predicted, including new information that may emerge concerning the severity of the event and the actions to contain its impact.</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 and Capital Needs</w:t>
      </w:r>
    </w:p>
    <w:p>
      <w:pPr>
        <w:spacing w:after="0" w:line="130"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20"/>
          <w:szCs w:val="20"/>
          <w:b w:val="1"/>
          <w:bCs w:val="1"/>
          <w:color w:val="auto"/>
        </w:rPr>
        <w:t>We have limited operating revenue and a history of operational losses and may not achieve or sustain profitability. We have no products approved for commercial sale, and to date we have not generated any revenue or profit from sales of our product candidates.</w:t>
      </w:r>
    </w:p>
    <w:p>
      <w:pPr>
        <w:spacing w:after="0" w:line="77" w:lineRule="exact"/>
        <w:rPr>
          <w:sz w:val="20"/>
          <w:szCs w:val="20"/>
          <w:color w:val="auto"/>
        </w:rPr>
      </w:pPr>
    </w:p>
    <w:p>
      <w:pPr>
        <w:ind w:right="180" w:firstLine="630"/>
        <w:spacing w:after="0" w:line="256" w:lineRule="auto"/>
        <w:rPr>
          <w:sz w:val="20"/>
          <w:szCs w:val="20"/>
          <w:color w:val="auto"/>
        </w:rPr>
      </w:pPr>
      <w:r>
        <w:rPr>
          <w:rFonts w:ascii="Times New Roman" w:cs="Times New Roman" w:eastAsia="Times New Roman" w:hAnsi="Times New Roman"/>
          <w:sz w:val="20"/>
          <w:szCs w:val="20"/>
          <w:color w:val="auto"/>
        </w:rPr>
        <w:t>We are a clinical-stage biotechnology company with a limited operating history. We have no approved products. To date, our revenue has been primarily derived from our GSK research collaboration and license agreement and royalty monetization agreements based on our GSK collaboration,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88" w:lineRule="exact"/>
        <w:rPr>
          <w:sz w:val="20"/>
          <w:szCs w:val="20"/>
          <w:color w:val="auto"/>
        </w:rPr>
      </w:pPr>
    </w:p>
    <w:p>
      <w:pPr>
        <w:ind w:right="300" w:firstLine="630"/>
        <w:spacing w:after="0" w:line="266" w:lineRule="auto"/>
        <w:rPr>
          <w:sz w:val="20"/>
          <w:szCs w:val="20"/>
          <w:color w:val="auto"/>
        </w:rPr>
      </w:pPr>
      <w:r>
        <w:rPr>
          <w:rFonts w:ascii="Times New Roman" w:cs="Times New Roman" w:eastAsia="Times New Roman" w:hAnsi="Times New Roman"/>
          <w:sz w:val="20"/>
          <w:szCs w:val="20"/>
          <w:color w:val="auto"/>
        </w:rPr>
        <w:t>Since our inception, we have incurred significant operating losses in every year except fiscal year 2014. For the year ended December 31, 2023, our collaboration revenue was $17.2 million and our net loss was $163.6 million. As of December 31, 2023, we had an accumulated deficit of $614.1 million.</w:t>
      </w:r>
    </w:p>
    <w:p>
      <w:pPr>
        <w:spacing w:after="0" w:line="75" w:lineRule="exact"/>
        <w:rPr>
          <w:sz w:val="20"/>
          <w:szCs w:val="20"/>
          <w:color w:val="auto"/>
        </w:rPr>
      </w:pPr>
    </w:p>
    <w:p>
      <w:pPr>
        <w:ind w:right="40" w:firstLine="630"/>
        <w:spacing w:after="0" w:line="253" w:lineRule="auto"/>
        <w:rPr>
          <w:sz w:val="20"/>
          <w:szCs w:val="20"/>
          <w:color w:val="auto"/>
        </w:rPr>
      </w:pPr>
      <w:r>
        <w:rPr>
          <w:rFonts w:ascii="Times New Roman" w:cs="Times New Roman" w:eastAsia="Times New Roman" w:hAnsi="Times New Roman"/>
          <w:sz w:val="20"/>
          <w:szCs w:val="20"/>
          <w:color w:val="auto"/>
        </w:rPr>
        <w:t xml:space="preserve">We have financed our operations primarily through our initial public offering of common stock in January 2017, our follow-on public offerings of common stock in October 2017 and September 2018, our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and our Zejula Royalty Monetization Agreement. We have devoted substantially all of our efforts to research and development. Rosnilimab and ANB032 are in Phase 2 clinical development and we expect that it will be several years, if ever, before any of our active product candidates are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milestone and royalty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spacing w:after="0" w:line="96" w:lineRule="exact"/>
        <w:rPr>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research and preclinical development of our product candidates;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additional product candidates;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existing and enter into new collaboration agreements;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additional preclinical studies and initiate clinical trials for our product candidates;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approvals for the product candidates we develop or developed under our collaboration arrangements;</w:t>
      </w:r>
    </w:p>
    <w:p>
      <w:pPr>
        <w:spacing w:after="0" w:line="130" w:lineRule="exact"/>
        <w:rPr>
          <w:rFonts w:ascii="Times New Roman" w:cs="Times New Roman" w:eastAsia="Times New Roman" w:hAnsi="Times New Roman"/>
          <w:sz w:val="20"/>
          <w:szCs w:val="20"/>
          <w:color w:val="auto"/>
        </w:rPr>
      </w:pPr>
    </w:p>
    <w:p>
      <w:pPr>
        <w:ind w:left="720" w:right="80" w:hanging="370"/>
        <w:spacing w:after="0" w:line="281"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 sales, marketing and distribution infrastructure to commercialize any product candidates for which we may obtain marketing approval;</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expand and protect our intellectual property portfolio;</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hire additional executive, clinical, quality control and scientific personnel;</w:t>
      </w:r>
    </w:p>
    <w:p>
      <w:pPr>
        <w:spacing w:after="0" w:line="130" w:lineRule="exact"/>
        <w:rPr>
          <w:rFonts w:ascii="Times New Roman" w:cs="Times New Roman" w:eastAsia="Times New Roman" w:hAnsi="Times New Roman"/>
          <w:sz w:val="20"/>
          <w:szCs w:val="20"/>
          <w:color w:val="auto"/>
        </w:rPr>
      </w:pPr>
    </w:p>
    <w:p>
      <w:pPr>
        <w:ind w:left="720" w:right="380" w:hanging="370"/>
        <w:spacing w:after="0" w:line="281"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 operational, financial and management information systems and personnel, including personnel to support our product development and commercialization efforts;</w:t>
      </w:r>
    </w:p>
    <w:p>
      <w:pPr>
        <w:spacing w:after="0" w:line="61" w:lineRule="exact"/>
        <w:rPr>
          <w:rFonts w:ascii="Times New Roman" w:cs="Times New Roman" w:eastAsia="Times New Roman" w:hAnsi="Times New Roman"/>
          <w:sz w:val="20"/>
          <w:szCs w:val="20"/>
          <w:color w:val="auto"/>
        </w:rPr>
      </w:pPr>
    </w:p>
    <w:p>
      <w:pPr>
        <w:ind w:left="720" w:right="520" w:hanging="370"/>
        <w:spacing w:after="0" w:line="281"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and maintain supply and manufacturing relationships with third parties and ensure adequate and legally compliant manufacturing of our product candidates;</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coverage and adequate product reimbursement from third-party payors, including government payors;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or in-license other product candidates and technologies; and</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achieve market acceptance for our or our collaborators’ products, if any.</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240"/>
          </w:cols>
          <w:pgMar w:left="1000" w:top="786" w:right="1000" w:bottom="0" w:gutter="0" w:footer="0" w:header="0"/>
          <w:type w:val="continuous"/>
        </w:sectPr>
      </w:pPr>
    </w:p>
    <w:bookmarkStart w:id="33" w:name="page34"/>
    <w:bookmarkEnd w:id="33"/>
    <w:p>
      <w:pPr>
        <w:ind w:right="200" w:firstLine="630"/>
        <w:spacing w:after="0" w:line="256" w:lineRule="auto"/>
        <w:rPr>
          <w:sz w:val="20"/>
          <w:szCs w:val="20"/>
          <w:color w:val="auto"/>
        </w:rPr>
      </w:pPr>
      <w:r>
        <w:rPr>
          <w:rFonts w:ascii="Times New Roman" w:cs="Times New Roman" w:eastAsia="Times New Roman" w:hAnsi="Times New Roman"/>
          <w:sz w:val="20"/>
          <w:szCs w:val="20"/>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any of our product candidates are approved for commercial sale, we anticipate incurring significant costs associated with the commercial launch of any product candidate.</w:t>
      </w:r>
    </w:p>
    <w:p>
      <w:pPr>
        <w:spacing w:after="0" w:line="88" w:lineRule="exact"/>
        <w:rPr>
          <w:sz w:val="20"/>
          <w:szCs w:val="20"/>
          <w:color w:val="auto"/>
        </w:rPr>
      </w:pPr>
    </w:p>
    <w:p>
      <w:pPr>
        <w:ind w:firstLine="630"/>
        <w:spacing w:after="0" w:line="268" w:lineRule="auto"/>
        <w:rPr>
          <w:sz w:val="20"/>
          <w:szCs w:val="20"/>
          <w:color w:val="auto"/>
        </w:rPr>
      </w:pPr>
      <w:r>
        <w:rPr>
          <w:rFonts w:ascii="Times New Roman" w:cs="Times New Roman" w:eastAsia="Times New Roman" w:hAnsi="Times New Roman"/>
          <w:sz w:val="19"/>
          <w:szCs w:val="19"/>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19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20"/>
          <w:szCs w:val="20"/>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77" w:lineRule="exact"/>
        <w:rPr>
          <w:sz w:val="20"/>
          <w:szCs w:val="20"/>
          <w:color w:val="auto"/>
        </w:rPr>
      </w:pPr>
    </w:p>
    <w:p>
      <w:pPr>
        <w:ind w:right="80" w:firstLine="630"/>
        <w:spacing w:after="0" w:line="253" w:lineRule="auto"/>
        <w:rPr>
          <w:sz w:val="20"/>
          <w:szCs w:val="20"/>
          <w:color w:val="auto"/>
        </w:rPr>
      </w:pPr>
      <w:r>
        <w:rPr>
          <w:rFonts w:ascii="Times New Roman" w:cs="Times New Roman" w:eastAsia="Times New Roman" w:hAnsi="Times New Roman"/>
          <w:sz w:val="20"/>
          <w:szCs w:val="20"/>
          <w:color w:val="auto"/>
        </w:rPr>
        <w:t>As a research and development company, our operations have consumed substantial amounts of cash since our inception. We expect our research and development expenses to increase in connection with our ongoing activities, which expenses may substantially increase if we conduct Phase 3 clinical trials or seek marketing approval for our product candidates without any partnerships.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for at least the next 12 months. However, circumstances may cause us to consume capital more rapidly than we currently anticipate. For example, as we continue to move our product candidates into and through clinical trials, we may have adverse results requiring us to find new product candidates. Any of these events may increase our development costs more than we expect. We may need to raise additional funds or otherwise obtain funding through collaboration agreements to continue development of our product candidates.</w:t>
      </w:r>
    </w:p>
    <w:p>
      <w:pPr>
        <w:spacing w:after="0" w:line="93" w:lineRule="exact"/>
        <w:rPr>
          <w:sz w:val="20"/>
          <w:szCs w:val="20"/>
          <w:color w:val="auto"/>
        </w:rPr>
      </w:pPr>
    </w:p>
    <w:p>
      <w:pPr>
        <w:ind w:right="40" w:firstLine="630"/>
        <w:spacing w:after="0" w:line="260" w:lineRule="auto"/>
        <w:rPr>
          <w:sz w:val="20"/>
          <w:szCs w:val="20"/>
          <w:color w:val="auto"/>
        </w:rPr>
      </w:pPr>
      <w:r>
        <w:rPr>
          <w:rFonts w:ascii="Times New Roman" w:cs="Times New Roman" w:eastAsia="Times New Roman" w:hAnsi="Times New Roman"/>
          <w:sz w:val="20"/>
          <w:szCs w:val="20"/>
          <w:color w:val="auto"/>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83" w:lineRule="exact"/>
        <w:rPr>
          <w:sz w:val="20"/>
          <w:szCs w:val="20"/>
          <w:color w:val="auto"/>
        </w:rPr>
      </w:pPr>
    </w:p>
    <w:p>
      <w:pPr>
        <w:ind w:left="720" w:hanging="370"/>
        <w:spacing w:after="0" w:line="28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significantly delay, scale back or discontinue the development or commercialization of our product candidates or cease operations altogether;</w:t>
      </w:r>
    </w:p>
    <w:p>
      <w:pPr>
        <w:spacing w:after="0" w:line="61" w:lineRule="exact"/>
        <w:rPr>
          <w:rFonts w:ascii="Times New Roman" w:cs="Times New Roman" w:eastAsia="Times New Roman" w:hAnsi="Times New Roman"/>
          <w:sz w:val="20"/>
          <w:szCs w:val="20"/>
          <w:color w:val="auto"/>
        </w:rPr>
      </w:pPr>
    </w:p>
    <w:p>
      <w:pPr>
        <w:ind w:left="720" w:right="200" w:hanging="370"/>
        <w:spacing w:after="0" w:line="28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strategic alliances for research and development programs at an earlier stage than we would otherwise desire or on terms less favorable than might otherwise be available;</w:t>
      </w:r>
    </w:p>
    <w:p>
      <w:pPr>
        <w:spacing w:after="0" w:line="61" w:lineRule="exact"/>
        <w:rPr>
          <w:rFonts w:ascii="Times New Roman" w:cs="Times New Roman" w:eastAsia="Times New Roman" w:hAnsi="Times New Roman"/>
          <w:sz w:val="20"/>
          <w:szCs w:val="20"/>
          <w:color w:val="auto"/>
        </w:rPr>
      </w:pPr>
    </w:p>
    <w:p>
      <w:pPr>
        <w:ind w:left="720" w:right="200" w:hanging="370"/>
        <w:spacing w:after="0" w:line="28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relinquish, or license on unfavorable terms, our rights to technologies or future product candidates that we otherwise would seek to develop or commercialize ourselves; or</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eliminate staff to conserve resources.</w:t>
      </w:r>
    </w:p>
    <w:p>
      <w:pPr>
        <w:spacing w:after="0" w:line="130" w:lineRule="exact"/>
        <w:rPr>
          <w:sz w:val="20"/>
          <w:szCs w:val="20"/>
          <w:color w:val="auto"/>
        </w:rPr>
      </w:pPr>
    </w:p>
    <w:p>
      <w:pPr>
        <w:ind w:right="20" w:firstLine="630"/>
        <w:spacing w:after="0" w:line="253" w:lineRule="auto"/>
        <w:rPr>
          <w:sz w:val="20"/>
          <w:szCs w:val="20"/>
          <w:color w:val="auto"/>
        </w:rPr>
      </w:pPr>
      <w:r>
        <w:rPr>
          <w:rFonts w:ascii="Times New Roman" w:cs="Times New Roman" w:eastAsia="Times New Roman" w:hAnsi="Times New Roman"/>
          <w:sz w:val="20"/>
          <w:szCs w:val="20"/>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Adverse macro-economic conditions, including volatility in equity capital markets, rising interest rates, actual or perceived instability in the U.S. and global banking systems, and fluctuations in foreign exchange rates, could prevent us from raising additional capital in sufficient amounts or on terms acceptable to us or at all.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96" w:lineRule="exact"/>
        <w:rPr>
          <w:sz w:val="20"/>
          <w:szCs w:val="20"/>
          <w:color w:val="auto"/>
        </w:rPr>
      </w:pPr>
    </w:p>
    <w:p>
      <w:pPr>
        <w:ind w:left="720" w:right="60" w:hanging="370"/>
        <w:spacing w:after="0" w:line="281"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initiation, progress, timing, costs and results of preclinical studies and clinical trials for our product candidates and future product candidates we may develop;</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220"/>
          </w:cols>
          <w:pgMar w:left="1000" w:top="793" w:right="1020" w:bottom="0" w:gutter="0" w:footer="0" w:header="0"/>
          <w:type w:val="continuous"/>
        </w:sectPr>
      </w:pPr>
    </w:p>
    <w:bookmarkStart w:id="34" w:name="page35"/>
    <w:bookmarkEnd w:id="34"/>
    <w:p>
      <w:pPr>
        <w:ind w:left="720" w:right="200" w:hanging="370"/>
        <w:spacing w:after="0" w:line="281"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and size of clinical trials needed to show safety, efficacy and an acceptable risk/benefit profile for any of our product candidates;</w:t>
      </w:r>
    </w:p>
    <w:p>
      <w:pPr>
        <w:spacing w:after="0" w:line="61" w:lineRule="exact"/>
        <w:rPr>
          <w:rFonts w:ascii="Times New Roman" w:cs="Times New Roman" w:eastAsia="Times New Roman" w:hAnsi="Times New Roman"/>
          <w:sz w:val="20"/>
          <w:szCs w:val="20"/>
          <w:color w:val="auto"/>
        </w:rPr>
      </w:pPr>
    </w:p>
    <w:p>
      <w:pPr>
        <w:ind w:left="720" w:right="100" w:hanging="370"/>
        <w:spacing w:after="0" w:line="266"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71" w:lineRule="exact"/>
        <w:rPr>
          <w:rFonts w:ascii="Times New Roman" w:cs="Times New Roman" w:eastAsia="Times New Roman" w:hAnsi="Times New Roman"/>
          <w:sz w:val="20"/>
          <w:szCs w:val="20"/>
          <w:color w:val="auto"/>
        </w:rPr>
      </w:pPr>
    </w:p>
    <w:p>
      <w:pPr>
        <w:ind w:left="720" w:right="480" w:hanging="370"/>
        <w:spacing w:after="0" w:line="285"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commercial success or failure of products sold by our collaborators, such as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by GSK, and the timing thereof;</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existing and enter into new collaboration agreements;</w:t>
      </w:r>
    </w:p>
    <w:p>
      <w:pPr>
        <w:spacing w:after="0" w:line="130" w:lineRule="exact"/>
        <w:rPr>
          <w:rFonts w:ascii="Times New Roman" w:cs="Times New Roman" w:eastAsia="Times New Roman" w:hAnsi="Times New Roman"/>
          <w:sz w:val="20"/>
          <w:szCs w:val="20"/>
          <w:color w:val="auto"/>
        </w:rPr>
      </w:pPr>
    </w:p>
    <w:p>
      <w:pPr>
        <w:ind w:left="720" w:hanging="370"/>
        <w:spacing w:after="0" w:line="266"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7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competing technological and market developments;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acceptance of any approved product candidates;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acquiring, licensing or investing in additional businesses, products, product candidates and technologies;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recruiting and retaining key employees;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and fees associated with any delays or cancellations of forecasted manufacturing batches;</w:t>
      </w:r>
    </w:p>
    <w:p>
      <w:pPr>
        <w:spacing w:after="0" w:line="238" w:lineRule="exact"/>
        <w:rPr>
          <w:rFonts w:ascii="Times New Roman" w:cs="Times New Roman" w:eastAsia="Times New Roman" w:hAnsi="Times New Roman"/>
          <w:sz w:val="20"/>
          <w:szCs w:val="20"/>
          <w:color w:val="auto"/>
        </w:rPr>
      </w:pPr>
    </w:p>
    <w:p>
      <w:pPr>
        <w:ind w:left="720" w:right="820" w:hanging="370"/>
        <w:spacing w:after="0" w:line="281"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and timing of selecting, auditing and potentially validating manufacturing sites for commercial-scale manufacturing; and</w:t>
      </w:r>
    </w:p>
    <w:p>
      <w:pPr>
        <w:spacing w:after="0" w:line="61" w:lineRule="exact"/>
        <w:rPr>
          <w:rFonts w:ascii="Times New Roman" w:cs="Times New Roman" w:eastAsia="Times New Roman" w:hAnsi="Times New Roman"/>
          <w:sz w:val="20"/>
          <w:szCs w:val="20"/>
          <w:color w:val="auto"/>
        </w:rPr>
      </w:pPr>
    </w:p>
    <w:p>
      <w:pPr>
        <w:ind w:left="720" w:right="420" w:hanging="370"/>
        <w:spacing w:after="0" w:line="266"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75" w:lineRule="exact"/>
        <w:rPr>
          <w:sz w:val="20"/>
          <w:szCs w:val="20"/>
          <w:color w:val="auto"/>
        </w:rPr>
      </w:pPr>
    </w:p>
    <w:p>
      <w:pPr>
        <w:ind w:right="300" w:firstLine="630"/>
        <w:spacing w:after="0" w:line="281" w:lineRule="auto"/>
        <w:rPr>
          <w:sz w:val="20"/>
          <w:szCs w:val="20"/>
          <w:color w:val="auto"/>
        </w:rPr>
      </w:pPr>
      <w:r>
        <w:rPr>
          <w:rFonts w:ascii="Times New Roman" w:cs="Times New Roman" w:eastAsia="Times New Roman" w:hAnsi="Times New Roman"/>
          <w:sz w:val="20"/>
          <w:szCs w:val="20"/>
          <w:color w:val="auto"/>
        </w:rPr>
        <w:t>If we cannot expand our operations or otherwise capitalize on our business opportunities due to a lack of capital, our business, financial condition and results of operations could be adversely affected.</w:t>
      </w:r>
    </w:p>
    <w:p>
      <w:pPr>
        <w:spacing w:after="0" w:line="174"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20"/>
          <w:szCs w:val="20"/>
          <w:b w:val="1"/>
          <w:bCs w:val="1"/>
          <w:color w:val="auto"/>
        </w:rPr>
        <w:t>Raising additional capital may cause dilution to our existing stockholders, restrict our operations or require us to relinquish rights to our product candidates on unfavorable terms to us.</w:t>
      </w:r>
    </w:p>
    <w:p>
      <w:pPr>
        <w:spacing w:after="0" w:line="59" w:lineRule="exact"/>
        <w:rPr>
          <w:sz w:val="20"/>
          <w:szCs w:val="20"/>
          <w:color w:val="auto"/>
        </w:rPr>
      </w:pPr>
    </w:p>
    <w:p>
      <w:pPr>
        <w:ind w:firstLine="495"/>
        <w:spacing w:after="0" w:line="253" w:lineRule="auto"/>
        <w:rPr>
          <w:sz w:val="20"/>
          <w:szCs w:val="20"/>
          <w:color w:val="auto"/>
        </w:rPr>
      </w:pPr>
      <w:r>
        <w:rPr>
          <w:rFonts w:ascii="Times New Roman" w:cs="Times New Roman" w:eastAsia="Times New Roman" w:hAnsi="Times New Roman"/>
          <w:sz w:val="20"/>
          <w:szCs w:val="20"/>
          <w:color w:val="auto"/>
        </w:rPr>
        <w:t>We may seek additional capital through a variety of means, including through public or private equity, debt financings or other sources, including up-front payments and milestone payments from strategic collaborations, license agreements and royalty agreements.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Dependence on Third Parties</w:t>
      </w:r>
    </w:p>
    <w:p>
      <w:pPr>
        <w:spacing w:after="0" w:line="13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0"/>
          <w:szCs w:val="20"/>
          <w:b w:val="1"/>
          <w:bCs w:val="1"/>
          <w:color w:val="auto"/>
        </w:rPr>
        <w:t>Our existing collaboration with GSK is important to our business, and future collaborations may also be important to us. If we are unable to maintain this collaboration, or if this collaboration is not successful, our business could be adversely affected.</w:t>
      </w:r>
    </w:p>
    <w:p>
      <w:pPr>
        <w:spacing w:after="0" w:line="77" w:lineRule="exact"/>
        <w:rPr>
          <w:sz w:val="20"/>
          <w:szCs w:val="20"/>
          <w:color w:val="auto"/>
        </w:rPr>
      </w:pPr>
    </w:p>
    <w:p>
      <w:pPr>
        <w:ind w:right="40" w:firstLine="630"/>
        <w:spacing w:after="0" w:line="256" w:lineRule="auto"/>
        <w:rPr>
          <w:sz w:val="20"/>
          <w:szCs w:val="20"/>
          <w:color w:val="auto"/>
        </w:rPr>
      </w:pPr>
      <w:r>
        <w:rPr>
          <w:rFonts w:ascii="Times New Roman" w:cs="Times New Roman" w:eastAsia="Times New Roman" w:hAnsi="Times New Roman"/>
          <w:sz w:val="20"/>
          <w:szCs w:val="20"/>
          <w:color w:val="auto"/>
        </w:rPr>
        <w:t>We have entered into collaboration with GSK to develop several of our product candidates. GSK has advanced multiple antibodies generated through our collaboration into clinical trials. If our collaboration with GSK were terminated, we may not receive all or any of the funding potentially coming from such collaboration, which could adversely affect our business or financial condition. For example, in October 2023, we agreed with GSK to terminate the anti-LAG-3 antagonist antibody development program under our existing collaboration. As a result, we will not receive any additional milestones or any royalties from GSK for that development program.</w:t>
      </w:r>
    </w:p>
    <w:p>
      <w:pPr>
        <w:spacing w:after="0" w:line="88" w:lineRule="exact"/>
        <w:rPr>
          <w:sz w:val="20"/>
          <w:szCs w:val="20"/>
          <w:color w:val="auto"/>
        </w:rPr>
      </w:pPr>
    </w:p>
    <w:p>
      <w:pPr>
        <w:ind w:right="160" w:firstLine="630"/>
        <w:spacing w:after="0" w:line="286" w:lineRule="auto"/>
        <w:rPr>
          <w:sz w:val="20"/>
          <w:szCs w:val="20"/>
          <w:color w:val="auto"/>
        </w:rPr>
      </w:pPr>
      <w:r>
        <w:rPr>
          <w:rFonts w:ascii="Times New Roman" w:cs="Times New Roman" w:eastAsia="Times New Roman" w:hAnsi="Times New Roman"/>
          <w:sz w:val="19"/>
          <w:szCs w:val="19"/>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w:t>
      </w:r>
    </w:p>
    <w:p>
      <w:pPr>
        <w:sectPr>
          <w:pgSz w:w="12240" w:h="15840" w:orient="portrait"/>
          <w:cols w:equalWidth="0" w:num="1">
            <w:col w:w="10240"/>
          </w:cols>
          <w:pgMar w:left="1000" w:top="793" w:right="1000" w:bottom="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240"/>
          </w:cols>
          <w:pgMar w:left="1000" w:top="793" w:right="1000" w:bottom="0" w:gutter="0" w:footer="0" w:header="0"/>
          <w:type w:val="continuous"/>
        </w:sectPr>
      </w:pPr>
    </w:p>
    <w:bookmarkStart w:id="35" w:name="page36"/>
    <w:bookmarkEnd w:id="35"/>
    <w:p>
      <w:pPr>
        <w:ind w:right="20"/>
        <w:spacing w:after="0" w:line="253" w:lineRule="auto"/>
        <w:rPr>
          <w:sz w:val="20"/>
          <w:szCs w:val="20"/>
          <w:color w:val="auto"/>
        </w:rPr>
      </w:pPr>
      <w:r>
        <w:rPr>
          <w:rFonts w:ascii="Times New Roman" w:cs="Times New Roman" w:eastAsia="Times New Roman" w:hAnsi="Times New Roman"/>
          <w:sz w:val="20"/>
          <w:szCs w:val="20"/>
          <w:color w:val="auto"/>
        </w:rPr>
        <w:t xml:space="preserve">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 For example, in August 2020, we served notice on GSK related to an alleged breach of our collaboration agreement in connection with GSK’s use of certain antibodies originally developed by us for the development of a drug not covered by the agreement. We subsequently settled this matter in October 2020, but </w:t>
      </w:r>
      <w:r>
        <w:rPr>
          <w:rFonts w:ascii="Times New Roman" w:cs="Times New Roman" w:eastAsia="Times New Roman" w:hAnsi="Times New Roman"/>
          <w:sz w:val="24"/>
          <w:szCs w:val="24"/>
          <w:color w:val="auto"/>
        </w:rPr>
        <w:t>t</w:t>
      </w:r>
      <w:r>
        <w:rPr>
          <w:rFonts w:ascii="Times New Roman" w:cs="Times New Roman" w:eastAsia="Times New Roman" w:hAnsi="Times New Roman"/>
          <w:sz w:val="20"/>
          <w:szCs w:val="20"/>
          <w:color w:val="auto"/>
        </w:rPr>
        <w:t>here can be no assurance that we will not encounter such issues under our collaborations with GSK or other parties in the future.</w:t>
      </w:r>
    </w:p>
    <w:p>
      <w:pPr>
        <w:spacing w:after="0" w:line="8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20"/>
          <w:szCs w:val="20"/>
          <w:b w:val="1"/>
          <w:bCs w:val="1"/>
          <w:color w:val="auto"/>
        </w:rPr>
        <w:t>We may not succeed in establishing and maintaining additional development and commercialization collaborations, including the development or out-licensing of our legacy product candidates, which could adversely affect our ability to develop and commercialize product candidates.</w:t>
      </w:r>
    </w:p>
    <w:p>
      <w:pPr>
        <w:spacing w:after="0" w:line="77" w:lineRule="exact"/>
        <w:rPr>
          <w:sz w:val="20"/>
          <w:szCs w:val="20"/>
          <w:color w:val="auto"/>
        </w:rPr>
      </w:pPr>
    </w:p>
    <w:p>
      <w:pPr>
        <w:ind w:right="20" w:firstLine="630"/>
        <w:spacing w:after="0" w:line="252" w:lineRule="auto"/>
        <w:rPr>
          <w:sz w:val="20"/>
          <w:szCs w:val="20"/>
          <w:color w:val="auto"/>
        </w:rPr>
      </w:pPr>
      <w:r>
        <w:rPr>
          <w:rFonts w:ascii="Times New Roman" w:cs="Times New Roman" w:eastAsia="Times New Roman" w:hAnsi="Times New Roman"/>
          <w:sz w:val="20"/>
          <w:szCs w:val="20"/>
          <w:color w:val="auto"/>
        </w:rPr>
        <w:t>In addition to our current licensing arrangements, a part of our strategy is to enter into additional strategic product development and commercialization collaborations in the future, including collaborations to broaden and accelerate clinical development and potential commercialization of our product candidates, including our plans to develop and out-license our legacy product candidates, imsidolimab and etokimab.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Moreover, if we fail to establish and maintain additional collaborations related to our product candidates:</w:t>
      </w:r>
    </w:p>
    <w:p>
      <w:pPr>
        <w:spacing w:after="0" w:line="130" w:lineRule="exact"/>
        <w:rPr>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development of certain of our current or future product candidates may be terminated or delayed;</w:t>
      </w:r>
    </w:p>
    <w:p>
      <w:pPr>
        <w:spacing w:after="0" w:line="130" w:lineRule="exact"/>
        <w:rPr>
          <w:rFonts w:ascii="Times New Roman" w:cs="Times New Roman" w:eastAsia="Times New Roman" w:hAnsi="Times New Roman"/>
          <w:sz w:val="20"/>
          <w:szCs w:val="20"/>
          <w:color w:val="auto"/>
        </w:rPr>
      </w:pPr>
    </w:p>
    <w:p>
      <w:pPr>
        <w:ind w:left="720" w:right="400" w:hanging="370"/>
        <w:spacing w:after="0" w:line="28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cash expenditures related to development of certain of our current or future product candidates would increase significantly and we may need to seek additional financing;</w:t>
      </w:r>
    </w:p>
    <w:p>
      <w:pPr>
        <w:spacing w:after="0" w:line="61"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to hire additional employees or otherwise develop expertise, such as sales and marketing expertise, for which we have not budgeted; and</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bear all of the risk related to the development and commercialization of any such product candidates.</w:t>
      </w:r>
    </w:p>
    <w:p>
      <w:pPr>
        <w:spacing w:after="0" w:line="243"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9"/>
          <w:szCs w:val="19"/>
          <w:b w:val="1"/>
          <w:bCs w:val="1"/>
          <w:color w:val="auto"/>
        </w:rPr>
        <w:t>If third parties on which we depend to conduct our planned preclinical studies and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61" w:lineRule="exact"/>
        <w:rPr>
          <w:sz w:val="20"/>
          <w:szCs w:val="20"/>
          <w:color w:val="auto"/>
        </w:rPr>
      </w:pPr>
    </w:p>
    <w:p>
      <w:pPr>
        <w:ind w:right="20" w:firstLine="630"/>
        <w:spacing w:after="0" w:line="253" w:lineRule="auto"/>
        <w:rPr>
          <w:sz w:val="20"/>
          <w:szCs w:val="20"/>
          <w:color w:val="auto"/>
        </w:rPr>
      </w:pPr>
      <w:r>
        <w:rPr>
          <w:rFonts w:ascii="Times New Roman" w:cs="Times New Roman" w:eastAsia="Times New Roman" w:hAnsi="Times New Roman"/>
          <w:sz w:val="20"/>
          <w:szCs w:val="20"/>
          <w:color w:val="auto"/>
        </w:rPr>
        <w:t>We rely on third-party clinical investigators, CROs, contract manufacturing organizations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93" w:lineRule="exact"/>
        <w:rPr>
          <w:sz w:val="20"/>
          <w:szCs w:val="20"/>
          <w:color w:val="auto"/>
        </w:rPr>
      </w:pPr>
    </w:p>
    <w:p>
      <w:pPr>
        <w:ind w:right="200" w:firstLine="630"/>
        <w:spacing w:after="0" w:line="286" w:lineRule="auto"/>
        <w:rPr>
          <w:sz w:val="20"/>
          <w:szCs w:val="20"/>
          <w:color w:val="auto"/>
        </w:rPr>
      </w:pPr>
      <w:r>
        <w:rPr>
          <w:rFonts w:ascii="Times New Roman" w:cs="Times New Roman" w:eastAsia="Times New Roman" w:hAnsi="Times New Roman"/>
          <w:sz w:val="19"/>
          <w:szCs w:val="19"/>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240"/>
          </w:cols>
          <w:pgMar w:left="1000" w:top="793" w:right="1000" w:bottom="0" w:gutter="0" w:footer="0" w:header="0"/>
          <w:type w:val="continuous"/>
        </w:sectPr>
      </w:pPr>
    </w:p>
    <w:bookmarkStart w:id="36" w:name="page37"/>
    <w:bookmarkEnd w:id="36"/>
    <w:p>
      <w:pPr>
        <w:ind w:right="140"/>
        <w:spacing w:after="0" w:line="260" w:lineRule="auto"/>
        <w:rPr>
          <w:sz w:val="20"/>
          <w:szCs w:val="20"/>
          <w:color w:val="auto"/>
        </w:rPr>
      </w:pPr>
      <w:r>
        <w:rPr>
          <w:rFonts w:ascii="Times New Roman" w:cs="Times New Roman" w:eastAsia="Times New Roman" w:hAnsi="Times New Roman"/>
          <w:sz w:val="20"/>
          <w:szCs w:val="20"/>
          <w:color w:val="auto"/>
        </w:rPr>
        <w:t>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19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We rely completely on third parties to manufacture our nonclinical, clinical and future commercial drug supplies of any approved products.</w:t>
      </w:r>
    </w:p>
    <w:p>
      <w:pPr>
        <w:spacing w:after="0" w:line="59" w:lineRule="exact"/>
        <w:rPr>
          <w:sz w:val="20"/>
          <w:szCs w:val="20"/>
          <w:color w:val="auto"/>
        </w:rPr>
      </w:pPr>
    </w:p>
    <w:p>
      <w:pPr>
        <w:ind w:right="60" w:firstLine="630"/>
        <w:spacing w:after="0" w:line="253" w:lineRule="auto"/>
        <w:rPr>
          <w:sz w:val="20"/>
          <w:szCs w:val="20"/>
          <w:color w:val="auto"/>
        </w:rPr>
      </w:pPr>
      <w:r>
        <w:rPr>
          <w:rFonts w:ascii="Times New Roman" w:cs="Times New Roman" w:eastAsia="Times New Roman" w:hAnsi="Times New Roman"/>
          <w:sz w:val="20"/>
          <w:szCs w:val="20"/>
          <w:color w:val="auto"/>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could considerably harm our business and ability to generate revenue and delay completion of our clinical trials, product testing and potential regulatory approval of our product candidates.</w:t>
      </w:r>
    </w:p>
    <w:p>
      <w:pPr>
        <w:spacing w:after="0" w:line="91" w:lineRule="exact"/>
        <w:rPr>
          <w:sz w:val="20"/>
          <w:szCs w:val="20"/>
          <w:color w:val="auto"/>
        </w:rPr>
      </w:pPr>
    </w:p>
    <w:p>
      <w:pPr>
        <w:ind w:right="100" w:firstLine="630"/>
        <w:spacing w:after="0" w:line="260" w:lineRule="auto"/>
        <w:rPr>
          <w:sz w:val="20"/>
          <w:szCs w:val="20"/>
          <w:color w:val="auto"/>
        </w:rPr>
      </w:pPr>
      <w:r>
        <w:rPr>
          <w:rFonts w:ascii="Times New Roman" w:cs="Times New Roman" w:eastAsia="Times New Roman" w:hAnsi="Times New Roman"/>
          <w:sz w:val="20"/>
          <w:szCs w:val="20"/>
          <w:color w:val="auto"/>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spacing w:after="0" w:line="83" w:lineRule="exact"/>
        <w:rPr>
          <w:sz w:val="20"/>
          <w:szCs w:val="20"/>
          <w:color w:val="auto"/>
        </w:rPr>
      </w:pPr>
    </w:p>
    <w:p>
      <w:pPr>
        <w:ind w:right="100" w:firstLine="630"/>
        <w:spacing w:after="0" w:line="255" w:lineRule="auto"/>
        <w:rPr>
          <w:sz w:val="20"/>
          <w:szCs w:val="20"/>
          <w:color w:val="auto"/>
        </w:rPr>
      </w:pPr>
      <w:r>
        <w:rPr>
          <w:rFonts w:ascii="Times New Roman" w:cs="Times New Roman" w:eastAsia="Times New Roman" w:hAnsi="Times New Roman"/>
          <w:sz w:val="20"/>
          <w:szCs w:val="20"/>
          <w:color w:val="auto"/>
        </w:rPr>
        <w:t>Reliance on third-party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20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20"/>
          <w:szCs w:val="20"/>
          <w:b w:val="1"/>
          <w:bCs w:val="1"/>
          <w:color w:val="auto"/>
        </w:rPr>
        <w:t>We depend on a small number of suppliers for the raw materials necessary to produce our product candidates. The loss of these suppliers, or their failure to supply us with these raw materials, would materially and adversely affect our business.</w:t>
      </w:r>
    </w:p>
    <w:p>
      <w:pPr>
        <w:spacing w:after="0" w:line="77" w:lineRule="exact"/>
        <w:rPr>
          <w:sz w:val="20"/>
          <w:szCs w:val="20"/>
          <w:color w:val="auto"/>
        </w:rPr>
      </w:pPr>
    </w:p>
    <w:p>
      <w:pPr>
        <w:ind w:right="180" w:firstLine="630"/>
        <w:spacing w:after="0" w:line="253" w:lineRule="auto"/>
        <w:rPr>
          <w:sz w:val="20"/>
          <w:szCs w:val="20"/>
          <w:color w:val="auto"/>
        </w:rPr>
      </w:pPr>
      <w:r>
        <w:rPr>
          <w:rFonts w:ascii="Times New Roman" w:cs="Times New Roman" w:eastAsia="Times New Roman" w:hAnsi="Times New Roman"/>
          <w:sz w:val="20"/>
          <w:szCs w:val="20"/>
          <w:color w:val="auto"/>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 If either we or any third-parties in the supply chain for materials used in the production of our product candidates are disrupted, including by political, economic or public health events, it could limit our ability to manufacture our product candidates for our preclinical or clinical studies.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Regulatory Approval of Our Product Candidates and Other Legal Compliance Matters</w:t>
      </w:r>
    </w:p>
    <w:p>
      <w:pPr>
        <w:spacing w:after="0" w:line="25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20"/>
          <w:szCs w:val="20"/>
          <w:b w:val="1"/>
          <w:bCs w:val="1"/>
          <w:color w:val="auto"/>
        </w:rPr>
        <w:t>The failure to obtain regulatory approval in international jurisdictions would prevent us or our collaborators from marketing our product candidates outside the United States.</w:t>
      </w:r>
    </w:p>
    <w:p>
      <w:pPr>
        <w:spacing w:after="0" w:line="59" w:lineRule="exact"/>
        <w:rPr>
          <w:sz w:val="20"/>
          <w:szCs w:val="20"/>
          <w:color w:val="auto"/>
        </w:rPr>
      </w:pPr>
    </w:p>
    <w:p>
      <w:pPr>
        <w:ind w:firstLine="630"/>
        <w:spacing w:after="0" w:line="256" w:lineRule="auto"/>
        <w:rPr>
          <w:sz w:val="20"/>
          <w:szCs w:val="20"/>
          <w:color w:val="auto"/>
        </w:rPr>
      </w:pPr>
      <w:r>
        <w:rPr>
          <w:rFonts w:ascii="Times New Roman" w:cs="Times New Roman" w:eastAsia="Times New Roman" w:hAnsi="Times New Roman"/>
          <w:sz w:val="20"/>
          <w:szCs w:val="20"/>
          <w:color w:val="auto"/>
        </w:rPr>
        <w:t>In order to market and sell our products in other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or our collaborators must secure product reimbursement approvals before regulatory authorities will approve the product for sale in that country. Obtaining foreign</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220"/>
          </w:cols>
          <w:pgMar w:left="1000" w:top="793" w:right="1020" w:bottom="0" w:gutter="0" w:footer="0" w:header="0"/>
          <w:type w:val="continuous"/>
        </w:sectPr>
      </w:pPr>
    </w:p>
    <w:bookmarkStart w:id="37" w:name="page38"/>
    <w:bookmarkEnd w:id="37"/>
    <w:p>
      <w:pPr>
        <w:ind w:right="340"/>
        <w:spacing w:after="0" w:line="281" w:lineRule="auto"/>
        <w:rPr>
          <w:sz w:val="20"/>
          <w:szCs w:val="20"/>
          <w:color w:val="auto"/>
        </w:rPr>
      </w:pPr>
      <w:r>
        <w:rPr>
          <w:rFonts w:ascii="Times New Roman" w:cs="Times New Roman" w:eastAsia="Times New Roman" w:hAnsi="Times New Roman"/>
          <w:sz w:val="20"/>
          <w:szCs w:val="20"/>
          <w:color w:val="auto"/>
        </w:rPr>
        <w:t>regulatory approvals and compliance with foreign regulatory requirements could result in significant delays, difficulties and costs for us and could delay or prevent the introduction of our products in certain countries.</w:t>
      </w:r>
    </w:p>
    <w:p>
      <w:pPr>
        <w:spacing w:after="0" w:line="61" w:lineRule="exact"/>
        <w:rPr>
          <w:sz w:val="20"/>
          <w:szCs w:val="20"/>
          <w:color w:val="auto"/>
        </w:rPr>
      </w:pPr>
    </w:p>
    <w:p>
      <w:pPr>
        <w:ind w:firstLine="630"/>
        <w:spacing w:after="0" w:line="256" w:lineRule="auto"/>
        <w:rPr>
          <w:sz w:val="20"/>
          <w:szCs w:val="20"/>
          <w:color w:val="auto"/>
        </w:rPr>
      </w:pPr>
      <w:r>
        <w:rPr>
          <w:rFonts w:ascii="Times New Roman" w:cs="Times New Roman" w:eastAsia="Times New Roman" w:hAnsi="Times New Roman"/>
          <w:sz w:val="20"/>
          <w:szCs w:val="20"/>
          <w:color w:val="auto"/>
        </w:rPr>
        <w:t>If we or our collaborators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The failure to obtain approval of any of our product candidates by regulatory authorities in another country may significantly diminish the commercial prospects of that product candidate and our business prospects could decline.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Any drugs we develop may become subject to unfavorable third-party reimbursement practices and pricing regulations.</w:t>
      </w:r>
    </w:p>
    <w:p>
      <w:pPr>
        <w:spacing w:after="0" w:line="137" w:lineRule="exact"/>
        <w:rPr>
          <w:sz w:val="20"/>
          <w:szCs w:val="20"/>
          <w:color w:val="auto"/>
        </w:rPr>
      </w:pPr>
    </w:p>
    <w:p>
      <w:pPr>
        <w:ind w:right="20" w:firstLine="630"/>
        <w:spacing w:after="0" w:line="253" w:lineRule="auto"/>
        <w:rPr>
          <w:sz w:val="20"/>
          <w:szCs w:val="20"/>
          <w:color w:val="auto"/>
        </w:rPr>
      </w:pPr>
      <w:r>
        <w:rPr>
          <w:rFonts w:ascii="Times New Roman" w:cs="Times New Roman" w:eastAsia="Times New Roman" w:hAnsi="Times New Roman"/>
          <w:sz w:val="20"/>
          <w:szCs w:val="20"/>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or our collaborators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marketing approval is obtained. If coverage and reimbursement are not available or reimbursement is available only at limited levels, we or our collaborators may not successfully commercialize any product candidate for which marketing approval is obtained.</w:t>
      </w:r>
    </w:p>
    <w:p>
      <w:pPr>
        <w:spacing w:after="0" w:line="93" w:lineRule="exact"/>
        <w:rPr>
          <w:sz w:val="20"/>
          <w:szCs w:val="20"/>
          <w:color w:val="auto"/>
        </w:rPr>
      </w:pPr>
    </w:p>
    <w:p>
      <w:pPr>
        <w:ind w:firstLine="630"/>
        <w:spacing w:after="0" w:line="254" w:lineRule="auto"/>
        <w:rPr>
          <w:sz w:val="20"/>
          <w:szCs w:val="20"/>
          <w:color w:val="auto"/>
        </w:rPr>
      </w:pPr>
      <w:r>
        <w:rPr>
          <w:rFonts w:ascii="Times New Roman" w:cs="Times New Roman" w:eastAsia="Times New Roman" w:hAnsi="Times New Roman"/>
          <w:sz w:val="20"/>
          <w:szCs w:val="20"/>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or our collaborators to provide scientific and clinical support for the use of our products to each payor separately, with no assurance that coverage and adequate reimbursement will be applied consistently or obtained in the first instance.</w:t>
      </w:r>
    </w:p>
    <w:p>
      <w:pPr>
        <w:spacing w:after="0" w:line="89"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or our collaborators commercialize and, if reimbursement is available, what the level of reimbursement and the timing of achieving a reimbursement determination will be.</w:t>
      </w:r>
    </w:p>
    <w:p>
      <w:pPr>
        <w:spacing w:after="0" w:line="96" w:lineRule="exact"/>
        <w:rPr>
          <w:sz w:val="20"/>
          <w:szCs w:val="20"/>
          <w:color w:val="auto"/>
        </w:rPr>
      </w:pPr>
    </w:p>
    <w:p>
      <w:pPr>
        <w:ind w:right="60" w:firstLine="630"/>
        <w:spacing w:after="0" w:line="267" w:lineRule="auto"/>
        <w:rPr>
          <w:sz w:val="20"/>
          <w:szCs w:val="20"/>
          <w:color w:val="auto"/>
        </w:rPr>
      </w:pPr>
      <w:r>
        <w:rPr>
          <w:rFonts w:ascii="Times New Roman" w:cs="Times New Roman" w:eastAsia="Times New Roman" w:hAnsi="Times New Roman"/>
          <w:sz w:val="19"/>
          <w:szCs w:val="19"/>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spacing w:after="0" w:line="83" w:lineRule="exact"/>
        <w:rPr>
          <w:sz w:val="20"/>
          <w:szCs w:val="20"/>
          <w:color w:val="auto"/>
        </w:rPr>
      </w:pPr>
    </w:p>
    <w:p>
      <w:pPr>
        <w:ind w:right="100" w:firstLine="630"/>
        <w:spacing w:after="0" w:line="260" w:lineRule="auto"/>
        <w:rPr>
          <w:sz w:val="20"/>
          <w:szCs w:val="20"/>
          <w:color w:val="auto"/>
        </w:rPr>
      </w:pPr>
      <w:r>
        <w:rPr>
          <w:rFonts w:ascii="Times New Roman" w:cs="Times New Roman" w:eastAsia="Times New Roman" w:hAnsi="Times New Roman"/>
          <w:sz w:val="20"/>
          <w:szCs w:val="20"/>
          <w:color w:val="auto"/>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w:t>
      </w:r>
    </w:p>
    <w:p>
      <w:pPr>
        <w:sectPr>
          <w:pgSz w:w="12240" w:h="15840" w:orient="portrait"/>
          <w:cols w:equalWidth="0" w:num="1">
            <w:col w:w="10240"/>
          </w:cols>
          <w:pgMar w:left="1000" w:top="793" w:right="1000" w:bottom="0" w:gutter="0" w:footer="0" w:header="0"/>
        </w:sect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240"/>
          </w:cols>
          <w:pgMar w:left="1000" w:top="793" w:right="1000" w:bottom="0" w:gutter="0" w:footer="0" w:header="0"/>
          <w:type w:val="continuous"/>
        </w:sectPr>
      </w:pPr>
    </w:p>
    <w:bookmarkStart w:id="38" w:name="page39"/>
    <w:bookmarkEnd w:id="38"/>
    <w:p>
      <w:pPr>
        <w:ind w:right="220"/>
        <w:spacing w:after="0" w:line="260" w:lineRule="auto"/>
        <w:rPr>
          <w:sz w:val="20"/>
          <w:szCs w:val="20"/>
          <w:color w:val="auto"/>
        </w:rPr>
      </w:pPr>
      <w:r>
        <w:rPr>
          <w:rFonts w:ascii="Times New Roman" w:cs="Times New Roman" w:eastAsia="Times New Roman" w:hAnsi="Times New Roman"/>
          <w:sz w:val="20"/>
          <w:szCs w:val="20"/>
          <w:color w:val="auto"/>
        </w:rPr>
        <w:t>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spacing w:after="0" w:line="83" w:lineRule="exact"/>
        <w:rPr>
          <w:sz w:val="20"/>
          <w:szCs w:val="20"/>
          <w:color w:val="auto"/>
        </w:rPr>
      </w:pPr>
    </w:p>
    <w:p>
      <w:pPr>
        <w:ind w:right="120" w:firstLine="630"/>
        <w:spacing w:after="0" w:line="258" w:lineRule="auto"/>
        <w:rPr>
          <w:sz w:val="20"/>
          <w:szCs w:val="20"/>
          <w:color w:val="auto"/>
        </w:rPr>
      </w:pPr>
      <w:r>
        <w:rPr>
          <w:rFonts w:ascii="Times New Roman" w:cs="Times New Roman" w:eastAsia="Times New Roman" w:hAnsi="Times New Roman"/>
          <w:sz w:val="20"/>
          <w:szCs w:val="20"/>
          <w:color w:val="auto"/>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84" w:lineRule="exact"/>
        <w:rPr>
          <w:sz w:val="20"/>
          <w:szCs w:val="20"/>
          <w:color w:val="auto"/>
        </w:rPr>
      </w:pPr>
    </w:p>
    <w:p>
      <w:pPr>
        <w:ind w:right="20" w:firstLine="630"/>
        <w:spacing w:after="0" w:line="258" w:lineRule="auto"/>
        <w:rPr>
          <w:sz w:val="20"/>
          <w:szCs w:val="20"/>
          <w:color w:val="auto"/>
        </w:rPr>
      </w:pPr>
      <w:r>
        <w:rPr>
          <w:rFonts w:ascii="Times New Roman" w:cs="Times New Roman" w:eastAsia="Times New Roman" w:hAnsi="Times New Roman"/>
          <w:sz w:val="20"/>
          <w:szCs w:val="20"/>
          <w:color w:val="auto"/>
        </w:rPr>
        <w:t>Furthermore, some of our target indications, such as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or our collaborators will need to implement a coverage and reimbursement strategy for any approved product candidate that accounts for the smaller potential market size.</w:t>
      </w:r>
    </w:p>
    <w:p>
      <w:pPr>
        <w:spacing w:after="0" w:line="84" w:lineRule="exact"/>
        <w:rPr>
          <w:sz w:val="20"/>
          <w:szCs w:val="20"/>
          <w:color w:val="auto"/>
        </w:rPr>
      </w:pPr>
    </w:p>
    <w:p>
      <w:pPr>
        <w:ind w:firstLine="630"/>
        <w:spacing w:after="0" w:line="256" w:lineRule="auto"/>
        <w:rPr>
          <w:sz w:val="20"/>
          <w:szCs w:val="20"/>
          <w:color w:val="auto"/>
        </w:rPr>
      </w:pPr>
      <w:r>
        <w:rPr>
          <w:rFonts w:ascii="Times New Roman" w:cs="Times New Roman" w:eastAsia="Times New Roman" w:hAnsi="Times New Roman"/>
          <w:sz w:val="20"/>
          <w:szCs w:val="20"/>
          <w:color w:val="auto"/>
        </w:rPr>
        <w:t>If we or our collaborators are unable to establish or sustain coverage and adequate reimbursement for any future product candidates from third-party payors, the adoption of those product candidates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01" w:lineRule="exact"/>
        <w:rPr>
          <w:sz w:val="20"/>
          <w:szCs w:val="20"/>
          <w:color w:val="auto"/>
        </w:rPr>
      </w:pPr>
    </w:p>
    <w:p>
      <w:pPr>
        <w:ind w:right="460"/>
        <w:spacing w:after="0" w:line="313" w:lineRule="auto"/>
        <w:rPr>
          <w:sz w:val="20"/>
          <w:szCs w:val="20"/>
          <w:color w:val="auto"/>
        </w:rPr>
      </w:pPr>
      <w:r>
        <w:rPr>
          <w:rFonts w:ascii="Times New Roman" w:cs="Times New Roman" w:eastAsia="Times New Roman" w:hAnsi="Times New Roman"/>
          <w:sz w:val="19"/>
          <w:szCs w:val="19"/>
          <w:b w:val="1"/>
          <w:bCs w:val="1"/>
          <w:color w:val="auto"/>
        </w:rPr>
        <w:t>Healthcare legislative reform measures may increase the difficulty and cost for us or our collaborators to obtain marketing approval of and commercialize our product candidates and affect the pricing of our product candidates.</w:t>
      </w:r>
    </w:p>
    <w:p>
      <w:pPr>
        <w:spacing w:after="0" w:line="37" w:lineRule="exact"/>
        <w:rPr>
          <w:sz w:val="20"/>
          <w:szCs w:val="20"/>
          <w:color w:val="auto"/>
        </w:rPr>
      </w:pPr>
    </w:p>
    <w:p>
      <w:pPr>
        <w:ind w:right="20" w:firstLine="630"/>
        <w:spacing w:after="0" w:line="270" w:lineRule="auto"/>
        <w:rPr>
          <w:sz w:val="20"/>
          <w:szCs w:val="20"/>
          <w:color w:val="auto"/>
        </w:rPr>
      </w:pPr>
      <w:r>
        <w:rPr>
          <w:rFonts w:ascii="Times New Roman" w:cs="Times New Roman" w:eastAsia="Times New Roman" w:hAnsi="Times New Roman"/>
          <w:sz w:val="19"/>
          <w:szCs w:val="19"/>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or our collaborators’ ability to profitably sell any product candidates for which marketing approval is obtained. The commercial potential for our product candidates, if any, could be affected by changes in healthcare spending and policy in the United States and abroad.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if and when we or our collaborators are able to obtain marketing approval and commercialize our product candidates.</w:t>
      </w:r>
    </w:p>
    <w:p>
      <w:pPr>
        <w:spacing w:after="0" w:line="74" w:lineRule="exact"/>
        <w:rPr>
          <w:sz w:val="20"/>
          <w:szCs w:val="20"/>
          <w:color w:val="auto"/>
        </w:rPr>
      </w:pPr>
    </w:p>
    <w:p>
      <w:pPr>
        <w:ind w:right="140" w:firstLine="630"/>
        <w:spacing w:after="0" w:line="258" w:lineRule="auto"/>
        <w:rPr>
          <w:sz w:val="20"/>
          <w:szCs w:val="20"/>
          <w:color w:val="auto"/>
        </w:rPr>
      </w:pPr>
      <w:r>
        <w:rPr>
          <w:rFonts w:ascii="Times New Roman" w:cs="Times New Roman" w:eastAsia="Times New Roman" w:hAnsi="Times New Roman"/>
          <w:sz w:val="20"/>
          <w:szCs w:val="20"/>
          <w:color w:val="auto"/>
        </w:rPr>
        <w:t>For example, the ACA was enacted in 2010, which substantially changed the way healthcare is financed by both governmental and private insurers, and significantly impacts the U.S. pharmaceutical industry. While there have been legislative and judicial efforts to modify, repeal or otherwise invalidate all or certain aspects of the ACA or its implementing regulations, the ACA remains in effect in its current form. It is unclear how any such efforts in the future will impact the ACA or our business.</w:t>
      </w:r>
    </w:p>
    <w:p>
      <w:pPr>
        <w:spacing w:after="0" w:line="84" w:lineRule="exact"/>
        <w:rPr>
          <w:sz w:val="20"/>
          <w:szCs w:val="20"/>
          <w:color w:val="auto"/>
        </w:rPr>
      </w:pPr>
    </w:p>
    <w:p>
      <w:pPr>
        <w:ind w:right="20" w:firstLine="630"/>
        <w:spacing w:after="0" w:line="252" w:lineRule="auto"/>
        <w:rPr>
          <w:sz w:val="20"/>
          <w:szCs w:val="20"/>
          <w:color w:val="auto"/>
        </w:rPr>
      </w:pPr>
      <w:r>
        <w:rPr>
          <w:rFonts w:ascii="Times New Roman" w:cs="Times New Roman" w:eastAsia="Times New Roman" w:hAnsi="Times New Roman"/>
          <w:sz w:val="20"/>
          <w:szCs w:val="20"/>
          <w:color w:val="auto"/>
        </w:rPr>
        <w:t>In addition, other legislative changes have been proposed and adopted in the United States federal and state levels to reduce healthcare expenditures. For example, several healthcare reform initiatives culminated in the enactment of the IRA, in August 2022, which allows, among other things, the HHS to negotiate the selling price of certain drugs and biologics that CMS reimburses under Medicare Part B and Part D, although this only applies to high-expenditure single-source drugs that have been approved for at least 7 years (11 years for biologics). The negotiated prices, which will first become effective in 2026, will be capped at a statutory ceiling price. Beginning in January 2023 for Medicare Part B and October 2022 for Medicare Part D, 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will take effect progressively starting in 2023, although they may be subject to legal challenges.</w:t>
      </w:r>
    </w:p>
    <w:p>
      <w:pPr>
        <w:spacing w:after="0" w:line="98" w:lineRule="exact"/>
        <w:rPr>
          <w:sz w:val="20"/>
          <w:szCs w:val="20"/>
          <w:color w:val="auto"/>
        </w:rPr>
      </w:pPr>
    </w:p>
    <w:p>
      <w:pPr>
        <w:ind w:right="80" w:firstLine="630"/>
        <w:spacing w:after="0" w:line="278" w:lineRule="auto"/>
        <w:rPr>
          <w:sz w:val="20"/>
          <w:szCs w:val="20"/>
          <w:color w:val="auto"/>
        </w:rPr>
      </w:pPr>
      <w:r>
        <w:rPr>
          <w:rFonts w:ascii="Times New Roman" w:cs="Times New Roman" w:eastAsia="Times New Roman" w:hAnsi="Times New Roman"/>
          <w:sz w:val="19"/>
          <w:szCs w:val="19"/>
          <w:color w:val="auto"/>
        </w:rPr>
        <w:t>It is likely that federal and state legislatures within the United States and foreign governments will continue to consider changes to existing healthcare legislation. For example, the ACA has faced ongoing legal challenges, including litigation seeking to invalidate some of or all of the law or the manner in which it has been implemented. More recently, the 2017 Tax Cuts and Jobs Act was signed into law, which eliminated certain requirements of the ACA, including the individual mandate.</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240"/>
          </w:cols>
          <w:pgMar w:left="1000" w:top="793" w:right="1000" w:bottom="0" w:gutter="0" w:footer="0" w:header="0"/>
          <w:type w:val="continuous"/>
        </w:sectPr>
      </w:pPr>
    </w:p>
    <w:bookmarkStart w:id="39" w:name="page40"/>
    <w:bookmarkEnd w:id="39"/>
    <w:p>
      <w:pPr>
        <w:ind w:right="140"/>
        <w:spacing w:after="0" w:line="281" w:lineRule="auto"/>
        <w:rPr>
          <w:sz w:val="20"/>
          <w:szCs w:val="20"/>
          <w:color w:val="auto"/>
        </w:rPr>
      </w:pPr>
      <w:r>
        <w:rPr>
          <w:rFonts w:ascii="Times New Roman" w:cs="Times New Roman" w:eastAsia="Times New Roman" w:hAnsi="Times New Roman"/>
          <w:sz w:val="20"/>
          <w:szCs w:val="20"/>
          <w:color w:val="auto"/>
        </w:rPr>
        <w:t>We cannot predict the reform initiatives that may be adopted in the future or whether initiatives that have been adopted will be repealed or modified.</w:t>
      </w:r>
    </w:p>
    <w:p>
      <w:pPr>
        <w:spacing w:after="0" w:line="61" w:lineRule="exact"/>
        <w:rPr>
          <w:sz w:val="20"/>
          <w:szCs w:val="20"/>
          <w:color w:val="auto"/>
        </w:rPr>
      </w:pPr>
    </w:p>
    <w:p>
      <w:pPr>
        <w:ind w:right="180" w:firstLine="630"/>
        <w:spacing w:after="0" w:line="260" w:lineRule="auto"/>
        <w:rPr>
          <w:sz w:val="20"/>
          <w:szCs w:val="20"/>
          <w:color w:val="auto"/>
        </w:rPr>
      </w:pPr>
      <w:r>
        <w:rPr>
          <w:rFonts w:ascii="Times New Roman" w:cs="Times New Roman" w:eastAsia="Times New Roman" w:hAnsi="Times New Roman"/>
          <w:sz w:val="20"/>
          <w:szCs w:val="20"/>
          <w:color w:val="auto"/>
        </w:rPr>
        <w:t>We expect that the ACA, the IRA and other state or federal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spacing w:after="0" w:line="19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20"/>
          <w:szCs w:val="20"/>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9"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Our business exposes us to significant product liability risks inherent in the development, testing, manufacturing and marketing of therapeutic treatments. Product liability claims could delay or prevent completion of our development programs. If we or our collaborators succeed in marketing any of our product candidates, such claims could result in an FDA investigation of the safety and effectiveness of our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201"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20"/>
          <w:szCs w:val="20"/>
          <w:b w:val="1"/>
          <w:bCs w:val="1"/>
          <w:color w:val="auto"/>
        </w:rPr>
        <w:t>Our relationships with customers and third-party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spacing w:after="0" w:line="83" w:lineRule="exact"/>
        <w:rPr>
          <w:sz w:val="20"/>
          <w:szCs w:val="20"/>
          <w:color w:val="auto"/>
        </w:rPr>
      </w:pPr>
    </w:p>
    <w:p>
      <w:pPr>
        <w:ind w:right="40" w:firstLine="630"/>
        <w:spacing w:after="0" w:line="256" w:lineRule="auto"/>
        <w:rPr>
          <w:sz w:val="20"/>
          <w:szCs w:val="20"/>
          <w:color w:val="auto"/>
        </w:rPr>
      </w:pPr>
      <w:r>
        <w:rPr>
          <w:rFonts w:ascii="Times New Roman" w:cs="Times New Roman" w:eastAsia="Times New Roman" w:hAnsi="Times New Roman"/>
          <w:sz w:val="20"/>
          <w:szCs w:val="20"/>
          <w:color w:val="auto"/>
        </w:rPr>
        <w:t>Health care providers and third-party payors play a primary role in the recommendation and prescription of any product candidates for which we or our collaborators obtain marketing approval. Our future arrangements with third-party payors and customers may expose us to broadly applicable fraud and abuse and other health care laws and regulations that may constrain the business or financial arrangements and relationships through which we or our collaborators market, sell and distribute our product candidates for which marketing approval is obtained. Restrictions under applicable federal and state health care laws and regulations include the following:</w:t>
      </w:r>
    </w:p>
    <w:p>
      <w:pPr>
        <w:spacing w:after="0" w:line="88" w:lineRule="exact"/>
        <w:rPr>
          <w:sz w:val="20"/>
          <w:szCs w:val="20"/>
          <w:color w:val="auto"/>
        </w:rPr>
      </w:pPr>
    </w:p>
    <w:p>
      <w:pPr>
        <w:ind w:left="720" w:right="100" w:hanging="370"/>
        <w:spacing w:after="0" w:line="278" w:lineRule="auto"/>
        <w:tabs>
          <w:tab w:leader="none" w:pos="72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spacing w:after="0" w:line="67" w:lineRule="exact"/>
        <w:rPr>
          <w:rFonts w:ascii="Times New Roman" w:cs="Times New Roman" w:eastAsia="Times New Roman" w:hAnsi="Times New Roman"/>
          <w:sz w:val="19"/>
          <w:szCs w:val="19"/>
          <w:color w:val="auto"/>
        </w:rPr>
      </w:pPr>
    </w:p>
    <w:p>
      <w:pPr>
        <w:ind w:left="720" w:right="60" w:hanging="370"/>
        <w:spacing w:after="0" w:line="258"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83" w:lineRule="exact"/>
        <w:rPr>
          <w:rFonts w:ascii="Times New Roman" w:cs="Times New Roman" w:eastAsia="Times New Roman" w:hAnsi="Times New Roman"/>
          <w:sz w:val="20"/>
          <w:szCs w:val="20"/>
          <w:color w:val="auto"/>
        </w:rPr>
      </w:pPr>
    </w:p>
    <w:p>
      <w:pPr>
        <w:ind w:left="720" w:right="300" w:hanging="370"/>
        <w:spacing w:after="0" w:line="281"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HIPAA imposes criminal and civil liability for, among other things, executing or attempting to execute a scheme to defraud any health care benefit program or making false statements relating to health care matters;</w:t>
      </w:r>
    </w:p>
    <w:p>
      <w:pPr>
        <w:spacing w:after="0" w:line="61" w:lineRule="exact"/>
        <w:rPr>
          <w:rFonts w:ascii="Times New Roman" w:cs="Times New Roman" w:eastAsia="Times New Roman" w:hAnsi="Times New Roman"/>
          <w:sz w:val="20"/>
          <w:szCs w:val="20"/>
          <w:color w:val="auto"/>
        </w:rPr>
      </w:pPr>
    </w:p>
    <w:p>
      <w:pPr>
        <w:ind w:left="720" w:right="960" w:hanging="370"/>
        <w:spacing w:after="0" w:line="266"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75" w:lineRule="exact"/>
        <w:rPr>
          <w:rFonts w:ascii="Times New Roman" w:cs="Times New Roman" w:eastAsia="Times New Roman" w:hAnsi="Times New Roman"/>
          <w:sz w:val="20"/>
          <w:szCs w:val="20"/>
          <w:color w:val="auto"/>
        </w:rPr>
      </w:pPr>
    </w:p>
    <w:p>
      <w:pPr>
        <w:ind w:left="720" w:hanging="370"/>
        <w:spacing w:after="0" w:line="256"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240"/>
          </w:cols>
          <w:pgMar w:left="1000" w:top="793" w:right="1000" w:bottom="0" w:gutter="0" w:footer="0" w:header="0"/>
          <w:type w:val="continuous"/>
        </w:sectPr>
      </w:pPr>
    </w:p>
    <w:bookmarkStart w:id="40" w:name="page41"/>
    <w:bookmarkEnd w:id="40"/>
    <w:p>
      <w:pPr>
        <w:jc w:val="both"/>
        <w:ind w:left="720" w:right="60" w:hanging="370"/>
        <w:spacing w:after="0" w:line="266"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spacing w:after="0" w:line="75" w:lineRule="exact"/>
        <w:rPr>
          <w:sz w:val="20"/>
          <w:szCs w:val="20"/>
          <w:color w:val="auto"/>
        </w:rPr>
      </w:pPr>
    </w:p>
    <w:p>
      <w:pPr>
        <w:ind w:right="140" w:firstLine="630"/>
        <w:spacing w:after="0" w:line="258" w:lineRule="auto"/>
        <w:rPr>
          <w:sz w:val="20"/>
          <w:szCs w:val="20"/>
          <w:color w:val="auto"/>
        </w:rPr>
      </w:pPr>
      <w:r>
        <w:rPr>
          <w:rFonts w:ascii="Times New Roman" w:cs="Times New Roman" w:eastAsia="Times New Roman" w:hAnsi="Times New Roman"/>
          <w:sz w:val="20"/>
          <w:szCs w:val="20"/>
          <w:color w:val="auto"/>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spacing w:after="0" w:line="84"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spacing w:after="0" w:line="20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20"/>
          <w:szCs w:val="20"/>
          <w:b w:val="1"/>
          <w:bCs w:val="1"/>
          <w:color w:val="auto"/>
        </w:rPr>
        <w:t>Our failure to comply with privacy and data security laws, regulations and standards may cause our business to be materially adversely affected.</w:t>
      </w:r>
    </w:p>
    <w:p>
      <w:pPr>
        <w:spacing w:after="0" w:line="59" w:lineRule="exact"/>
        <w:rPr>
          <w:sz w:val="20"/>
          <w:szCs w:val="20"/>
          <w:color w:val="auto"/>
        </w:rPr>
      </w:pPr>
    </w:p>
    <w:p>
      <w:pPr>
        <w:ind w:right="60" w:firstLine="630"/>
        <w:spacing w:after="0" w:line="252" w:lineRule="auto"/>
        <w:rPr>
          <w:sz w:val="20"/>
          <w:szCs w:val="20"/>
          <w:color w:val="auto"/>
        </w:rPr>
      </w:pPr>
      <w:r>
        <w:rPr>
          <w:rFonts w:ascii="Times New Roman" w:cs="Times New Roman" w:eastAsia="Times New Roman" w:hAnsi="Times New Roman"/>
          <w:sz w:val="20"/>
          <w:szCs w:val="20"/>
          <w:color w:val="auto"/>
        </w:rPr>
        <w:t>We maintain a quantity of sensitive information, including confidential business and patient health information in connection with our clinical trials, and are subject to U.S. and international laws and regulations governing the privacy and security of such information. Each of these laws is subject to varying interpretations and constantly evolving.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In contrast, the EU and United Kingdom (“UK”) GDPR, which applies extraterritorially, imposes several strict requirements for controllers and processors of personal information. These include higher standards for obtaining consent from individuals to process their personal information, increased requirements pertaining to the processing of special categories of personal information (such as health information) and pseudonymized (i.e., key-coded) data, and heightened transfer requirements of personal information from the European Economic Area/UK/Switzerland to countries not deemed to have adequate data protections laws. The GDPR also provides that countries in the European Economic Area may establish their own laws and regulations further restricting the processing of certain personal information, including genetic data, biometric data, and health data. Companies that must comply with the GDPR face increased compliance obligations and risk, including more robust regulatory enforcement of data protection requirements and potential fines for noncompliance of up to €20 million (approximately $22.6 million) or 4 percent of the annual global revenues of the noncompliant company, whichever is greater.</w:t>
      </w:r>
    </w:p>
    <w:p>
      <w:pPr>
        <w:spacing w:after="0" w:line="96" w:lineRule="exact"/>
        <w:rPr>
          <w:sz w:val="20"/>
          <w:szCs w:val="20"/>
          <w:color w:val="auto"/>
        </w:rPr>
      </w:pPr>
    </w:p>
    <w:p>
      <w:pPr>
        <w:ind w:right="40" w:firstLine="630"/>
        <w:spacing w:after="0" w:line="253" w:lineRule="auto"/>
        <w:rPr>
          <w:sz w:val="20"/>
          <w:szCs w:val="20"/>
          <w:color w:val="auto"/>
        </w:rPr>
      </w:pPr>
      <w:r>
        <w:rPr>
          <w:rFonts w:ascii="Times New Roman" w:cs="Times New Roman" w:eastAsia="Times New Roman" w:hAnsi="Times New Roman"/>
          <w:sz w:val="20"/>
          <w:szCs w:val="20"/>
          <w:color w:val="auto"/>
        </w:rPr>
        <w:t>In the United States, in addition to HIPAA, various federal (for example, the Federal Trade Commission)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California enacted the California Consumer Privacy Act (the “CCPA”), later amended by ballot measure through the California Privacy Rights Act (the “CPRA”). Failure to comply with the CCPA and the CPRA may result in significant civil penalties, injunctive relief, or statutory or actual damages as determined by the California Privacy Protection Agency and California Attorney General through its investigative authority. Many other states have or are considering enacting comparable consumer privacy laws. Compliance with this new privacy legislation may result in additional costs and expense of resources to maintain compliance. There is also discussion in the U.S. of a new comprehensive federal data privacy law to which we would become subject if it is enacted.</w:t>
      </w:r>
    </w:p>
    <w:p>
      <w:pPr>
        <w:spacing w:after="0" w:line="93" w:lineRule="exact"/>
        <w:rPr>
          <w:sz w:val="20"/>
          <w:szCs w:val="20"/>
          <w:color w:val="auto"/>
        </w:rPr>
      </w:pPr>
    </w:p>
    <w:p>
      <w:pPr>
        <w:ind w:right="220" w:firstLine="630"/>
        <w:spacing w:after="0" w:line="258" w:lineRule="auto"/>
        <w:rPr>
          <w:sz w:val="20"/>
          <w:szCs w:val="20"/>
          <w:color w:val="auto"/>
        </w:rPr>
      </w:pPr>
      <w:r>
        <w:rPr>
          <w:rFonts w:ascii="Times New Roman" w:cs="Times New Roman" w:eastAsia="Times New Roman" w:hAnsi="Times New Roman"/>
          <w:sz w:val="20"/>
          <w:szCs w:val="20"/>
          <w:color w:val="auto"/>
        </w:rPr>
        <w:t>We cannot provide assurance that (i) current or future legislation will not prevent us from generating or maintaining personal information, or (ii) patients will consent to the use of their personal information (as necessary). Either of these circumstances may prevent us from undertaking or continuing essential research and development, manufacturing, and commercialization, which could have a material adverse effect on our business, results of operations, financial condition, and prospects.</w:t>
      </w:r>
    </w:p>
    <w:p>
      <w:pPr>
        <w:spacing w:after="0" w:line="84" w:lineRule="exact"/>
        <w:rPr>
          <w:sz w:val="20"/>
          <w:szCs w:val="20"/>
          <w:color w:val="auto"/>
        </w:rPr>
      </w:pPr>
    </w:p>
    <w:p>
      <w:pPr>
        <w:ind w:right="220" w:firstLine="630"/>
        <w:spacing w:after="0" w:line="286" w:lineRule="auto"/>
        <w:rPr>
          <w:sz w:val="20"/>
          <w:szCs w:val="20"/>
          <w:color w:val="auto"/>
        </w:rPr>
      </w:pPr>
      <w:r>
        <w:rPr>
          <w:rFonts w:ascii="Times New Roman" w:cs="Times New Roman" w:eastAsia="Times New Roman" w:hAnsi="Times New Roman"/>
          <w:sz w:val="19"/>
          <w:szCs w:val="19"/>
          <w:color w:val="auto"/>
        </w:rPr>
        <w:t>Federal, state, and foreign government requirements include obligations to notify regulators and/or individuals of security breaches or other similar reportable incidents experienced by us, or our vendors, contractors, or organizations with whom we had specific contractual obligations to protect our data. Further, the improper access to, use of, or disclosure of our</w:t>
      </w:r>
    </w:p>
    <w:p>
      <w:pPr>
        <w:sectPr>
          <w:pgSz w:w="12240" w:h="15840" w:orient="portrait"/>
          <w:cols w:equalWidth="0" w:num="1">
            <w:col w:w="10220"/>
          </w:cols>
          <w:pgMar w:left="1000" w:top="793" w:right="1020" w:bottom="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220"/>
          </w:cols>
          <w:pgMar w:left="1000" w:top="793" w:right="1020" w:bottom="0" w:gutter="0" w:footer="0" w:header="0"/>
          <w:type w:val="continuous"/>
        </w:sectPr>
      </w:pPr>
    </w:p>
    <w:bookmarkStart w:id="41" w:name="page42"/>
    <w:bookmarkEnd w:id="41"/>
    <w:p>
      <w:pPr>
        <w:ind w:right="20"/>
        <w:spacing w:after="0" w:line="258" w:lineRule="auto"/>
        <w:rPr>
          <w:sz w:val="20"/>
          <w:szCs w:val="20"/>
          <w:color w:val="auto"/>
        </w:rPr>
      </w:pPr>
      <w:r>
        <w:rPr>
          <w:rFonts w:ascii="Times New Roman" w:cs="Times New Roman" w:eastAsia="Times New Roman" w:hAnsi="Times New Roman"/>
          <w:sz w:val="20"/>
          <w:szCs w:val="20"/>
          <w:color w:val="auto"/>
        </w:rPr>
        <w:t>data or a third-party’s personal information could subject us to individual or consumer class action litigation and governmental investigations and proceedings by federal, state, and local regulatory entities in the U.S. and by international regulatory entities. Compliance with these and any other applicable privacy and data security laws and regulations is a rigorous and time-intensive process, and we may be required to put in place additional mechanisms ensuring compliance with existing and new data protection rules and possible government oversight.</w:t>
      </w:r>
    </w:p>
    <w:p>
      <w:pPr>
        <w:spacing w:after="0" w:line="84" w:lineRule="exact"/>
        <w:rPr>
          <w:sz w:val="20"/>
          <w:szCs w:val="20"/>
          <w:color w:val="auto"/>
        </w:rPr>
      </w:pPr>
    </w:p>
    <w:p>
      <w:pPr>
        <w:ind w:firstLine="630"/>
        <w:spacing w:after="0" w:line="252" w:lineRule="auto"/>
        <w:rPr>
          <w:sz w:val="20"/>
          <w:szCs w:val="20"/>
          <w:color w:val="auto"/>
        </w:rPr>
      </w:pPr>
      <w:r>
        <w:rPr>
          <w:rFonts w:ascii="Times New Roman" w:cs="Times New Roman" w:eastAsia="Times New Roman" w:hAnsi="Times New Roman"/>
          <w:sz w:val="20"/>
          <w:szCs w:val="20"/>
          <w:color w:val="auto"/>
        </w:rPr>
        <w:t>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operating results, reputation, and financial condition.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results of operations, financial condition, and prospects.</w:t>
      </w:r>
    </w:p>
    <w:p>
      <w:pPr>
        <w:spacing w:after="0" w:line="20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20"/>
          <w:szCs w:val="20"/>
          <w:b w:val="1"/>
          <w:bCs w:val="1"/>
          <w:color w:val="auto"/>
        </w:rPr>
        <w:t>Our employees may engage in misconduct or other improper activities, including noncompliance with regulatory standards and requirements and insider trading.</w:t>
      </w:r>
    </w:p>
    <w:p>
      <w:pPr>
        <w:spacing w:after="0" w:line="59" w:lineRule="exact"/>
        <w:rPr>
          <w:sz w:val="20"/>
          <w:szCs w:val="20"/>
          <w:color w:val="auto"/>
        </w:rPr>
      </w:pPr>
    </w:p>
    <w:p>
      <w:pPr>
        <w:ind w:right="40" w:firstLine="630"/>
        <w:spacing w:after="0" w:line="253" w:lineRule="auto"/>
        <w:rPr>
          <w:sz w:val="20"/>
          <w:szCs w:val="20"/>
          <w:color w:val="auto"/>
        </w:rPr>
      </w:pPr>
      <w:r>
        <w:rPr>
          <w:rFonts w:ascii="Times New Roman" w:cs="Times New Roman" w:eastAsia="Times New Roman" w:hAnsi="Times New Roman"/>
          <w:sz w:val="20"/>
          <w:szCs w:val="20"/>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13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20"/>
          <w:szCs w:val="20"/>
          <w:b w:val="1"/>
          <w:bCs w:val="1"/>
          <w:color w:val="auto"/>
        </w:rPr>
        <w:t>If we are unable to obtain or protect intellectual property rights, we may not be able to compete effectively in our market.</w:t>
      </w:r>
    </w:p>
    <w:p>
      <w:pPr>
        <w:spacing w:after="0" w:line="59" w:lineRule="exact"/>
        <w:rPr>
          <w:sz w:val="20"/>
          <w:szCs w:val="20"/>
          <w:color w:val="auto"/>
        </w:rPr>
      </w:pPr>
    </w:p>
    <w:p>
      <w:pPr>
        <w:ind w:right="60" w:firstLine="630"/>
        <w:spacing w:after="0" w:line="267" w:lineRule="auto"/>
        <w:rPr>
          <w:sz w:val="20"/>
          <w:szCs w:val="20"/>
          <w:color w:val="auto"/>
        </w:rPr>
      </w:pPr>
      <w:r>
        <w:rPr>
          <w:rFonts w:ascii="Times New Roman" w:cs="Times New Roman" w:eastAsia="Times New Roman" w:hAnsi="Times New Roman"/>
          <w:sz w:val="19"/>
          <w:szCs w:val="19"/>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220"/>
          </w:cols>
          <w:pgMar w:left="1000" w:top="793" w:right="1020" w:bottom="0" w:gutter="0" w:footer="0" w:header="0"/>
          <w:type w:val="continuous"/>
        </w:sectPr>
      </w:pPr>
    </w:p>
    <w:bookmarkStart w:id="42" w:name="page43"/>
    <w:bookmarkEnd w:id="42"/>
    <w:p>
      <w:pPr>
        <w:ind w:right="20"/>
        <w:spacing w:after="0" w:line="309" w:lineRule="auto"/>
        <w:rPr>
          <w:sz w:val="20"/>
          <w:szCs w:val="20"/>
          <w:color w:val="auto"/>
        </w:rPr>
      </w:pPr>
      <w:r>
        <w:rPr>
          <w:rFonts w:ascii="Times New Roman" w:cs="Times New Roman" w:eastAsia="Times New Roman" w:hAnsi="Times New Roman"/>
          <w:sz w:val="19"/>
          <w:szCs w:val="19"/>
          <w:color w:val="auto"/>
        </w:rPr>
        <w:t>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37" w:lineRule="exact"/>
        <w:rPr>
          <w:sz w:val="20"/>
          <w:szCs w:val="20"/>
          <w:color w:val="auto"/>
        </w:rPr>
      </w:pPr>
    </w:p>
    <w:p>
      <w:pPr>
        <w:ind w:right="20" w:firstLine="630"/>
        <w:spacing w:after="0" w:line="253" w:lineRule="auto"/>
        <w:rPr>
          <w:sz w:val="20"/>
          <w:szCs w:val="20"/>
          <w:color w:val="auto"/>
        </w:rPr>
      </w:pPr>
      <w:r>
        <w:rPr>
          <w:rFonts w:ascii="Times New Roman" w:cs="Times New Roman" w:eastAsia="Times New Roman" w:hAnsi="Times New Roman"/>
          <w:sz w:val="20"/>
          <w:szCs w:val="20"/>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88" w:lineRule="exact"/>
        <w:rPr>
          <w:sz w:val="20"/>
          <w:szCs w:val="20"/>
          <w:color w:val="auto"/>
        </w:rPr>
      </w:pPr>
    </w:p>
    <w:p>
      <w:pPr>
        <w:ind w:firstLine="630"/>
        <w:spacing w:after="0" w:line="254" w:lineRule="auto"/>
        <w:rPr>
          <w:sz w:val="20"/>
          <w:szCs w:val="20"/>
          <w:color w:val="auto"/>
        </w:rPr>
      </w:pPr>
      <w:r>
        <w:rPr>
          <w:rFonts w:ascii="Times New Roman" w:cs="Times New Roman" w:eastAsia="Times New Roman" w:hAnsi="Times New Roman"/>
          <w:sz w:val="20"/>
          <w:szCs w:val="20"/>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93"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Because patent applications in the United States and most other countries are confidential for a period of time after filing, and some remain so until issued, we cannot be certain that we or our licensors, licensees, or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88" w:lineRule="exact"/>
        <w:rPr>
          <w:sz w:val="20"/>
          <w:szCs w:val="20"/>
          <w:color w:val="auto"/>
        </w:rPr>
      </w:pPr>
    </w:p>
    <w:p>
      <w:pPr>
        <w:ind w:right="20" w:firstLine="630"/>
        <w:spacing w:after="0" w:line="253" w:lineRule="auto"/>
        <w:rPr>
          <w:sz w:val="20"/>
          <w:szCs w:val="20"/>
          <w:color w:val="auto"/>
        </w:rPr>
      </w:pPr>
      <w:r>
        <w:rPr>
          <w:rFonts w:ascii="Times New Roman" w:cs="Times New Roman" w:eastAsia="Times New Roman" w:hAnsi="Times New Roman"/>
          <w:sz w:val="20"/>
          <w:szCs w:val="20"/>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240"/>
          </w:cols>
          <w:pgMar w:left="1000" w:top="793" w:right="100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color w:val="auto"/>
        </w:rPr>
        <w:t>We may not be able to protect our intellectual property rights throughout the world.</w:t>
      </w:r>
    </w:p>
    <w:p>
      <w:pPr>
        <w:spacing w:after="0" w:line="137" w:lineRule="exact"/>
        <w:rPr>
          <w:sz w:val="20"/>
          <w:szCs w:val="20"/>
          <w:color w:val="auto"/>
        </w:rPr>
      </w:pPr>
    </w:p>
    <w:p>
      <w:pPr>
        <w:ind w:right="120" w:firstLine="630"/>
        <w:spacing w:after="0" w:line="253" w:lineRule="auto"/>
        <w:rPr>
          <w:sz w:val="20"/>
          <w:szCs w:val="20"/>
          <w:color w:val="auto"/>
        </w:rPr>
      </w:pPr>
      <w:r>
        <w:rPr>
          <w:rFonts w:ascii="Times New Roman" w:cs="Times New Roman" w:eastAsia="Times New Roman" w:hAnsi="Times New Roman"/>
          <w:sz w:val="20"/>
          <w:szCs w:val="20"/>
          <w:color w:val="auto"/>
        </w:rPr>
        <w:t>Filing, prosecuting, enforcing and defending patents on product candidates in all countries throughout the world would be prohibitively expensive, and our or our licensors’, licensees’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licensees or collaborators may not be able to prevent third parties from practicing our and our licensors’, licensees’ or collaborators’ inventions in all countries outside the United States or from selling or importing products made using our and our licensors’, licensees’ or collaborators’ inventions in and into the United States or other jurisdictions. Competitors may use our and our licensors’, licensees’ or collaborators’ technologies in jurisdictions where we have not obtained patent protection to develop their own products and, further, may export otherwise infringing products to territories where we and our licensors, licensees or collaborators have patent protection but enforcement is not as strong as that in the United States. These products may compete with our product candidates, and our and our licensors’, licensees’ or collaborators’ patents or other intellectual property rights may not be effective or sufficient to prevent them from competing.</w:t>
      </w:r>
    </w:p>
    <w:p>
      <w:pPr>
        <w:spacing w:after="0" w:line="88" w:lineRule="exact"/>
        <w:rPr>
          <w:sz w:val="20"/>
          <w:szCs w:val="20"/>
          <w:color w:val="auto"/>
        </w:rPr>
      </w:pPr>
    </w:p>
    <w:p>
      <w:pPr>
        <w:ind w:right="40" w:firstLine="630"/>
        <w:spacing w:after="0" w:line="253" w:lineRule="auto"/>
        <w:rPr>
          <w:sz w:val="20"/>
          <w:szCs w:val="20"/>
          <w:color w:val="auto"/>
        </w:rPr>
      </w:pPr>
      <w:r>
        <w:rPr>
          <w:rFonts w:ascii="Times New Roman" w:cs="Times New Roman" w:eastAsia="Times New Roman" w:hAnsi="Times New Roman"/>
          <w:sz w:val="20"/>
          <w:szCs w:val="20"/>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licensees or collaborators to stop the infringement of our and our licensors’, licensees’ or collaborators’ patents or marketing of competing products in violation of our and our licensors’, licensees’ or collaborators’ proprietary rights generally. Proceedings to enforce our and our licensors’, licensees’ or collaborators’ patent rights in foreign jurisdictions could result in substantial costs and divert our and our licensors’, licensees’ or collaborators’ efforts and attention from other aspects of our business, could put our and our licensors’, licensees’ or collaborators’ patents at risk of being invalidated or interpreted narrowly and our and our licensors’, licensees’ or collaborators’ patent applications at risk of not issuing and could provoke third parties to assert claims against us or our licensors, licensees or collaborators. We or our licensors, licensees or collaborators may not prevail in any lawsuits that we or our licensors, licensees or collaborators initiate, and the damages or other remedies awarded, if any, may not be commercially meaningful.</w:t>
      </w:r>
    </w:p>
    <w:p>
      <w:pPr>
        <w:spacing w:after="0" w:line="204"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20"/>
          <w:szCs w:val="20"/>
          <w:b w:val="1"/>
          <w:bCs w:val="1"/>
          <w:color w:val="auto"/>
        </w:rPr>
        <w:t>Changes in patent law could diminish the value of patents in general, thereby impairing our ability to protect our product candidates.</w:t>
      </w:r>
    </w:p>
    <w:p>
      <w:pPr>
        <w:spacing w:after="0" w:line="59" w:lineRule="exact"/>
        <w:rPr>
          <w:sz w:val="20"/>
          <w:szCs w:val="20"/>
          <w:color w:val="auto"/>
        </w:rPr>
      </w:pPr>
    </w:p>
    <w:p>
      <w:pPr>
        <w:ind w:right="560" w:firstLine="630"/>
        <w:spacing w:after="0" w:line="286" w:lineRule="auto"/>
        <w:rPr>
          <w:sz w:val="20"/>
          <w:szCs w:val="20"/>
          <w:color w:val="auto"/>
        </w:rPr>
      </w:pPr>
      <w:r>
        <w:rPr>
          <w:rFonts w:ascii="Times New Roman" w:cs="Times New Roman" w:eastAsia="Times New Roman" w:hAnsi="Times New Roman"/>
          <w:sz w:val="19"/>
          <w:szCs w:val="19"/>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59" w:lineRule="exact"/>
        <w:rPr>
          <w:sz w:val="20"/>
          <w:szCs w:val="20"/>
          <w:color w:val="auto"/>
        </w:rPr>
      </w:pPr>
    </w:p>
    <w:p>
      <w:pPr>
        <w:ind w:right="100" w:firstLine="630"/>
        <w:spacing w:after="0" w:line="258" w:lineRule="auto"/>
        <w:rPr>
          <w:sz w:val="20"/>
          <w:szCs w:val="20"/>
          <w:color w:val="auto"/>
        </w:rPr>
      </w:pPr>
      <w:r>
        <w:rPr>
          <w:rFonts w:ascii="Times New Roman" w:cs="Times New Roman" w:eastAsia="Times New Roman" w:hAnsi="Times New Roman"/>
          <w:sz w:val="20"/>
          <w:szCs w:val="20"/>
          <w:color w:val="auto"/>
        </w:rPr>
        <w:t>Patent reform legislation could increase the uncertainties and costs surrounding the prosecution of our and our licensors’, licensees’ or collaborators’ patent applications and the enforcement or defense of our or our licensors’, licensees’ or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spacing w:after="0" w:line="84" w:lineRule="exact"/>
        <w:rPr>
          <w:sz w:val="20"/>
          <w:szCs w:val="20"/>
          <w:color w:val="auto"/>
        </w:rPr>
      </w:pPr>
    </w:p>
    <w:p>
      <w:pPr>
        <w:ind w:firstLine="630"/>
        <w:spacing w:after="0" w:line="256" w:lineRule="auto"/>
        <w:rPr>
          <w:sz w:val="20"/>
          <w:szCs w:val="20"/>
          <w:color w:val="auto"/>
        </w:rPr>
      </w:pPr>
      <w:r>
        <w:rPr>
          <w:rFonts w:ascii="Times New Roman" w:cs="Times New Roman" w:eastAsia="Times New Roman" w:hAnsi="Times New Roman"/>
          <w:sz w:val="20"/>
          <w:szCs w:val="20"/>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88" w:lineRule="exact"/>
        <w:rPr>
          <w:sz w:val="20"/>
          <w:szCs w:val="20"/>
          <w:color w:val="auto"/>
        </w:rPr>
      </w:pPr>
    </w:p>
    <w:p>
      <w:pPr>
        <w:ind w:right="60" w:firstLine="630"/>
        <w:spacing w:after="0" w:line="254" w:lineRule="auto"/>
        <w:rPr>
          <w:sz w:val="20"/>
          <w:szCs w:val="20"/>
          <w:color w:val="auto"/>
        </w:rPr>
      </w:pPr>
      <w:r>
        <w:rPr>
          <w:rFonts w:ascii="Times New Roman" w:cs="Times New Roman" w:eastAsia="Times New Roman" w:hAnsi="Times New Roman"/>
          <w:sz w:val="20"/>
          <w:szCs w:val="20"/>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w:t>
      </w:r>
    </w:p>
    <w:p>
      <w:pPr>
        <w:spacing w:after="0" w:line="89" w:lineRule="exact"/>
        <w:rPr>
          <w:sz w:val="20"/>
          <w:szCs w:val="20"/>
          <w:color w:val="auto"/>
        </w:rPr>
      </w:pPr>
    </w:p>
    <w:p>
      <w:pPr>
        <w:ind w:right="80" w:firstLine="630"/>
        <w:spacing w:after="0" w:line="286" w:lineRule="auto"/>
        <w:rPr>
          <w:sz w:val="20"/>
          <w:szCs w:val="20"/>
          <w:color w:val="auto"/>
        </w:rPr>
      </w:pPr>
      <w:r>
        <w:rPr>
          <w:rFonts w:ascii="Times New Roman" w:cs="Times New Roman" w:eastAsia="Times New Roman" w:hAnsi="Times New Roman"/>
          <w:sz w:val="19"/>
          <w:szCs w:val="19"/>
          <w:color w:val="auto"/>
        </w:rPr>
        <w:t>Moreover, future and recent past changes in the patent laws in the U.S. and abroad could impact or could increase the uncertainties and costs surrounding the prosecution of our and our licensors’, licensees’ or collaborators’ patent applications and the enforcement or defense of our or our licensors’, licensees’ or collaborators’ issued patents, which could have an impact</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240"/>
          </w:cols>
          <w:pgMar w:left="1000" w:top="786" w:right="1000" w:bottom="0" w:gutter="0" w:footer="0" w:header="0"/>
          <w:type w:val="continuous"/>
        </w:sectPr>
      </w:pPr>
    </w:p>
    <w:bookmarkStart w:id="44" w:name="page45"/>
    <w:bookmarkEnd w:id="44"/>
    <w:p>
      <w:pPr>
        <w:ind w:right="60"/>
        <w:spacing w:after="0" w:line="253" w:lineRule="auto"/>
        <w:rPr>
          <w:sz w:val="20"/>
          <w:szCs w:val="20"/>
          <w:color w:val="auto"/>
        </w:rPr>
      </w:pPr>
      <w:r>
        <w:rPr>
          <w:rFonts w:ascii="Times New Roman" w:cs="Times New Roman" w:eastAsia="Times New Roman" w:hAnsi="Times New Roman"/>
          <w:sz w:val="20"/>
          <w:szCs w:val="20"/>
          <w:color w:val="auto"/>
        </w:rPr>
        <w:t xml:space="preserve">on our business and financial conditions. For example, over the past decade, the U.S. Supreme Court and the U.S. Court of Appeals for the Federal Circuit have rendered decisions in several patent cases such as </w:t>
      </w:r>
      <w:r>
        <w:rPr>
          <w:rFonts w:ascii="Times New Roman" w:cs="Times New Roman" w:eastAsia="Times New Roman" w:hAnsi="Times New Roman"/>
          <w:sz w:val="20"/>
          <w:szCs w:val="20"/>
          <w:b w:val="1"/>
          <w:bCs w:val="1"/>
          <w:i w:val="1"/>
          <w:iCs w:val="1"/>
          <w:color w:val="auto"/>
        </w:rPr>
        <w:t>Association for Molecular Pathology 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Myriad Genetics, Inc.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BRCA1- &amp; BRCA2-Based Hereditary Cancer Test Patent Litig</w:t>
      </w:r>
      <w:r>
        <w:rPr>
          <w:rFonts w:ascii="Times New Roman" w:cs="Times New Roman" w:eastAsia="Times New Roman" w:hAnsi="Times New Roman"/>
          <w:sz w:val="20"/>
          <w:szCs w:val="20"/>
          <w:color w:val="auto"/>
        </w:rPr>
        <w:t>., Mayo Collaborative Services v.</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licensees’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licensees’ or collaborators’ ability to obtain new patents or to enforce existing patents and patents that we and our licensors, licensees or collaborators may obtain in the future.</w:t>
      </w:r>
    </w:p>
    <w:p>
      <w:pPr>
        <w:spacing w:after="0" w:line="20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20"/>
          <w:szCs w:val="20"/>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7" w:lineRule="exact"/>
        <w:rPr>
          <w:sz w:val="20"/>
          <w:szCs w:val="20"/>
          <w:color w:val="auto"/>
        </w:rPr>
      </w:pPr>
    </w:p>
    <w:p>
      <w:pPr>
        <w:ind w:right="40" w:firstLine="630"/>
        <w:spacing w:after="0" w:line="253" w:lineRule="auto"/>
        <w:rPr>
          <w:sz w:val="20"/>
          <w:szCs w:val="20"/>
          <w:color w:val="auto"/>
        </w:rPr>
      </w:pPr>
      <w:r>
        <w:rPr>
          <w:rFonts w:ascii="Times New Roman" w:cs="Times New Roman" w:eastAsia="Times New Roman" w:hAnsi="Times New Roman"/>
          <w:sz w:val="20"/>
          <w:szCs w:val="20"/>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licensees or collaborators fail to maintain the patents and patent applications covering our product candidates, our competitors might be able to enter the market, which would have an adverse effect on our business.</w:t>
      </w:r>
    </w:p>
    <w:p>
      <w:pPr>
        <w:spacing w:after="0" w:line="20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9"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93" w:lineRule="exact"/>
        <w:rPr>
          <w:sz w:val="20"/>
          <w:szCs w:val="20"/>
          <w:color w:val="auto"/>
        </w:rPr>
      </w:pPr>
    </w:p>
    <w:p>
      <w:pPr>
        <w:ind w:right="40" w:firstLine="630"/>
        <w:spacing w:after="0" w:line="253" w:lineRule="auto"/>
        <w:rPr>
          <w:sz w:val="20"/>
          <w:szCs w:val="20"/>
          <w:color w:val="auto"/>
        </w:rPr>
      </w:pPr>
      <w:r>
        <w:rPr>
          <w:rFonts w:ascii="Times New Roman" w:cs="Times New Roman" w:eastAsia="Times New Roman" w:hAnsi="Times New Roman"/>
          <w:sz w:val="20"/>
          <w:szCs w:val="20"/>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0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20"/>
          <w:szCs w:val="20"/>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9" w:lineRule="exact"/>
        <w:rPr>
          <w:sz w:val="20"/>
          <w:szCs w:val="20"/>
          <w:color w:val="auto"/>
        </w:rPr>
      </w:pPr>
    </w:p>
    <w:p>
      <w:pPr>
        <w:ind w:firstLine="630"/>
        <w:spacing w:after="0" w:line="275" w:lineRule="auto"/>
        <w:rPr>
          <w:sz w:val="20"/>
          <w:szCs w:val="20"/>
          <w:color w:val="auto"/>
        </w:rPr>
      </w:pPr>
      <w:r>
        <w:rPr>
          <w:rFonts w:ascii="Times New Roman" w:cs="Times New Roman" w:eastAsia="Times New Roman" w:hAnsi="Times New Roman"/>
          <w:sz w:val="19"/>
          <w:szCs w:val="19"/>
          <w:color w:val="auto"/>
        </w:rPr>
        <w:t>Third parties may infringe our or our licensors’, licensees’ or collaborators’ patents or misappropriate or otherwise violate our or our licensors’, licensees’ or collaborators’ intellectual property rights. In the future, we or our licensors, licensees or collaborators may initiate legal proceedings to enforce or defend our or our licensors’, licensees’ or collaborators’ intellectual property rights, such as the litigation we initiated in August 2020 to enforce our rights under our collaboration with GSK, to protect our or our licensors’, licensees’ or collaborators’ trade secrets or to determine the validity or scope of intellectual</w:t>
      </w:r>
    </w:p>
    <w:p>
      <w:pPr>
        <w:sectPr>
          <w:pgSz w:w="12240" w:h="15840" w:orient="portrait"/>
          <w:cols w:equalWidth="0" w:num="1">
            <w:col w:w="10240"/>
          </w:cols>
          <w:pgMar w:left="1000" w:top="793" w:right="1000" w:bottom="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240"/>
          </w:cols>
          <w:pgMar w:left="1000" w:top="793" w:right="1000" w:bottom="0" w:gutter="0" w:footer="0" w:header="0"/>
          <w:type w:val="continuous"/>
        </w:sectPr>
      </w:pPr>
    </w:p>
    <w:bookmarkStart w:id="45" w:name="page46"/>
    <w:bookmarkEnd w:id="45"/>
    <w:p>
      <w:pPr>
        <w:ind w:right="60"/>
        <w:spacing w:after="0" w:line="254" w:lineRule="auto"/>
        <w:rPr>
          <w:sz w:val="20"/>
          <w:szCs w:val="20"/>
          <w:color w:val="auto"/>
        </w:rPr>
      </w:pPr>
      <w:r>
        <w:rPr>
          <w:rFonts w:ascii="Times New Roman" w:cs="Times New Roman" w:eastAsia="Times New Roman" w:hAnsi="Times New Roman"/>
          <w:sz w:val="20"/>
          <w:szCs w:val="20"/>
          <w:color w:val="auto"/>
        </w:rPr>
        <w:t>property rights we own or control. Also, third parties may initiate legal proceedings against us or our licensors, licensees or collaborators to challenge the validity or scope of intellectual property rights we own or control.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 In addition, in an infringement proceeding, a court may decide that a patent owned by or licensed to us is invalid or unenforceable, or may refuse to stop the other party from using the technology at issue on the grounds that our or our licensors’, licensees’ or collaborators’ patents do not cover the technology in question. Furthermore, an adverse result in any litigation or administrative proceeding could put one or more of our or our licensors’, licensees’ or collaborators’ patents at risk of being invalidated, held unenforceable or interpreted narrowly.</w:t>
      </w:r>
    </w:p>
    <w:p>
      <w:pPr>
        <w:spacing w:after="0" w:line="89" w:lineRule="exact"/>
        <w:rPr>
          <w:sz w:val="20"/>
          <w:szCs w:val="20"/>
          <w:color w:val="auto"/>
        </w:rPr>
      </w:pPr>
    </w:p>
    <w:p>
      <w:pPr>
        <w:ind w:right="120" w:firstLine="630"/>
        <w:spacing w:after="0" w:line="258" w:lineRule="auto"/>
        <w:rPr>
          <w:sz w:val="20"/>
          <w:szCs w:val="20"/>
          <w:color w:val="auto"/>
        </w:rPr>
      </w:pPr>
      <w:r>
        <w:rPr>
          <w:rFonts w:ascii="Times New Roman" w:cs="Times New Roman" w:eastAsia="Times New Roman" w:hAnsi="Times New Roman"/>
          <w:sz w:val="20"/>
          <w:szCs w:val="20"/>
          <w:color w:val="auto"/>
        </w:rPr>
        <w:t>Accordingly, despite our or our licensors’, licensees’ or collaborators’ efforts, we or our licensors, licensees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84"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licensees or collaborators to protect or enforce our or our licensors’, licensees’ or collaborators’ patents or patent applications. Additionally, third-party preissuance submission of prior art to the USPTO or other foreign jurisdictions may jeopardize the issuance or scope of our or our licensors’, licensees’ or collaborators’ patent applications. An unfavorable outcome in any such proceedings could require us or our licensors, licensees or collaborators to cease using the related technology, or to attempt to license rights to it from the prevailing party. Our business could be harmed if the prevailing party does not offer us or our licensors, licensees or collaborators a license on commercially reasonable terms or at all, and we could be forced to stop commercializing our product candidates. Even if we or our licensors, licensees or collaborators obtain a license, it may be non-exclusive, thereby giving our competitors access to the same technologies licensed to us or our licensors, licensees or collaborators.</w:t>
      </w:r>
    </w:p>
    <w:p>
      <w:pPr>
        <w:spacing w:after="0" w:line="91" w:lineRule="exact"/>
        <w:rPr>
          <w:sz w:val="20"/>
          <w:szCs w:val="20"/>
          <w:color w:val="auto"/>
        </w:rPr>
      </w:pPr>
    </w:p>
    <w:p>
      <w:pPr>
        <w:ind w:right="20" w:firstLine="630"/>
        <w:spacing w:after="0" w:line="258" w:lineRule="auto"/>
        <w:rPr>
          <w:sz w:val="20"/>
          <w:szCs w:val="20"/>
          <w:color w:val="auto"/>
        </w:rPr>
      </w:pPr>
      <w:r>
        <w:rPr>
          <w:rFonts w:ascii="Times New Roman" w:cs="Times New Roman" w:eastAsia="Times New Roman" w:hAnsi="Times New Roman"/>
          <w:sz w:val="20"/>
          <w:szCs w:val="20"/>
          <w:color w:val="auto"/>
        </w:rPr>
        <w:t>In addition, if the breadth or strength of protection provided by our or our licensors’, licensees’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84" w:lineRule="exact"/>
        <w:rPr>
          <w:sz w:val="20"/>
          <w:szCs w:val="20"/>
          <w:color w:val="auto"/>
        </w:rPr>
      </w:pPr>
    </w:p>
    <w:p>
      <w:pPr>
        <w:ind w:right="40" w:firstLine="630"/>
        <w:spacing w:after="0" w:line="258" w:lineRule="auto"/>
        <w:rPr>
          <w:sz w:val="20"/>
          <w:szCs w:val="20"/>
          <w:color w:val="auto"/>
        </w:rPr>
      </w:pPr>
      <w:r>
        <w:rPr>
          <w:rFonts w:ascii="Times New Roman" w:cs="Times New Roman" w:eastAsia="Times New Roman" w:hAnsi="Times New Roman"/>
          <w:sz w:val="20"/>
          <w:szCs w:val="20"/>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197"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20"/>
          <w:szCs w:val="20"/>
          <w:b w:val="1"/>
          <w:bCs w:val="1"/>
          <w:color w:val="auto"/>
        </w:rPr>
        <w:t>If we breach the license agreements related to our product candidates, we could lose the ability to continue the development and commercialization of our product candidates.</w:t>
      </w:r>
    </w:p>
    <w:p>
      <w:pPr>
        <w:spacing w:after="0" w:line="59" w:lineRule="exact"/>
        <w:rPr>
          <w:sz w:val="20"/>
          <w:szCs w:val="20"/>
          <w:color w:val="auto"/>
        </w:rPr>
      </w:pPr>
    </w:p>
    <w:p>
      <w:pPr>
        <w:ind w:right="120" w:firstLine="630"/>
        <w:spacing w:after="0" w:line="252" w:lineRule="auto"/>
        <w:rPr>
          <w:sz w:val="20"/>
          <w:szCs w:val="20"/>
          <w:color w:val="auto"/>
        </w:rPr>
      </w:pPr>
      <w:r>
        <w:rPr>
          <w:rFonts w:ascii="Times New Roman" w:cs="Times New Roman" w:eastAsia="Times New Roman" w:hAnsi="Times New Roman"/>
          <w:sz w:val="20"/>
          <w:szCs w:val="20"/>
          <w:color w:val="auto"/>
        </w:rPr>
        <w:t>Our commercial success depends upon our ability, and the ability of our licensors, licensees and collaborators, to develop, manufacture, market and sell our product candidates and use our and our licensors’, licensees’ or collaborators’ wholly-owned technologies without infringing the proprietary rights of third parties. A third party may hold intellectual property, including patent rights that are important or necessary to the development of our products. As a result, we may enter into license agreements in the future with others in order to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product candidates in the future. If we fail to comply with the obligations under any such agreement,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Disputes may arise regarding intellectual property subject to a licensing agreement, including:</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240"/>
          </w:cols>
          <w:pgMar w:left="1000" w:top="793" w:right="1000" w:bottom="0" w:gutter="0" w:footer="0" w:header="0"/>
          <w:type w:val="continuous"/>
        </w:sectPr>
      </w:pPr>
    </w:p>
    <w:bookmarkStart w:id="46" w:name="page47"/>
    <w:bookmarkEnd w:id="46"/>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of rights granted under the license agreement and other interpretation-related issues;</w:t>
      </w:r>
    </w:p>
    <w:p>
      <w:pPr>
        <w:spacing w:after="0" w:line="130" w:lineRule="exact"/>
        <w:rPr>
          <w:rFonts w:ascii="Times New Roman" w:cs="Times New Roman" w:eastAsia="Times New Roman" w:hAnsi="Times New Roman"/>
          <w:sz w:val="20"/>
          <w:szCs w:val="20"/>
          <w:color w:val="auto"/>
        </w:rPr>
      </w:pPr>
    </w:p>
    <w:p>
      <w:pPr>
        <w:ind w:left="720" w:right="140" w:hanging="370"/>
        <w:spacing w:after="0" w:line="281"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to which our technology and processes infringe on intellectual property of the licensor that is not subject to the licensing agreement;</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sublicensing of patent and other rights under any collaboration relationships we might enter into in the future;</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diligence obligations under the license agreement and what activities satisfy those diligence obligations;</w:t>
      </w:r>
    </w:p>
    <w:p>
      <w:pPr>
        <w:spacing w:after="0" w:line="130" w:lineRule="exact"/>
        <w:rPr>
          <w:rFonts w:ascii="Times New Roman" w:cs="Times New Roman" w:eastAsia="Times New Roman" w:hAnsi="Times New Roman"/>
          <w:sz w:val="20"/>
          <w:szCs w:val="20"/>
          <w:color w:val="auto"/>
        </w:rPr>
      </w:pPr>
    </w:p>
    <w:p>
      <w:pPr>
        <w:ind w:left="720" w:right="240" w:hanging="370"/>
        <w:spacing w:after="0" w:line="281"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ownership of inventions and know-how resulting from the joint creation or use of intellectual property by us and our licensors, licensees or collaborators; and</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priority of invention of patented technology.</w:t>
      </w:r>
    </w:p>
    <w:p>
      <w:pPr>
        <w:spacing w:after="0" w:line="130" w:lineRule="exact"/>
        <w:rPr>
          <w:sz w:val="20"/>
          <w:szCs w:val="20"/>
          <w:color w:val="auto"/>
        </w:rPr>
      </w:pPr>
    </w:p>
    <w:p>
      <w:pPr>
        <w:ind w:right="40" w:firstLine="630"/>
        <w:spacing w:after="0" w:line="266" w:lineRule="auto"/>
        <w:rPr>
          <w:sz w:val="20"/>
          <w:szCs w:val="20"/>
          <w:color w:val="auto"/>
        </w:rPr>
      </w:pPr>
      <w:r>
        <w:rPr>
          <w:rFonts w:ascii="Times New Roman" w:cs="Times New Roman" w:eastAsia="Times New Roman" w:hAnsi="Times New Roman"/>
          <w:sz w:val="20"/>
          <w:szCs w:val="20"/>
          <w:color w:val="auto"/>
        </w:rPr>
        <w:t>If disputes over intellectual property that we have licensed prevent or impair our ability to maintain any future licensing arrangements on acceptable terms, we may be unable to successfully develop and commercialize the affected product candidates.</w:t>
      </w:r>
    </w:p>
    <w:p>
      <w:pPr>
        <w:spacing w:after="0" w:line="18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20"/>
          <w:szCs w:val="20"/>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83" w:lineRule="exact"/>
        <w:rPr>
          <w:sz w:val="20"/>
          <w:szCs w:val="20"/>
          <w:color w:val="auto"/>
        </w:rPr>
      </w:pPr>
    </w:p>
    <w:p>
      <w:pPr>
        <w:ind w:right="20" w:firstLine="630"/>
        <w:spacing w:after="0" w:line="255" w:lineRule="auto"/>
        <w:rPr>
          <w:sz w:val="20"/>
          <w:szCs w:val="20"/>
          <w:color w:val="auto"/>
        </w:rPr>
      </w:pPr>
      <w:r>
        <w:rPr>
          <w:rFonts w:ascii="Times New Roman" w:cs="Times New Roman" w:eastAsia="Times New Roman" w:hAnsi="Times New Roman"/>
          <w:sz w:val="20"/>
          <w:szCs w:val="20"/>
          <w:color w:val="auto"/>
        </w:rPr>
        <w:t>Third parties may initiate legal proceedings against us or our licensors, licensees or collaborators alleging that we or our licensors, licensees or collaborators infringe their intellectual property rights or we or our licensors, licensees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w:t>
      </w:r>
    </w:p>
    <w:p>
      <w:pPr>
        <w:spacing w:after="0" w:line="90"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licensees or collaborators to cease using the related technology, to cease developing or commercializing our product candidates or to attempt to license rights to it from the prevailing party. Our business could be harmed if the prevailing party does not offer us or our licensors, licensees or collaborators a license on commercially reasonable terms or at all. Even if we or our licensors, licensees or collaborators obtain a license, it may be non-exclusive, thereby giving our competitors access to the same technologies licensed to us or our licensors, licensees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0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20"/>
          <w:szCs w:val="20"/>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9" w:lineRule="exact"/>
        <w:rPr>
          <w:sz w:val="20"/>
          <w:szCs w:val="20"/>
          <w:color w:val="auto"/>
        </w:rPr>
      </w:pPr>
    </w:p>
    <w:p>
      <w:pPr>
        <w:ind w:right="40" w:firstLine="630"/>
        <w:spacing w:after="0" w:line="255" w:lineRule="auto"/>
        <w:rPr>
          <w:sz w:val="20"/>
          <w:szCs w:val="20"/>
          <w:color w:val="auto"/>
        </w:rPr>
      </w:pPr>
      <w:r>
        <w:rPr>
          <w:rFonts w:ascii="Times New Roman" w:cs="Times New Roman" w:eastAsia="Times New Roman" w:hAnsi="Times New Roman"/>
          <w:sz w:val="20"/>
          <w:szCs w:val="20"/>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90" w:lineRule="exact"/>
        <w:rPr>
          <w:sz w:val="20"/>
          <w:szCs w:val="20"/>
          <w:color w:val="auto"/>
        </w:rPr>
      </w:pPr>
    </w:p>
    <w:p>
      <w:pPr>
        <w:ind w:right="100" w:firstLine="630"/>
        <w:spacing w:after="0" w:line="256" w:lineRule="auto"/>
        <w:rPr>
          <w:sz w:val="20"/>
          <w:szCs w:val="20"/>
          <w:color w:val="auto"/>
        </w:rPr>
      </w:pPr>
      <w:r>
        <w:rPr>
          <w:rFonts w:ascii="Times New Roman" w:cs="Times New Roman" w:eastAsia="Times New Roman" w:hAnsi="Times New Roman"/>
          <w:sz w:val="20"/>
          <w:szCs w:val="20"/>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20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20"/>
          <w:szCs w:val="20"/>
          <w:b w:val="1"/>
          <w:bCs w:val="1"/>
          <w:color w:val="auto"/>
        </w:rPr>
        <w:t>Our inability to protect our confidential information and trade secrets would harm our business and competitive position.</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240"/>
          </w:cols>
          <w:pgMar w:left="1000" w:top="793" w:right="1000" w:bottom="0" w:gutter="0" w:footer="0" w:header="0"/>
          <w:type w:val="continuous"/>
        </w:sectPr>
      </w:pPr>
    </w:p>
    <w:bookmarkStart w:id="47" w:name="page48"/>
    <w:bookmarkEnd w:id="47"/>
    <w:p>
      <w:pPr>
        <w:ind w:firstLine="630"/>
        <w:spacing w:after="0" w:line="253" w:lineRule="auto"/>
        <w:rPr>
          <w:sz w:val="20"/>
          <w:szCs w:val="20"/>
          <w:color w:val="auto"/>
        </w:rPr>
      </w:pPr>
      <w:r>
        <w:rPr>
          <w:rFonts w:ascii="Times New Roman" w:cs="Times New Roman" w:eastAsia="Times New Roman" w:hAnsi="Times New Roman"/>
          <w:sz w:val="20"/>
          <w:szCs w:val="20"/>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0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20"/>
          <w:szCs w:val="20"/>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9" w:lineRule="exact"/>
        <w:rPr>
          <w:sz w:val="20"/>
          <w:szCs w:val="20"/>
          <w:color w:val="auto"/>
        </w:rPr>
      </w:pPr>
    </w:p>
    <w:p>
      <w:pPr>
        <w:ind w:right="20" w:firstLine="630"/>
        <w:spacing w:after="0" w:line="253" w:lineRule="auto"/>
        <w:rPr>
          <w:sz w:val="20"/>
          <w:szCs w:val="20"/>
          <w:color w:val="auto"/>
        </w:rPr>
      </w:pPr>
      <w:r>
        <w:rPr>
          <w:rFonts w:ascii="Times New Roman" w:cs="Times New Roman" w:eastAsia="Times New Roman" w:hAnsi="Times New Roman"/>
          <w:sz w:val="20"/>
          <w:szCs w:val="20"/>
          <w:color w:val="auto"/>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328" w:lineRule="exact"/>
        <w:rPr>
          <w:sz w:val="20"/>
          <w:szCs w:val="20"/>
          <w:color w:val="auto"/>
        </w:rPr>
      </w:pPr>
    </w:p>
    <w:p>
      <w:pPr>
        <w:ind w:right="3400"/>
        <w:spacing w:after="0" w:line="399" w:lineRule="auto"/>
        <w:rPr>
          <w:sz w:val="20"/>
          <w:szCs w:val="20"/>
          <w:color w:val="auto"/>
        </w:rPr>
      </w:pPr>
      <w:r>
        <w:rPr>
          <w:rFonts w:ascii="Times New Roman" w:cs="Times New Roman" w:eastAsia="Times New Roman" w:hAnsi="Times New Roman"/>
          <w:sz w:val="19"/>
          <w:szCs w:val="19"/>
          <w:b w:val="1"/>
          <w:bCs w:val="1"/>
          <w:color w:val="auto"/>
        </w:rPr>
        <w:t>Risks Related to Managing Growth, Operations and Macroeconomic Conditions We must attract and retain highly skilled employees in order to succeed.</w:t>
      </w:r>
    </w:p>
    <w:p>
      <w:pPr>
        <w:spacing w:after="0" w:line="1" w:lineRule="exact"/>
        <w:rPr>
          <w:sz w:val="20"/>
          <w:szCs w:val="20"/>
          <w:color w:val="auto"/>
        </w:rPr>
      </w:pPr>
    </w:p>
    <w:p>
      <w:pPr>
        <w:ind w:right="140" w:firstLine="630"/>
        <w:spacing w:after="0" w:line="254" w:lineRule="auto"/>
        <w:rPr>
          <w:sz w:val="20"/>
          <w:szCs w:val="20"/>
          <w:color w:val="auto"/>
        </w:rPr>
      </w:pPr>
      <w:r>
        <w:rPr>
          <w:rFonts w:ascii="Times New Roman" w:cs="Times New Roman" w:eastAsia="Times New Roman" w:hAnsi="Times New Roman"/>
          <w:sz w:val="20"/>
          <w:szCs w:val="20"/>
          <w:color w:val="auto"/>
        </w:rPr>
        <w:t>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w:t>
      </w:r>
    </w:p>
    <w:p>
      <w:pPr>
        <w:spacing w:after="0" w:line="89" w:lineRule="exact"/>
        <w:rPr>
          <w:sz w:val="20"/>
          <w:szCs w:val="20"/>
          <w:color w:val="auto"/>
        </w:rPr>
      </w:pPr>
    </w:p>
    <w:p>
      <w:pPr>
        <w:ind w:right="120" w:firstLine="630"/>
        <w:spacing w:after="0" w:line="258" w:lineRule="auto"/>
        <w:rPr>
          <w:sz w:val="20"/>
          <w:szCs w:val="20"/>
          <w:color w:val="auto"/>
        </w:rPr>
      </w:pPr>
      <w:r>
        <w:rPr>
          <w:rFonts w:ascii="Times New Roman" w:cs="Times New Roman" w:eastAsia="Times New Roman" w:hAnsi="Times New Roman"/>
          <w:sz w:val="20"/>
          <w:szCs w:val="20"/>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9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20"/>
          <w:szCs w:val="20"/>
          <w:b w:val="1"/>
          <w:bCs w:val="1"/>
          <w:color w:val="auto"/>
        </w:rPr>
        <w:t>We expect to expand our development and regulatory capabilities, and as a result, we may encounter difficulties in managing our growth, which could disrupt our operations.</w:t>
      </w:r>
    </w:p>
    <w:p>
      <w:pPr>
        <w:spacing w:after="0" w:line="59" w:lineRule="exact"/>
        <w:rPr>
          <w:sz w:val="20"/>
          <w:szCs w:val="20"/>
          <w:color w:val="auto"/>
        </w:rPr>
      </w:pPr>
    </w:p>
    <w:p>
      <w:pPr>
        <w:ind w:firstLine="630"/>
        <w:spacing w:after="0" w:line="254" w:lineRule="auto"/>
        <w:rPr>
          <w:sz w:val="20"/>
          <w:szCs w:val="20"/>
          <w:color w:val="auto"/>
        </w:rPr>
      </w:pPr>
      <w:r>
        <w:rPr>
          <w:rFonts w:ascii="Times New Roman" w:cs="Times New Roman" w:eastAsia="Times New Roman" w:hAnsi="Times New Roman"/>
          <w:sz w:val="20"/>
          <w:szCs w:val="20"/>
          <w:color w:val="auto"/>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240"/>
          </w:cols>
          <w:pgMar w:left="1000" w:top="793" w:right="100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color w:val="auto"/>
        </w:rPr>
        <w:t>We may be vulnerable to disruption, damage and financial obligation as a result of system failures.</w:t>
      </w:r>
    </w:p>
    <w:p>
      <w:pPr>
        <w:spacing w:after="0" w:line="137"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20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20"/>
          <w:szCs w:val="20"/>
          <w:b w:val="1"/>
          <w:bCs w:val="1"/>
          <w:color w:val="auto"/>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spacing w:after="0" w:line="77" w:lineRule="exact"/>
        <w:rPr>
          <w:sz w:val="20"/>
          <w:szCs w:val="20"/>
          <w:color w:val="auto"/>
        </w:rPr>
      </w:pPr>
    </w:p>
    <w:p>
      <w:pPr>
        <w:ind w:right="100" w:firstLine="630"/>
        <w:spacing w:after="0" w:line="253" w:lineRule="auto"/>
        <w:rPr>
          <w:sz w:val="20"/>
          <w:szCs w:val="20"/>
          <w:color w:val="auto"/>
        </w:rPr>
      </w:pPr>
      <w:r>
        <w:rPr>
          <w:rFonts w:ascii="Times New Roman" w:cs="Times New Roman" w:eastAsia="Times New Roman" w:hAnsi="Times New Roman"/>
          <w:sz w:val="20"/>
          <w:szCs w:val="20"/>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or other disasters, including those resulting from or amplified by climate change,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spacing w:after="0" w:line="96" w:lineRule="exact"/>
        <w:rPr>
          <w:sz w:val="20"/>
          <w:szCs w:val="20"/>
          <w:color w:val="auto"/>
        </w:rPr>
      </w:pPr>
    </w:p>
    <w:p>
      <w:pPr>
        <w:ind w:right="120" w:firstLine="630"/>
        <w:spacing w:after="0" w:line="266" w:lineRule="auto"/>
        <w:rPr>
          <w:sz w:val="20"/>
          <w:szCs w:val="20"/>
          <w:color w:val="auto"/>
        </w:rPr>
      </w:pPr>
      <w:r>
        <w:rPr>
          <w:rFonts w:ascii="Times New Roman" w:cs="Times New Roman" w:eastAsia="Times New Roman" w:hAnsi="Times New Roman"/>
          <w:sz w:val="20"/>
          <w:szCs w:val="20"/>
          <w:color w:val="auto"/>
        </w:rPr>
        <w:t>Furthermore, integral parties in our supply chain are geographically concentrated and operating from single sites, increasing their vulnerability to natural disasters or other sudden, unforeseen and severe and/or SAEs. If such an event were to affect our supply chain, it could have a material adverse effect on our business.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Common Stock</w:t>
      </w:r>
    </w:p>
    <w:p>
      <w:pPr>
        <w:spacing w:after="0" w:line="130"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20"/>
          <w:szCs w:val="20"/>
          <w:b w:val="1"/>
          <w:bCs w:val="1"/>
          <w:color w:val="auto"/>
        </w:rPr>
        <w:t>The market price of our stock has been and may continue to be volatile, and you could lose all or part of your investment.</w:t>
      </w:r>
    </w:p>
    <w:p>
      <w:pPr>
        <w:spacing w:after="0" w:line="59" w:lineRule="exact"/>
        <w:rPr>
          <w:sz w:val="20"/>
          <w:szCs w:val="20"/>
          <w:color w:val="auto"/>
        </w:rPr>
      </w:pPr>
    </w:p>
    <w:p>
      <w:pPr>
        <w:jc w:val="both"/>
        <w:ind w:right="240" w:firstLine="630"/>
        <w:spacing w:after="0" w:line="266" w:lineRule="auto"/>
        <w:rPr>
          <w:sz w:val="20"/>
          <w:szCs w:val="20"/>
          <w:color w:val="auto"/>
        </w:rPr>
      </w:pPr>
      <w:r>
        <w:rPr>
          <w:rFonts w:ascii="Times New Roman" w:cs="Times New Roman" w:eastAsia="Times New Roman" w:hAnsi="Times New Roman"/>
          <w:sz w:val="20"/>
          <w:szCs w:val="20"/>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75" w:lineRule="exact"/>
        <w:rPr>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of competitive products;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actions with respect to our products or our competitors’ products;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changes in our growth rate relative to our competitors;</w:t>
      </w:r>
    </w:p>
    <w:p>
      <w:pPr>
        <w:spacing w:after="0" w:line="130" w:lineRule="exact"/>
        <w:rPr>
          <w:rFonts w:ascii="Times New Roman" w:cs="Times New Roman" w:eastAsia="Times New Roman" w:hAnsi="Times New Roman"/>
          <w:sz w:val="20"/>
          <w:szCs w:val="20"/>
          <w:color w:val="auto"/>
        </w:rPr>
      </w:pPr>
    </w:p>
    <w:p>
      <w:pPr>
        <w:ind w:left="720" w:right="940" w:hanging="370"/>
        <w:spacing w:after="0" w:line="281"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us or our competitors of significant acquisitions, strategic collaborations, joint ventures, collaborations or capital commitments;</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of preclinical studies and clinical trials of our product candidates or those of our competitors;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or legal developments in the United States and other countries;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or disputes concerning patent applications, issued patents or other proprietary rights;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recruitment or departure of key personnel;</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level of expenses related to any of our product candidates or clinical development programs;</w:t>
      </w:r>
    </w:p>
    <w:p>
      <w:pPr>
        <w:spacing w:after="0" w:line="130" w:lineRule="exact"/>
        <w:rPr>
          <w:rFonts w:ascii="Times New Roman" w:cs="Times New Roman" w:eastAsia="Times New Roman" w:hAnsi="Times New Roman"/>
          <w:sz w:val="20"/>
          <w:szCs w:val="20"/>
          <w:color w:val="auto"/>
        </w:rPr>
      </w:pPr>
    </w:p>
    <w:p>
      <w:pPr>
        <w:ind w:left="720" w:right="780" w:hanging="370"/>
        <w:spacing w:after="0" w:line="281"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with respect to our existing collaboration agreements and announcements of new collaboration agreements;</w:t>
      </w:r>
    </w:p>
    <w:p>
      <w:pPr>
        <w:spacing w:after="0" w:line="61" w:lineRule="exact"/>
        <w:rPr>
          <w:rFonts w:ascii="Times New Roman" w:cs="Times New Roman" w:eastAsia="Times New Roman" w:hAnsi="Times New Roman"/>
          <w:sz w:val="20"/>
          <w:szCs w:val="20"/>
          <w:color w:val="auto"/>
        </w:rPr>
      </w:pPr>
    </w:p>
    <w:p>
      <w:pPr>
        <w:ind w:left="720" w:right="260" w:hanging="370"/>
        <w:spacing w:after="0" w:line="281"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disputes, breaches and terminations of our manufacturing agreements, collaborations agreements or other important agreements;</w:t>
      </w:r>
    </w:p>
    <w:p>
      <w:pPr>
        <w:sectPr>
          <w:pgSz w:w="12240" w:h="15840" w:orient="portrait"/>
          <w:cols w:equalWidth="0" w:num="1">
            <w:col w:w="10220"/>
          </w:cols>
          <w:pgMar w:left="1000" w:top="786" w:right="1020" w:bottom="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220"/>
          </w:cols>
          <w:pgMar w:left="1000" w:top="786" w:right="1020" w:bottom="0" w:gutter="0" w:footer="0" w:header="0"/>
          <w:type w:val="continuous"/>
        </w:sectPr>
      </w:pPr>
    </w:p>
    <w:bookmarkStart w:id="49" w:name="page50"/>
    <w:bookmarkEnd w:id="49"/>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our efforts to in-license or acquire additional product candidates or products;</w:t>
      </w:r>
    </w:p>
    <w:p>
      <w:pPr>
        <w:spacing w:after="0" w:line="130" w:lineRule="exact"/>
        <w:rPr>
          <w:rFonts w:ascii="Times New Roman" w:cs="Times New Roman" w:eastAsia="Times New Roman" w:hAnsi="Times New Roman"/>
          <w:sz w:val="20"/>
          <w:szCs w:val="20"/>
          <w:color w:val="auto"/>
        </w:rPr>
      </w:pPr>
    </w:p>
    <w:p>
      <w:pPr>
        <w:ind w:left="720" w:right="580" w:hanging="370"/>
        <w:spacing w:after="0" w:line="281"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changes in estimates as to financial results, development timelines or recommendations by securities analysts;</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variations in our financial results or those of companies that are perceived to be similar to us;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valuation of companies perceived by investors to be comparable to us;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 price and volume fluctuations attributable to inconsistent trading volume levels of our shares;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 or expectation of additional financing efforts;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our common stock by us, our insiders or our other stockholders;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of our common stock by us pursuant to a stock repurchase program;</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structure of health care payment systems;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conditions in the biotechnology sector; and</w:t>
      </w:r>
    </w:p>
    <w:p>
      <w:pPr>
        <w:spacing w:after="0" w:line="130" w:lineRule="exact"/>
        <w:rPr>
          <w:rFonts w:ascii="Times New Roman" w:cs="Times New Roman" w:eastAsia="Times New Roman" w:hAnsi="Times New Roman"/>
          <w:sz w:val="20"/>
          <w:szCs w:val="20"/>
          <w:color w:val="auto"/>
        </w:rPr>
      </w:pPr>
    </w:p>
    <w:p>
      <w:pPr>
        <w:ind w:left="720" w:right="60" w:hanging="370"/>
        <w:spacing w:after="0" w:line="266"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uncertainty and capital markets disruptions, which have been substantially impacted by geopolitical instability, actual or perceived instability in the U.S. and global banking systems, uncertainty with respect to the U.S. federal budget, and rising interest rates and inflation.</w:t>
      </w:r>
    </w:p>
    <w:p>
      <w:pPr>
        <w:spacing w:after="0" w:line="75" w:lineRule="exact"/>
        <w:rPr>
          <w:sz w:val="20"/>
          <w:szCs w:val="20"/>
          <w:color w:val="auto"/>
        </w:rPr>
      </w:pPr>
    </w:p>
    <w:p>
      <w:pPr>
        <w:ind w:firstLine="630"/>
        <w:spacing w:after="0" w:line="254" w:lineRule="auto"/>
        <w:rPr>
          <w:sz w:val="20"/>
          <w:szCs w:val="20"/>
          <w:color w:val="auto"/>
        </w:rPr>
      </w:pPr>
      <w:r>
        <w:rPr>
          <w:rFonts w:ascii="Times New Roman" w:cs="Times New Roman" w:eastAsia="Times New Roman" w:hAnsi="Times New Roman"/>
          <w:sz w:val="20"/>
          <w:szCs w:val="20"/>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overall market and the market price of a particular company’s securities, securities class action litigation has often been instituted against these companies. We have been subject to securities litigation in the past, and any future securities litigation could result in substantial costs and a diversion of our management’s attention and resources. The realization of any of the above risks or any of a broad range of other risks, including those described in this “Risk Factors” section, could have a dramatic and adverse impact on the market price of our common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have broad discretion in the use of the net proceeds from our public offerings and may not use them effectively.</w:t>
      </w:r>
    </w:p>
    <w:p>
      <w:pPr>
        <w:spacing w:after="0" w:line="137" w:lineRule="exact"/>
        <w:rPr>
          <w:sz w:val="20"/>
          <w:szCs w:val="20"/>
          <w:color w:val="auto"/>
        </w:rPr>
      </w:pPr>
    </w:p>
    <w:p>
      <w:pPr>
        <w:ind w:right="120" w:firstLine="630"/>
        <w:spacing w:after="0" w:line="258" w:lineRule="auto"/>
        <w:rPr>
          <w:sz w:val="20"/>
          <w:szCs w:val="20"/>
          <w:color w:val="auto"/>
        </w:rPr>
      </w:pPr>
      <w:r>
        <w:rPr>
          <w:rFonts w:ascii="Times New Roman" w:cs="Times New Roman" w:eastAsia="Times New Roman" w:hAnsi="Times New Roman"/>
          <w:sz w:val="20"/>
          <w:szCs w:val="20"/>
          <w:color w:val="auto"/>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may be subject to securities litigation, which is expensive and could divert management attention.</w:t>
      </w:r>
    </w:p>
    <w:p>
      <w:pPr>
        <w:spacing w:after="0" w:line="137" w:lineRule="exact"/>
        <w:rPr>
          <w:sz w:val="20"/>
          <w:szCs w:val="20"/>
          <w:color w:val="auto"/>
        </w:rPr>
      </w:pPr>
    </w:p>
    <w:p>
      <w:pPr>
        <w:ind w:firstLine="630"/>
        <w:spacing w:after="0" w:line="260" w:lineRule="auto"/>
        <w:rPr>
          <w:sz w:val="20"/>
          <w:szCs w:val="20"/>
          <w:color w:val="auto"/>
        </w:rPr>
      </w:pPr>
      <w:r>
        <w:rPr>
          <w:rFonts w:ascii="Times New Roman" w:cs="Times New Roman" w:eastAsia="Times New Roman" w:hAnsi="Times New Roman"/>
          <w:sz w:val="20"/>
          <w:szCs w:val="20"/>
          <w:color w:val="auto"/>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Regardless of the outcome, future litigation against us could result in substantial costs and divert our management’s attention from other business concerns, which could seriously harm our business.</w:t>
      </w:r>
    </w:p>
    <w:p>
      <w:pPr>
        <w:spacing w:after="0" w:line="19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20"/>
          <w:szCs w:val="20"/>
          <w:b w:val="1"/>
          <w:bCs w:val="1"/>
          <w:color w:val="auto"/>
        </w:rPr>
        <w:t>The requirements of being a public company may strain our resources, divert management’s attention, and affect our ability to attract and retain additional executive management and qualified board members.</w:t>
      </w:r>
    </w:p>
    <w:p>
      <w:pPr>
        <w:spacing w:after="0" w:line="59"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continue to invest resources to comply with evolving laws, regulations, and standards, and this investment may result in increased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w:t>
      </w:r>
    </w:p>
    <w:p>
      <w:pPr>
        <w:sectPr>
          <w:pgSz w:w="12240" w:h="15840" w:orient="portrait"/>
          <w:cols w:equalWidth="0" w:num="1">
            <w:col w:w="10200"/>
          </w:cols>
          <w:pgMar w:left="1000" w:top="793" w:right="1040" w:bottom="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200"/>
          </w:cols>
          <w:pgMar w:left="1000" w:top="793" w:right="1040" w:bottom="0" w:gutter="0" w:footer="0" w:header="0"/>
          <w:type w:val="continuous"/>
        </w:sectPr>
      </w:pPr>
    </w:p>
    <w:bookmarkStart w:id="50" w:name="page51"/>
    <w:bookmarkEnd w:id="50"/>
    <w:p>
      <w:pPr>
        <w:ind w:right="40"/>
        <w:spacing w:after="0" w:line="281" w:lineRule="auto"/>
        <w:rPr>
          <w:sz w:val="20"/>
          <w:szCs w:val="20"/>
          <w:color w:val="auto"/>
        </w:rPr>
      </w:pPr>
      <w:r>
        <w:rPr>
          <w:rFonts w:ascii="Times New Roman" w:cs="Times New Roman" w:eastAsia="Times New Roman" w:hAnsi="Times New Roman"/>
          <w:sz w:val="20"/>
          <w:szCs w:val="20"/>
          <w:color w:val="auto"/>
        </w:rPr>
        <w:t>and future requirements. The impact of these requirements could also make it more difficult for us to attract and retain qualified persons to serve on our Board of Directors, our board committees or as executive officers.</w:t>
      </w:r>
    </w:p>
    <w:p>
      <w:pPr>
        <w:spacing w:after="0" w:line="61"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204"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20"/>
          <w:szCs w:val="20"/>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77" w:lineRule="exact"/>
        <w:rPr>
          <w:sz w:val="20"/>
          <w:szCs w:val="20"/>
          <w:color w:val="auto"/>
        </w:rPr>
      </w:pPr>
    </w:p>
    <w:p>
      <w:pPr>
        <w:ind w:right="40" w:firstLine="630"/>
        <w:spacing w:after="0" w:line="253" w:lineRule="auto"/>
        <w:rPr>
          <w:sz w:val="20"/>
          <w:szCs w:val="20"/>
          <w:color w:val="auto"/>
        </w:rPr>
      </w:pPr>
      <w:r>
        <w:rPr>
          <w:rFonts w:ascii="Times New Roman" w:cs="Times New Roman" w:eastAsia="Times New Roman" w:hAnsi="Times New Roman"/>
          <w:sz w:val="20"/>
          <w:szCs w:val="20"/>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 In November 2022, we entered into a Sales Agreement (the “Cowen Sales Agreement”) with Cowen and Company, LLC (“Cowen”), through which we may offer and sell shares of our common stock, having an aggregate offering of up to $150.0 million through Cowen as our sales agent.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disclosure controls and procedures may not prevent or detect all errors or acts of fraud.</w:t>
      </w:r>
    </w:p>
    <w:p>
      <w:pPr>
        <w:spacing w:after="0" w:line="137" w:lineRule="exact"/>
        <w:rPr>
          <w:sz w:val="20"/>
          <w:szCs w:val="20"/>
          <w:color w:val="auto"/>
        </w:rPr>
      </w:pPr>
    </w:p>
    <w:p>
      <w:pPr>
        <w:ind w:right="320" w:firstLine="630"/>
        <w:spacing w:after="0" w:line="256" w:lineRule="auto"/>
        <w:rPr>
          <w:sz w:val="20"/>
          <w:szCs w:val="20"/>
          <w:color w:val="auto"/>
        </w:rPr>
      </w:pPr>
      <w:r>
        <w:rPr>
          <w:rFonts w:ascii="Times New Roman" w:cs="Times New Roman" w:eastAsia="Times New Roman" w:hAnsi="Times New Roman"/>
          <w:sz w:val="20"/>
          <w:szCs w:val="20"/>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88" w:lineRule="exact"/>
        <w:rPr>
          <w:sz w:val="20"/>
          <w:szCs w:val="20"/>
          <w:color w:val="auto"/>
        </w:rPr>
      </w:pPr>
    </w:p>
    <w:p>
      <w:pPr>
        <w:ind w:right="320" w:firstLine="630"/>
        <w:spacing w:after="0" w:line="278" w:lineRule="auto"/>
        <w:rPr>
          <w:sz w:val="20"/>
          <w:szCs w:val="20"/>
          <w:color w:val="auto"/>
        </w:rPr>
      </w:pPr>
      <w:r>
        <w:rPr>
          <w:rFonts w:ascii="Times New Roman" w:cs="Times New Roman" w:eastAsia="Times New Roman" w:hAnsi="Times New Roman"/>
          <w:sz w:val="19"/>
          <w:szCs w:val="19"/>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do not intend to pay dividends on our common stock, so any returns will be limited to the value of our stock.</w:t>
      </w:r>
    </w:p>
    <w:p>
      <w:pPr>
        <w:spacing w:after="0" w:line="137" w:lineRule="exact"/>
        <w:rPr>
          <w:sz w:val="20"/>
          <w:szCs w:val="20"/>
          <w:color w:val="auto"/>
        </w:rPr>
      </w:pPr>
    </w:p>
    <w:p>
      <w:pPr>
        <w:ind w:firstLine="630"/>
        <w:spacing w:after="0" w:line="266" w:lineRule="auto"/>
        <w:rPr>
          <w:sz w:val="20"/>
          <w:szCs w:val="20"/>
          <w:color w:val="auto"/>
        </w:rPr>
      </w:pPr>
      <w:r>
        <w:rPr>
          <w:rFonts w:ascii="Times New Roman" w:cs="Times New Roman" w:eastAsia="Times New Roman" w:hAnsi="Times New Roman"/>
          <w:sz w:val="20"/>
          <w:szCs w:val="20"/>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88"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20"/>
          <w:szCs w:val="20"/>
          <w:b w:val="1"/>
          <w:bCs w:val="1"/>
          <w:color w:val="auto"/>
        </w:rPr>
        <w:t>Our cash and investments could be adversely affected if the financial institutions in which we hold our cash and investments fail.</w:t>
      </w:r>
    </w:p>
    <w:p>
      <w:pPr>
        <w:spacing w:after="0" w:line="59" w:lineRule="exact"/>
        <w:rPr>
          <w:sz w:val="20"/>
          <w:szCs w:val="20"/>
          <w:color w:val="auto"/>
        </w:rPr>
      </w:pPr>
    </w:p>
    <w:p>
      <w:pPr>
        <w:ind w:right="260" w:firstLine="630"/>
        <w:spacing w:after="0" w:line="278" w:lineRule="auto"/>
        <w:rPr>
          <w:sz w:val="20"/>
          <w:szCs w:val="20"/>
          <w:color w:val="auto"/>
        </w:rPr>
      </w:pPr>
      <w:r>
        <w:rPr>
          <w:rFonts w:ascii="Times New Roman" w:cs="Times New Roman" w:eastAsia="Times New Roman" w:hAnsi="Times New Roman"/>
          <w:sz w:val="19"/>
          <w:szCs w:val="19"/>
          <w:color w:val="auto"/>
        </w:rPr>
        <w:t>We regularly maintain cash balances at third-party financial institutions in excess of the Federal Deposit Insurance Corporation insurance limit. Further, if we enter into a credit, loan or other similar facility with a financial institution, certain covenants included in such facility may require as security that we keep a significant portion of our cash with the institution providing such facility. If a depository institution where we maintain deposits fails or is subject to adverse conditions in the</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240"/>
          </w:cols>
          <w:pgMar w:left="1000" w:top="793" w:right="1000" w:bottom="0" w:gutter="0" w:footer="0" w:header="0"/>
          <w:type w:val="continuous"/>
        </w:sectPr>
      </w:pPr>
    </w:p>
    <w:bookmarkStart w:id="51" w:name="page52"/>
    <w:bookmarkEnd w:id="51"/>
    <w:p>
      <w:pPr>
        <w:ind w:right="740"/>
        <w:spacing w:after="0" w:line="281" w:lineRule="auto"/>
        <w:rPr>
          <w:sz w:val="20"/>
          <w:szCs w:val="20"/>
          <w:color w:val="auto"/>
        </w:rPr>
      </w:pPr>
      <w:r>
        <w:rPr>
          <w:rFonts w:ascii="Times New Roman" w:cs="Times New Roman" w:eastAsia="Times New Roman" w:hAnsi="Times New Roman"/>
          <w:sz w:val="20"/>
          <w:szCs w:val="20"/>
          <w:color w:val="auto"/>
        </w:rPr>
        <w:t>financial or credit markets, we may not be able to recover all, if any, of our deposits, which could adversely impact our operating liquidity and financial performance.</w:t>
      </w:r>
    </w:p>
    <w:p>
      <w:pPr>
        <w:spacing w:after="0" w:line="174"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20"/>
          <w:szCs w:val="20"/>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77" w:lineRule="exact"/>
        <w:rPr>
          <w:sz w:val="20"/>
          <w:szCs w:val="20"/>
          <w:color w:val="auto"/>
        </w:rPr>
      </w:pPr>
    </w:p>
    <w:p>
      <w:pPr>
        <w:ind w:right="60" w:firstLine="630"/>
        <w:spacing w:after="0" w:line="266" w:lineRule="auto"/>
        <w:rPr>
          <w:sz w:val="20"/>
          <w:szCs w:val="20"/>
          <w:color w:val="auto"/>
        </w:rPr>
      </w:pPr>
      <w:r>
        <w:rPr>
          <w:rFonts w:ascii="Times New Roman" w:cs="Times New Roman" w:eastAsia="Times New Roman" w:hAnsi="Times New Roman"/>
          <w:sz w:val="20"/>
          <w:szCs w:val="20"/>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5" w:lineRule="exact"/>
        <w:rPr>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 classified Board of Directors so that not all members of our board are elected at one time;</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 only the Board of Directors to establish the number of directors and fill vacancies on the board;</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directors may only be removed “for cause” and only with the approval of two-thirds of our stockholders;</w:t>
      </w:r>
    </w:p>
    <w:p>
      <w:pPr>
        <w:spacing w:after="0" w:line="130" w:lineRule="exact"/>
        <w:rPr>
          <w:rFonts w:ascii="Times New Roman" w:cs="Times New Roman" w:eastAsia="Times New Roman" w:hAnsi="Times New Roman"/>
          <w:sz w:val="20"/>
          <w:szCs w:val="20"/>
          <w:color w:val="auto"/>
        </w:rPr>
      </w:pPr>
    </w:p>
    <w:p>
      <w:pPr>
        <w:ind w:left="720" w:right="640" w:hanging="370"/>
        <w:spacing w:after="0" w:line="281"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super-majority voting to amend some provisions in our restated certificate of incorporation and restated bylaws;</w:t>
      </w:r>
    </w:p>
    <w:p>
      <w:pPr>
        <w:spacing w:after="0" w:line="61"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the issuance of “blank check” preferred stock that our board could use to implement a stockholder rights plan (also known as a “poison pill”);</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eliminate the ability of our stockholders to call special meetings of stockholders;</w:t>
      </w:r>
    </w:p>
    <w:p>
      <w:pPr>
        <w:spacing w:after="0" w:line="130" w:lineRule="exact"/>
        <w:rPr>
          <w:rFonts w:ascii="Times New Roman" w:cs="Times New Roman" w:eastAsia="Times New Roman" w:hAnsi="Times New Roman"/>
          <w:sz w:val="20"/>
          <w:szCs w:val="20"/>
          <w:color w:val="auto"/>
        </w:rPr>
      </w:pPr>
    </w:p>
    <w:p>
      <w:pPr>
        <w:ind w:left="720" w:right="240" w:hanging="370"/>
        <w:spacing w:after="0" w:line="281"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 stockholder action by written consent, which requires all stockholder actions to be taken at a meeting of our stockholders;</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 cumulative voting; and</w:t>
      </w:r>
    </w:p>
    <w:p>
      <w:pPr>
        <w:spacing w:after="0" w:line="130" w:lineRule="exact"/>
        <w:rPr>
          <w:rFonts w:ascii="Times New Roman" w:cs="Times New Roman" w:eastAsia="Times New Roman" w:hAnsi="Times New Roman"/>
          <w:sz w:val="20"/>
          <w:szCs w:val="20"/>
          <w:color w:val="auto"/>
        </w:rPr>
      </w:pPr>
    </w:p>
    <w:p>
      <w:pPr>
        <w:ind w:left="720" w:right="280" w:hanging="370"/>
        <w:spacing w:after="0" w:line="281"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advance notice requirements for nominations for election to our board or for proposing matters that can be acted upon by stockholders at annual stockholder meetings.</w:t>
      </w:r>
    </w:p>
    <w:p>
      <w:pPr>
        <w:spacing w:after="0" w:line="61" w:lineRule="exact"/>
        <w:rPr>
          <w:sz w:val="20"/>
          <w:szCs w:val="20"/>
          <w:color w:val="auto"/>
        </w:rPr>
      </w:pPr>
    </w:p>
    <w:p>
      <w:pPr>
        <w:ind w:right="300" w:firstLine="630"/>
        <w:spacing w:after="0" w:line="266" w:lineRule="auto"/>
        <w:rPr>
          <w:sz w:val="20"/>
          <w:szCs w:val="20"/>
          <w:color w:val="auto"/>
        </w:rPr>
      </w:pPr>
      <w:r>
        <w:rPr>
          <w:rFonts w:ascii="Times New Roman" w:cs="Times New Roman" w:eastAsia="Times New Roman" w:hAnsi="Times New Roman"/>
          <w:sz w:val="20"/>
          <w:szCs w:val="20"/>
          <w:color w:val="auto"/>
        </w:rPr>
        <w:t>In addition, Section 203 of the Delaware General Corporation Law (“DGCL”) may discourage, delay or prevent a change in control of our company. Section 203 of the DGCL imposes certain restrictions on mergers, business combinations and other transactions between us and holders of 15% or more of our common stock.</w:t>
      </w:r>
    </w:p>
    <w:p>
      <w:pPr>
        <w:spacing w:after="0" w:line="6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20"/>
          <w:szCs w:val="20"/>
          <w:b w:val="1"/>
          <w:bCs w:val="1"/>
          <w:color w:val="auto"/>
        </w:rPr>
        <w:t>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w:t>
      </w:r>
    </w:p>
    <w:p>
      <w:pPr>
        <w:spacing w:after="0" w:line="77" w:lineRule="exact"/>
        <w:rPr>
          <w:sz w:val="20"/>
          <w:szCs w:val="20"/>
          <w:color w:val="auto"/>
        </w:rPr>
      </w:pPr>
    </w:p>
    <w:p>
      <w:pPr>
        <w:ind w:firstLine="555"/>
        <w:spacing w:after="0" w:line="255" w:lineRule="auto"/>
        <w:rPr>
          <w:sz w:val="20"/>
          <w:szCs w:val="20"/>
          <w:color w:val="auto"/>
        </w:rPr>
      </w:pPr>
      <w:r>
        <w:rPr>
          <w:rFonts w:ascii="Times New Roman" w:cs="Times New Roman" w:eastAsia="Times New Roman" w:hAnsi="Times New Roman"/>
          <w:sz w:val="20"/>
          <w:szCs w:val="20"/>
          <w:color w:val="auto"/>
        </w:rPr>
        <w:t>Our restated certificate of incorporation, to the fullest extent permitted by law,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that is governed by the internal affairs doctrine. This exclusive forum provision does not apply to suits brought to enforce a duty or liability created by the Securities Exchange Act of 1934, as amended, or Exchange Act. It could apply, however, to a suit that falls within one or more of the categories enumerated in the exclusive forum provision.</w:t>
      </w:r>
    </w:p>
    <w:p>
      <w:pPr>
        <w:spacing w:after="0" w:line="90" w:lineRule="exact"/>
        <w:rPr>
          <w:sz w:val="20"/>
          <w:szCs w:val="20"/>
          <w:color w:val="auto"/>
        </w:rPr>
      </w:pPr>
    </w:p>
    <w:p>
      <w:pPr>
        <w:ind w:right="40" w:firstLine="555"/>
        <w:spacing w:after="0" w:line="256" w:lineRule="auto"/>
        <w:rPr>
          <w:sz w:val="20"/>
          <w:szCs w:val="20"/>
          <w:color w:val="auto"/>
        </w:rPr>
      </w:pPr>
      <w:r>
        <w:rPr>
          <w:rFonts w:ascii="Times New Roman" w:cs="Times New Roman" w:eastAsia="Times New Roman" w:hAnsi="Times New Roman"/>
          <w:sz w:val="20"/>
          <w:szCs w:val="20"/>
          <w:color w:val="auto"/>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financial condition, results of operations and prospects.</w:t>
      </w:r>
    </w:p>
    <w:p>
      <w:pPr>
        <w:spacing w:after="0" w:line="88" w:lineRule="exact"/>
        <w:rPr>
          <w:sz w:val="20"/>
          <w:szCs w:val="20"/>
          <w:color w:val="auto"/>
        </w:rPr>
      </w:pPr>
    </w:p>
    <w:p>
      <w:pPr>
        <w:ind w:firstLine="555"/>
        <w:spacing w:after="0" w:line="253" w:lineRule="auto"/>
        <w:rPr>
          <w:sz w:val="20"/>
          <w:szCs w:val="20"/>
          <w:color w:val="auto"/>
        </w:rPr>
      </w:pPr>
      <w:r>
        <w:rPr>
          <w:rFonts w:ascii="Times New Roman" w:cs="Times New Roman" w:eastAsia="Times New Roman" w:hAnsi="Times New Roman"/>
          <w:sz w:val="20"/>
          <w:szCs w:val="20"/>
          <w:color w:val="auto"/>
        </w:rPr>
        <w:t>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 may not follow the holding of the Delaware Supreme Court or</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240"/>
          </w:cols>
          <w:pgMar w:left="1000" w:top="793" w:right="1000" w:bottom="0" w:gutter="0" w:footer="0" w:header="0"/>
          <w:type w:val="continuous"/>
        </w:sectPr>
      </w:pPr>
    </w:p>
    <w:bookmarkStart w:id="52" w:name="page53"/>
    <w:bookmarkEnd w:id="52"/>
    <w:p>
      <w:pPr>
        <w:ind w:right="120"/>
        <w:spacing w:after="0" w:line="254" w:lineRule="auto"/>
        <w:rPr>
          <w:sz w:val="20"/>
          <w:szCs w:val="20"/>
          <w:color w:val="auto"/>
        </w:rPr>
      </w:pPr>
      <w:r>
        <w:rPr>
          <w:rFonts w:ascii="Times New Roman" w:cs="Times New Roman" w:eastAsia="Times New Roman" w:hAnsi="Times New Roman"/>
          <w:sz w:val="20"/>
          <w:szCs w:val="20"/>
          <w:color w:val="auto"/>
        </w:rPr>
        <w:t>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89" w:lineRule="exact"/>
        <w:rPr>
          <w:sz w:val="20"/>
          <w:szCs w:val="20"/>
          <w:color w:val="auto"/>
        </w:rPr>
      </w:pPr>
    </w:p>
    <w:p>
      <w:pPr>
        <w:ind w:firstLine="555"/>
        <w:spacing w:after="0" w:line="258" w:lineRule="auto"/>
        <w:rPr>
          <w:sz w:val="20"/>
          <w:szCs w:val="20"/>
          <w:color w:val="auto"/>
        </w:rPr>
      </w:pPr>
      <w:r>
        <w:rPr>
          <w:rFonts w:ascii="Times New Roman" w:cs="Times New Roman" w:eastAsia="Times New Roman" w:hAnsi="Times New Roman"/>
          <w:sz w:val="20"/>
          <w:szCs w:val="20"/>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w:t>
      </w:r>
    </w:p>
    <w:p>
      <w:pPr>
        <w:spacing w:after="0" w:line="19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20"/>
          <w:szCs w:val="20"/>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9" w:lineRule="exact"/>
        <w:rPr>
          <w:sz w:val="20"/>
          <w:szCs w:val="20"/>
          <w:color w:val="auto"/>
        </w:rPr>
      </w:pPr>
    </w:p>
    <w:p>
      <w:pPr>
        <w:ind w:right="20" w:firstLine="630"/>
        <w:spacing w:after="0" w:line="256" w:lineRule="auto"/>
        <w:rPr>
          <w:sz w:val="20"/>
          <w:szCs w:val="20"/>
          <w:color w:val="auto"/>
        </w:rPr>
      </w:pPr>
      <w:r>
        <w:rPr>
          <w:rFonts w:ascii="Times New Roman" w:cs="Times New Roman" w:eastAsia="Times New Roman" w:hAnsi="Times New Roman"/>
          <w:sz w:val="20"/>
          <w:szCs w:val="20"/>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0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We plan to use our federal and state net operating loss (“NOL”) carryforwards to offset taxable income from revenue generated from operations or corporate collaborations. However, our ability to use NOL carryforwards to offset taxable income in future years could be limited.</w:t>
      </w:r>
    </w:p>
    <w:p>
      <w:pPr>
        <w:spacing w:after="0" w:line="77" w:lineRule="exact"/>
        <w:rPr>
          <w:sz w:val="20"/>
          <w:szCs w:val="20"/>
          <w:color w:val="auto"/>
        </w:rPr>
      </w:pPr>
    </w:p>
    <w:p>
      <w:pPr>
        <w:ind w:right="20" w:firstLine="630"/>
        <w:spacing w:after="0" w:line="227" w:lineRule="auto"/>
        <w:rPr>
          <w:sz w:val="20"/>
          <w:szCs w:val="20"/>
          <w:color w:val="auto"/>
        </w:rPr>
      </w:pPr>
      <w:r>
        <w:rPr>
          <w:rFonts w:ascii="Times New Roman" w:cs="Times New Roman" w:eastAsia="Times New Roman" w:hAnsi="Times New Roman"/>
          <w:sz w:val="20"/>
          <w:szCs w:val="20"/>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the benefits from the use of our NOL carryforwards may be impaired or limited under Section 382 of the Code, if we incur a cumulative ownership change of more than 50%, as interpreted by the U.S. Internal Revenue Service, over a three-year period. Under legislative changes made by U.S. federal tax legislation, commonly referred to as the Tax Cuts and Jobs Act, or the TCJA, the U.S. federal net operating losses incurred in 2018 and in future years may be carried forward indefinitely, but the ability to utilize such federal net operating losses to offset taxable income is limited to 80% of our taxable income before the deduction for such net operating loss carryovers. Our significant state NOLs were generated in the state of California, which provides a 20 year carry forward. State NOL carryforwards may be similarly limited by cumulative ownership changes. Any such disallowances may result in greater tax liabilities than we would incur in the absence of such a limitation, and any increased liabilities could adversely affect our business, results of operations, financial condition and cash flow.</w:t>
      </w:r>
    </w:p>
    <w:p>
      <w:pPr>
        <w:spacing w:after="0" w:line="78" w:lineRule="exact"/>
        <w:rPr>
          <w:sz w:val="20"/>
          <w:szCs w:val="20"/>
          <w:color w:val="auto"/>
        </w:rPr>
      </w:pPr>
    </w:p>
    <w:p>
      <w:pPr>
        <w:ind w:right="80" w:firstLine="630"/>
        <w:spacing w:after="0" w:line="266" w:lineRule="auto"/>
        <w:rPr>
          <w:sz w:val="20"/>
          <w:szCs w:val="20"/>
          <w:color w:val="auto"/>
        </w:rPr>
      </w:pPr>
      <w:r>
        <w:rPr>
          <w:rFonts w:ascii="Times New Roman" w:cs="Times New Roman" w:eastAsia="Times New Roman" w:hAnsi="Times New Roman"/>
          <w:sz w:val="20"/>
          <w:szCs w:val="20"/>
          <w:color w:val="auto"/>
        </w:rPr>
        <w:t>As of December 31, 2023, we have federal NOLs of approximately $313.8 million. Of this, $52.1 million expire beginning December 31, 2030 through December 31, 2037, if not used to reduce income taxes payable in the future and $261.7 million carry forward indefinitely.</w:t>
      </w:r>
    </w:p>
    <w:p>
      <w:pPr>
        <w:spacing w:after="0" w:line="188" w:lineRule="exact"/>
        <w:rPr>
          <w:sz w:val="20"/>
          <w:szCs w:val="20"/>
          <w:color w:val="auto"/>
        </w:rPr>
      </w:pPr>
    </w:p>
    <w:p>
      <w:pPr>
        <w:ind w:right="360"/>
        <w:spacing w:after="0" w:line="313" w:lineRule="auto"/>
        <w:rPr>
          <w:sz w:val="20"/>
          <w:szCs w:val="20"/>
          <w:color w:val="auto"/>
        </w:rPr>
      </w:pPr>
      <w:r>
        <w:rPr>
          <w:rFonts w:ascii="Times New Roman" w:cs="Times New Roman" w:eastAsia="Times New Roman" w:hAnsi="Times New Roman"/>
          <w:sz w:val="19"/>
          <w:szCs w:val="19"/>
          <w:b w:val="1"/>
          <w:bCs w:val="1"/>
          <w:color w:val="auto"/>
        </w:rPr>
        <w:t>We are a smaller reporting company and may elect to comply with reduced public company reporting requirements applicable to smaller reporting companies, which could make our common stock less attractive to investors.</w:t>
      </w:r>
    </w:p>
    <w:p>
      <w:pPr>
        <w:spacing w:after="0" w:line="37" w:lineRule="exact"/>
        <w:rPr>
          <w:sz w:val="20"/>
          <w:szCs w:val="20"/>
          <w:color w:val="auto"/>
        </w:rPr>
      </w:pPr>
    </w:p>
    <w:p>
      <w:pPr>
        <w:ind w:right="120" w:firstLine="630"/>
        <w:spacing w:after="0" w:line="254" w:lineRule="auto"/>
        <w:rPr>
          <w:sz w:val="20"/>
          <w:szCs w:val="20"/>
          <w:color w:val="auto"/>
        </w:rPr>
      </w:pPr>
      <w:r>
        <w:rPr>
          <w:rFonts w:ascii="Times New Roman" w:cs="Times New Roman" w:eastAsia="Times New Roman" w:hAnsi="Times New Roman"/>
          <w:sz w:val="20"/>
          <w:szCs w:val="20"/>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no public float or (B)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93" w:lineRule="exact"/>
        <w:rPr>
          <w:sz w:val="20"/>
          <w:szCs w:val="20"/>
          <w:color w:val="auto"/>
        </w:rPr>
      </w:pPr>
    </w:p>
    <w:p>
      <w:pPr>
        <w:ind w:right="280" w:firstLine="630"/>
        <w:spacing w:after="0" w:line="281" w:lineRule="auto"/>
        <w:rPr>
          <w:sz w:val="20"/>
          <w:szCs w:val="20"/>
          <w:color w:val="auto"/>
        </w:rPr>
      </w:pPr>
      <w:r>
        <w:rPr>
          <w:rFonts w:ascii="Times New Roman" w:cs="Times New Roman" w:eastAsia="Times New Roman" w:hAnsi="Times New Roman"/>
          <w:sz w:val="20"/>
          <w:szCs w:val="20"/>
          <w:color w:val="auto"/>
        </w:rPr>
        <w:t>If some investors find our common stock less attractive as a result of any choices to reduce future disclosure we may make, there may be a less active trading market for our common stock and our stock price may be more volatile.</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240"/>
          </w:cols>
          <w:pgMar w:left="1000" w:top="793" w:right="1000"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37" w:lineRule="exact"/>
        <w:rPr>
          <w:sz w:val="20"/>
          <w:szCs w:val="20"/>
          <w:color w:val="auto"/>
        </w:rPr>
      </w:pPr>
    </w:p>
    <w:p>
      <w:pPr>
        <w:ind w:right="80" w:firstLine="630"/>
        <w:spacing w:after="0" w:line="266" w:lineRule="auto"/>
        <w:rPr>
          <w:sz w:val="20"/>
          <w:szCs w:val="20"/>
          <w:color w:val="auto"/>
        </w:rPr>
      </w:pPr>
      <w:r>
        <w:rPr>
          <w:rFonts w:ascii="Times New Roman" w:cs="Times New Roman" w:eastAsia="Times New Roman" w:hAnsi="Times New Roman"/>
          <w:sz w:val="20"/>
          <w:szCs w:val="20"/>
          <w:color w:val="auto"/>
        </w:rPr>
        <w:t xml:space="preserve">We recognize the critical </w:t>
      </w:r>
      <w:r>
        <w:rPr>
          <w:rFonts w:ascii="Times New Roman" w:cs="Times New Roman" w:eastAsia="Times New Roman" w:hAnsi="Times New Roman"/>
          <w:sz w:val="20"/>
          <w:szCs w:val="20"/>
          <w:color w:val="221E1F"/>
        </w:rPr>
        <w:t>importance of maintaining the trust and confidence of all of our stakeholders. Our 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21E1F"/>
        </w:rPr>
        <w:t>depends on the efficient and uninterrupted operation of our information technology systems and those of our third-party CROs, CMOs, or other vendors, contractors or consultants.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21E1F"/>
        </w:rPr>
        <w:t>Risk Management and Strategy</w:t>
      </w:r>
    </w:p>
    <w:p>
      <w:pPr>
        <w:spacing w:after="0" w:line="1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The Company’s cybersecurity program is focused on the following key </w:t>
      </w:r>
      <w:r>
        <w:rPr>
          <w:rFonts w:ascii="Times New Roman" w:cs="Times New Roman" w:eastAsia="Times New Roman" w:hAnsi="Times New Roman"/>
          <w:sz w:val="20"/>
          <w:szCs w:val="20"/>
          <w:color w:val="221E1F"/>
        </w:rPr>
        <w:t>areas</w:t>
      </w:r>
      <w:r>
        <w:rPr>
          <w:rFonts w:ascii="Times New Roman" w:cs="Times New Roman" w:eastAsia="Times New Roman" w:hAnsi="Times New Roman"/>
          <w:sz w:val="20"/>
          <w:szCs w:val="20"/>
          <w:color w:val="auto"/>
        </w:rPr>
        <w:t>:</w:t>
      </w:r>
    </w:p>
    <w:p>
      <w:pPr>
        <w:spacing w:after="0" w:line="126" w:lineRule="exact"/>
        <w:rPr>
          <w:sz w:val="20"/>
          <w:szCs w:val="20"/>
          <w:color w:val="auto"/>
        </w:rPr>
      </w:pPr>
    </w:p>
    <w:p>
      <w:pPr>
        <w:ind w:right="200" w:firstLine="1350"/>
        <w:spacing w:after="0" w:line="313" w:lineRule="auto"/>
        <w:rPr>
          <w:sz w:val="20"/>
          <w:szCs w:val="20"/>
          <w:color w:val="auto"/>
        </w:rPr>
      </w:pPr>
      <w:r>
        <w:rPr>
          <w:rFonts w:ascii="Times New Roman" w:cs="Times New Roman" w:eastAsia="Times New Roman" w:hAnsi="Times New Roman"/>
          <w:sz w:val="19"/>
          <w:szCs w:val="19"/>
          <w:b w:val="1"/>
          <w:bCs w:val="1"/>
          <w:color w:val="auto"/>
        </w:rPr>
        <w:t xml:space="preserve">Governance: </w:t>
      </w:r>
      <w:r>
        <w:rPr>
          <w:rFonts w:ascii="Times New Roman" w:cs="Times New Roman" w:eastAsia="Times New Roman" w:hAnsi="Times New Roman"/>
          <w:sz w:val="19"/>
          <w:szCs w:val="19"/>
          <w:color w:val="auto"/>
        </w:rPr>
        <w:t>The Board’s oversight of cybersecurity risk management is supported by the Audit Committee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Board (the “Audit Committee”), which regularly interacts with our Head of IT and our executive management team.</w:t>
      </w:r>
    </w:p>
    <w:p>
      <w:pPr>
        <w:spacing w:after="0" w:line="30" w:lineRule="exact"/>
        <w:rPr>
          <w:sz w:val="20"/>
          <w:szCs w:val="20"/>
          <w:color w:val="auto"/>
        </w:rPr>
      </w:pPr>
    </w:p>
    <w:p>
      <w:pPr>
        <w:ind w:firstLine="135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Collaborative Approach: </w:t>
      </w:r>
      <w:r>
        <w:rPr>
          <w:rFonts w:ascii="Times New Roman" w:cs="Times New Roman" w:eastAsia="Times New Roman" w:hAnsi="Times New Roman"/>
          <w:sz w:val="20"/>
          <w:szCs w:val="20"/>
          <w:color w:val="auto"/>
        </w:rPr>
        <w:t>We have implemented a cross-functional approach to identifying, preventing,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w:t>
      </w:r>
    </w:p>
    <w:p>
      <w:pPr>
        <w:spacing w:after="0" w:line="76" w:lineRule="exact"/>
        <w:rPr>
          <w:sz w:val="20"/>
          <w:szCs w:val="20"/>
          <w:color w:val="auto"/>
        </w:rPr>
      </w:pPr>
    </w:p>
    <w:p>
      <w:pPr>
        <w:ind w:right="200" w:firstLine="1350"/>
        <w:spacing w:after="0" w:line="288" w:lineRule="auto"/>
        <w:rPr>
          <w:sz w:val="20"/>
          <w:szCs w:val="20"/>
          <w:color w:val="auto"/>
        </w:rPr>
      </w:pPr>
      <w:r>
        <w:rPr>
          <w:rFonts w:ascii="Times New Roman" w:cs="Times New Roman" w:eastAsia="Times New Roman" w:hAnsi="Times New Roman"/>
          <w:sz w:val="19"/>
          <w:szCs w:val="19"/>
          <w:b w:val="1"/>
          <w:bCs w:val="1"/>
          <w:color w:val="auto"/>
        </w:rPr>
        <w:t xml:space="preserve">Technical Safeguards: </w:t>
      </w:r>
      <w:r>
        <w:rPr>
          <w:rFonts w:ascii="Times New Roman" w:cs="Times New Roman" w:eastAsia="Times New Roman" w:hAnsi="Times New Roman"/>
          <w:sz w:val="19"/>
          <w:szCs w:val="19"/>
          <w:color w:val="auto"/>
        </w:rPr>
        <w:t>We deploy technical safeguards that are designed to protect our information systems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from cybersecurity threats, including firewalls, intrusion prevention and detection systems, anti-malware functionality and access controls, which are evaluated and improved through vulnerability assessments and cybersecurity threat intelligence.</w:t>
      </w:r>
    </w:p>
    <w:p>
      <w:pPr>
        <w:spacing w:after="0" w:line="53" w:lineRule="exact"/>
        <w:rPr>
          <w:sz w:val="20"/>
          <w:szCs w:val="20"/>
          <w:color w:val="auto"/>
        </w:rPr>
      </w:pPr>
    </w:p>
    <w:p>
      <w:pPr>
        <w:ind w:right="680" w:firstLine="1350"/>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Incident Response and Recovery Planning: </w:t>
      </w:r>
      <w:r>
        <w:rPr>
          <w:rFonts w:ascii="Times New Roman" w:cs="Times New Roman" w:eastAsia="Times New Roman" w:hAnsi="Times New Roman"/>
          <w:sz w:val="20"/>
          <w:szCs w:val="20"/>
          <w:color w:val="auto"/>
        </w:rPr>
        <w:t>We have established and maintain incident response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recovery plans to address our response to a cybersecurity incident.</w:t>
      </w:r>
    </w:p>
    <w:p>
      <w:pPr>
        <w:spacing w:after="0" w:line="52" w:lineRule="exact"/>
        <w:rPr>
          <w:sz w:val="20"/>
          <w:szCs w:val="20"/>
          <w:color w:val="auto"/>
        </w:rPr>
      </w:pPr>
    </w:p>
    <w:p>
      <w:pPr>
        <w:ind w:right="160" w:firstLine="135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Third-Party Risk Management: </w:t>
      </w:r>
      <w:r>
        <w:rPr>
          <w:rFonts w:ascii="Times New Roman" w:cs="Times New Roman" w:eastAsia="Times New Roman" w:hAnsi="Times New Roman"/>
          <w:sz w:val="20"/>
          <w:szCs w:val="20"/>
          <w:color w:val="auto"/>
        </w:rPr>
        <w:t>We strive to proactively manage third-party risks to minimize any adverse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effects on our business that may arise due to a cybersecurity incident affecting third-party systems and vendors. While we rely on third-party vendors to manage and maintain their own cybersecurity defense programs, we are developing a vendor risk management program to assess our exposure to these external cybersecurity risks.</w:t>
      </w:r>
    </w:p>
    <w:p>
      <w:pPr>
        <w:spacing w:after="0" w:line="76" w:lineRule="exact"/>
        <w:rPr>
          <w:sz w:val="20"/>
          <w:szCs w:val="20"/>
          <w:color w:val="auto"/>
        </w:rPr>
      </w:pPr>
    </w:p>
    <w:p>
      <w:pPr>
        <w:jc w:val="both"/>
        <w:ind w:right="980" w:firstLine="135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Education and Awareness: </w:t>
      </w:r>
      <w:r>
        <w:rPr>
          <w:rFonts w:ascii="Times New Roman" w:cs="Times New Roman" w:eastAsia="Times New Roman" w:hAnsi="Times New Roman"/>
          <w:sz w:val="20"/>
          <w:szCs w:val="20"/>
          <w:color w:val="auto"/>
        </w:rPr>
        <w:t>We provide mandatory training and resources for personnel regarding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cybersecurity threats as a means to equip our employees with effective tools to address cybersecurity threats, and to communicate our evolving information security policies, standards, processes and practices.</w:t>
      </w:r>
    </w:p>
    <w:p>
      <w:pPr>
        <w:spacing w:after="0" w:line="74" w:lineRule="exact"/>
        <w:rPr>
          <w:sz w:val="20"/>
          <w:szCs w:val="20"/>
          <w:color w:val="auto"/>
        </w:rPr>
      </w:pPr>
    </w:p>
    <w:p>
      <w:pPr>
        <w:ind w:right="80" w:firstLine="630"/>
        <w:spacing w:after="0" w:line="260" w:lineRule="auto"/>
        <w:rPr>
          <w:sz w:val="20"/>
          <w:szCs w:val="20"/>
          <w:color w:val="auto"/>
        </w:rPr>
      </w:pPr>
      <w:r>
        <w:rPr>
          <w:rFonts w:ascii="Times New Roman" w:cs="Times New Roman" w:eastAsia="Times New Roman" w:hAnsi="Times New Roman"/>
          <w:sz w:val="20"/>
          <w:szCs w:val="20"/>
          <w:color w:val="auto"/>
        </w:rPr>
        <w:t xml:space="preserve">We engage in the </w:t>
      </w:r>
      <w:r>
        <w:rPr>
          <w:rFonts w:ascii="Times New Roman" w:cs="Times New Roman" w:eastAsia="Times New Roman" w:hAnsi="Times New Roman"/>
          <w:sz w:val="20"/>
          <w:szCs w:val="20"/>
          <w:color w:val="221E1F"/>
        </w:rPr>
        <w:t>periodic</w:t>
      </w:r>
      <w:r>
        <w:rPr>
          <w:rFonts w:ascii="Times New Roman" w:cs="Times New Roman" w:eastAsia="Times New Roman" w:hAnsi="Times New Roman"/>
          <w:sz w:val="20"/>
          <w:szCs w:val="20"/>
          <w:color w:val="auto"/>
        </w:rPr>
        <w:t xml:space="preserve"> assessment and testing of our </w:t>
      </w:r>
      <w:r>
        <w:rPr>
          <w:rFonts w:ascii="Times New Roman" w:cs="Times New Roman" w:eastAsia="Times New Roman" w:hAnsi="Times New Roman"/>
          <w:sz w:val="20"/>
          <w:szCs w:val="20"/>
          <w:color w:val="221E1F"/>
        </w:rPr>
        <w:t>cybersecurity program. These efforts include a wide range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21E1F"/>
        </w:rPr>
        <w:t>activities, including audits, assessments, vulnerability testing and other exercises focused on evaluating the effectiveness of our cybersecurity measures and planning. These activities may be performed by external cybersecurity and application security professionals.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21E1F"/>
        </w:rPr>
        <w:t>Governance</w:t>
      </w:r>
    </w:p>
    <w:p>
      <w:pPr>
        <w:spacing w:after="0" w:line="134" w:lineRule="exact"/>
        <w:rPr>
          <w:sz w:val="20"/>
          <w:szCs w:val="20"/>
          <w:color w:val="auto"/>
        </w:rPr>
      </w:pPr>
    </w:p>
    <w:p>
      <w:pPr>
        <w:ind w:right="60" w:firstLine="630"/>
        <w:spacing w:after="0" w:line="260" w:lineRule="auto"/>
        <w:rPr>
          <w:sz w:val="20"/>
          <w:szCs w:val="20"/>
          <w:color w:val="auto"/>
        </w:rPr>
      </w:pPr>
      <w:r>
        <w:rPr>
          <w:rFonts w:ascii="Times New Roman" w:cs="Times New Roman" w:eastAsia="Times New Roman" w:hAnsi="Times New Roman"/>
          <w:sz w:val="20"/>
          <w:szCs w:val="20"/>
          <w:color w:val="221E1F"/>
        </w:rPr>
        <w:t>The Board, in coordination with the Audit Committee, oversees our risk management process. The Board and the Audit Committee also receive prompt and timely information regarding any cybersecurity incident that meets established reporting thresholds, as well as ongoing updates regarding any such incident until it has been addressed. On an annual basis, the Audit Committee discuss our approach to cybersecurity risk management with the Head of IT.</w:t>
      </w:r>
    </w:p>
    <w:p>
      <w:pPr>
        <w:spacing w:after="0" w:line="83" w:lineRule="exact"/>
        <w:rPr>
          <w:sz w:val="20"/>
          <w:szCs w:val="20"/>
          <w:color w:val="auto"/>
        </w:rPr>
      </w:pPr>
    </w:p>
    <w:p>
      <w:pPr>
        <w:jc w:val="both"/>
        <w:ind w:right="140" w:firstLine="630"/>
        <w:spacing w:after="0" w:line="256" w:lineRule="auto"/>
        <w:rPr>
          <w:sz w:val="20"/>
          <w:szCs w:val="20"/>
          <w:color w:val="auto"/>
        </w:rPr>
      </w:pPr>
      <w:r>
        <w:rPr>
          <w:rFonts w:ascii="Times New Roman" w:cs="Times New Roman" w:eastAsia="Times New Roman" w:hAnsi="Times New Roman"/>
          <w:sz w:val="20"/>
          <w:szCs w:val="20"/>
          <w:color w:val="221E1F"/>
        </w:rPr>
        <w:t>Our Head of IT, in coordination with our executive management team, works collaboratively across the company to implement a program designed to protect our information systems from cybersecurity threats and to promptly respond to any cybersecurity incidents in accordance with our incident response and recovery plans. Through ongoing communications with our entire employee base and appropriate third-party contractors, the Head of IT and the executive management team monitor the prevention, detection, mitigation and remediation of cybersecurity threats and incidents in real time and report such threats and incidents to the Audit Committee when appropriate.</w:t>
      </w:r>
    </w:p>
    <w:p>
      <w:pPr>
        <w:spacing w:after="0" w:line="88" w:lineRule="exact"/>
        <w:rPr>
          <w:sz w:val="20"/>
          <w:szCs w:val="20"/>
          <w:color w:val="auto"/>
        </w:rPr>
      </w:pPr>
    </w:p>
    <w:p>
      <w:pPr>
        <w:ind w:right="200" w:firstLine="630"/>
        <w:spacing w:after="0" w:line="244" w:lineRule="auto"/>
        <w:rPr>
          <w:sz w:val="20"/>
          <w:szCs w:val="20"/>
          <w:color w:val="auto"/>
        </w:rPr>
      </w:pPr>
      <w:r>
        <w:rPr>
          <w:rFonts w:ascii="Times New Roman" w:cs="Times New Roman" w:eastAsia="Times New Roman" w:hAnsi="Times New Roman"/>
          <w:sz w:val="20"/>
          <w:szCs w:val="20"/>
          <w:color w:val="221E1F"/>
        </w:rPr>
        <w:t>Our Head of IT has over 20 years of IT experience in the pharmaceutical industry and oversees the cybersecurity program at AnaptysBio. He has experience developing and leading cybersecurity programs for pharmaceutical companies, including experience in evaluating and implementing tools and technologies that enable defense and response capabilities and developing critical cybersecurity procedures and training and awareness programs.</w:t>
      </w:r>
    </w:p>
    <w:p>
      <w:pPr>
        <w:spacing w:after="0" w:line="81" w:lineRule="exact"/>
        <w:rPr>
          <w:sz w:val="20"/>
          <w:szCs w:val="20"/>
          <w:color w:val="auto"/>
        </w:rPr>
      </w:pPr>
    </w:p>
    <w:p>
      <w:pPr>
        <w:jc w:val="both"/>
        <w:ind w:right="120" w:firstLine="630"/>
        <w:spacing w:after="0" w:line="266" w:lineRule="auto"/>
        <w:rPr>
          <w:sz w:val="20"/>
          <w:szCs w:val="20"/>
          <w:color w:val="auto"/>
        </w:rPr>
      </w:pPr>
      <w:r>
        <w:rPr>
          <w:rFonts w:ascii="Times New Roman" w:cs="Times New Roman" w:eastAsia="Times New Roman" w:hAnsi="Times New Roman"/>
          <w:sz w:val="20"/>
          <w:szCs w:val="20"/>
          <w:color w:val="221E1F"/>
        </w:rPr>
        <w:t>Although we are subject to ongoing and evolving cybersecurity threats, we are not aware of any material cybersecurity threats, that have materially affected or are reasonably likely to affect us, including our business strategy, results of operations or financial condition. For more information on our cybersecurity risks, see Item 1A “Risk Factors.”</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240"/>
          </w:cols>
          <w:pgMar w:left="1000" w:top="786" w:right="100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37" w:lineRule="exact"/>
        <w:rPr>
          <w:sz w:val="20"/>
          <w:szCs w:val="20"/>
          <w:color w:val="auto"/>
        </w:rPr>
      </w:pPr>
    </w:p>
    <w:p>
      <w:pPr>
        <w:ind w:right="300" w:firstLine="630"/>
        <w:spacing w:after="0" w:line="266" w:lineRule="auto"/>
        <w:rPr>
          <w:sz w:val="20"/>
          <w:szCs w:val="20"/>
          <w:color w:val="auto"/>
        </w:rPr>
      </w:pPr>
      <w:r>
        <w:rPr>
          <w:rFonts w:ascii="Times New Roman" w:cs="Times New Roman" w:eastAsia="Times New Roman" w:hAnsi="Times New Roman"/>
          <w:sz w:val="20"/>
          <w:szCs w:val="20"/>
          <w:color w:val="auto"/>
        </w:rPr>
        <w:t>Our principal executive office is located at 10770 Wateridge Circle in San Diego, California, and consists of approximately 45,000 square feet of leased office and laboratory space under a lease for a term of 124 months, beginning on April 5, 2021. We use these facilities for our administrative, research and development and other activities.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37" w:lineRule="exact"/>
        <w:rPr>
          <w:sz w:val="20"/>
          <w:szCs w:val="20"/>
          <w:color w:val="auto"/>
        </w:rPr>
      </w:pPr>
    </w:p>
    <w:p>
      <w:pPr>
        <w:ind w:firstLine="630"/>
        <w:spacing w:after="0" w:line="260" w:lineRule="auto"/>
        <w:rPr>
          <w:sz w:val="20"/>
          <w:szCs w:val="20"/>
          <w:color w:val="auto"/>
        </w:rPr>
      </w:pPr>
      <w:r>
        <w:rPr>
          <w:rFonts w:ascii="Times New Roman" w:cs="Times New Roman" w:eastAsia="Times New Roman" w:hAnsi="Times New Roman"/>
          <w:sz w:val="20"/>
          <w:szCs w:val="20"/>
          <w:color w:val="auto"/>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240"/>
          </w:cols>
          <w:pgMar w:left="1000" w:top="786" w:right="1000" w:bottom="0" w:gutter="0" w:footer="0" w:header="0"/>
          <w:type w:val="continuous"/>
        </w:sectPr>
      </w:pPr>
    </w:p>
    <w:bookmarkStart w:id="55" w:name="page56"/>
    <w:bookmarkEnd w:id="55"/>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0"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Trading Symbol and Holders</w:t>
      </w:r>
    </w:p>
    <w:p>
      <w:pPr>
        <w:spacing w:after="0" w:line="137" w:lineRule="exact"/>
        <w:rPr>
          <w:sz w:val="20"/>
          <w:szCs w:val="20"/>
          <w:color w:val="auto"/>
        </w:rPr>
      </w:pPr>
    </w:p>
    <w:p>
      <w:pPr>
        <w:jc w:val="both"/>
        <w:ind w:right="60" w:firstLine="630"/>
        <w:spacing w:after="0" w:line="266" w:lineRule="auto"/>
        <w:rPr>
          <w:sz w:val="20"/>
          <w:szCs w:val="20"/>
          <w:color w:val="auto"/>
        </w:rPr>
      </w:pPr>
      <w:r>
        <w:rPr>
          <w:rFonts w:ascii="Times New Roman" w:cs="Times New Roman" w:eastAsia="Times New Roman" w:hAnsi="Times New Roman"/>
          <w:sz w:val="20"/>
          <w:szCs w:val="20"/>
          <w:color w:val="auto"/>
        </w:rPr>
        <w:t>Our common stock has been listed on the Nasdaq Global Select market under the symbol “ANAB” since January 26, 2017. As of March 5, 2024, we had approximately 10 holders of record of our common stock. This number does not include beneficial owners whose shares were held in street name.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37" w:lineRule="exact"/>
        <w:rPr>
          <w:sz w:val="20"/>
          <w:szCs w:val="20"/>
          <w:color w:val="auto"/>
        </w:rPr>
      </w:pPr>
    </w:p>
    <w:p>
      <w:pPr>
        <w:ind w:firstLine="630"/>
        <w:spacing w:after="0" w:line="258" w:lineRule="auto"/>
        <w:rPr>
          <w:sz w:val="20"/>
          <w:szCs w:val="20"/>
          <w:color w:val="auto"/>
        </w:rPr>
      </w:pPr>
      <w:r>
        <w:rPr>
          <w:rFonts w:ascii="Times New Roman" w:cs="Times New Roman" w:eastAsia="Times New Roman" w:hAnsi="Times New Roman"/>
          <w:sz w:val="20"/>
          <w:szCs w:val="20"/>
          <w:color w:val="auto"/>
        </w:rPr>
        <w:t>We have never declared or paid cash or stock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on common stock will be made at the discretion of our board of directors and will depend on our financial condition, operating results, capital requirements, general business conditions and other factors that our board of directors may deem relevant.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We did not repurchase any of our registered equity securities during the quarter ended December 31, 2023.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10040"/>
          </w:cols>
          <w:pgMar w:left="1000" w:top="786"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040"/>
          </w:cols>
          <w:pgMar w:left="1000" w:top="786" w:right="120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33" w:lineRule="exact"/>
        <w:rPr>
          <w:sz w:val="20"/>
          <w:szCs w:val="20"/>
          <w:color w:val="auto"/>
        </w:rPr>
      </w:pPr>
    </w:p>
    <w:p>
      <w:pPr>
        <w:ind w:right="20" w:firstLine="63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You should read the following discussion and analysis of our financial condition and results of operations together with the historical consolidated financial statements and the notes thereto included in Part II, Item 8—Consolidated Financial Statements and Supplementary Data of this Annual Report on Form 10-K. This discussion and other sections of this Annual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 Item 1A of this Annual Report. You should also carefully read “Special Note Regarding Forward-Looking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37"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We are a clinical-stage biotechnology company focused on delivering innovative immunology therapeutics. We are developing immune cell modulating antibodies, including two wholly owned checkpoint agonists in clinical-stage development, for autoimmune and inflammatory diseases: rosnilimab, our PD-1 agonist in a Phase 2b trial for the treatment of moderate-to-severe rheumatoid arthritis (“RA”) and a Phase 2 trial for the treatment of moderate-to-severe ulcerative colitis (“UC”); and ANB032, our BTLA agonist, in a Phase 2b trial for the treatment of moderate-to-severe atopic dermatitis (“AD”). We also have other preclinical immune cell modulator candidates for the treatment of autoimmune and inflammatory diseases in our portfolio, including ANB033, an anti-CD122 antagonist antibody, and ANB101, a BDCA2 modulator antibody. In addition, we have developed two cytokine antagonists that we are exploring options for out-licensing: imsidolimab, our anti-IL-36R antibody, in Phase 3 development for the treatment of generalized pustular psoriasis (“GPP”), and etokimab, our anti-IL-33 antagonist that is Phase 2/3 ready. We have also discovered multiple therapeutic antibodies licensed to GlaxoSmithKline, Inc. (“GSK”) in a financial collaboration for immuno-oncology, including an anti-PD-1 antagonist antibody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(dostarlimab-gxly)) and an anti-TIM-3 antagonist antibody (cobolimab, GSK4069889). We currently recognize revenue from milestones and royalties achieved under our immuno-oncology collaboration with GSK.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Wholly Owned Product Candidate Pipeline</w:t>
      </w:r>
    </w:p>
    <w:p>
      <w:pPr>
        <w:spacing w:after="0" w:line="137" w:lineRule="exact"/>
        <w:rPr>
          <w:sz w:val="20"/>
          <w:szCs w:val="20"/>
          <w:color w:val="auto"/>
        </w:rPr>
      </w:pPr>
    </w:p>
    <w:p>
      <w:pPr>
        <w:ind w:firstLine="540"/>
        <w:spacing w:after="0" w:line="258" w:lineRule="auto"/>
        <w:rPr>
          <w:sz w:val="20"/>
          <w:szCs w:val="20"/>
          <w:color w:val="auto"/>
        </w:rPr>
      </w:pPr>
      <w:r>
        <w:rPr>
          <w:rFonts w:ascii="Times New Roman" w:cs="Times New Roman" w:eastAsia="Times New Roman" w:hAnsi="Times New Roman"/>
          <w:sz w:val="20"/>
          <w:szCs w:val="20"/>
          <w:color w:val="auto"/>
        </w:rPr>
        <w:t>Our immune cell modulating antibodies, including checkpoint agonists for PD-1 and BTLA, treat inflammatory disorders by down regulating immune responses mediated by multiple immune cell types including T cells, B cells, and dendritic cells. T cells require both antigen presentation to the T cell receptor and co-stimulation to be activated. When these interactions are inhibited, T cells can’t be effectively primed to expand and differentiate into inflammatory T cells. Inhibition of at least one of these signals is the basis of checkpoint agonism.</w:t>
      </w:r>
    </w:p>
    <w:p>
      <w:pPr>
        <w:spacing w:after="0" w:line="84" w:lineRule="exact"/>
        <w:rPr>
          <w:sz w:val="20"/>
          <w:szCs w:val="20"/>
          <w:color w:val="auto"/>
        </w:rPr>
      </w:pPr>
    </w:p>
    <w:p>
      <w:pPr>
        <w:ind w:right="120" w:firstLine="540"/>
        <w:spacing w:after="0" w:line="281" w:lineRule="auto"/>
        <w:rPr>
          <w:sz w:val="20"/>
          <w:szCs w:val="20"/>
          <w:color w:val="auto"/>
        </w:rPr>
      </w:pPr>
      <w:r>
        <w:rPr>
          <w:rFonts w:ascii="Times New Roman" w:cs="Times New Roman" w:eastAsia="Times New Roman" w:hAnsi="Times New Roman"/>
          <w:sz w:val="20"/>
          <w:szCs w:val="20"/>
          <w:color w:val="auto"/>
        </w:rPr>
        <w:t>We believe these molecules have potential applicability across a broad range of autoimmune and inflammatory diseases including dermatology, rheumatology, gastroenterology, respiratory, and neurology therapeutic areas.</w:t>
      </w:r>
    </w:p>
    <w:p>
      <w:pPr>
        <w:spacing w:after="0" w:line="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Rosnilimab</w:t>
      </w:r>
    </w:p>
    <w:p>
      <w:pPr>
        <w:spacing w:after="0" w:line="134" w:lineRule="exact"/>
        <w:rPr>
          <w:sz w:val="20"/>
          <w:szCs w:val="20"/>
          <w:color w:val="auto"/>
        </w:rPr>
      </w:pPr>
    </w:p>
    <w:p>
      <w:pPr>
        <w:ind w:right="40" w:firstLine="540"/>
        <w:spacing w:after="0" w:line="258" w:lineRule="auto"/>
        <w:rPr>
          <w:sz w:val="20"/>
          <w:szCs w:val="20"/>
          <w:color w:val="auto"/>
        </w:rPr>
      </w:pPr>
      <w:r>
        <w:rPr>
          <w:rFonts w:ascii="Times New Roman" w:cs="Times New Roman" w:eastAsia="Times New Roman" w:hAnsi="Times New Roman"/>
          <w:sz w:val="20"/>
          <w:szCs w:val="20"/>
          <w:color w:val="auto"/>
        </w:rPr>
        <w:t>PD-1, or programmed cell death protein 1, is an inhibitory checkpoint receptor that regulates T cell proliferation, and cytokine secretion. It is expressed preferentially on activated T cells, reducing the potential for off-target activity by rosnilimab. Genetic mutations in the PD-1 pathway are known to be associated with increased susceptibility to human inflammatory diseases which leads us to believe that rosnilimab is applicable to diseases where PD-1 checkpoint receptor function may be insufficient to maintain immune homeostasis.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Rosnilimab is an IgG1 antibody that directly targets PD-1+ T cells, resulting in their agonism or depletion, broadly</w:t>
      </w:r>
    </w:p>
    <w:p>
      <w:pPr>
        <w:spacing w:after="0" w:line="30"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9"/>
          <w:szCs w:val="19"/>
          <w:color w:val="auto"/>
        </w:rPr>
        <w:t>impacting pathogenic drivers of autoimmune and inflammatory diseases. An IgG1 PD-1 agonist acts through three distinct mechanisms; depletion of PD-1</w:t>
      </w:r>
      <w:r>
        <w:rPr>
          <w:rFonts w:ascii="Times New Roman" w:cs="Times New Roman" w:eastAsia="Times New Roman" w:hAnsi="Times New Roman"/>
          <w:sz w:val="25"/>
          <w:szCs w:val="25"/>
          <w:color w:val="auto"/>
          <w:vertAlign w:val="superscript"/>
        </w:rPr>
        <w:t>high</w:t>
      </w:r>
      <w:r>
        <w:rPr>
          <w:rFonts w:ascii="Times New Roman" w:cs="Times New Roman" w:eastAsia="Times New Roman" w:hAnsi="Times New Roman"/>
          <w:sz w:val="19"/>
          <w:szCs w:val="19"/>
          <w:color w:val="auto"/>
        </w:rPr>
        <w:t xml:space="preserve"> effector T cells, depletion of PD-1</w:t>
      </w:r>
      <w:r>
        <w:rPr>
          <w:rFonts w:ascii="Times New Roman" w:cs="Times New Roman" w:eastAsia="Times New Roman" w:hAnsi="Times New Roman"/>
          <w:sz w:val="25"/>
          <w:szCs w:val="25"/>
          <w:color w:val="auto"/>
          <w:vertAlign w:val="superscript"/>
        </w:rPr>
        <w:t>high</w:t>
      </w:r>
      <w:r>
        <w:rPr>
          <w:rFonts w:ascii="Times New Roman" w:cs="Times New Roman" w:eastAsia="Times New Roman" w:hAnsi="Times New Roman"/>
          <w:sz w:val="19"/>
          <w:szCs w:val="19"/>
          <w:color w:val="auto"/>
        </w:rPr>
        <w:t xml:space="preserve"> Tfh and Tph cells, and agonism of PD-1</w:t>
      </w:r>
      <w:r>
        <w:rPr>
          <w:rFonts w:ascii="Times New Roman" w:cs="Times New Roman" w:eastAsia="Times New Roman" w:hAnsi="Times New Roman"/>
          <w:sz w:val="25"/>
          <w:szCs w:val="25"/>
          <w:color w:val="auto"/>
          <w:vertAlign w:val="superscript"/>
        </w:rPr>
        <w:t>int</w:t>
      </w:r>
      <w:r>
        <w:rPr>
          <w:rFonts w:ascii="Times New Roman" w:cs="Times New Roman" w:eastAsia="Times New Roman" w:hAnsi="Times New Roman"/>
          <w:sz w:val="19"/>
          <w:szCs w:val="19"/>
          <w:color w:val="auto"/>
        </w:rPr>
        <w:t xml:space="preserve"> T cells. This</w:t>
      </w:r>
    </w:p>
    <w:p>
      <w:pPr>
        <w:spacing w:after="0" w:line="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9"/>
          <w:szCs w:val="19"/>
          <w:color w:val="auto"/>
        </w:rPr>
        <w:t>drives specific immunological outcomes in both inflamed tissue and the periphery, such as reduction in T cell proliferation, migration, and cytokine secretion, and reduction of plasma cell generation and autoantibody levels. Rosnilimab is designed to enable formation of a tight immune synapse by binding to the PD-1 checkpoint receptor on a membrane-proximal epitope, and simultaneously anchoring to an Fc receptor, on an opposing cell, supporting crosslinking and excluding activating phosphatases</w:t>
      </w:r>
    </w:p>
    <w:p>
      <w:pPr>
        <w:spacing w:after="0" w:line="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0"/>
          <w:szCs w:val="20"/>
          <w:color w:val="auto"/>
        </w:rPr>
        <w:t>such as CD45. Rosnilimab also facilitates depletion by bringing effector cells into closer proximity to pathogenically activated PD-1</w:t>
      </w:r>
      <w:r>
        <w:rPr>
          <w:rFonts w:ascii="Times New Roman" w:cs="Times New Roman" w:eastAsia="Times New Roman" w:hAnsi="Times New Roman"/>
          <w:sz w:val="26"/>
          <w:szCs w:val="26"/>
          <w:color w:val="auto"/>
          <w:vertAlign w:val="superscript"/>
        </w:rPr>
        <w:t>high</w:t>
      </w:r>
      <w:r>
        <w:rPr>
          <w:rFonts w:ascii="Times New Roman" w:cs="Times New Roman" w:eastAsia="Times New Roman" w:hAnsi="Times New Roman"/>
          <w:sz w:val="20"/>
          <w:szCs w:val="20"/>
          <w:color w:val="auto"/>
        </w:rPr>
        <w:t xml:space="preserve"> T cells.</w:t>
      </w:r>
    </w:p>
    <w:p>
      <w:pPr>
        <w:spacing w:after="0" w:line="25" w:lineRule="exact"/>
        <w:rPr>
          <w:sz w:val="20"/>
          <w:szCs w:val="20"/>
          <w:color w:val="auto"/>
        </w:rPr>
      </w:pPr>
    </w:p>
    <w:p>
      <w:pPr>
        <w:ind w:right="160" w:firstLine="540"/>
        <w:spacing w:after="0" w:line="262" w:lineRule="auto"/>
        <w:rPr>
          <w:sz w:val="20"/>
          <w:szCs w:val="20"/>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studies, when PD-1+ T cells were cocultured in the presence of NK cells, rosnilimab demonstrated potent depletion of PD-1+ T cells. In separate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studies, in which T cells were stimulated in the presence of only dendritic cells (in the absence of any cells capable of mediating depletion), rosnilimab demonstrated potent agonism properties such as a reduction in PD-1+T cell proliferation and reduction in secretion of inflammatory cytokines.</w:t>
      </w:r>
    </w:p>
    <w:p>
      <w:pPr>
        <w:spacing w:after="0" w:line="80" w:lineRule="exact"/>
        <w:rPr>
          <w:sz w:val="20"/>
          <w:szCs w:val="20"/>
          <w:color w:val="auto"/>
        </w:rPr>
      </w:pPr>
    </w:p>
    <w:p>
      <w:pPr>
        <w:ind w:right="180" w:firstLine="540"/>
        <w:spacing w:after="0" w:line="286" w:lineRule="auto"/>
        <w:rPr>
          <w:sz w:val="20"/>
          <w:szCs w:val="20"/>
          <w:color w:val="auto"/>
        </w:rPr>
      </w:pPr>
      <w:r>
        <w:rPr>
          <w:rFonts w:ascii="Times New Roman" w:cs="Times New Roman" w:eastAsia="Times New Roman" w:hAnsi="Times New Roman"/>
          <w:sz w:val="19"/>
          <w:szCs w:val="19"/>
          <w:color w:val="auto"/>
        </w:rPr>
        <w:t>We announced positive top-line data from a healthy volunteer Phase 1 trial of rosnilimab in November 2021. A total of 144 subjects were enrolled in the randomized, double-blind, placebo-controlled healthy volunteer Phase 1 trial, where single ascending dose (“SAD”) cohorts received subcutaneous or intravenous (“IV”) single doses of rosnilimab up to 600mg or</w:t>
      </w:r>
    </w:p>
    <w:p>
      <w:pPr>
        <w:sectPr>
          <w:pgSz w:w="12240" w:h="15840" w:orient="portrait"/>
          <w:cols w:equalWidth="0" w:num="1">
            <w:col w:w="10240"/>
          </w:cols>
          <w:pgMar w:left="1000" w:top="786" w:right="1000" w:bottom="0" w:gutter="0" w:footer="0" w:header="0"/>
        </w:sect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240"/>
          </w:cols>
          <w:pgMar w:left="1000" w:top="786" w:right="1000" w:bottom="0" w:gutter="0" w:footer="0" w:header="0"/>
          <w:type w:val="continuous"/>
        </w:sectPr>
      </w:pPr>
    </w:p>
    <w:bookmarkStart w:id="57" w:name="page58"/>
    <w:bookmarkEnd w:id="57"/>
    <w:p>
      <w:pPr>
        <w:ind w:right="40"/>
        <w:spacing w:after="0" w:line="255" w:lineRule="auto"/>
        <w:rPr>
          <w:sz w:val="20"/>
          <w:szCs w:val="20"/>
          <w:color w:val="auto"/>
        </w:rPr>
      </w:pPr>
      <w:r>
        <w:rPr>
          <w:rFonts w:ascii="Times New Roman" w:cs="Times New Roman" w:eastAsia="Times New Roman" w:hAnsi="Times New Roman"/>
          <w:sz w:val="20"/>
          <w:szCs w:val="20"/>
          <w:color w:val="auto"/>
        </w:rPr>
        <w:t>placebo, while multiple ascending dose (“MAD”) cohorts received four weekly subcutaneous doses of rosnilimab ranging up to 400mg or placebo. Rosnilimab was generally well-tolerated and no dose limiting toxicities were observed. Two serious adverse events (“SAEs”) were reported in single dose cohorts, including obstructive pancreatitis in a placebo-dosed subject and COVID-19 infection in a rosnilimab-dosed subject leading to discontinuation. The COVID-19 infection was deemed unrelated to treatment. No SAEs were reported in subjects receiving multiple doses of rosnilimab or placebo</w:t>
      </w:r>
      <w:r>
        <w:rPr>
          <w:rFonts w:ascii="Times New Roman" w:cs="Times New Roman" w:eastAsia="Times New Roman" w:hAnsi="Times New Roman"/>
          <w:sz w:val="24"/>
          <w:szCs w:val="24"/>
          <w:color w:val="008080"/>
        </w:rPr>
        <w:t>.</w:t>
      </w:r>
    </w:p>
    <w:p>
      <w:pPr>
        <w:spacing w:after="0" w:line="97" w:lineRule="exact"/>
        <w:rPr>
          <w:sz w:val="20"/>
          <w:szCs w:val="20"/>
          <w:color w:val="auto"/>
        </w:rPr>
      </w:pPr>
    </w:p>
    <w:p>
      <w:pPr>
        <w:ind w:right="240" w:firstLine="540"/>
        <w:spacing w:after="0" w:line="274" w:lineRule="auto"/>
        <w:rPr>
          <w:sz w:val="20"/>
          <w:szCs w:val="20"/>
          <w:color w:val="auto"/>
        </w:rPr>
      </w:pPr>
      <w:r>
        <w:rPr>
          <w:rFonts w:ascii="Times New Roman" w:cs="Times New Roman" w:eastAsia="Times New Roman" w:hAnsi="Times New Roman"/>
          <w:sz w:val="19"/>
          <w:szCs w:val="19"/>
          <w:color w:val="auto"/>
        </w:rPr>
        <w:t>Rosnilimab demonstrated a favorable pharmacokinetic (“PK”) profile with an estimated two-week half-life for subcutaneous and IV routes of administration. Full PD-1 receptor occupancy was observed rapidly and was maintained for at</w:t>
      </w:r>
    </w:p>
    <w:p>
      <w:pPr>
        <w:spacing w:after="0" w:line="1"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19"/>
          <w:szCs w:val="19"/>
          <w:color w:val="auto"/>
        </w:rPr>
        <w:t>least 30 days. Potent and sustained reduction was observed in peripheral PD-1+ T cells for &gt;30 days, including &gt;90% reduction of PD-1</w:t>
      </w:r>
      <w:r>
        <w:rPr>
          <w:rFonts w:ascii="Times New Roman" w:cs="Times New Roman" w:eastAsia="Times New Roman" w:hAnsi="Times New Roman"/>
          <w:sz w:val="25"/>
          <w:szCs w:val="25"/>
          <w:color w:val="auto"/>
          <w:vertAlign w:val="superscript"/>
        </w:rPr>
        <w:t>high</w:t>
      </w:r>
      <w:r>
        <w:rPr>
          <w:rFonts w:ascii="Times New Roman" w:cs="Times New Roman" w:eastAsia="Times New Roman" w:hAnsi="Times New Roman"/>
          <w:sz w:val="19"/>
          <w:szCs w:val="19"/>
          <w:color w:val="auto"/>
        </w:rPr>
        <w:t xml:space="preserve"> T cells and a &gt;50% reduction of PD-1+ T cells bringing the overall T cell composition to a less activated state,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without meaningfully reducing overall T cell numbers.</w:t>
      </w:r>
    </w:p>
    <w:p>
      <w:pPr>
        <w:spacing w:after="0" w:line="108" w:lineRule="exact"/>
        <w:rPr>
          <w:sz w:val="20"/>
          <w:szCs w:val="20"/>
          <w:color w:val="auto"/>
        </w:rPr>
      </w:pPr>
    </w:p>
    <w:p>
      <w:pPr>
        <w:ind w:right="20" w:firstLine="540"/>
        <w:spacing w:after="0" w:line="258" w:lineRule="auto"/>
        <w:rPr>
          <w:sz w:val="20"/>
          <w:szCs w:val="20"/>
          <w:color w:val="auto"/>
        </w:rPr>
      </w:pPr>
      <w:r>
        <w:rPr>
          <w:rFonts w:ascii="Times New Roman" w:cs="Times New Roman" w:eastAsia="Times New Roman" w:hAnsi="Times New Roman"/>
          <w:sz w:val="20"/>
          <w:szCs w:val="20"/>
          <w:color w:val="auto"/>
        </w:rPr>
        <w:t>We also completed a randomized placebo-controlled 45-patient Phase 2 trial assessing a single 400mg monthly dose of rosnilimab over six months in moderate-to-severe alopecia areata patients. In January 2023, we reported interim results of blinded data which suggested that sufficient improvement in the severity of alopecia tool (SALT) endpoint necessary to justify further development in alopecia was not achieved. Furthermore, we reported safety and pharmacodynamics data suggesting that rosnilimab was generally well tolerated, with no dose limiting toxicities observed and no SAEs reported.</w:t>
      </w:r>
    </w:p>
    <w:p>
      <w:pPr>
        <w:spacing w:after="0" w:line="84" w:lineRule="exact"/>
        <w:rPr>
          <w:sz w:val="20"/>
          <w:szCs w:val="20"/>
          <w:color w:val="auto"/>
        </w:rPr>
      </w:pPr>
    </w:p>
    <w:p>
      <w:pPr>
        <w:ind w:right="40" w:firstLine="540"/>
        <w:spacing w:after="0" w:line="255" w:lineRule="auto"/>
        <w:rPr>
          <w:sz w:val="20"/>
          <w:szCs w:val="20"/>
          <w:color w:val="auto"/>
        </w:rPr>
      </w:pPr>
      <w:r>
        <w:rPr>
          <w:rFonts w:ascii="Times New Roman" w:cs="Times New Roman" w:eastAsia="Times New Roman" w:hAnsi="Times New Roman"/>
          <w:sz w:val="20"/>
          <w:szCs w:val="20"/>
          <w:color w:val="auto"/>
        </w:rPr>
        <w:t>We are conducting a randomized placebo-controlled 420-patient global Phase 2b trial assessing three dose levels of subcutaneously administrated rosnilimab in moderate-to-severe RA for up to 28 weeks on well-established endpoints including ACR20/50/70 and DAS28-CRP. We anticipate reporting top-line data on the primary endpoint in the RA trial by mid 2025. We are also conducting a randomized placebo-controlled 130-patient, global Phase 2 trial assessing two dose levels of subcutaneously administered rosnilimab in moderate-to-severe UC for up to 24 weeks on well-established endpoints including clinical remission on the modified Mayo score (“mMS”), clinical response on the mMS and endoscopic remission. We anticipate reporting top-line data on the primary endpoint in the UC trial in the first half of 2026.</w:t>
      </w:r>
    </w:p>
    <w:p>
      <w:pPr>
        <w:spacing w:after="0" w:line="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ANB032</w:t>
      </w:r>
    </w:p>
    <w:p>
      <w:pPr>
        <w:spacing w:after="0" w:line="134" w:lineRule="exact"/>
        <w:rPr>
          <w:sz w:val="20"/>
          <w:szCs w:val="20"/>
          <w:color w:val="auto"/>
        </w:rPr>
      </w:pPr>
    </w:p>
    <w:p>
      <w:pPr>
        <w:jc w:val="both"/>
        <w:ind w:right="700" w:firstLine="540"/>
        <w:spacing w:after="0" w:line="266" w:lineRule="auto"/>
        <w:rPr>
          <w:sz w:val="20"/>
          <w:szCs w:val="20"/>
          <w:color w:val="auto"/>
        </w:rPr>
      </w:pPr>
      <w:r>
        <w:rPr>
          <w:rFonts w:ascii="Times New Roman" w:cs="Times New Roman" w:eastAsia="Times New Roman" w:hAnsi="Times New Roman"/>
          <w:sz w:val="20"/>
          <w:szCs w:val="20"/>
          <w:color w:val="auto"/>
        </w:rPr>
        <w:t>BTLA, or B and T lymphocyte attenuator, is an inhibitory checkpoint receptor that regulates T cells, B cells, and dendritic cell (“DC”) function. BTLA is expressed only on immune cells and preferentially on activated immune cells, potentially enabling a broad mechanism of action while avoiding off-target activity.</w:t>
      </w:r>
    </w:p>
    <w:p>
      <w:pPr>
        <w:spacing w:after="0" w:line="75" w:lineRule="exact"/>
        <w:rPr>
          <w:sz w:val="20"/>
          <w:szCs w:val="20"/>
          <w:color w:val="auto"/>
        </w:rPr>
      </w:pPr>
    </w:p>
    <w:p>
      <w:pPr>
        <w:ind w:right="160" w:firstLine="540"/>
        <w:spacing w:after="0" w:line="278" w:lineRule="auto"/>
        <w:rPr>
          <w:sz w:val="20"/>
          <w:szCs w:val="20"/>
          <w:color w:val="auto"/>
        </w:rPr>
      </w:pPr>
      <w:r>
        <w:rPr>
          <w:rFonts w:ascii="Times New Roman" w:cs="Times New Roman" w:eastAsia="Times New Roman" w:hAnsi="Times New Roman"/>
          <w:sz w:val="19"/>
          <w:szCs w:val="19"/>
          <w:color w:val="auto"/>
        </w:rPr>
        <w:t>ANB032 is a non-depleting antibody that binds to BTLA, and is anticipated to down-modulate the activity of T cells, B cells and dendritic cells both in inflamed tissue and the periphery via: agonism resulting in inhibition of T cell expansion and migration, broad reduction of inflammatory Th1, Th2, Th17 and Th22 cytokines, and modulation of dendritic cells including inhibition of dendritic cell maturation, reduction in costimulatory molecule expression, and enhanced inducement of Tregs.</w:t>
      </w:r>
    </w:p>
    <w:p>
      <w:pPr>
        <w:spacing w:after="0" w:line="64" w:lineRule="exact"/>
        <w:rPr>
          <w:sz w:val="20"/>
          <w:szCs w:val="20"/>
          <w:color w:val="auto"/>
        </w:rPr>
      </w:pPr>
    </w:p>
    <w:p>
      <w:pPr>
        <w:ind w:right="500" w:firstLine="540"/>
        <w:spacing w:after="0" w:line="285" w:lineRule="auto"/>
        <w:rPr>
          <w:sz w:val="20"/>
          <w:szCs w:val="20"/>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studies, ANB032 demonstrated potent agonism and, in a murine model of GvHD, demonstrated superior disease-modification compared to control antibodies.</w:t>
      </w:r>
    </w:p>
    <w:p>
      <w:pPr>
        <w:spacing w:after="0" w:line="58" w:lineRule="exact"/>
        <w:rPr>
          <w:sz w:val="20"/>
          <w:szCs w:val="20"/>
          <w:color w:val="auto"/>
        </w:rPr>
      </w:pPr>
    </w:p>
    <w:p>
      <w:pPr>
        <w:ind w:right="140" w:firstLine="540"/>
        <w:spacing w:after="0" w:line="255" w:lineRule="auto"/>
        <w:rPr>
          <w:sz w:val="20"/>
          <w:szCs w:val="20"/>
          <w:color w:val="auto"/>
        </w:rPr>
      </w:pPr>
      <w:r>
        <w:rPr>
          <w:rFonts w:ascii="Times New Roman" w:cs="Times New Roman" w:eastAsia="Times New Roman" w:hAnsi="Times New Roman"/>
          <w:sz w:val="20"/>
          <w:szCs w:val="20"/>
          <w:color w:val="auto"/>
        </w:rPr>
        <w:t>We announced positive top-line data from a healthy volunteer Phase 1 trial of ANB032, under a CTN, in April 2022. A total of 96 subjects were enrolled in the randomized, double-blind, placebo-controlled healthy volunteer Phase 1 trial, where SAD cohorts received subcutaneous or IV single doses of ANB032 or placebo, while MAD cohorts received four weekly subcutaneous doses of ANB032 or placebo. ANB032 was generally well-tolerated and no dose limiting toxicities were observed. No SAEs were reported. ANB032 demonstrated a favorable PK profile with an estimated two-week half-life for subcutaneous and IV routes of administration. Full BTLA receptor occupancy was observed rapidly and was maintained for at least 30 days.</w:t>
      </w:r>
    </w:p>
    <w:p>
      <w:pPr>
        <w:spacing w:after="0" w:line="90" w:lineRule="exact"/>
        <w:rPr>
          <w:sz w:val="20"/>
          <w:szCs w:val="20"/>
          <w:color w:val="auto"/>
        </w:rPr>
      </w:pPr>
    </w:p>
    <w:p>
      <w:pPr>
        <w:ind w:firstLine="540"/>
        <w:spacing w:after="0" w:line="258" w:lineRule="auto"/>
        <w:rPr>
          <w:sz w:val="20"/>
          <w:szCs w:val="20"/>
          <w:color w:val="auto"/>
        </w:rPr>
      </w:pPr>
      <w:r>
        <w:rPr>
          <w:rFonts w:ascii="Times New Roman" w:cs="Times New Roman" w:eastAsia="Times New Roman" w:hAnsi="Times New Roman"/>
          <w:sz w:val="20"/>
          <w:szCs w:val="20"/>
          <w:color w:val="auto"/>
        </w:rPr>
        <w:t>While Th2 targeted therapies provide benefit to patients with chronic moderate-to-severe atopic dermatitis (AD), there is compelling evidence that AD is broader than a Th2 driven disease, as Th1, Th17, Th22 and other cell types, including dendritic cells, contribute significantly to the pathogenesis. ANB032 inhibition of inflammatory Th1, Th2, Th17 and Th22 activity, and modulation of additional cell types such as B cells and dendritic cells, creates the potential for broader, deeper and more durable responses than more narrowly targeted interventions.</w:t>
      </w:r>
    </w:p>
    <w:p>
      <w:pPr>
        <w:spacing w:after="0" w:line="84" w:lineRule="exact"/>
        <w:rPr>
          <w:sz w:val="20"/>
          <w:szCs w:val="20"/>
          <w:color w:val="auto"/>
        </w:rPr>
      </w:pPr>
    </w:p>
    <w:p>
      <w:pPr>
        <w:ind w:firstLine="540"/>
        <w:spacing w:after="0" w:line="258" w:lineRule="auto"/>
        <w:rPr>
          <w:sz w:val="20"/>
          <w:szCs w:val="20"/>
          <w:color w:val="auto"/>
        </w:rPr>
      </w:pPr>
      <w:r>
        <w:rPr>
          <w:rFonts w:ascii="Times New Roman" w:cs="Times New Roman" w:eastAsia="Times New Roman" w:hAnsi="Times New Roman"/>
          <w:sz w:val="20"/>
          <w:szCs w:val="20"/>
          <w:color w:val="auto"/>
        </w:rPr>
        <w:t>We are conducting a randomized placebo-controlled 160 patient global Phase 2b trial assessing three dose levels of subcutaneously administered ANB032 in moderate-to-severe AD for 12 weeks on well-established endpoints including EASI75 and IGA 0/1 measured at week 14. Patients will then be followed for an additional 24 weeks after the final dose at week 12 to understand longer term safety as well as the potential for prolonged and sustained efficacy. We anticipate reporting top-line data on the primary endpoint from this trial by the end of 2024.</w:t>
      </w:r>
    </w:p>
    <w:p>
      <w:pPr>
        <w:spacing w:after="0" w:line="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ANB033</w:t>
      </w:r>
    </w:p>
    <w:p>
      <w:pPr>
        <w:spacing w:after="0" w:line="134" w:lineRule="exact"/>
        <w:rPr>
          <w:sz w:val="20"/>
          <w:szCs w:val="20"/>
          <w:color w:val="auto"/>
        </w:rPr>
      </w:pPr>
    </w:p>
    <w:p>
      <w:pPr>
        <w:ind w:right="380" w:firstLine="540"/>
        <w:spacing w:after="0" w:line="309" w:lineRule="auto"/>
        <w:rPr>
          <w:sz w:val="20"/>
          <w:szCs w:val="20"/>
          <w:color w:val="auto"/>
        </w:rPr>
      </w:pPr>
      <w:r>
        <w:rPr>
          <w:rFonts w:ascii="Times New Roman" w:cs="Times New Roman" w:eastAsia="Times New Roman" w:hAnsi="Times New Roman"/>
          <w:sz w:val="19"/>
          <w:szCs w:val="19"/>
          <w:color w:val="auto"/>
        </w:rPr>
        <w:t>ANB033 targets CD122, the common beta subunit shared by the IL-15 and IL-2 receptors. IL-15 and IL-2 signaling mediate the proliferation and survival of NK cells and certain CD8 T cell subsets. ANB033 is an antibody designed with an</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240"/>
          </w:cols>
          <w:pgMar w:left="1000" w:top="793" w:right="1000" w:bottom="0" w:gutter="0" w:footer="0" w:header="0"/>
          <w:type w:val="continuous"/>
        </w:sectPr>
      </w:pPr>
    </w:p>
    <w:bookmarkStart w:id="58" w:name="page59"/>
    <w:bookmarkEnd w:id="58"/>
    <w:p>
      <w:pPr>
        <w:ind w:right="120"/>
        <w:spacing w:after="0" w:line="254" w:lineRule="auto"/>
        <w:rPr>
          <w:sz w:val="20"/>
          <w:szCs w:val="20"/>
          <w:color w:val="auto"/>
        </w:rPr>
      </w:pPr>
      <w:r>
        <w:rPr>
          <w:rFonts w:ascii="Times New Roman" w:cs="Times New Roman" w:eastAsia="Times New Roman" w:hAnsi="Times New Roman"/>
          <w:sz w:val="20"/>
          <w:szCs w:val="20"/>
          <w:color w:val="auto"/>
        </w:rPr>
        <w:t>affinity to CD122 that inhibits IL-15 and IL-2 signaling through the low affinity IL-2 receptor (comprised of CD122 and the common gamma subunit, CD132) while sparing IL-2 signaling through the high affinity IL-2 receptor (comprised of CD122, CD132 and the alpha receptor subunit for IL-2, CD25) expressed by regulatory T cells. This leads to the potential to achieve and maintain remission of inflammation through the reduction of disease-causing NK cells and certain CD8 T cell subsets, while sparing regulatory T cells. By preventing the consumption of IL-2 by pathogenic cells that express the low affinity IL-2 receptor, circulating levels of IL-2 may increase, potentially enhancing regulatory T cell numbers that express the high affinity IL-2 receptor in the setting of inflammation. We anticipate submitting an IND for a Phase 1 clinical trial with ANB033 during the second quarter of 2024.</w:t>
      </w:r>
    </w:p>
    <w:p>
      <w:pPr>
        <w:spacing w:after="0" w:line="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ANB101</w:t>
      </w:r>
    </w:p>
    <w:p>
      <w:pPr>
        <w:spacing w:after="0" w:line="134" w:lineRule="exact"/>
        <w:rPr>
          <w:sz w:val="20"/>
          <w:szCs w:val="20"/>
          <w:color w:val="auto"/>
        </w:rPr>
      </w:pPr>
    </w:p>
    <w:p>
      <w:pPr>
        <w:ind w:right="40" w:firstLine="540"/>
        <w:spacing w:after="0" w:line="253" w:lineRule="auto"/>
        <w:rPr>
          <w:sz w:val="20"/>
          <w:szCs w:val="20"/>
          <w:color w:val="auto"/>
        </w:rPr>
      </w:pPr>
      <w:r>
        <w:rPr>
          <w:rFonts w:ascii="Times New Roman" w:cs="Times New Roman" w:eastAsia="Times New Roman" w:hAnsi="Times New Roman"/>
          <w:sz w:val="20"/>
          <w:szCs w:val="20"/>
          <w:color w:val="auto"/>
        </w:rPr>
        <w:t>Blood dendritic cell antigen 2 (“BDCA2”) is a molecule specifically expressed on plasmacytoid dendritic cells (pDCs), a class of immune cells which, while found in relatively small numbers in healthy patients, are enriched in patients with a variety of inflammatory diseases, that is critical to the regulation of toll-like receptor signaling and interferon secretion. pDCs are a key upstream node in the inflammatory cascade that serve as a bridge between innate and adaptive immunity. They have been shown to be prolific secretors of type I interferons, which drive activation of a variety of downstream cell types including T cells and monocytes. Together with their ability to present antigens to the adaptive immune system, this creates a pro-inflammatory environment for the establishment and perpetuation of autoimmune pathology. BDCA2 has been implicated in the pathophysiology of systemic lupus erythematosus (SLE), where there exists mechanistic clinical proof of concept for pDC modulation. ANB101 is a BDCA2 modulator antibody that targets pDCs and potently inhibits interferon secretion and modulates antigen presentation for the treatment of autoimmune and inflammatory diseases. We anticipate submitting an IND for a Phase 1 clinical trial with ANB101 during the second half of 2024.</w:t>
      </w:r>
    </w:p>
    <w:p>
      <w:pPr>
        <w:spacing w:after="0" w:line="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Imsidolimab</w:t>
      </w:r>
    </w:p>
    <w:p>
      <w:pPr>
        <w:spacing w:after="0" w:line="134" w:lineRule="exact"/>
        <w:rPr>
          <w:sz w:val="20"/>
          <w:szCs w:val="20"/>
          <w:color w:val="auto"/>
        </w:rPr>
      </w:pPr>
    </w:p>
    <w:p>
      <w:pPr>
        <w:ind w:firstLine="540"/>
        <w:spacing w:after="0" w:line="258" w:lineRule="auto"/>
        <w:rPr>
          <w:sz w:val="20"/>
          <w:szCs w:val="20"/>
          <w:color w:val="auto"/>
        </w:rPr>
      </w:pPr>
      <w:r>
        <w:rPr>
          <w:rFonts w:ascii="Times New Roman" w:cs="Times New Roman" w:eastAsia="Times New Roman" w:hAnsi="Times New Roman"/>
          <w:sz w:val="20"/>
          <w:szCs w:val="20"/>
          <w:color w:val="auto"/>
        </w:rPr>
        <w:t>Imsidolimab is an IgG4 antibody that inhibits the function of the interleukin-36-receptor, or IL-36R, that is being developed for the treatment of GPP. We completed a Phase 1 clinical trial in healthy volunteers, which was presented at the European Academy of Allergy and Clinical Immunology in 2018, where imsidolimab was well-tolerated, no dose-limiting toxicities were observed, and no SAEs were reported. In July 2020, the FDA granted Orphan Drug Designation for imsidolimab for the treatment of patients with GPP.</w:t>
      </w:r>
    </w:p>
    <w:p>
      <w:pPr>
        <w:spacing w:after="0" w:line="84" w:lineRule="exact"/>
        <w:rPr>
          <w:sz w:val="20"/>
          <w:szCs w:val="20"/>
          <w:color w:val="auto"/>
        </w:rPr>
      </w:pPr>
    </w:p>
    <w:p>
      <w:pPr>
        <w:ind w:right="40" w:firstLine="540"/>
        <w:spacing w:after="0" w:line="254" w:lineRule="auto"/>
        <w:rPr>
          <w:sz w:val="20"/>
          <w:szCs w:val="20"/>
          <w:color w:val="auto"/>
        </w:rPr>
      </w:pPr>
      <w:r>
        <w:rPr>
          <w:rFonts w:ascii="Times New Roman" w:cs="Times New Roman" w:eastAsia="Times New Roman" w:hAnsi="Times New Roman"/>
          <w:sz w:val="20"/>
          <w:szCs w:val="20"/>
          <w:color w:val="auto"/>
        </w:rPr>
        <w:t>We initiated two Phase 3 clinical trials for imsidolimab in GPP. We successfully completed the first randomized placebo-controlled trial, called GEMINI-1, in 45 patients, assessing two, single dose levels of IV-administered imsidolimab. As of October 2023, of the patients who received a single dose of 750mg IV imsidolimab, 53.3% achieved Generalized Pustular Psoriasis Physician Global Assessment (GPPPGA) 0/1 (clear or almost clear) at Week 4, our primary endpoint, compared to 13.3% of patients on placebo (p=0.0131). The GPPPGA assessment, representing a stringent and comprehensive characterization of disease severity, required satisfying an overall clinical response score of 0/1 (clear or almost clear) collectively across each GPP disease attribute, including pustulation, erythema and scaling. Imsidolimab demonstrated favorable safety, tolerability, and immunogenicity with no elevation of infection risk compared to placebo, no serious adverse events, and only 1 of 30 patients treated with imsidolimab generating anti-drug antibodies over the course of the study.</w:t>
      </w:r>
    </w:p>
    <w:p>
      <w:pPr>
        <w:spacing w:after="0" w:line="89" w:lineRule="exact"/>
        <w:rPr>
          <w:sz w:val="20"/>
          <w:szCs w:val="20"/>
          <w:color w:val="auto"/>
        </w:rPr>
      </w:pPr>
    </w:p>
    <w:p>
      <w:pPr>
        <w:ind w:right="20" w:firstLine="540"/>
        <w:spacing w:after="0" w:line="272" w:lineRule="auto"/>
        <w:rPr>
          <w:sz w:val="20"/>
          <w:szCs w:val="20"/>
          <w:color w:val="auto"/>
        </w:rPr>
      </w:pPr>
      <w:r>
        <w:rPr>
          <w:rFonts w:ascii="Times New Roman" w:cs="Times New Roman" w:eastAsia="Times New Roman" w:hAnsi="Times New Roman"/>
          <w:sz w:val="19"/>
          <w:szCs w:val="19"/>
          <w:color w:val="auto"/>
        </w:rPr>
        <w:t>Patients completing the GEMINI-1 trial were eligible to be subsequently enrolled in GEMINI-2, our second Phase 3 trial for imsidolimab in GPP, where they receive monthly doses of 200mg subcutaneous imsidolimab or placebo depending upon whether they are responders, partial responders or non-responders to treatment under GEMINI-1. Additionally, 66.7% (10/15) of placebo patients exited GEMINI-1 early, crossed-over to GEMINI-2 and were eligible to receive rescue therapy with a single dose of 750mg IV imsidolimab. The objective of GEMINI-2 is to assess the long-term safety of imsidolimab through 3 years of monthly dosing, as well as assess the efficacy of imsidolimab to reduce the incidence or severity of recurrent flares of GPP.</w:t>
      </w:r>
    </w:p>
    <w:p>
      <w:pPr>
        <w:spacing w:after="0" w:line="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We intend to out-license imsidolimab in 2024.</w:t>
      </w:r>
    </w:p>
    <w:p>
      <w:pPr>
        <w:spacing w:after="0" w:line="1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Etokimab</w:t>
      </w:r>
    </w:p>
    <w:p>
      <w:pPr>
        <w:spacing w:after="0" w:line="134" w:lineRule="exact"/>
        <w:rPr>
          <w:sz w:val="20"/>
          <w:szCs w:val="20"/>
          <w:color w:val="auto"/>
        </w:rPr>
      </w:pPr>
    </w:p>
    <w:p>
      <w:pPr>
        <w:ind w:firstLine="540"/>
        <w:spacing w:after="0" w:line="254" w:lineRule="auto"/>
        <w:rPr>
          <w:sz w:val="20"/>
          <w:szCs w:val="20"/>
          <w:color w:val="auto"/>
        </w:rPr>
      </w:pPr>
      <w:r>
        <w:rPr>
          <w:rFonts w:ascii="Times New Roman" w:cs="Times New Roman" w:eastAsia="Times New Roman" w:hAnsi="Times New Roman"/>
          <w:sz w:val="20"/>
          <w:szCs w:val="20"/>
          <w:color w:val="auto"/>
        </w:rPr>
        <w:t>Etokimab inhibits IL-33 function and acts upstream of key cell types involved in atopy and the subsequent release of Th2 cytokines. IL-33 is a pro-inflammatory cytokine that signals through the ST2 receptor, which multiple studies suggest serves as a central mediator of various immune responses leading to Th2-type inflammatory disorders, including asthma, COPD, atopic and other epithelial-driven diseases. Individuals with asthma symptoms express higher levels of IL-33 than healthy control subjects. IL-33 initiates a diverse array of cellular immune responses, including the activation of mast cells, basophils and eosinophils, leading to production of downstream cytokines, such as IL-4, IL-5 and IL-13, which are associated with atopic diseases. IL-33 also acts on Th2 effector cells and Innate Lymphoid Cell Type 2 (ILC2), two types of white blood cells that initiate and orchestrate atopic responses. We have no ongoing clinical trials of etokimab and etokimab is available to out-license.</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240"/>
          </w:cols>
          <w:pgMar w:left="1000" w:top="793" w:right="100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auto"/>
        </w:rPr>
        <w:t>Collaborative Programs</w:t>
      </w:r>
    </w:p>
    <w:p>
      <w:pPr>
        <w:spacing w:after="0" w:line="137" w:lineRule="exact"/>
        <w:rPr>
          <w:sz w:val="20"/>
          <w:szCs w:val="20"/>
          <w:color w:val="auto"/>
        </w:rPr>
      </w:pPr>
    </w:p>
    <w:p>
      <w:pPr>
        <w:ind w:right="220" w:firstLine="540"/>
        <w:spacing w:after="0" w:line="281" w:lineRule="auto"/>
        <w:rPr>
          <w:sz w:val="20"/>
          <w:szCs w:val="20"/>
          <w:color w:val="auto"/>
        </w:rPr>
      </w:pPr>
      <w:r>
        <w:rPr>
          <w:rFonts w:ascii="Times New Roman" w:cs="Times New Roman" w:eastAsia="Times New Roman" w:hAnsi="Times New Roman"/>
          <w:sz w:val="20"/>
          <w:szCs w:val="20"/>
          <w:color w:val="auto"/>
        </w:rPr>
        <w:t>Multiple Company-discovered antibody programs have been advanced to preclinical and clinical milestones under our collaborations. Our collaborations include an immuno-oncology-focused collaboration with GSK.</w:t>
      </w:r>
    </w:p>
    <w:p>
      <w:pPr>
        <w:spacing w:after="0" w:line="61" w:lineRule="exact"/>
        <w:rPr>
          <w:sz w:val="20"/>
          <w:szCs w:val="20"/>
          <w:color w:val="auto"/>
        </w:rPr>
      </w:pPr>
    </w:p>
    <w:p>
      <w:pPr>
        <w:ind w:right="60" w:firstLine="540"/>
        <w:spacing w:after="0" w:line="253" w:lineRule="auto"/>
        <w:rPr>
          <w:sz w:val="20"/>
          <w:szCs w:val="20"/>
          <w:color w:val="auto"/>
        </w:rPr>
      </w:pPr>
      <w:r>
        <w:rPr>
          <w:rFonts w:ascii="Times New Roman" w:cs="Times New Roman" w:eastAsia="Times New Roman" w:hAnsi="Times New Roman"/>
          <w:sz w:val="20"/>
          <w:szCs w:val="20"/>
          <w:color w:val="auto"/>
        </w:rPr>
        <w:t xml:space="preserve">Under the GSK Agreement, a Biologics License Application (“BLA”) for our most advanced partnered program, which is an anti-PD-1 antagonist antibody called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(dostarlimab), was approved by the FDA in April 2021 for the treatment of advanced or recurrent deficient mismatch repair endometrial cancer (dMMREC). In February 2023, the FDA granted full approval for this indication (from an accelerated approval). In addition, in April 2021 the European Medicines Agency (“EMA”) granted conditional marketing authorization in the European Union (“EU”) for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for use in women with mismatch repair deficient (dMMR)/microsatellite instability-high (MSI-H) recurrent or advanced endometrial cancer who have progressed on or following prior treatment with a platinum containing regimen. A second FDA approval was received in August 2021 for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in pan-deficient mismatch repair tumors (PdMMRT). In July 2023, the FDA approved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in combination with chemotherapy for the treatment of adult patients with mismatch repair deficient (dMMR)/microsatellite instability-high (MSI-H) primary advanced or recurrent endometrial cancer. In December 2023, the EMA approved, in the EU, </w:t>
      </w:r>
      <w:r>
        <w:rPr>
          <w:rFonts w:ascii="Times New Roman" w:cs="Times New Roman" w:eastAsia="Times New Roman" w:hAnsi="Times New Roman"/>
          <w:sz w:val="20"/>
          <w:szCs w:val="20"/>
          <w:b w:val="1"/>
          <w:bCs w:val="1"/>
          <w:i w:val="1"/>
          <w:iCs w:val="1"/>
          <w:color w:val="auto"/>
        </w:rPr>
        <w:t xml:space="preserve">Jemperli </w:t>
      </w:r>
      <w:r>
        <w:rPr>
          <w:rFonts w:ascii="Times New Roman" w:cs="Times New Roman" w:eastAsia="Times New Roman" w:hAnsi="Times New Roman"/>
          <w:sz w:val="20"/>
          <w:szCs w:val="20"/>
          <w:color w:val="auto"/>
        </w:rPr>
        <w:t>plus chemotherapy for dMMR/MSI-H primary advanced or recurrent endometrial cancer.</w:t>
      </w:r>
    </w:p>
    <w:p>
      <w:pPr>
        <w:spacing w:after="0" w:line="89" w:lineRule="exact"/>
        <w:rPr>
          <w:sz w:val="20"/>
          <w:szCs w:val="20"/>
          <w:color w:val="auto"/>
        </w:rPr>
      </w:pPr>
    </w:p>
    <w:p>
      <w:pPr>
        <w:ind w:right="100" w:firstLine="54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Jemperli </w:t>
      </w:r>
      <w:r>
        <w:rPr>
          <w:rFonts w:ascii="Times New Roman" w:cs="Times New Roman" w:eastAsia="Times New Roman" w:hAnsi="Times New Roman"/>
          <w:sz w:val="20"/>
          <w:szCs w:val="20"/>
          <w:color w:val="auto"/>
        </w:rPr>
        <w:t>is in clinical trials for various solid tumor indications, including a Phase 3 trial in first-line ovarian cancer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top-line results expected in the first half of 2024.</w:t>
      </w:r>
    </w:p>
    <w:p>
      <w:pPr>
        <w:spacing w:after="0" w:line="58" w:lineRule="exact"/>
        <w:rPr>
          <w:sz w:val="20"/>
          <w:szCs w:val="20"/>
          <w:color w:val="auto"/>
        </w:rPr>
      </w:pPr>
    </w:p>
    <w:p>
      <w:pPr>
        <w:ind w:right="140" w:firstLine="540"/>
        <w:spacing w:after="0" w:line="258" w:lineRule="auto"/>
        <w:rPr>
          <w:sz w:val="20"/>
          <w:szCs w:val="20"/>
          <w:color w:val="auto"/>
        </w:rPr>
      </w:pPr>
      <w:r>
        <w:rPr>
          <w:rFonts w:ascii="Times New Roman" w:cs="Times New Roman" w:eastAsia="Times New Roman" w:hAnsi="Times New Roman"/>
          <w:sz w:val="20"/>
          <w:szCs w:val="20"/>
          <w:color w:val="auto"/>
        </w:rPr>
        <w:t>In addition, under the collaboration, GSK is developing dostarlimab in combination with another development program from the GSK Agreement, including cobolimab, an anti-TIM-3 antibody. GSK is conducting a Phase 3 trial, COSTAR Lung, which is a randomized, open label 3-arm trial comparing cobolimab plus dostarlimab plus docetaxel to dostarlimab plus docetaxel to docetaxel alone in patients with advanced non-small-cell lung cancer (“NSCLC”) who have progressed on prior anti-PD-(L)1 therapy and chemotherapy with top-line results expected in the second half of 2024.</w:t>
      </w:r>
    </w:p>
    <w:p>
      <w:pPr>
        <w:spacing w:after="0" w:line="84" w:lineRule="exact"/>
        <w:rPr>
          <w:sz w:val="20"/>
          <w:szCs w:val="20"/>
          <w:color w:val="auto"/>
        </w:rPr>
      </w:pPr>
    </w:p>
    <w:p>
      <w:pPr>
        <w:ind w:right="580" w:firstLine="540"/>
        <w:spacing w:after="0" w:line="281" w:lineRule="auto"/>
        <w:rPr>
          <w:sz w:val="20"/>
          <w:szCs w:val="20"/>
          <w:color w:val="auto"/>
        </w:rPr>
      </w:pPr>
      <w:r>
        <w:rPr>
          <w:rFonts w:ascii="Times New Roman" w:cs="Times New Roman" w:eastAsia="Times New Roman" w:hAnsi="Times New Roman"/>
          <w:sz w:val="20"/>
          <w:szCs w:val="20"/>
          <w:color w:val="auto"/>
        </w:rPr>
        <w:t>For more information about these collaborations, see “— Collaborations” included in Part I, Item 1 of this Annual Report.</w:t>
      </w:r>
    </w:p>
    <w:p>
      <w:pPr>
        <w:spacing w:after="0" w:line="61" w:lineRule="exact"/>
        <w:rPr>
          <w:sz w:val="20"/>
          <w:szCs w:val="20"/>
          <w:color w:val="auto"/>
        </w:rPr>
      </w:pPr>
    </w:p>
    <w:p>
      <w:pPr>
        <w:ind w:firstLine="630"/>
        <w:spacing w:after="0" w:line="260" w:lineRule="auto"/>
        <w:rPr>
          <w:sz w:val="20"/>
          <w:szCs w:val="20"/>
          <w:color w:val="auto"/>
        </w:rPr>
      </w:pPr>
      <w:r>
        <w:rPr>
          <w:rFonts w:ascii="Times New Roman" w:cs="Times New Roman" w:eastAsia="Times New Roman" w:hAnsi="Times New Roman"/>
          <w:sz w:val="20"/>
          <w:szCs w:val="20"/>
          <w:color w:val="auto"/>
        </w:rPr>
        <w:t>As of December 31, 2023, we had an accumulated deficit of $614.1 million, primarily as a result of losses incurred since our inception in 2005. We expect to continue to incur net operating losses for at least the next several years as we advance our products through clinical development, seek regulatory approval, prepare for and, if approved, proceed to, commercialization, expand our operations and facilities and grow in new and existing markets, territories and industries.</w:t>
      </w:r>
    </w:p>
    <w:p>
      <w:pPr>
        <w:spacing w:after="0" w:line="83" w:lineRule="exact"/>
        <w:rPr>
          <w:sz w:val="20"/>
          <w:szCs w:val="20"/>
          <w:color w:val="auto"/>
        </w:rPr>
      </w:pPr>
    </w:p>
    <w:p>
      <w:pPr>
        <w:ind w:right="80" w:firstLine="630"/>
        <w:spacing w:after="0" w:line="260" w:lineRule="auto"/>
        <w:rPr>
          <w:sz w:val="20"/>
          <w:szCs w:val="20"/>
          <w:color w:val="auto"/>
        </w:rPr>
      </w:pPr>
      <w:r>
        <w:rPr>
          <w:rFonts w:ascii="Times New Roman" w:cs="Times New Roman" w:eastAsia="Times New Roman" w:hAnsi="Times New Roman"/>
          <w:sz w:val="20"/>
          <w:szCs w:val="20"/>
          <w:color w:val="auto"/>
        </w:rPr>
        <w:t>For our discussion related to the results of our operations and liquidity and capital resources for fiscal year ended December 31, 2022 compared to the year ended December 31, 2021, please refer to Part II, Item 7, “Management’s Discussion and Analysis of Financial Condition and Results of Operations” in our Annual Report on Form 10-K for the year ended December 31, 2022.</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Overview</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Collaboration Revenue</w:t>
      </w:r>
    </w:p>
    <w:p>
      <w:pPr>
        <w:spacing w:after="0" w:line="139" w:lineRule="exact"/>
        <w:rPr>
          <w:sz w:val="20"/>
          <w:szCs w:val="20"/>
          <w:color w:val="auto"/>
        </w:rPr>
      </w:pPr>
    </w:p>
    <w:p>
      <w:pPr>
        <w:ind w:right="80" w:firstLine="630"/>
        <w:spacing w:after="0" w:line="260" w:lineRule="auto"/>
        <w:rPr>
          <w:sz w:val="20"/>
          <w:szCs w:val="20"/>
          <w:color w:val="auto"/>
        </w:rPr>
      </w:pPr>
      <w:r>
        <w:rPr>
          <w:rFonts w:ascii="Times New Roman" w:cs="Times New Roman" w:eastAsia="Times New Roman" w:hAnsi="Times New Roman"/>
          <w:sz w:val="20"/>
          <w:szCs w:val="20"/>
          <w:color w:val="auto"/>
        </w:rPr>
        <w:t>We have not generated any revenue from product sales. Our revenue has been derived from amortization of upfront license payments, research and development funding, milestone and royalty payments under collaboration and license agreements with our collaborators. From inception through December 31, 2023, we have recognized $255.2 million in revenue from our collaborators.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Collaboration and Exclusive License Agreement with GSK</w:t>
      </w:r>
    </w:p>
    <w:p>
      <w:pPr>
        <w:spacing w:after="0" w:line="139" w:lineRule="exact"/>
        <w:rPr>
          <w:sz w:val="20"/>
          <w:szCs w:val="20"/>
          <w:color w:val="auto"/>
        </w:rPr>
      </w:pPr>
    </w:p>
    <w:p>
      <w:pPr>
        <w:ind w:firstLine="630"/>
        <w:spacing w:after="0" w:line="254" w:lineRule="auto"/>
        <w:rPr>
          <w:sz w:val="20"/>
          <w:szCs w:val="20"/>
          <w:color w:val="auto"/>
        </w:rPr>
      </w:pPr>
      <w:r>
        <w:rPr>
          <w:rFonts w:ascii="Times New Roman" w:cs="Times New Roman" w:eastAsia="Times New Roman" w:hAnsi="Times New Roman"/>
          <w:sz w:val="20"/>
          <w:szCs w:val="20"/>
          <w:color w:val="auto"/>
        </w:rPr>
        <w:t xml:space="preserve">In March 2014, we entered into a Collaboration and Exclusive License Agreement with GSK (the “GSK Agreement”) with TESARO, Inc. (“Tesaro”), an oncology-focused biopharmaceutical company now a part of GlaxoSmithKline (Tesaro and GlaxoSmithKline are hereinafter referred to, collectively, as “GSK”). Currently, under the GSK Agreement, GSK is developing </w:t>
      </w:r>
      <w:r>
        <w:rPr>
          <w:rFonts w:ascii="Times New Roman" w:cs="Times New Roman" w:eastAsia="Times New Roman" w:hAnsi="Times New Roman"/>
          <w:sz w:val="20"/>
          <w:szCs w:val="20"/>
          <w:b w:val="1"/>
          <w:bCs w:val="1"/>
          <w:i w:val="1"/>
          <w:iCs w:val="1"/>
          <w:color w:val="auto"/>
        </w:rPr>
        <w:t xml:space="preserve">Jemperli </w:t>
      </w:r>
      <w:r>
        <w:rPr>
          <w:rFonts w:ascii="Times New Roman" w:cs="Times New Roman" w:eastAsia="Times New Roman" w:hAnsi="Times New Roman"/>
          <w:sz w:val="20"/>
          <w:szCs w:val="20"/>
          <w:color w:val="auto"/>
        </w:rPr>
        <w:t>(dostarlimab), an anti-PD-1 antagonist antibody, as a monotherapy for various solid tumor indications. In addition,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GSK is developing dostarlimab in combination with additional therapies under the collaboration, including with another development program from the GSK Agreement: cobolimab, an anti-TIM-3 antibody, in 2L NSCLC. In October 2023, Amendment No. 5 to the GSK Agreement was agreed by both parties to terminate the anti-LAG-3 antagonist antibody development program under the GSK Agreement. In accordance with the GSK Agreement and the amendment, we have regained full global rights to the anti-LAG-3 antagonist antibody development program.</w:t>
      </w:r>
    </w:p>
    <w:p>
      <w:pPr>
        <w:spacing w:after="0" w:line="89" w:lineRule="exact"/>
        <w:rPr>
          <w:sz w:val="20"/>
          <w:szCs w:val="20"/>
          <w:color w:val="auto"/>
        </w:rPr>
      </w:pPr>
    </w:p>
    <w:p>
      <w:pPr>
        <w:ind w:firstLine="630"/>
        <w:spacing w:after="0" w:line="278" w:lineRule="auto"/>
        <w:rPr>
          <w:sz w:val="20"/>
          <w:szCs w:val="20"/>
          <w:color w:val="auto"/>
        </w:rPr>
      </w:pPr>
      <w:r>
        <w:rPr>
          <w:rFonts w:ascii="Times New Roman" w:cs="Times New Roman" w:eastAsia="Times New Roman" w:hAnsi="Times New Roman"/>
          <w:sz w:val="19"/>
          <w:szCs w:val="19"/>
          <w:color w:val="auto"/>
        </w:rPr>
        <w:t>For each remaining development program under the GSK Agreement, we are eligible to receive milestone payments if certain clinical trial events are achieved by GSK, if certain U.S. and European regulatory submissions and approvals in multiple indications are achieved, and upon the achievement of specified levels of annual worldwide net sales. We will also be eligible to receive tiered 4-8% royalties related to worldwide net sales of products developed under the collaboration. On October 23,</w:t>
      </w:r>
    </w:p>
    <w:p>
      <w:pPr>
        <w:sectPr>
          <w:pgSz w:w="12240" w:h="15840" w:orient="portrait"/>
          <w:cols w:equalWidth="0" w:num="1">
            <w:col w:w="10220"/>
          </w:cols>
          <w:pgMar w:left="1000" w:top="786" w:right="1020" w:bottom="0" w:gutter="0" w:footer="0" w:header="0"/>
        </w:sect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220"/>
          </w:cols>
          <w:pgMar w:left="1000" w:top="786" w:right="1020" w:bottom="0" w:gutter="0" w:footer="0" w:header="0"/>
          <w:type w:val="continuous"/>
        </w:sectPr>
      </w:pPr>
    </w:p>
    <w:bookmarkStart w:id="60" w:name="page61"/>
    <w:bookmarkEnd w:id="60"/>
    <w:p>
      <w:pPr>
        <w:ind w:right="20"/>
        <w:spacing w:after="0" w:line="258" w:lineRule="auto"/>
        <w:rPr>
          <w:sz w:val="20"/>
          <w:szCs w:val="20"/>
          <w:color w:val="auto"/>
        </w:rPr>
      </w:pPr>
      <w:r>
        <w:rPr>
          <w:rFonts w:ascii="Times New Roman" w:cs="Times New Roman" w:eastAsia="Times New Roman" w:hAnsi="Times New Roman"/>
          <w:sz w:val="20"/>
          <w:szCs w:val="20"/>
          <w:color w:val="auto"/>
        </w:rPr>
        <w:t xml:space="preserve">2020, Amendment No. 3 to the GSK Agreement (the “Amendment”) was agreed to by both parties to permit GSK to conduct development and commercialization in combination with any third-party molecules of Zejula, an oral, once-daily poly (ADP-ribose) polymerase (PARP) inhibitor. Under the Amendment, we were granted increased royalties upon sales of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equal to 8% of Net Sales (as defined in the GSK Agreement) below $1.0 billion and from 12% up to 25% of Net Sales above $1.0 billion.</w:t>
      </w:r>
    </w:p>
    <w:p>
      <w:pPr>
        <w:spacing w:after="0" w:line="80" w:lineRule="exact"/>
        <w:rPr>
          <w:sz w:val="20"/>
          <w:szCs w:val="20"/>
          <w:color w:val="auto"/>
        </w:rPr>
      </w:pPr>
    </w:p>
    <w:p>
      <w:pPr>
        <w:ind w:firstLine="630"/>
        <w:spacing w:after="0" w:line="255" w:lineRule="auto"/>
        <w:rPr>
          <w:sz w:val="20"/>
          <w:szCs w:val="20"/>
          <w:color w:val="auto"/>
        </w:rPr>
      </w:pPr>
      <w:r>
        <w:rPr>
          <w:rFonts w:ascii="Times New Roman" w:cs="Times New Roman" w:eastAsia="Times New Roman" w:hAnsi="Times New Roman"/>
          <w:sz w:val="20"/>
          <w:szCs w:val="20"/>
          <w:color w:val="auto"/>
        </w:rPr>
        <w:t>In October 2021, we signed a royalty monetization agreement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with Sagard Healthcare Royalty Partners, LP (“Sagard”). Under the terms of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we received $250.0 million, upon closing in December 2021, in exchange for royalties payable to us under the GSK collaboration on annual global net sales of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below $1.0 billion, as well as certain milestone payments, starting in October 2021. The aggregate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royalties and certain future milestones to be received by Sagard under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are capped at certain fixed multiples of the upfront payment based on time. For more information see Note 5 — Sale of Future Royalties in the accompanying notes to the consolidated financial statements included in Part II, Item 8, “Consolidated Financial Statements and Supplementary Data” of this Annual Report on Form 10-K.</w:t>
      </w:r>
    </w:p>
    <w:p>
      <w:pPr>
        <w:spacing w:after="0" w:line="89" w:lineRule="exact"/>
        <w:rPr>
          <w:sz w:val="20"/>
          <w:szCs w:val="20"/>
          <w:color w:val="auto"/>
        </w:rPr>
      </w:pPr>
    </w:p>
    <w:p>
      <w:pPr>
        <w:ind w:right="100" w:firstLine="630"/>
        <w:spacing w:after="0" w:line="266" w:lineRule="auto"/>
        <w:rPr>
          <w:sz w:val="20"/>
          <w:szCs w:val="20"/>
          <w:color w:val="auto"/>
        </w:rPr>
      </w:pPr>
      <w:r>
        <w:rPr>
          <w:rFonts w:ascii="Times New Roman" w:cs="Times New Roman" w:eastAsia="Times New Roman" w:hAnsi="Times New Roman"/>
          <w:sz w:val="20"/>
          <w:szCs w:val="20"/>
          <w:color w:val="auto"/>
        </w:rPr>
        <w:t>The GSK Agreement, as amended, expires when no further payments are due to us, unless earlier terminated. Either party may terminate the GSK Agreement, as amended, in the event of an uncured material breach by the other party. GSK may terminate the GSK Agreement, as amended, at any time upon 90 days’ prior written notice to us.</w:t>
      </w:r>
    </w:p>
    <w:p>
      <w:pPr>
        <w:spacing w:after="0" w:line="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Milestones under the GSK Agreement are as follows:</w:t>
      </w:r>
    </w:p>
    <w:p>
      <w:pPr>
        <w:spacing w:after="0" w:line="200" w:lineRule="exact"/>
        <w:rPr>
          <w:sz w:val="20"/>
          <w:szCs w:val="20"/>
          <w:color w:val="auto"/>
        </w:rPr>
      </w:pP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2420" w:type="dxa"/>
            <w:vAlign w:val="bottom"/>
            <w:gridSpan w:val="2"/>
          </w:tcPr>
          <w:p>
            <w:pPr>
              <w:ind w:left="1040"/>
              <w:spacing w:after="0"/>
              <w:rPr>
                <w:sz w:val="20"/>
                <w:szCs w:val="20"/>
                <w:color w:val="auto"/>
              </w:rPr>
            </w:pPr>
            <w:r>
              <w:rPr>
                <w:rFonts w:ascii="Times New Roman" w:cs="Times New Roman" w:eastAsia="Times New Roman" w:hAnsi="Times New Roman"/>
                <w:sz w:val="16"/>
                <w:szCs w:val="16"/>
                <w:b w:val="1"/>
                <w:bCs w:val="1"/>
                <w:color w:val="auto"/>
              </w:rPr>
              <w:t>Anti-PD-1</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Anti-TIM-3</w:t>
            </w:r>
          </w:p>
        </w:tc>
        <w:tc>
          <w:tcPr>
            <w:tcW w:w="0" w:type="dxa"/>
            <w:vAlign w:val="bottom"/>
          </w:tcPr>
          <w:p>
            <w:pPr>
              <w:spacing w:after="0"/>
              <w:rPr>
                <w:sz w:val="1"/>
                <w:szCs w:val="1"/>
                <w:color w:val="auto"/>
              </w:rPr>
            </w:pPr>
          </w:p>
        </w:tc>
      </w:tr>
      <w:tr>
        <w:trPr>
          <w:trHeight w:val="214"/>
        </w:trPr>
        <w:tc>
          <w:tcPr>
            <w:tcW w:w="54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Jemperli</w:t>
            </w:r>
            <w:r>
              <w:rPr>
                <w:rFonts w:ascii="Times New Roman" w:cs="Times New Roman" w:eastAsia="Times New Roman" w:hAnsi="Times New Roman"/>
                <w:sz w:val="16"/>
                <w:szCs w:val="16"/>
                <w:b w:val="1"/>
                <w:bCs w:val="1"/>
                <w:color w:val="auto"/>
              </w:rPr>
              <w:t>/Dostarlimab)</w:t>
            </w:r>
          </w:p>
        </w:tc>
        <w:tc>
          <w:tcPr>
            <w:tcW w:w="2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(GSK4069889A/Cobolimab)</w:t>
            </w:r>
          </w:p>
        </w:tc>
        <w:tc>
          <w:tcPr>
            <w:tcW w:w="0" w:type="dxa"/>
            <w:vAlign w:val="bottom"/>
          </w:tcPr>
          <w:p>
            <w:pPr>
              <w:spacing w:after="0"/>
              <w:rPr>
                <w:sz w:val="1"/>
                <w:szCs w:val="1"/>
                <w:color w:val="auto"/>
              </w:rPr>
            </w:pPr>
          </w:p>
        </w:tc>
      </w:tr>
      <w:tr>
        <w:trPr>
          <w:trHeight w:val="171"/>
        </w:trPr>
        <w:tc>
          <w:tcPr>
            <w:tcW w:w="5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Milestone Event</w:t>
            </w:r>
          </w:p>
        </w:tc>
        <w:tc>
          <w:tcPr>
            <w:tcW w:w="1360" w:type="dxa"/>
            <w:vAlign w:val="bottom"/>
            <w:vMerge w:val="restart"/>
          </w:tcPr>
          <w:p>
            <w:pPr>
              <w:ind w:left="6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6"/>
              </w:rPr>
              <w:t>Quarter</w:t>
            </w:r>
          </w:p>
        </w:tc>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9"/>
              </w:rPr>
              <w:t>Quarter</w:t>
            </w:r>
          </w:p>
        </w:tc>
        <w:tc>
          <w:tcPr>
            <w:tcW w:w="0" w:type="dxa"/>
            <w:vAlign w:val="bottom"/>
          </w:tcPr>
          <w:p>
            <w:pPr>
              <w:spacing w:after="0"/>
              <w:rPr>
                <w:sz w:val="1"/>
                <w:szCs w:val="1"/>
                <w:color w:val="auto"/>
              </w:rPr>
            </w:pPr>
          </w:p>
        </w:tc>
      </w:tr>
      <w:tr>
        <w:trPr>
          <w:trHeight w:val="211"/>
        </w:trPr>
        <w:tc>
          <w:tcPr>
            <w:tcW w:w="546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Recognized</w:t>
            </w:r>
          </w:p>
        </w:tc>
        <w:tc>
          <w:tcPr>
            <w:tcW w:w="1060" w:type="dxa"/>
            <w:vAlign w:val="bottom"/>
            <w:vMerge w:val="continue"/>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Recognized</w:t>
            </w:r>
          </w:p>
        </w:tc>
        <w:tc>
          <w:tcPr>
            <w:tcW w:w="0" w:type="dxa"/>
            <w:vAlign w:val="bottom"/>
          </w:tcPr>
          <w:p>
            <w:pPr>
              <w:spacing w:after="0"/>
              <w:rPr>
                <w:sz w:val="1"/>
                <w:szCs w:val="1"/>
                <w:color w:val="auto"/>
              </w:rPr>
            </w:pPr>
          </w:p>
        </w:tc>
      </w:tr>
      <w:tr>
        <w:trPr>
          <w:trHeight w:val="402"/>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Initiated </w:t>
            </w:r>
            <w:r>
              <w:rPr>
                <w:rFonts w:ascii="Times New Roman" w:cs="Times New Roman" w:eastAsia="Times New Roman" w:hAnsi="Times New Roman"/>
                <w:sz w:val="16"/>
                <w:szCs w:val="16"/>
                <w:b w:val="1"/>
                <w:bCs w:val="1"/>
                <w:i w:val="1"/>
                <w:iCs w:val="1"/>
                <w:color w:val="auto"/>
              </w:rPr>
              <w:t>in vivo</w:t>
            </w:r>
            <w:r>
              <w:rPr>
                <w:rFonts w:ascii="Times New Roman" w:cs="Times New Roman" w:eastAsia="Times New Roman" w:hAnsi="Times New Roman"/>
                <w:sz w:val="16"/>
                <w:szCs w:val="16"/>
                <w:color w:val="auto"/>
              </w:rPr>
              <w:t xml:space="preserve"> toxicology studies using good laboratory practices (GLPs)</w:t>
            </w:r>
          </w:p>
        </w:tc>
        <w:tc>
          <w:tcPr>
            <w:tcW w:w="1360" w:type="dxa"/>
            <w:vAlign w:val="bottom"/>
          </w:tcPr>
          <w:p>
            <w:pPr>
              <w:jc w:val="center"/>
              <w:ind w:left="380"/>
              <w:spacing w:after="0"/>
              <w:rPr>
                <w:sz w:val="20"/>
                <w:szCs w:val="20"/>
                <w:color w:val="auto"/>
              </w:rPr>
            </w:pPr>
            <w:r>
              <w:rPr>
                <w:rFonts w:ascii="Times New Roman" w:cs="Times New Roman" w:eastAsia="Times New Roman" w:hAnsi="Times New Roman"/>
                <w:sz w:val="16"/>
                <w:szCs w:val="16"/>
                <w:color w:val="auto"/>
                <w:w w:val="99"/>
              </w:rPr>
              <w:t>$1.0M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Q2'15</w:t>
            </w:r>
          </w:p>
        </w:tc>
        <w:tc>
          <w:tcPr>
            <w:tcW w:w="106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$1.0M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Q4'15</w:t>
            </w:r>
          </w:p>
        </w:tc>
        <w:tc>
          <w:tcPr>
            <w:tcW w:w="0" w:type="dxa"/>
            <w:vAlign w:val="bottom"/>
          </w:tcPr>
          <w:p>
            <w:pPr>
              <w:spacing w:after="0"/>
              <w:rPr>
                <w:sz w:val="1"/>
                <w:szCs w:val="1"/>
                <w:color w:val="auto"/>
              </w:rPr>
            </w:pPr>
          </w:p>
        </w:tc>
      </w:tr>
      <w:tr>
        <w:trPr>
          <w:trHeight w:val="3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IND clearance from the FDA</w:t>
            </w:r>
          </w:p>
        </w:tc>
        <w:tc>
          <w:tcPr>
            <w:tcW w:w="1360" w:type="dxa"/>
            <w:vAlign w:val="bottom"/>
          </w:tcPr>
          <w:p>
            <w:pPr>
              <w:jc w:val="center"/>
              <w:ind w:left="380"/>
              <w:spacing w:after="0"/>
              <w:rPr>
                <w:sz w:val="20"/>
                <w:szCs w:val="20"/>
                <w:color w:val="auto"/>
              </w:rPr>
            </w:pPr>
            <w:r>
              <w:rPr>
                <w:rFonts w:ascii="Times New Roman" w:cs="Times New Roman" w:eastAsia="Times New Roman" w:hAnsi="Times New Roman"/>
                <w:sz w:val="16"/>
                <w:szCs w:val="16"/>
                <w:color w:val="auto"/>
                <w:w w:val="99"/>
              </w:rPr>
              <w:t>$4.0M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Q1'16</w:t>
            </w:r>
          </w:p>
        </w:tc>
        <w:tc>
          <w:tcPr>
            <w:tcW w:w="106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$4.0M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Q2'16</w:t>
            </w:r>
          </w:p>
        </w:tc>
        <w:tc>
          <w:tcPr>
            <w:tcW w:w="0" w:type="dxa"/>
            <w:vAlign w:val="bottom"/>
          </w:tcPr>
          <w:p>
            <w:pPr>
              <w:spacing w:after="0"/>
              <w:rPr>
                <w:sz w:val="1"/>
                <w:szCs w:val="1"/>
                <w:color w:val="auto"/>
              </w:rPr>
            </w:pPr>
          </w:p>
        </w:tc>
      </w:tr>
      <w:tr>
        <w:trPr>
          <w:trHeight w:val="3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Phase 2 clinical trial initiation</w:t>
            </w:r>
          </w:p>
        </w:tc>
        <w:tc>
          <w:tcPr>
            <w:tcW w:w="1360" w:type="dxa"/>
            <w:vAlign w:val="bottom"/>
          </w:tcPr>
          <w:p>
            <w:pPr>
              <w:jc w:val="center"/>
              <w:ind w:left="380"/>
              <w:spacing w:after="0"/>
              <w:rPr>
                <w:sz w:val="20"/>
                <w:szCs w:val="20"/>
                <w:color w:val="auto"/>
              </w:rPr>
            </w:pPr>
            <w:r>
              <w:rPr>
                <w:rFonts w:ascii="Times New Roman" w:cs="Times New Roman" w:eastAsia="Times New Roman" w:hAnsi="Times New Roman"/>
                <w:sz w:val="16"/>
                <w:szCs w:val="16"/>
                <w:color w:val="auto"/>
                <w:w w:val="99"/>
              </w:rPr>
              <w:t>$3.0M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Q2'17</w:t>
            </w:r>
          </w:p>
        </w:tc>
        <w:tc>
          <w:tcPr>
            <w:tcW w:w="106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$3.0M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Q4'17</w:t>
            </w:r>
          </w:p>
        </w:tc>
        <w:tc>
          <w:tcPr>
            <w:tcW w:w="0" w:type="dxa"/>
            <w:vAlign w:val="bottom"/>
          </w:tcPr>
          <w:p>
            <w:pPr>
              <w:spacing w:after="0"/>
              <w:rPr>
                <w:sz w:val="1"/>
                <w:szCs w:val="1"/>
                <w:color w:val="auto"/>
              </w:rPr>
            </w:pPr>
          </w:p>
        </w:tc>
      </w:tr>
      <w:tr>
        <w:trPr>
          <w:trHeight w:val="3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Phase 3 clinical trial initiation - first indication</w:t>
            </w:r>
          </w:p>
        </w:tc>
        <w:tc>
          <w:tcPr>
            <w:tcW w:w="1360" w:type="dxa"/>
            <w:vAlign w:val="bottom"/>
          </w:tcPr>
          <w:p>
            <w:pPr>
              <w:jc w:val="center"/>
              <w:ind w:left="380"/>
              <w:spacing w:after="0"/>
              <w:rPr>
                <w:sz w:val="20"/>
                <w:szCs w:val="20"/>
                <w:color w:val="auto"/>
              </w:rPr>
            </w:pPr>
            <w:r>
              <w:rPr>
                <w:rFonts w:ascii="Times New Roman" w:cs="Times New Roman" w:eastAsia="Times New Roman" w:hAnsi="Times New Roman"/>
                <w:sz w:val="16"/>
                <w:szCs w:val="16"/>
                <w:color w:val="auto"/>
                <w:w w:val="99"/>
              </w:rPr>
              <w:t>$5.0M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Q3'18</w:t>
            </w:r>
          </w:p>
        </w:tc>
        <w:tc>
          <w:tcPr>
            <w:tcW w:w="106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Q4'22</w:t>
            </w:r>
          </w:p>
        </w:tc>
        <w:tc>
          <w:tcPr>
            <w:tcW w:w="0" w:type="dxa"/>
            <w:vAlign w:val="bottom"/>
          </w:tcPr>
          <w:p>
            <w:pPr>
              <w:spacing w:after="0"/>
              <w:rPr>
                <w:sz w:val="1"/>
                <w:szCs w:val="1"/>
                <w:color w:val="auto"/>
              </w:rPr>
            </w:pPr>
          </w:p>
        </w:tc>
      </w:tr>
      <w:tr>
        <w:trPr>
          <w:trHeight w:val="3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Phase 3 clinical trial initiation - second indication</w:t>
            </w:r>
          </w:p>
        </w:tc>
        <w:tc>
          <w:tcPr>
            <w:tcW w:w="1360" w:type="dxa"/>
            <w:vAlign w:val="bottom"/>
          </w:tcPr>
          <w:p>
            <w:pPr>
              <w:jc w:val="center"/>
              <w:ind w:left="380"/>
              <w:spacing w:after="0"/>
              <w:rPr>
                <w:sz w:val="20"/>
                <w:szCs w:val="20"/>
                <w:color w:val="auto"/>
              </w:rPr>
            </w:pPr>
            <w:r>
              <w:rPr>
                <w:rFonts w:ascii="Times New Roman" w:cs="Times New Roman" w:eastAsia="Times New Roman" w:hAnsi="Times New Roman"/>
                <w:sz w:val="16"/>
                <w:szCs w:val="16"/>
                <w:color w:val="auto"/>
                <w:w w:val="99"/>
              </w:rPr>
              <w:t>$5.0M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Q2'19</w:t>
            </w:r>
          </w:p>
        </w:tc>
        <w:tc>
          <w:tcPr>
            <w:tcW w:w="106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5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Filing of the first BLA</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 first indication</w:t>
            </w:r>
          </w:p>
        </w:tc>
        <w:tc>
          <w:tcPr>
            <w:tcW w:w="1360" w:type="dxa"/>
            <w:vAlign w:val="bottom"/>
          </w:tcPr>
          <w:p>
            <w:pPr>
              <w:jc w:val="center"/>
              <w:ind w:left="380"/>
              <w:spacing w:after="0"/>
              <w:rPr>
                <w:sz w:val="20"/>
                <w:szCs w:val="20"/>
                <w:color w:val="auto"/>
              </w:rPr>
            </w:pPr>
            <w:r>
              <w:rPr>
                <w:rFonts w:ascii="Times New Roman" w:cs="Times New Roman" w:eastAsia="Times New Roman" w:hAnsi="Times New Roman"/>
                <w:sz w:val="16"/>
                <w:szCs w:val="16"/>
                <w:color w:val="auto"/>
                <w:w w:val="99"/>
              </w:rPr>
              <w:t>$10.0M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Q1'20</w:t>
            </w:r>
          </w:p>
        </w:tc>
        <w:tc>
          <w:tcPr>
            <w:tcW w:w="106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$10.0M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Filing of the first MAA</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xml:space="preserve"> - first indication</w:t>
            </w:r>
          </w:p>
        </w:tc>
        <w:tc>
          <w:tcPr>
            <w:tcW w:w="1360" w:type="dxa"/>
            <w:vAlign w:val="bottom"/>
          </w:tcPr>
          <w:p>
            <w:pPr>
              <w:jc w:val="center"/>
              <w:ind w:left="380"/>
              <w:spacing w:after="0"/>
              <w:rPr>
                <w:sz w:val="20"/>
                <w:szCs w:val="20"/>
                <w:color w:val="auto"/>
              </w:rPr>
            </w:pPr>
            <w:r>
              <w:rPr>
                <w:rFonts w:ascii="Times New Roman" w:cs="Times New Roman" w:eastAsia="Times New Roman" w:hAnsi="Times New Roman"/>
                <w:sz w:val="16"/>
                <w:szCs w:val="16"/>
                <w:color w:val="auto"/>
                <w:w w:val="99"/>
              </w:rPr>
              <w:t>$5.0M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Q1'20</w:t>
            </w:r>
          </w:p>
        </w:tc>
        <w:tc>
          <w:tcPr>
            <w:tcW w:w="106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Filing of the first BLA - second indication</w:t>
            </w:r>
          </w:p>
        </w:tc>
        <w:tc>
          <w:tcPr>
            <w:tcW w:w="1360" w:type="dxa"/>
            <w:vAlign w:val="bottom"/>
          </w:tcPr>
          <w:p>
            <w:pPr>
              <w:jc w:val="center"/>
              <w:ind w:left="380"/>
              <w:spacing w:after="0"/>
              <w:rPr>
                <w:sz w:val="20"/>
                <w:szCs w:val="20"/>
                <w:color w:val="auto"/>
              </w:rPr>
            </w:pPr>
            <w:r>
              <w:rPr>
                <w:rFonts w:ascii="Times New Roman" w:cs="Times New Roman" w:eastAsia="Times New Roman" w:hAnsi="Times New Roman"/>
                <w:sz w:val="16"/>
                <w:szCs w:val="16"/>
                <w:color w:val="auto"/>
                <w:w w:val="99"/>
              </w:rPr>
              <w:t>$10.0M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Q1'21</w:t>
            </w:r>
          </w:p>
        </w:tc>
        <w:tc>
          <w:tcPr>
            <w:tcW w:w="106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$10.0M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First BLA approval - first indication</w:t>
            </w:r>
          </w:p>
        </w:tc>
        <w:tc>
          <w:tcPr>
            <w:tcW w:w="1360" w:type="dxa"/>
            <w:vAlign w:val="bottom"/>
          </w:tcPr>
          <w:p>
            <w:pPr>
              <w:jc w:val="center"/>
              <w:ind w:left="380"/>
              <w:spacing w:after="0"/>
              <w:rPr>
                <w:sz w:val="20"/>
                <w:szCs w:val="20"/>
                <w:color w:val="auto"/>
              </w:rPr>
            </w:pPr>
            <w:r>
              <w:rPr>
                <w:rFonts w:ascii="Times New Roman" w:cs="Times New Roman" w:eastAsia="Times New Roman" w:hAnsi="Times New Roman"/>
                <w:sz w:val="16"/>
                <w:szCs w:val="16"/>
                <w:color w:val="auto"/>
                <w:w w:val="99"/>
              </w:rPr>
              <w:t>$20.0M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Q2'21</w:t>
            </w:r>
          </w:p>
        </w:tc>
        <w:tc>
          <w:tcPr>
            <w:tcW w:w="106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$20.0M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First MAA approval - first indication</w:t>
            </w:r>
          </w:p>
        </w:tc>
        <w:tc>
          <w:tcPr>
            <w:tcW w:w="1360" w:type="dxa"/>
            <w:vAlign w:val="bottom"/>
          </w:tcPr>
          <w:p>
            <w:pPr>
              <w:jc w:val="center"/>
              <w:ind w:left="380"/>
              <w:spacing w:after="0"/>
              <w:rPr>
                <w:sz w:val="20"/>
                <w:szCs w:val="20"/>
                <w:color w:val="auto"/>
              </w:rPr>
            </w:pPr>
            <w:r>
              <w:rPr>
                <w:rFonts w:ascii="Times New Roman" w:cs="Times New Roman" w:eastAsia="Times New Roman" w:hAnsi="Times New Roman"/>
                <w:sz w:val="16"/>
                <w:szCs w:val="16"/>
                <w:color w:val="auto"/>
                <w:w w:val="99"/>
              </w:rPr>
              <w:t>$10.0M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Q2'21</w:t>
            </w:r>
          </w:p>
        </w:tc>
        <w:tc>
          <w:tcPr>
            <w:tcW w:w="106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$10.0M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First BLA approval - second indication</w:t>
            </w:r>
          </w:p>
        </w:tc>
        <w:tc>
          <w:tcPr>
            <w:tcW w:w="1360" w:type="dxa"/>
            <w:vAlign w:val="bottom"/>
          </w:tcPr>
          <w:p>
            <w:pPr>
              <w:jc w:val="center"/>
              <w:ind w:left="380"/>
              <w:spacing w:after="0"/>
              <w:rPr>
                <w:sz w:val="20"/>
                <w:szCs w:val="20"/>
                <w:color w:val="auto"/>
              </w:rPr>
            </w:pPr>
            <w:r>
              <w:rPr>
                <w:rFonts w:ascii="Times New Roman" w:cs="Times New Roman" w:eastAsia="Times New Roman" w:hAnsi="Times New Roman"/>
                <w:sz w:val="16"/>
                <w:szCs w:val="16"/>
                <w:color w:val="auto"/>
                <w:w w:val="99"/>
              </w:rPr>
              <w:t>$20.0M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Q3'21</w:t>
            </w:r>
          </w:p>
        </w:tc>
        <w:tc>
          <w:tcPr>
            <w:tcW w:w="106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$20.0M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5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Filing of the first MAA - second indication</w:t>
            </w:r>
            <w:r>
              <w:rPr>
                <w:rFonts w:ascii="Times New Roman" w:cs="Times New Roman" w:eastAsia="Times New Roman" w:hAnsi="Times New Roman"/>
                <w:sz w:val="20"/>
                <w:szCs w:val="20"/>
                <w:color w:val="auto"/>
                <w:vertAlign w:val="superscript"/>
              </w:rPr>
              <w:t>(3)</w:t>
            </w:r>
          </w:p>
        </w:tc>
        <w:tc>
          <w:tcPr>
            <w:tcW w:w="1360" w:type="dxa"/>
            <w:vAlign w:val="bottom"/>
          </w:tcPr>
          <w:p>
            <w:pPr>
              <w:jc w:val="center"/>
              <w:ind w:left="380"/>
              <w:spacing w:after="0"/>
              <w:rPr>
                <w:sz w:val="20"/>
                <w:szCs w:val="20"/>
                <w:color w:val="auto"/>
              </w:rPr>
            </w:pPr>
            <w:r>
              <w:rPr>
                <w:rFonts w:ascii="Times New Roman" w:cs="Times New Roman" w:eastAsia="Times New Roman" w:hAnsi="Times New Roman"/>
                <w:sz w:val="16"/>
                <w:szCs w:val="16"/>
                <w:color w:val="auto"/>
                <w:w w:val="99"/>
              </w:rPr>
              <w:t>$5.0M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First MAA approval - second indication</w:t>
            </w:r>
            <w:r>
              <w:rPr>
                <w:rFonts w:ascii="Times New Roman" w:cs="Times New Roman" w:eastAsia="Times New Roman" w:hAnsi="Times New Roman"/>
                <w:sz w:val="20"/>
                <w:szCs w:val="20"/>
                <w:color w:val="auto"/>
                <w:vertAlign w:val="superscript"/>
              </w:rPr>
              <w:t>(3)</w:t>
            </w:r>
          </w:p>
        </w:tc>
        <w:tc>
          <w:tcPr>
            <w:tcW w:w="1360" w:type="dxa"/>
            <w:vAlign w:val="bottom"/>
          </w:tcPr>
          <w:p>
            <w:pPr>
              <w:jc w:val="center"/>
              <w:ind w:left="380"/>
              <w:spacing w:after="0"/>
              <w:rPr>
                <w:sz w:val="20"/>
                <w:szCs w:val="20"/>
                <w:color w:val="auto"/>
              </w:rPr>
            </w:pPr>
            <w:r>
              <w:rPr>
                <w:rFonts w:ascii="Times New Roman" w:cs="Times New Roman" w:eastAsia="Times New Roman" w:hAnsi="Times New Roman"/>
                <w:sz w:val="16"/>
                <w:szCs w:val="16"/>
                <w:color w:val="auto"/>
                <w:w w:val="99"/>
              </w:rPr>
              <w:t>$10.0M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$10.0M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First commercial sales milestone</w:t>
            </w:r>
            <w:r>
              <w:rPr>
                <w:rFonts w:ascii="Times New Roman" w:cs="Times New Roman" w:eastAsia="Times New Roman" w:hAnsi="Times New Roman"/>
                <w:sz w:val="20"/>
                <w:szCs w:val="20"/>
                <w:color w:val="auto"/>
                <w:vertAlign w:val="superscript"/>
              </w:rPr>
              <w:t>(3)</w:t>
            </w:r>
          </w:p>
        </w:tc>
        <w:tc>
          <w:tcPr>
            <w:tcW w:w="1360" w:type="dxa"/>
            <w:vAlign w:val="bottom"/>
          </w:tcPr>
          <w:p>
            <w:pPr>
              <w:jc w:val="center"/>
              <w:ind w:left="380"/>
              <w:spacing w:after="0"/>
              <w:rPr>
                <w:sz w:val="20"/>
                <w:szCs w:val="20"/>
                <w:color w:val="auto"/>
              </w:rPr>
            </w:pPr>
            <w:r>
              <w:rPr>
                <w:rFonts w:ascii="Times New Roman" w:cs="Times New Roman" w:eastAsia="Times New Roman" w:hAnsi="Times New Roman"/>
                <w:sz w:val="16"/>
                <w:szCs w:val="16"/>
                <w:color w:val="auto"/>
                <w:w w:val="99"/>
              </w:rPr>
              <w:t>$15.0M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$15.0M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Second commercial sales milestone</w:t>
            </w:r>
            <w:r>
              <w:rPr>
                <w:rFonts w:ascii="Times New Roman" w:cs="Times New Roman" w:eastAsia="Times New Roman" w:hAnsi="Times New Roman"/>
                <w:sz w:val="20"/>
                <w:szCs w:val="20"/>
                <w:color w:val="auto"/>
                <w:vertAlign w:val="superscript"/>
              </w:rPr>
              <w:t>(3)</w:t>
            </w:r>
          </w:p>
        </w:tc>
        <w:tc>
          <w:tcPr>
            <w:tcW w:w="1360" w:type="dxa"/>
            <w:vAlign w:val="bottom"/>
          </w:tcPr>
          <w:p>
            <w:pPr>
              <w:jc w:val="center"/>
              <w:ind w:left="380"/>
              <w:spacing w:after="0"/>
              <w:rPr>
                <w:sz w:val="20"/>
                <w:szCs w:val="20"/>
                <w:color w:val="auto"/>
              </w:rPr>
            </w:pPr>
            <w:r>
              <w:rPr>
                <w:rFonts w:ascii="Times New Roman" w:cs="Times New Roman" w:eastAsia="Times New Roman" w:hAnsi="Times New Roman"/>
                <w:sz w:val="16"/>
                <w:szCs w:val="16"/>
                <w:color w:val="auto"/>
                <w:w w:val="99"/>
              </w:rPr>
              <w:t>$25.0M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$25.0M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Third commercial sales milestone</w:t>
            </w:r>
            <w:r>
              <w:rPr>
                <w:rFonts w:ascii="Times New Roman" w:cs="Times New Roman" w:eastAsia="Times New Roman" w:hAnsi="Times New Roman"/>
                <w:sz w:val="20"/>
                <w:szCs w:val="20"/>
                <w:color w:val="auto"/>
                <w:vertAlign w:val="superscript"/>
              </w:rPr>
              <w:t>(3)</w:t>
            </w:r>
          </w:p>
        </w:tc>
        <w:tc>
          <w:tcPr>
            <w:tcW w:w="1360" w:type="dxa"/>
            <w:vAlign w:val="bottom"/>
          </w:tcPr>
          <w:p>
            <w:pPr>
              <w:jc w:val="center"/>
              <w:ind w:left="380"/>
              <w:spacing w:after="0"/>
              <w:rPr>
                <w:sz w:val="20"/>
                <w:szCs w:val="20"/>
                <w:color w:val="auto"/>
              </w:rPr>
            </w:pPr>
            <w:r>
              <w:rPr>
                <w:rFonts w:ascii="Times New Roman" w:cs="Times New Roman" w:eastAsia="Times New Roman" w:hAnsi="Times New Roman"/>
                <w:sz w:val="16"/>
                <w:szCs w:val="16"/>
                <w:color w:val="auto"/>
                <w:w w:val="99"/>
              </w:rPr>
              <w:t>$50.0M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$50.0M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Fourth commercial sales milestone</w:t>
            </w:r>
          </w:p>
        </w:tc>
        <w:tc>
          <w:tcPr>
            <w:tcW w:w="1360" w:type="dxa"/>
            <w:vAlign w:val="bottom"/>
          </w:tcPr>
          <w:p>
            <w:pPr>
              <w:jc w:val="center"/>
              <w:ind w:left="380"/>
              <w:spacing w:after="0"/>
              <w:rPr>
                <w:sz w:val="20"/>
                <w:szCs w:val="20"/>
                <w:color w:val="auto"/>
              </w:rPr>
            </w:pPr>
            <w:r>
              <w:rPr>
                <w:rFonts w:ascii="Times New Roman" w:cs="Times New Roman" w:eastAsia="Times New Roman" w:hAnsi="Times New Roman"/>
                <w:sz w:val="16"/>
                <w:szCs w:val="16"/>
                <w:color w:val="auto"/>
                <w:w w:val="99"/>
              </w:rPr>
              <w:t>$75.0M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$75.0M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6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Milestones recognized through December 31, 2023</w:t>
            </w:r>
          </w:p>
        </w:tc>
        <w:tc>
          <w:tcPr>
            <w:tcW w:w="1360" w:type="dxa"/>
            <w:vAlign w:val="bottom"/>
          </w:tcPr>
          <w:p>
            <w:pPr>
              <w:jc w:val="center"/>
              <w:ind w:left="380"/>
              <w:spacing w:after="0"/>
              <w:rPr>
                <w:sz w:val="20"/>
                <w:szCs w:val="20"/>
                <w:color w:val="auto"/>
              </w:rPr>
            </w:pPr>
            <w:r>
              <w:rPr>
                <w:rFonts w:ascii="Times New Roman" w:cs="Times New Roman" w:eastAsia="Times New Roman" w:hAnsi="Times New Roman"/>
                <w:sz w:val="16"/>
                <w:szCs w:val="16"/>
                <w:color w:val="auto"/>
                <w:w w:val="99"/>
              </w:rPr>
              <w:t>$93.0M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$13.0M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Milestones that may be recognized in the future</w:t>
            </w:r>
          </w:p>
        </w:tc>
        <w:tc>
          <w:tcPr>
            <w:tcW w:w="1360" w:type="dxa"/>
            <w:vAlign w:val="bottom"/>
          </w:tcPr>
          <w:p>
            <w:pPr>
              <w:jc w:val="center"/>
              <w:ind w:left="380"/>
              <w:spacing w:after="0"/>
              <w:rPr>
                <w:sz w:val="20"/>
                <w:szCs w:val="20"/>
                <w:color w:val="auto"/>
              </w:rPr>
            </w:pPr>
            <w:r>
              <w:rPr>
                <w:rFonts w:ascii="Times New Roman" w:cs="Times New Roman" w:eastAsia="Times New Roman" w:hAnsi="Times New Roman"/>
                <w:sz w:val="16"/>
                <w:szCs w:val="16"/>
                <w:color w:val="auto"/>
                <w:w w:val="99"/>
              </w:rPr>
              <w:t>$180.0M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9"/>
              </w:rPr>
              <w:t>$260.0M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-3878580</wp:posOffset>
            </wp:positionV>
            <wp:extent cx="6369050" cy="3902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extLst>
                    </a:blip>
                    <a:srcRect/>
                    <a:stretch>
                      <a:fillRect/>
                    </a:stretch>
                  </pic:blipFill>
                  <pic:spPr bwMode="auto">
                    <a:xfrm>
                      <a:off x="0" y="0"/>
                      <a:ext cx="6369050" cy="3902075"/>
                    </a:xfrm>
                    <a:prstGeom prst="rect">
                      <a:avLst/>
                    </a:prstGeom>
                    <a:noFill/>
                  </pic:spPr>
                </pic:pic>
              </a:graphicData>
            </a:graphic>
          </wp:anchor>
        </w:drawing>
      </w:r>
    </w:p>
    <w:p>
      <w:pPr>
        <w:spacing w:after="0" w:line="76" w:lineRule="exact"/>
        <w:rPr>
          <w:sz w:val="20"/>
          <w:szCs w:val="20"/>
          <w:color w:val="auto"/>
        </w:rPr>
      </w:pPr>
    </w:p>
    <w:p>
      <w:pPr>
        <w:ind w:left="480" w:hanging="445"/>
        <w:spacing w:after="0"/>
        <w:tabs>
          <w:tab w:leader="none" w:pos="480" w:val="left"/>
        </w:tabs>
        <w:numPr>
          <w:ilvl w:val="0"/>
          <w:numId w:val="2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Biologics License Application (“BLA”)</w:t>
      </w:r>
    </w:p>
    <w:p>
      <w:pPr>
        <w:spacing w:after="0" w:line="21" w:lineRule="exact"/>
        <w:rPr>
          <w:rFonts w:ascii="Times New Roman" w:cs="Times New Roman" w:eastAsia="Times New Roman" w:hAnsi="Times New Roman"/>
          <w:sz w:val="26"/>
          <w:szCs w:val="26"/>
          <w:color w:val="auto"/>
          <w:vertAlign w:val="superscript"/>
        </w:rPr>
      </w:pPr>
    </w:p>
    <w:p>
      <w:pPr>
        <w:ind w:left="480" w:hanging="445"/>
        <w:spacing w:after="0" w:line="191" w:lineRule="auto"/>
        <w:tabs>
          <w:tab w:leader="none" w:pos="480" w:val="left"/>
        </w:tabs>
        <w:numPr>
          <w:ilvl w:val="0"/>
          <w:numId w:val="2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Marketing Authorization Application (“MAA”)</w:t>
      </w:r>
    </w:p>
    <w:p>
      <w:pPr>
        <w:spacing w:after="0" w:line="22" w:lineRule="exact"/>
        <w:rPr>
          <w:rFonts w:ascii="Times New Roman" w:cs="Times New Roman" w:eastAsia="Times New Roman" w:hAnsi="Times New Roman"/>
          <w:sz w:val="26"/>
          <w:szCs w:val="26"/>
          <w:color w:val="auto"/>
          <w:vertAlign w:val="superscript"/>
        </w:rPr>
      </w:pPr>
    </w:p>
    <w:p>
      <w:pPr>
        <w:ind w:left="480" w:right="40" w:hanging="445"/>
        <w:spacing w:after="0" w:line="216" w:lineRule="auto"/>
        <w:tabs>
          <w:tab w:leader="none" w:pos="480" w:val="left"/>
        </w:tabs>
        <w:numPr>
          <w:ilvl w:val="0"/>
          <w:numId w:val="2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 xml:space="preserve">For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the filing and approval of the first MAA for a second indication and first three commercial sales milestones are included as part of the royalty monetization agreement with Sagard, see Note 5</w:t>
      </w:r>
    </w:p>
    <w:p>
      <w:pPr>
        <w:spacing w:after="0" w:line="222" w:lineRule="exact"/>
        <w:rPr>
          <w:sz w:val="20"/>
          <w:szCs w:val="20"/>
          <w:color w:val="auto"/>
        </w:rPr>
      </w:pPr>
    </w:p>
    <w:p>
      <w:pPr>
        <w:ind w:right="100" w:firstLine="630"/>
        <w:spacing w:after="0" w:line="260" w:lineRule="auto"/>
        <w:rPr>
          <w:sz w:val="20"/>
          <w:szCs w:val="20"/>
          <w:color w:val="auto"/>
        </w:rPr>
      </w:pPr>
      <w:r>
        <w:rPr>
          <w:rFonts w:ascii="Times New Roman" w:cs="Times New Roman" w:eastAsia="Times New Roman" w:hAnsi="Times New Roman"/>
          <w:sz w:val="20"/>
          <w:szCs w:val="20"/>
          <w:color w:val="auto"/>
        </w:rPr>
        <w:t>In connection with the 2020 Amendment, in October 2020 GSK agreed, under the terms of a settlement agreement (the “GSK Settlement Agreement”), to pay us a royalty on all GSK net sales of Zejula starting January 1, 2021. Zejula is an oral, once-daily poly (ADP-ribose) polymerase (PARP) inhibitor, which has received U.S. and European approval for the maintenance treatment of adult patients with advanced epithelial ovarian, fallopian tube, or primary peritoneal cancer who are</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240"/>
          </w:cols>
          <w:pgMar w:left="1000" w:top="793" w:right="1000" w:bottom="0" w:gutter="0" w:footer="0" w:header="0"/>
          <w:type w:val="continuous"/>
        </w:sectPr>
      </w:pPr>
    </w:p>
    <w:bookmarkStart w:id="61" w:name="page62"/>
    <w:bookmarkEnd w:id="61"/>
    <w:p>
      <w:pPr>
        <w:spacing w:after="0" w:line="253" w:lineRule="auto"/>
        <w:rPr>
          <w:sz w:val="20"/>
          <w:szCs w:val="20"/>
          <w:color w:val="auto"/>
        </w:rPr>
      </w:pPr>
      <w:r>
        <w:rPr>
          <w:rFonts w:ascii="Times New Roman" w:cs="Times New Roman" w:eastAsia="Times New Roman" w:hAnsi="Times New Roman"/>
          <w:sz w:val="20"/>
          <w:szCs w:val="20"/>
          <w:color w:val="auto"/>
        </w:rPr>
        <w:t>in a complete or partial response to first-line platinum-based chemotherapy, has been approved for certain other indications, and is under development for additional cancer indications as well. Under the GSK Settlement Agreement, the royalty is paid at a rate of 1% but is subject to reduction due to royalties paid to third parties, with a minimum royalty payable under the GSK Settlement Agreement of 0.5% of global net sales of Zejula. The current effective royalty rate is 0.5%. In September 2022, we signed a royalty monetization agreement (the “Zejula Royalty Monetization Agreement”) with a wholly-owned subsidiary of DRI Healthcare Trust (“DRI”) to monetize all of our future royalties on global net sales of Zejula under the GSK Settlement Agreement. Under the terms of the Zejula Royalty Monetization Agreement, we received $35.0 million in exchange for all royalties payable by GSK to us under the GSK Settlement Agreement on global net sales of Zejula starting in July 2022. In addition, under the Zejula Royalty Monetization Agreement, we are entitled to receive an additional $10.0 million payment from DRI if Zejula is approved by the FDA for the treatment of endometrial cancer on or prior to December 31,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w:t>
      </w:r>
    </w:p>
    <w:p>
      <w:pPr>
        <w:spacing w:after="0" w:line="139"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20"/>
          <w:szCs w:val="20"/>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75" w:lineRule="exact"/>
        <w:rPr>
          <w:sz w:val="20"/>
          <w:szCs w:val="20"/>
          <w:color w:val="auto"/>
        </w:rPr>
      </w:pPr>
    </w:p>
    <w:p>
      <w:pPr>
        <w:ind w:left="720" w:right="100" w:hanging="370"/>
        <w:spacing w:after="0" w:line="266" w:lineRule="auto"/>
        <w:tabs>
          <w:tab w:leader="none" w:pos="72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External research and development expenses incurred under arrangements with third parties, such as contract research organizations (“CROs”), consultants, members of our scientific and therapeutic advisory boards, and contract manufacturing organizations (“CMOs”);</w:t>
      </w:r>
    </w:p>
    <w:p>
      <w:pPr>
        <w:spacing w:after="0" w:line="75" w:lineRule="exact"/>
        <w:rPr>
          <w:rFonts w:ascii="Times New Roman" w:cs="Times New Roman" w:eastAsia="Times New Roman" w:hAnsi="Times New Roman"/>
          <w:sz w:val="20"/>
          <w:szCs w:val="20"/>
          <w:color w:val="auto"/>
        </w:rPr>
      </w:pPr>
    </w:p>
    <w:p>
      <w:pPr>
        <w:ind w:left="720" w:hanging="46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Employee-related expenses, including salaries, benefits, travel, and stock-based compensation;</w:t>
      </w:r>
    </w:p>
    <w:p>
      <w:pPr>
        <w:spacing w:after="0" w:line="130" w:lineRule="exact"/>
        <w:rPr>
          <w:rFonts w:ascii="Times New Roman" w:cs="Times New Roman" w:eastAsia="Times New Roman" w:hAnsi="Times New Roman"/>
          <w:sz w:val="20"/>
          <w:szCs w:val="20"/>
          <w:color w:val="auto"/>
        </w:rPr>
      </w:pPr>
    </w:p>
    <w:p>
      <w:pPr>
        <w:ind w:left="720" w:right="680" w:hanging="460"/>
        <w:spacing w:after="0" w:line="309" w:lineRule="auto"/>
        <w:tabs>
          <w:tab w:leader="none" w:pos="72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Facilities, depreciation and other allocated expenses, which include direct and allocated expenses for rent and maintenance of facilities, depreciation of leasehold improvements and equipment, and laboratory supplies; and</w:t>
      </w:r>
    </w:p>
    <w:p>
      <w:pPr>
        <w:spacing w:after="0" w:line="37" w:lineRule="exact"/>
        <w:rPr>
          <w:rFonts w:ascii="Times New Roman" w:cs="Times New Roman" w:eastAsia="Times New Roman" w:hAnsi="Times New Roman"/>
          <w:sz w:val="19"/>
          <w:szCs w:val="19"/>
          <w:color w:val="auto"/>
        </w:rPr>
      </w:pPr>
    </w:p>
    <w:p>
      <w:pPr>
        <w:ind w:left="720" w:hanging="46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License and sub-license fees.</w:t>
      </w:r>
    </w:p>
    <w:p>
      <w:pPr>
        <w:spacing w:after="0" w:line="130" w:lineRule="exact"/>
        <w:rPr>
          <w:sz w:val="20"/>
          <w:szCs w:val="20"/>
          <w:color w:val="auto"/>
        </w:rPr>
      </w:pPr>
    </w:p>
    <w:p>
      <w:pPr>
        <w:ind w:right="160" w:firstLine="630"/>
        <w:spacing w:after="0" w:line="281" w:lineRule="auto"/>
        <w:rPr>
          <w:sz w:val="20"/>
          <w:szCs w:val="20"/>
          <w:color w:val="auto"/>
        </w:rPr>
      </w:pPr>
      <w:r>
        <w:rPr>
          <w:rFonts w:ascii="Times New Roman" w:cs="Times New Roman" w:eastAsia="Times New Roman" w:hAnsi="Times New Roman"/>
          <w:sz w:val="20"/>
          <w:szCs w:val="20"/>
          <w:color w:val="auto"/>
        </w:rPr>
        <w:t>We may also incur in-process research and development expense as we acquire assets from other parties. Acquired in-process research and development costs that have no alternative future use are immediately expensed.</w:t>
      </w:r>
    </w:p>
    <w:p>
      <w:pPr>
        <w:spacing w:after="0" w:line="61" w:lineRule="exact"/>
        <w:rPr>
          <w:sz w:val="20"/>
          <w:szCs w:val="20"/>
          <w:color w:val="auto"/>
        </w:rPr>
      </w:pPr>
    </w:p>
    <w:p>
      <w:pPr>
        <w:ind w:right="120" w:firstLine="630"/>
        <w:spacing w:after="0" w:line="266" w:lineRule="auto"/>
        <w:rPr>
          <w:sz w:val="20"/>
          <w:szCs w:val="20"/>
          <w:color w:val="auto"/>
        </w:rPr>
      </w:pPr>
      <w:r>
        <w:rPr>
          <w:rFonts w:ascii="Times New Roman" w:cs="Times New Roman" w:eastAsia="Times New Roman" w:hAnsi="Times New Roman"/>
          <w:sz w:val="20"/>
          <w:szCs w:val="20"/>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pacing w:after="0" w:line="75" w:lineRule="exact"/>
        <w:rPr>
          <w:sz w:val="20"/>
          <w:szCs w:val="20"/>
          <w:color w:val="auto"/>
        </w:rPr>
      </w:pPr>
    </w:p>
    <w:p>
      <w:pPr>
        <w:ind w:right="220" w:firstLine="630"/>
        <w:spacing w:after="0" w:line="258" w:lineRule="auto"/>
        <w:rPr>
          <w:sz w:val="20"/>
          <w:szCs w:val="20"/>
          <w:color w:val="auto"/>
        </w:rPr>
      </w:pPr>
      <w:r>
        <w:rPr>
          <w:rFonts w:ascii="Times New Roman" w:cs="Times New Roman" w:eastAsia="Times New Roman" w:hAnsi="Times New Roman"/>
          <w:sz w:val="20"/>
          <w:szCs w:val="20"/>
          <w:color w:val="auto"/>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Times New Roman" w:cs="Times New Roman" w:eastAsia="Times New Roman" w:hAnsi="Times New Roman"/>
          <w:sz w:val="20"/>
          <w:szCs w:val="20"/>
          <w:b w:val="1"/>
          <w:bCs w:val="1"/>
          <w:i w:val="1"/>
          <w:iCs w:val="1"/>
          <w:color w:val="auto"/>
        </w:rPr>
        <w:t>in vivo</w:t>
      </w:r>
      <w:r>
        <w:rPr>
          <w:rFonts w:ascii="Times New Roman" w:cs="Times New Roman" w:eastAsia="Times New Roman" w:hAnsi="Times New Roman"/>
          <w:sz w:val="20"/>
          <w:szCs w:val="20"/>
          <w:color w:val="auto"/>
        </w:rPr>
        <w:t xml:space="preserve"> toxicology and pharmacology studies, drug product manufacturing, and clinical trials.</w:t>
      </w:r>
    </w:p>
    <w:p>
      <w:pPr>
        <w:spacing w:after="0" w:line="84" w:lineRule="exact"/>
        <w:rPr>
          <w:sz w:val="20"/>
          <w:szCs w:val="20"/>
          <w:color w:val="auto"/>
        </w:rPr>
      </w:pPr>
    </w:p>
    <w:p>
      <w:pPr>
        <w:ind w:right="20" w:firstLine="630"/>
        <w:spacing w:after="0" w:line="281" w:lineRule="auto"/>
        <w:rPr>
          <w:sz w:val="20"/>
          <w:szCs w:val="20"/>
          <w:color w:val="auto"/>
        </w:rPr>
      </w:pPr>
      <w:r>
        <w:rPr>
          <w:rFonts w:ascii="Times New Roman" w:cs="Times New Roman" w:eastAsia="Times New Roman" w:hAnsi="Times New Roman"/>
          <w:sz w:val="20"/>
          <w:szCs w:val="20"/>
          <w:color w:val="auto"/>
        </w:rPr>
        <w:t>We expect our research and development expenses to be higher for the foreseeable future as we continue to advance our product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w:t>
      </w:r>
    </w:p>
    <w:p>
      <w:pPr>
        <w:spacing w:after="0" w:line="139" w:lineRule="exact"/>
        <w:rPr>
          <w:sz w:val="20"/>
          <w:szCs w:val="20"/>
          <w:color w:val="auto"/>
        </w:rPr>
      </w:pPr>
    </w:p>
    <w:p>
      <w:pPr>
        <w:ind w:right="300" w:firstLine="630"/>
        <w:spacing w:after="0" w:line="260" w:lineRule="auto"/>
        <w:rPr>
          <w:sz w:val="20"/>
          <w:szCs w:val="20"/>
          <w:color w:val="auto"/>
        </w:rPr>
      </w:pPr>
      <w:r>
        <w:rPr>
          <w:rFonts w:ascii="Times New Roman" w:cs="Times New Roman" w:eastAsia="Times New Roman" w:hAnsi="Times New Roman"/>
          <w:sz w:val="20"/>
          <w:szCs w:val="20"/>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Non-cash Interest Expense for the Sale of Future Royalties</w:t>
      </w:r>
    </w:p>
    <w:p>
      <w:pPr>
        <w:spacing w:after="0" w:line="139" w:lineRule="exact"/>
        <w:rPr>
          <w:sz w:val="20"/>
          <w:szCs w:val="20"/>
          <w:color w:val="auto"/>
        </w:rPr>
      </w:pPr>
    </w:p>
    <w:p>
      <w:pPr>
        <w:ind w:right="60" w:firstLine="630"/>
        <w:spacing w:after="0" w:line="258" w:lineRule="auto"/>
        <w:rPr>
          <w:sz w:val="20"/>
          <w:szCs w:val="20"/>
          <w:color w:val="auto"/>
        </w:rPr>
      </w:pPr>
      <w:r>
        <w:rPr>
          <w:rFonts w:ascii="Times New Roman" w:cs="Times New Roman" w:eastAsia="Times New Roman" w:hAnsi="Times New Roman"/>
          <w:sz w:val="20"/>
          <w:szCs w:val="20"/>
          <w:color w:val="auto"/>
        </w:rPr>
        <w:t>Non-cash interest expense for the sale of future royalties consists of interest related to the liability for the sale of future royalties, as well as the amortization of debt issuance costs. We impute interest on the unamortized portion of the liability for the sale of future royalties using the effective interest method and record interest expense based on timing of the payments over the term of the Royalty Monetization Agreements. Our estimate of the interest rate under the arrangements is based on forecasted royalty and milestone payments expected to be made over the life of the agreements.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139" w:lineRule="exact"/>
        <w:rPr>
          <w:sz w:val="20"/>
          <w:szCs w:val="20"/>
          <w:color w:val="auto"/>
        </w:rPr>
      </w:pPr>
    </w:p>
    <w:p>
      <w:pPr>
        <w:ind w:right="400" w:firstLine="630"/>
        <w:spacing w:after="0" w:line="281" w:lineRule="auto"/>
        <w:rPr>
          <w:sz w:val="20"/>
          <w:szCs w:val="20"/>
          <w:color w:val="auto"/>
        </w:rPr>
      </w:pPr>
      <w:r>
        <w:rPr>
          <w:rFonts w:ascii="Times New Roman" w:cs="Times New Roman" w:eastAsia="Times New Roman" w:hAnsi="Times New Roman"/>
          <w:sz w:val="20"/>
          <w:szCs w:val="20"/>
          <w:color w:val="auto"/>
        </w:rPr>
        <w:t>Interest income consists primarily of interest earned on our short-term and long-term investments and is recognized when earned.</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240"/>
          </w:cols>
          <w:pgMar w:left="1000" w:top="793" w:right="100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color w:val="auto"/>
        </w:rPr>
        <w:t>Net Operating Loss and Research and Development Tax Credit Carryforwards</w:t>
      </w:r>
    </w:p>
    <w:p>
      <w:pPr>
        <w:spacing w:after="0" w:line="137" w:lineRule="exact"/>
        <w:rPr>
          <w:sz w:val="20"/>
          <w:szCs w:val="20"/>
          <w:color w:val="auto"/>
        </w:rPr>
      </w:pPr>
    </w:p>
    <w:p>
      <w:pPr>
        <w:ind w:firstLine="630"/>
        <w:spacing w:after="0" w:line="258" w:lineRule="auto"/>
        <w:rPr>
          <w:sz w:val="20"/>
          <w:szCs w:val="20"/>
          <w:color w:val="auto"/>
        </w:rPr>
      </w:pPr>
      <w:r>
        <w:rPr>
          <w:rFonts w:ascii="Times New Roman" w:cs="Times New Roman" w:eastAsia="Times New Roman" w:hAnsi="Times New Roman"/>
          <w:sz w:val="20"/>
          <w:szCs w:val="20"/>
          <w:color w:val="auto"/>
        </w:rPr>
        <w:t>Since inception, we have accumulated net operating losses (“NOLs”) in all years except December 31, 2022, 2015 and 2014, in which we generated taxable income primarily attributable to our collaboration agreement with GSK in 2014 and 2015, and our Zejula Royalty Monetization Agreement and the requirement to capitalize and amortize R&amp;D expenditure for tax purposes in 2022. While we utilized NOLs in 2022, 2015 and 2014, we continue to incur losses and therefore continue to have a valuation allowance against our net deferred tax assets due to the uncertainty of the realization of such assets.</w:t>
      </w:r>
    </w:p>
    <w:p>
      <w:pPr>
        <w:spacing w:after="0" w:line="84" w:lineRule="exact"/>
        <w:rPr>
          <w:sz w:val="20"/>
          <w:szCs w:val="20"/>
          <w:color w:val="auto"/>
        </w:rPr>
      </w:pPr>
    </w:p>
    <w:p>
      <w:pPr>
        <w:ind w:right="120" w:firstLine="630"/>
        <w:spacing w:after="0" w:line="255" w:lineRule="auto"/>
        <w:rPr>
          <w:sz w:val="20"/>
          <w:szCs w:val="20"/>
          <w:color w:val="auto"/>
        </w:rPr>
      </w:pPr>
      <w:r>
        <w:rPr>
          <w:rFonts w:ascii="Times New Roman" w:cs="Times New Roman" w:eastAsia="Times New Roman" w:hAnsi="Times New Roman"/>
          <w:sz w:val="20"/>
          <w:szCs w:val="20"/>
          <w:color w:val="auto"/>
        </w:rPr>
        <w:t>As of December 31, 2023, we had federal and state NOL carryforwards of $313.8 million and $73.3 million, respectively. The federal and state NOLs generated prior to 2018 will begin to expire in 2030 and 2028, respectively, unless previously utilized. The federal NOL includes $261.7 million of net operating losses generated in 2018 and after. Federal net operating losses generated in 2018 and after carryover indefinitely and may generally be used to offset up to 80% of future taxable income. As of December 31, 2023, we had federal and state research tax credit carryforwards of approximately $12.1 million and $14.4 million, respectively. The federal research tax credit carryforwards will begin to expire in 2041 and the state research tax credits carryforward indefinitely.</w:t>
      </w:r>
    </w:p>
    <w:p>
      <w:pPr>
        <w:spacing w:after="0" w:line="90" w:lineRule="exact"/>
        <w:rPr>
          <w:sz w:val="20"/>
          <w:szCs w:val="20"/>
          <w:color w:val="auto"/>
        </w:rPr>
      </w:pPr>
    </w:p>
    <w:p>
      <w:pPr>
        <w:ind w:right="20" w:firstLine="630"/>
        <w:spacing w:after="0" w:line="252" w:lineRule="auto"/>
        <w:rPr>
          <w:sz w:val="20"/>
          <w:szCs w:val="20"/>
          <w:color w:val="auto"/>
        </w:rPr>
      </w:pPr>
      <w:r>
        <w:rPr>
          <w:rFonts w:ascii="Times New Roman" w:cs="Times New Roman" w:eastAsia="Times New Roman" w:hAnsi="Times New Roman"/>
          <w:sz w:val="20"/>
          <w:szCs w:val="20"/>
          <w:color w:val="auto"/>
        </w:rPr>
        <w:t>The above NOL carryforward and the federal and state research tax credit carryforwards may be subject to an annual limitation under section 382 and 383 of the Internal Revenue Code of 1986, as amended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In September 2015, we completed a Section 382 analysis through December 31, 2014 and determined that there was an ownership change in 2007 that may limit the utilization of approximately $5.3 million and $5.4 million in federal and state NOLs, respectively, and $0.2 million in both federal and state research tax credits. We subsequently extended the analysis period of the study through December 31, 2022, noting ownership changes on January 31, 2017 and March 8, 2021. To reflect the impact of the January 31, 2017 and March 8, 2021 ownership changes, we reduced federal research credit carryforwards by approximately $15.0 million. Our use of federal and state NOLs and research credits could be limited further by the provisions of Section 382 of the Code of 1986, as amended, depending upon the timing and amount of additional equity securities that we have issued or will issue. State NOL carryforwards may be similarly limited. If a change in ownership were to have occurred, NOL and tax credits carryforwards could be eliminated or restricted. If eliminated, the related asset would be removed from the deferred tax asset schedule with a corresponding reduction in the valuation allowance. Due to the existence of the valuation allowance, limitations created by ownership changes, if any, will not impact our effective tax rate.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Use of Estimates</w:t>
      </w:r>
    </w:p>
    <w:p>
      <w:pPr>
        <w:spacing w:after="0" w:line="137" w:lineRule="exact"/>
        <w:rPr>
          <w:sz w:val="20"/>
          <w:szCs w:val="20"/>
          <w:color w:val="auto"/>
        </w:rPr>
      </w:pPr>
    </w:p>
    <w:p>
      <w:pPr>
        <w:ind w:right="20" w:firstLine="630"/>
        <w:spacing w:after="0" w:line="254" w:lineRule="auto"/>
        <w:rPr>
          <w:sz w:val="20"/>
          <w:szCs w:val="20"/>
          <w:color w:val="auto"/>
        </w:rPr>
      </w:pPr>
      <w:r>
        <w:rPr>
          <w:rFonts w:ascii="Times New Roman" w:cs="Times New Roman" w:eastAsia="Times New Roman" w:hAnsi="Times New Roman"/>
          <w:sz w:val="20"/>
          <w:szCs w:val="20"/>
          <w:color w:val="auto"/>
        </w:rPr>
        <w:t>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w:t>
      </w:r>
    </w:p>
    <w:p>
      <w:pPr>
        <w:spacing w:after="0" w:line="93" w:lineRule="exact"/>
        <w:rPr>
          <w:sz w:val="20"/>
          <w:szCs w:val="20"/>
          <w:color w:val="auto"/>
        </w:rPr>
      </w:pPr>
    </w:p>
    <w:p>
      <w:pPr>
        <w:ind w:right="80" w:firstLine="630"/>
        <w:spacing w:after="0" w:line="266" w:lineRule="auto"/>
        <w:rPr>
          <w:sz w:val="20"/>
          <w:szCs w:val="20"/>
          <w:color w:val="auto"/>
        </w:rPr>
      </w:pPr>
      <w:r>
        <w:rPr>
          <w:rFonts w:ascii="Times New Roman" w:cs="Times New Roman" w:eastAsia="Times New Roman" w:hAnsi="Times New Roman"/>
          <w:sz w:val="20"/>
          <w:szCs w:val="20"/>
          <w:color w:val="auto"/>
        </w:rPr>
        <w:t>While our significant accounting policies are described in more detail in the notes to our financial statements appearing elsewhere in this Annual Report on Form 10-K, we believe the following accounting policies used in the preparation of our financial statements require the most significant judgments and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137" w:lineRule="exact"/>
        <w:rPr>
          <w:sz w:val="20"/>
          <w:szCs w:val="20"/>
          <w:color w:val="auto"/>
        </w:rPr>
      </w:pPr>
    </w:p>
    <w:p>
      <w:pPr>
        <w:ind w:right="220" w:firstLine="630"/>
        <w:spacing w:after="0" w:line="266" w:lineRule="auto"/>
        <w:rPr>
          <w:sz w:val="20"/>
          <w:szCs w:val="20"/>
          <w:color w:val="auto"/>
        </w:rPr>
      </w:pPr>
      <w:r>
        <w:rPr>
          <w:rFonts w:ascii="Times New Roman" w:cs="Times New Roman" w:eastAsia="Times New Roman" w:hAnsi="Times New Roman"/>
          <w:sz w:val="20"/>
          <w:szCs w:val="20"/>
          <w:color w:val="auto"/>
        </w:rPr>
        <w:t>Revenue is recognized in accordance with ASC 606,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w:t>
      </w:r>
    </w:p>
    <w:p>
      <w:pPr>
        <w:spacing w:after="0" w:line="72" w:lineRule="exact"/>
        <w:rPr>
          <w:sz w:val="20"/>
          <w:szCs w:val="20"/>
          <w:color w:val="auto"/>
        </w:rPr>
      </w:pPr>
    </w:p>
    <w:p>
      <w:pPr>
        <w:ind w:firstLine="630"/>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 xml:space="preserve">Performance Obligations. </w:t>
      </w:r>
      <w:r>
        <w:rPr>
          <w:rFonts w:ascii="Times New Roman" w:cs="Times New Roman" w:eastAsia="Times New Roman" w:hAnsi="Times New Roman"/>
          <w:sz w:val="19"/>
          <w:szCs w:val="19"/>
          <w:color w:val="auto"/>
        </w:rPr>
        <w:t>We evaluate promised goods or services on a contract-by-contract basis to determine whether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each deliverable represents a good or service that is distinct or has the same pattern of transfer as other deliverables. A promised good or service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promised good or service is not considered distinct, we combine such deliverables and account for them as a single performance obligation. We allocate the consideration to each performance obligation at the inception of the arrangement based on the transaction price.</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240"/>
          </w:cols>
          <w:pgMar w:left="1000" w:top="786" w:right="1000" w:bottom="0" w:gutter="0" w:footer="0" w:header="0"/>
          <w:type w:val="continuous"/>
        </w:sectPr>
      </w:pPr>
    </w:p>
    <w:bookmarkStart w:id="63" w:name="page64"/>
    <w:bookmarkEnd w:id="63"/>
    <w:p>
      <w:pPr>
        <w:ind w:left="620"/>
        <w:spacing w:after="0"/>
        <w:rPr>
          <w:sz w:val="20"/>
          <w:szCs w:val="20"/>
          <w:color w:val="auto"/>
        </w:rPr>
      </w:pPr>
      <w:r>
        <w:rPr>
          <w:rFonts w:ascii="Times New Roman" w:cs="Times New Roman" w:eastAsia="Times New Roman" w:hAnsi="Times New Roman"/>
          <w:sz w:val="20"/>
          <w:szCs w:val="20"/>
          <w:color w:val="auto"/>
        </w:rPr>
        <w:t>Our performance obligations may include the following:</w:t>
      </w:r>
    </w:p>
    <w:p>
      <w:pPr>
        <w:spacing w:after="0" w:line="130" w:lineRule="exact"/>
        <w:rPr>
          <w:sz w:val="20"/>
          <w:szCs w:val="20"/>
          <w:color w:val="auto"/>
        </w:rPr>
      </w:pPr>
    </w:p>
    <w:p>
      <w:pPr>
        <w:ind w:left="720" w:right="40" w:hanging="370"/>
        <w:spacing w:after="0" w:line="258"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w:t>
      </w:r>
    </w:p>
    <w:p>
      <w:pPr>
        <w:spacing w:after="0" w:line="83" w:lineRule="exact"/>
        <w:rPr>
          <w:rFonts w:ascii="Times New Roman" w:cs="Times New Roman" w:eastAsia="Times New Roman" w:hAnsi="Times New Roman"/>
          <w:sz w:val="20"/>
          <w:szCs w:val="20"/>
          <w:color w:val="auto"/>
        </w:rPr>
      </w:pPr>
    </w:p>
    <w:p>
      <w:pPr>
        <w:ind w:left="720" w:right="120" w:hanging="370"/>
        <w:spacing w:after="0" w:line="256"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w:t>
      </w:r>
    </w:p>
    <w:p>
      <w:pPr>
        <w:spacing w:after="0" w:line="88" w:lineRule="exact"/>
        <w:rPr>
          <w:rFonts w:ascii="Times New Roman" w:cs="Times New Roman" w:eastAsia="Times New Roman" w:hAnsi="Times New Roman"/>
          <w:sz w:val="20"/>
          <w:szCs w:val="20"/>
          <w:color w:val="auto"/>
        </w:rPr>
      </w:pPr>
    </w:p>
    <w:p>
      <w:pPr>
        <w:ind w:left="720" w:right="60" w:hanging="370"/>
        <w:spacing w:after="0" w:line="260"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Steering Committee Meetings. The performance obligations under our collaboration and license agreements may also include our participation in a steering committee, which allows us to direct the progression of our discovery programs. As these steering committees would not occur or benefit the customer without the use of our licenses, these are not considered distinct.</w:t>
      </w:r>
    </w:p>
    <w:p>
      <w:pPr>
        <w:spacing w:after="0" w:line="83" w:lineRule="exact"/>
        <w:rPr>
          <w:sz w:val="20"/>
          <w:szCs w:val="20"/>
          <w:color w:val="auto"/>
        </w:rPr>
      </w:pPr>
    </w:p>
    <w:p>
      <w:pPr>
        <w:ind w:right="60" w:firstLine="630"/>
        <w:spacing w:after="0" w:line="278" w:lineRule="auto"/>
        <w:rPr>
          <w:sz w:val="20"/>
          <w:szCs w:val="20"/>
          <w:color w:val="auto"/>
        </w:rPr>
      </w:pPr>
      <w:r>
        <w:rPr>
          <w:rFonts w:ascii="Times New Roman" w:cs="Times New Roman" w:eastAsia="Times New Roman" w:hAnsi="Times New Roman"/>
          <w:sz w:val="19"/>
          <w:szCs w:val="19"/>
          <w:color w:val="auto"/>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 There were no new agreements with performance obligations entered into during the year ended December 31, 2023.</w:t>
      </w:r>
    </w:p>
    <w:p>
      <w:pPr>
        <w:spacing w:after="0" w:line="64" w:lineRule="exact"/>
        <w:rPr>
          <w:sz w:val="20"/>
          <w:szCs w:val="20"/>
          <w:color w:val="auto"/>
        </w:rPr>
      </w:pPr>
    </w:p>
    <w:p>
      <w:pPr>
        <w:ind w:right="80" w:firstLine="63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Transaction Price. </w:t>
      </w:r>
      <w:r>
        <w:rPr>
          <w:rFonts w:ascii="Times New Roman" w:cs="Times New Roman" w:eastAsia="Times New Roman" w:hAnsi="Times New Roman"/>
          <w:sz w:val="20"/>
          <w:szCs w:val="20"/>
          <w:color w:val="auto"/>
        </w:rPr>
        <w:t>Our collaboration and license agreements generally include both fixed and variable consideration.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Fixed payments, such as those for 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Research and development services are updated for actual invoices. Given the nature of our agreements, milestones are estimated using the most likely amount and are evaluated on a quarterly basis. Upon commercialization, royalty payments are recognized in the period incurred.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 Expenses</w:t>
      </w:r>
    </w:p>
    <w:p>
      <w:pPr>
        <w:spacing w:after="0" w:line="137"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As part of the process of preparing our financial statements, we are required to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96" w:lineRule="exact"/>
        <w:rPr>
          <w:sz w:val="20"/>
          <w:szCs w:val="20"/>
          <w:color w:val="auto"/>
        </w:rPr>
      </w:pPr>
    </w:p>
    <w:p>
      <w:pPr>
        <w:ind w:right="40" w:firstLine="630"/>
        <w:spacing w:after="0" w:line="254" w:lineRule="auto"/>
        <w:rPr>
          <w:sz w:val="20"/>
          <w:szCs w:val="20"/>
          <w:color w:val="auto"/>
        </w:rPr>
      </w:pPr>
      <w:r>
        <w:rPr>
          <w:rFonts w:ascii="Times New Roman" w:cs="Times New Roman" w:eastAsia="Times New Roman" w:hAnsi="Times New Roman"/>
          <w:sz w:val="20"/>
          <w:szCs w:val="20"/>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Advance payments for goods and services that will be used in future research and development activities are expensed when the activity has been performed or when the goods have been received rather than when the payment is made.</w:t>
      </w:r>
    </w:p>
    <w:p>
      <w:pPr>
        <w:spacing w:after="0" w:line="89" w:lineRule="exact"/>
        <w:rPr>
          <w:sz w:val="20"/>
          <w:szCs w:val="20"/>
          <w:color w:val="auto"/>
        </w:rPr>
      </w:pPr>
    </w:p>
    <w:p>
      <w:pPr>
        <w:ind w:right="200" w:firstLine="630"/>
        <w:spacing w:after="0" w:line="260" w:lineRule="auto"/>
        <w:rPr>
          <w:sz w:val="20"/>
          <w:szCs w:val="20"/>
          <w:color w:val="auto"/>
        </w:rPr>
      </w:pPr>
      <w:r>
        <w:rPr>
          <w:rFonts w:ascii="Times New Roman" w:cs="Times New Roman" w:eastAsia="Times New Roman" w:hAnsi="Times New Roman"/>
          <w:sz w:val="20"/>
          <w:szCs w:val="20"/>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240"/>
          </w:cols>
          <w:pgMar w:left="1000" w:top="793" w:right="100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color w:val="auto"/>
        </w:rPr>
        <w:t>Sale of Future Royalties</w:t>
      </w:r>
    </w:p>
    <w:p>
      <w:pPr>
        <w:spacing w:after="0" w:line="133" w:lineRule="exact"/>
        <w:rPr>
          <w:sz w:val="20"/>
          <w:szCs w:val="20"/>
          <w:color w:val="auto"/>
        </w:rPr>
      </w:pPr>
    </w:p>
    <w:p>
      <w:pPr>
        <w:ind w:right="20" w:firstLine="630"/>
        <w:spacing w:after="0" w:line="253" w:lineRule="auto"/>
        <w:rPr>
          <w:sz w:val="20"/>
          <w:szCs w:val="20"/>
          <w:color w:val="auto"/>
        </w:rPr>
      </w:pPr>
      <w:r>
        <w:rPr>
          <w:rFonts w:ascii="Times New Roman" w:cs="Times New Roman" w:eastAsia="Times New Roman" w:hAnsi="Times New Roman"/>
          <w:sz w:val="20"/>
          <w:szCs w:val="20"/>
          <w:color w:val="auto"/>
        </w:rPr>
        <w:t xml:space="preserve">We treated the sale of future revenue from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with Sagard and the Zejula Royalty Monetization Agreement with DRI as a liability related to the sale of future royalties on the balance sheet. The recorded upfront proceeds, net of transaction costs, will be amortized under the effective interest rate method over the estimated life of the related expected royalty stream. The liability and the related interest expense are based on our current estimates of future royalties and certain milestones expected to be paid over the life of the agreement. We will periodically assess the expected royalty and milestone payments and to the extent our future estimates or timing of such payments are materially different than our previous estimates, we will prospectively recognize related interest expense. Royalty revenue will be recognized as earned on net sales of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and Zejula, and we will record the royalty payments made as a reduction of the liability when paid. As such payments are made, the balance of the liability will be effectively repaid over the life of the </w:t>
      </w:r>
      <w:r>
        <w:rPr>
          <w:rFonts w:ascii="Times New Roman" w:cs="Times New Roman" w:eastAsia="Times New Roman" w:hAnsi="Times New Roman"/>
          <w:sz w:val="20"/>
          <w:szCs w:val="20"/>
          <w:b w:val="1"/>
          <w:bCs w:val="1"/>
          <w:i w:val="1"/>
          <w:iCs w:val="1"/>
          <w:color w:val="auto"/>
        </w:rPr>
        <w:t xml:space="preserve">Jemperli </w:t>
      </w:r>
      <w:r>
        <w:rPr>
          <w:rFonts w:ascii="Times New Roman" w:cs="Times New Roman" w:eastAsia="Times New Roman" w:hAnsi="Times New Roman"/>
          <w:sz w:val="20"/>
          <w:szCs w:val="20"/>
          <w:color w:val="auto"/>
        </w:rPr>
        <w:t>Royalty Monetization Agreement and the Zejula Royalty Monetization Agreement. For further discussion of the sale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future revenue, refer to Note 5 — Sale of Future Royalties in the accompanying notes to the consolidated financial statements included in Part II, Item 8, “Consolidated Financial Statements and Supplementary Data” of this Annual Report on Form 10-K.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w:t>
      </w:r>
    </w:p>
    <w:p>
      <w:pPr>
        <w:spacing w:after="0" w:line="137" w:lineRule="exact"/>
        <w:rPr>
          <w:sz w:val="20"/>
          <w:szCs w:val="20"/>
          <w:color w:val="auto"/>
        </w:rPr>
      </w:pPr>
    </w:p>
    <w:p>
      <w:pPr>
        <w:ind w:right="800" w:firstLine="630"/>
        <w:spacing w:after="0" w:line="266" w:lineRule="auto"/>
        <w:rPr>
          <w:sz w:val="20"/>
          <w:szCs w:val="20"/>
          <w:color w:val="auto"/>
        </w:rPr>
      </w:pPr>
      <w:r>
        <w:rPr>
          <w:rFonts w:ascii="Times New Roman" w:cs="Times New Roman" w:eastAsia="Times New Roman" w:hAnsi="Times New Roman"/>
          <w:sz w:val="20"/>
          <w:szCs w:val="20"/>
          <w:color w:val="auto"/>
        </w:rPr>
        <w:t>For further information on recently issued accounting pronouncements, see Note 2 — Summary of Significant Accounting Policies in the accompanying notes to the consolidated financial statements included in Part II, Item 8, “Consolidated Financial Statements and Supplementary Data” of this Annual Report on Form 10-K.</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Collaboration Revenue</w:t>
      </w:r>
    </w:p>
    <w:p>
      <w:pPr>
        <w:spacing w:after="0" w:line="139" w:lineRule="exact"/>
        <w:rPr>
          <w:sz w:val="20"/>
          <w:szCs w:val="20"/>
          <w:color w:val="auto"/>
        </w:rPr>
      </w:pPr>
    </w:p>
    <w:p>
      <w:pPr>
        <w:ind w:right="140" w:firstLine="630"/>
        <w:spacing w:after="0" w:line="281" w:lineRule="auto"/>
        <w:rPr>
          <w:sz w:val="20"/>
          <w:szCs w:val="20"/>
          <w:color w:val="auto"/>
        </w:rPr>
      </w:pPr>
      <w:r>
        <w:rPr>
          <w:rFonts w:ascii="Times New Roman" w:cs="Times New Roman" w:eastAsia="Times New Roman" w:hAnsi="Times New Roman"/>
          <w:sz w:val="20"/>
          <w:szCs w:val="20"/>
          <w:color w:val="auto"/>
        </w:rPr>
        <w:t>Collaboration revenue was $17.2 million compared to $10.3 million for the years ended December 31, 2023 and 2022, respectively. A comparison of collaboration revenue is as follows:</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Increase/(Decrease)</w:t>
            </w:r>
          </w:p>
        </w:tc>
        <w:tc>
          <w:tcPr>
            <w:tcW w:w="0" w:type="dxa"/>
            <w:vAlign w:val="bottom"/>
          </w:tcPr>
          <w:p>
            <w:pPr>
              <w:spacing w:after="0"/>
              <w:rPr>
                <w:sz w:val="1"/>
                <w:szCs w:val="1"/>
                <w:color w:val="auto"/>
              </w:rPr>
            </w:pPr>
          </w:p>
        </w:tc>
      </w:tr>
      <w:tr>
        <w:trPr>
          <w:trHeight w:val="214"/>
        </w:trPr>
        <w:tc>
          <w:tcPr>
            <w:tcW w:w="5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GSK Milestones</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5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GSK Royalty Revenue</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17,157</w:t>
            </w:r>
          </w:p>
        </w:tc>
        <w:tc>
          <w:tcPr>
            <w:tcW w:w="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11,870</w:t>
            </w:r>
          </w:p>
        </w:tc>
        <w:tc>
          <w:tcPr>
            <w:tcW w:w="0" w:type="dxa"/>
            <w:vAlign w:val="bottom"/>
          </w:tcPr>
          <w:p>
            <w:pPr>
              <w:spacing w:after="0"/>
              <w:rPr>
                <w:sz w:val="1"/>
                <w:szCs w:val="1"/>
                <w:color w:val="auto"/>
              </w:rPr>
            </w:pPr>
          </w:p>
        </w:tc>
      </w:tr>
      <w:tr>
        <w:trPr>
          <w:trHeight w:val="215"/>
        </w:trPr>
        <w:tc>
          <w:tcPr>
            <w:tcW w:w="5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17,157</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80" w:type="dxa"/>
            <w:vAlign w:val="bottom"/>
          </w:tcPr>
          <w:p>
            <w:pPr>
              <w:spacing w:after="0"/>
              <w:rPr>
                <w:sz w:val="18"/>
                <w:szCs w:val="18"/>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-516890</wp:posOffset>
            </wp:positionV>
            <wp:extent cx="6524625" cy="536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6524625" cy="536575"/>
                    </a:xfrm>
                    <a:prstGeom prst="rect">
                      <a:avLst/>
                    </a:prstGeom>
                    <a:noFill/>
                  </pic:spPr>
                </pic:pic>
              </a:graphicData>
            </a:graphic>
          </wp:anchor>
        </w:drawing>
      </w:r>
    </w:p>
    <w:p>
      <w:pPr>
        <w:spacing w:after="0" w:line="228" w:lineRule="exact"/>
        <w:rPr>
          <w:sz w:val="20"/>
          <w:szCs w:val="20"/>
          <w:color w:val="auto"/>
        </w:rPr>
      </w:pPr>
    </w:p>
    <w:p>
      <w:pPr>
        <w:ind w:right="180" w:firstLine="630"/>
        <w:spacing w:after="0" w:line="266" w:lineRule="auto"/>
        <w:rPr>
          <w:sz w:val="20"/>
          <w:szCs w:val="20"/>
          <w:color w:val="auto"/>
        </w:rPr>
      </w:pPr>
      <w:r>
        <w:rPr>
          <w:rFonts w:ascii="Times New Roman" w:cs="Times New Roman" w:eastAsia="Times New Roman" w:hAnsi="Times New Roman"/>
          <w:sz w:val="20"/>
          <w:szCs w:val="20"/>
          <w:color w:val="auto"/>
        </w:rPr>
        <w:t>Collaboration revenue during the year ended December 31, 2023 increased $6.9 million compared to the year ended December 31, 2022 primarily due to an increase of $11.9 million in royalty revenue, partially offset by one milestone for $5.0 million earned and recognized in 2022.</w:t>
      </w:r>
    </w:p>
    <w:p>
      <w:pPr>
        <w:spacing w:after="0" w:line="75" w:lineRule="exact"/>
        <w:rPr>
          <w:sz w:val="20"/>
          <w:szCs w:val="20"/>
          <w:color w:val="auto"/>
        </w:rPr>
      </w:pPr>
    </w:p>
    <w:p>
      <w:pPr>
        <w:ind w:right="120" w:firstLine="630"/>
        <w:spacing w:after="0" w:line="281" w:lineRule="auto"/>
        <w:rPr>
          <w:sz w:val="20"/>
          <w:szCs w:val="20"/>
          <w:color w:val="auto"/>
        </w:rPr>
      </w:pPr>
      <w:r>
        <w:rPr>
          <w:rFonts w:ascii="Times New Roman" w:cs="Times New Roman" w:eastAsia="Times New Roman" w:hAnsi="Times New Roman"/>
          <w:sz w:val="20"/>
          <w:szCs w:val="20"/>
          <w:color w:val="auto"/>
        </w:rPr>
        <w:t>We expect that any collaboration revenue we generate will continue to fluctuate from period to period as a result of the timing and amount of milestones from our existing collaborations.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39" w:lineRule="exact"/>
        <w:rPr>
          <w:sz w:val="20"/>
          <w:szCs w:val="20"/>
          <w:color w:val="auto"/>
        </w:rPr>
      </w:pPr>
    </w:p>
    <w:p>
      <w:pPr>
        <w:ind w:right="80" w:firstLine="630"/>
        <w:spacing w:after="0" w:line="258" w:lineRule="auto"/>
        <w:rPr>
          <w:sz w:val="20"/>
          <w:szCs w:val="20"/>
          <w:color w:val="auto"/>
        </w:rPr>
      </w:pPr>
      <w:r>
        <w:rPr>
          <w:rFonts w:ascii="Times New Roman" w:cs="Times New Roman" w:eastAsia="Times New Roman" w:hAnsi="Times New Roman"/>
          <w:sz w:val="20"/>
          <w:szCs w:val="20"/>
          <w:color w:val="auto"/>
        </w:rPr>
        <w:t>Research and development expenses were $132.3 million during the year ended December 31, 2023 compared to $88.8 million during the year ended December 31, 2022, for an increase of approximately $43.5 million. The increase is primarily attributable to a $22.6 million increase in outside services for manufacturing expenses, a $11.4 million increase in clinical expenses, a $7.5 million increase in personnel costs, including $3.4 million in stock compensation expense, and a $2.0 million increase in other research and development expenses.</w:t>
      </w:r>
    </w:p>
    <w:p>
      <w:pPr>
        <w:spacing w:after="0" w:line="84" w:lineRule="exact"/>
        <w:rPr>
          <w:sz w:val="20"/>
          <w:szCs w:val="20"/>
          <w:color w:val="auto"/>
        </w:rPr>
      </w:pPr>
    </w:p>
    <w:p>
      <w:pPr>
        <w:ind w:firstLine="540"/>
        <w:spacing w:after="0" w:line="255" w:lineRule="auto"/>
        <w:rPr>
          <w:sz w:val="20"/>
          <w:szCs w:val="20"/>
          <w:color w:val="auto"/>
        </w:rPr>
      </w:pPr>
      <w:r>
        <w:rPr>
          <w:rFonts w:ascii="Times New Roman" w:cs="Times New Roman" w:eastAsia="Times New Roman" w:hAnsi="Times New Roman"/>
          <w:sz w:val="20"/>
          <w:szCs w:val="20"/>
          <w:color w:val="auto"/>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share-based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240"/>
          </w:cols>
          <w:pgMar w:left="1000" w:top="786" w:right="1000" w:bottom="0" w:gutter="0" w:footer="0" w:header="0"/>
          <w:type w:val="continuous"/>
        </w:sectPr>
      </w:pPr>
    </w:p>
    <w:bookmarkStart w:id="65" w:name="page66"/>
    <w:bookmarkEnd w:id="65"/>
    <w:tbl>
      <w:tblPr>
        <w:tblLayout w:type="fixed"/>
        <w:tblInd w:w="4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Increase/(Decrease)</w:t>
            </w:r>
          </w:p>
        </w:tc>
        <w:tc>
          <w:tcPr>
            <w:tcW w:w="0" w:type="dxa"/>
            <w:vAlign w:val="bottom"/>
          </w:tcPr>
          <w:p>
            <w:pPr>
              <w:spacing w:after="0"/>
              <w:rPr>
                <w:sz w:val="1"/>
                <w:szCs w:val="1"/>
                <w:color w:val="auto"/>
              </w:rPr>
            </w:pPr>
          </w:p>
        </w:tc>
      </w:tr>
      <w:tr>
        <w:trPr>
          <w:trHeight w:val="214"/>
        </w:trPr>
        <w:tc>
          <w:tcPr>
            <w:tcW w:w="5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External Costs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Rosnilimab</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25,010</w:t>
            </w:r>
          </w:p>
        </w:tc>
        <w:tc>
          <w:tcPr>
            <w:tcW w:w="5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0" w:type="dxa"/>
            <w:vAlign w:val="bottom"/>
          </w:tcPr>
          <w:p>
            <w:pPr>
              <w:spacing w:after="0"/>
              <w:rPr>
                <w:sz w:val="1"/>
                <w:szCs w:val="1"/>
                <w:color w:val="auto"/>
              </w:rPr>
            </w:pPr>
          </w:p>
        </w:tc>
      </w:tr>
      <w:tr>
        <w:trPr>
          <w:trHeight w:val="255"/>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ANB032</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17,197</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0" w:type="dxa"/>
            <w:vAlign w:val="bottom"/>
          </w:tcPr>
          <w:p>
            <w:pPr>
              <w:spacing w:after="0"/>
              <w:rPr>
                <w:sz w:val="1"/>
                <w:szCs w:val="1"/>
                <w:color w:val="auto"/>
              </w:rPr>
            </w:pPr>
          </w:p>
        </w:tc>
      </w:tr>
      <w:tr>
        <w:trPr>
          <w:trHeight w:val="255"/>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ANB033</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0" w:type="dxa"/>
            <w:vAlign w:val="bottom"/>
          </w:tcPr>
          <w:p>
            <w:pPr>
              <w:spacing w:after="0"/>
              <w:rPr>
                <w:sz w:val="1"/>
                <w:szCs w:val="1"/>
                <w:color w:val="auto"/>
              </w:rPr>
            </w:pPr>
          </w:p>
        </w:tc>
      </w:tr>
      <w:tr>
        <w:trPr>
          <w:trHeight w:val="255"/>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Imsidolimab</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31,769</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38,812</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0" w:type="dxa"/>
            <w:vAlign w:val="bottom"/>
          </w:tcPr>
          <w:p>
            <w:pPr>
              <w:spacing w:after="0"/>
              <w:rPr>
                <w:sz w:val="1"/>
                <w:szCs w:val="1"/>
                <w:color w:val="auto"/>
              </w:rPr>
            </w:pPr>
          </w:p>
        </w:tc>
      </w:tr>
      <w:tr>
        <w:trPr>
          <w:trHeight w:val="260"/>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Preclinical and other unallocated costs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14,526</w:t>
            </w:r>
          </w:p>
        </w:tc>
        <w:tc>
          <w:tcPr>
            <w:tcW w:w="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11,838</w:t>
            </w:r>
          </w:p>
        </w:tc>
        <w:tc>
          <w:tcPr>
            <w:tcW w:w="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0" w:type="dxa"/>
            <w:vAlign w:val="bottom"/>
          </w:tcPr>
          <w:p>
            <w:pPr>
              <w:spacing w:after="0"/>
              <w:rPr>
                <w:sz w:val="1"/>
                <w:szCs w:val="1"/>
                <w:color w:val="auto"/>
              </w:rPr>
            </w:pP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External Costs</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100,022</w:t>
            </w:r>
          </w:p>
        </w:tc>
        <w:tc>
          <w:tcPr>
            <w:tcW w:w="80" w:type="dxa"/>
            <w:vAlign w:val="bottom"/>
          </w:tcPr>
          <w:p>
            <w:pPr>
              <w:spacing w:after="0"/>
              <w:rPr>
                <w:sz w:val="20"/>
                <w:szCs w:val="20"/>
                <w:color w:val="auto"/>
              </w:rPr>
            </w:pPr>
          </w:p>
        </w:tc>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64,016</w:t>
            </w:r>
          </w:p>
        </w:tc>
        <w:tc>
          <w:tcPr>
            <w:tcW w:w="8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36,006</w:t>
            </w:r>
          </w:p>
        </w:tc>
        <w:tc>
          <w:tcPr>
            <w:tcW w:w="0" w:type="dxa"/>
            <w:vAlign w:val="bottom"/>
          </w:tcPr>
          <w:p>
            <w:pPr>
              <w:spacing w:after="0"/>
              <w:rPr>
                <w:sz w:val="1"/>
                <w:szCs w:val="1"/>
                <w:color w:val="auto"/>
              </w:rPr>
            </w:pPr>
          </w:p>
        </w:tc>
      </w:tr>
      <w:tr>
        <w:trPr>
          <w:trHeight w:val="25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Internal Costs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32,261</w:t>
            </w:r>
          </w:p>
        </w:tc>
        <w:tc>
          <w:tcPr>
            <w:tcW w:w="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24,782</w:t>
            </w:r>
          </w:p>
        </w:tc>
        <w:tc>
          <w:tcPr>
            <w:tcW w:w="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0" w:type="dxa"/>
            <w:vAlign w:val="bottom"/>
          </w:tcPr>
          <w:p>
            <w:pPr>
              <w:spacing w:after="0"/>
              <w:rPr>
                <w:sz w:val="1"/>
                <w:szCs w:val="1"/>
                <w:color w:val="auto"/>
              </w:rPr>
            </w:pPr>
          </w:p>
        </w:tc>
      </w:tr>
      <w:tr>
        <w:trPr>
          <w:trHeight w:val="215"/>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Costs</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132,283</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88,798</w:t>
            </w:r>
          </w:p>
        </w:tc>
        <w:tc>
          <w:tcPr>
            <w:tcW w:w="80" w:type="dxa"/>
            <w:vAlign w:val="bottom"/>
          </w:tcPr>
          <w:p>
            <w:pPr>
              <w:spacing w:after="0"/>
              <w:rPr>
                <w:sz w:val="18"/>
                <w:szCs w:val="18"/>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43,485</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-1488440</wp:posOffset>
            </wp:positionV>
            <wp:extent cx="6524625" cy="1508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6524625" cy="1508125"/>
                    </a:xfrm>
                    <a:prstGeom prst="rect">
                      <a:avLst/>
                    </a:prstGeom>
                    <a:noFill/>
                  </pic:spPr>
                </pic:pic>
              </a:graphicData>
            </a:graphic>
          </wp:anchor>
        </w:drawing>
      </w: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39" w:lineRule="exact"/>
        <w:rPr>
          <w:sz w:val="20"/>
          <w:szCs w:val="20"/>
          <w:color w:val="auto"/>
        </w:rPr>
      </w:pPr>
    </w:p>
    <w:p>
      <w:pPr>
        <w:ind w:right="120" w:firstLine="630"/>
        <w:spacing w:after="0" w:line="258" w:lineRule="auto"/>
        <w:rPr>
          <w:sz w:val="20"/>
          <w:szCs w:val="20"/>
          <w:color w:val="auto"/>
        </w:rPr>
      </w:pPr>
      <w:r>
        <w:rPr>
          <w:rFonts w:ascii="Times New Roman" w:cs="Times New Roman" w:eastAsia="Times New Roman" w:hAnsi="Times New Roman"/>
          <w:sz w:val="20"/>
          <w:szCs w:val="20"/>
          <w:color w:val="auto"/>
        </w:rPr>
        <w:t>General and administrative expenses were $41.9 million during the year ended December 31, 2023 compared to $36.6 million during the year ended December 31, 2022, for an increase of approximately $5.3 million. The increase is primarily due to a $4.3 million increase in personnel costs, including $2.5 million in stock compensation expense, a $0.4 million increase in legal cost, a $0.3 million increase in market research cost, and a $0.7 million increase in other general and administrative expense, partially offset by a $0.4 million decrease in insurance expense.</w:t>
      </w:r>
    </w:p>
    <w:p>
      <w:pPr>
        <w:spacing w:after="0" w:line="84" w:lineRule="exact"/>
        <w:rPr>
          <w:sz w:val="20"/>
          <w:szCs w:val="20"/>
          <w:color w:val="auto"/>
        </w:rPr>
      </w:pPr>
    </w:p>
    <w:p>
      <w:pPr>
        <w:ind w:right="120" w:firstLine="630"/>
        <w:spacing w:after="0" w:line="258" w:lineRule="auto"/>
        <w:rPr>
          <w:sz w:val="20"/>
          <w:szCs w:val="20"/>
          <w:color w:val="auto"/>
        </w:rPr>
      </w:pPr>
      <w:r>
        <w:rPr>
          <w:rFonts w:ascii="Times New Roman" w:cs="Times New Roman" w:eastAsia="Times New Roman" w:hAnsi="Times New Roman"/>
          <w:sz w:val="20"/>
          <w:szCs w:val="20"/>
          <w:color w:val="auto"/>
        </w:rPr>
        <w:t>We expect that our general and administrative expenses will increase for the foreseeable future as we incur costs associated with being a publicly traded company, including stock compensation expense,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w:t>
      </w:r>
    </w:p>
    <w:p>
      <w:pPr>
        <w:spacing w:after="0" w:line="1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Acquired in-process research and development</w:t>
      </w:r>
    </w:p>
    <w:p>
      <w:pPr>
        <w:spacing w:after="0" w:line="139" w:lineRule="exact"/>
        <w:rPr>
          <w:sz w:val="20"/>
          <w:szCs w:val="20"/>
          <w:color w:val="auto"/>
        </w:rPr>
      </w:pPr>
    </w:p>
    <w:p>
      <w:pPr>
        <w:ind w:right="120" w:firstLine="630"/>
        <w:spacing w:after="0" w:line="260" w:lineRule="auto"/>
        <w:rPr>
          <w:sz w:val="20"/>
          <w:szCs w:val="20"/>
          <w:color w:val="auto"/>
        </w:rPr>
      </w:pPr>
      <w:r>
        <w:rPr>
          <w:rFonts w:ascii="Times New Roman" w:cs="Times New Roman" w:eastAsia="Times New Roman" w:hAnsi="Times New Roman"/>
          <w:sz w:val="20"/>
          <w:szCs w:val="20"/>
          <w:color w:val="auto"/>
        </w:rPr>
        <w:t>Acquired in-process research and development expenses were $7.3 million for the year ended December 31, 2023, due to the assets purchased pursuant to the Centessa Agreement. For more information see Note 4 — Collaborative Research and Development Agreements in the accompanying notes to the consolidated financial statements included in Part II, Item 8, “Consolidated Financial Statements and Supplementary Data” of this Annual Report on Form 10-K.</w:t>
      </w:r>
    </w:p>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Non-cash Interest Expense for the Sale of Future Royalties</w:t>
      </w:r>
    </w:p>
    <w:p>
      <w:pPr>
        <w:spacing w:after="0" w:line="139" w:lineRule="exact"/>
        <w:rPr>
          <w:sz w:val="20"/>
          <w:szCs w:val="20"/>
          <w:color w:val="auto"/>
        </w:rPr>
      </w:pPr>
    </w:p>
    <w:p>
      <w:pPr>
        <w:ind w:firstLine="630"/>
        <w:spacing w:after="0" w:line="260" w:lineRule="auto"/>
        <w:rPr>
          <w:sz w:val="20"/>
          <w:szCs w:val="20"/>
          <w:color w:val="auto"/>
        </w:rPr>
      </w:pPr>
      <w:r>
        <w:rPr>
          <w:rFonts w:ascii="Times New Roman" w:cs="Times New Roman" w:eastAsia="Times New Roman" w:hAnsi="Times New Roman"/>
          <w:sz w:val="20"/>
          <w:szCs w:val="20"/>
          <w:color w:val="auto"/>
        </w:rPr>
        <w:t xml:space="preserve">Interest expense was $18.1 million during the year ended December 31, 2023 compared to $21.1 million during the year ended December 31, 2022. The decrease of $3.0 million in non-cash interest expense is due to a change in the expected timing for Sagard to be paid per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partially offset by $0.9 million in interest recognized on the liability related to Zejula Royalty Monetization Agreement that was completed in September 2022.</w:t>
      </w:r>
    </w:p>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139" w:lineRule="exact"/>
        <w:rPr>
          <w:sz w:val="20"/>
          <w:szCs w:val="20"/>
          <w:color w:val="auto"/>
        </w:rPr>
      </w:pPr>
    </w:p>
    <w:p>
      <w:pPr>
        <w:jc w:val="both"/>
        <w:ind w:right="160" w:firstLine="630"/>
        <w:spacing w:after="0" w:line="286" w:lineRule="auto"/>
        <w:rPr>
          <w:sz w:val="20"/>
          <w:szCs w:val="20"/>
          <w:color w:val="auto"/>
        </w:rPr>
      </w:pPr>
      <w:r>
        <w:rPr>
          <w:rFonts w:ascii="Times New Roman" w:cs="Times New Roman" w:eastAsia="Times New Roman" w:hAnsi="Times New Roman"/>
          <w:sz w:val="19"/>
          <w:szCs w:val="19"/>
          <w:color w:val="auto"/>
        </w:rPr>
        <w:t>Interest income was $18.9 million during the year ended December 31, 2023 compared to $7.6 million during the year ended December 31, 2022. The increase of $11.3 million in interest income was primarily related to our short-term and long-term investments. The increase in interest income is due to higher interest rates during the year ended December 31, 2023.</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37" w:lineRule="exact"/>
        <w:rPr>
          <w:sz w:val="20"/>
          <w:szCs w:val="20"/>
          <w:color w:val="auto"/>
        </w:rPr>
      </w:pPr>
    </w:p>
    <w:p>
      <w:pPr>
        <w:ind w:firstLine="630"/>
        <w:spacing w:after="0" w:line="260" w:lineRule="auto"/>
        <w:rPr>
          <w:sz w:val="20"/>
          <w:szCs w:val="20"/>
          <w:color w:val="auto"/>
        </w:rPr>
      </w:pPr>
      <w:r>
        <w:rPr>
          <w:rFonts w:ascii="Times New Roman" w:cs="Times New Roman" w:eastAsia="Times New Roman" w:hAnsi="Times New Roman"/>
          <w:sz w:val="20"/>
          <w:szCs w:val="20"/>
          <w:color w:val="auto"/>
        </w:rPr>
        <w:t>From our inception through December 31, 2023, we have received an aggregate of $1.2 billion to fund our operations, which included $637.3 million from the sale of equity securities, $285.0 million from the sale of future royalties, $234.2 million from our collaboration agreements and $19.1 million from venture debt. As of December 31, 2023, we had $417.9 million in cash, cash equivalents and investments.</w:t>
      </w:r>
    </w:p>
    <w:p>
      <w:pPr>
        <w:spacing w:after="0" w:line="83" w:lineRule="exact"/>
        <w:rPr>
          <w:sz w:val="20"/>
          <w:szCs w:val="20"/>
          <w:color w:val="auto"/>
        </w:rPr>
      </w:pPr>
    </w:p>
    <w:p>
      <w:pPr>
        <w:ind w:right="300" w:firstLine="630"/>
        <w:spacing w:after="0" w:line="256" w:lineRule="auto"/>
        <w:rPr>
          <w:sz w:val="20"/>
          <w:szCs w:val="20"/>
          <w:color w:val="auto"/>
        </w:rPr>
      </w:pPr>
      <w:r>
        <w:rPr>
          <w:rFonts w:ascii="Times New Roman" w:cs="Times New Roman" w:eastAsia="Times New Roman" w:hAnsi="Times New Roman"/>
          <w:sz w:val="20"/>
          <w:szCs w:val="20"/>
          <w:color w:val="auto"/>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including the GSK Agreement and the GSK Settlement Agreement. Our ability to earn these milestone and contingent payments and the timing of achieving these milestones is primarily dependent upon the outcome of our collaborators’ research and development activities. Our rights to payments under our collaboration agreements are our only committed external source of funds.</w:t>
      </w:r>
    </w:p>
    <w:p>
      <w:pPr>
        <w:sectPr>
          <w:pgSz w:w="12240" w:h="15840" w:orient="portrait"/>
          <w:cols w:equalWidth="0" w:num="1">
            <w:col w:w="10240"/>
          </w:cols>
          <w:pgMar w:left="1000" w:top="851" w:right="1000" w:bottom="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240"/>
          </w:cols>
          <w:pgMar w:left="1000" w:top="851" w:right="1000" w:bottom="0" w:gutter="0" w:footer="0" w:header="0"/>
          <w:type w:val="continuous"/>
        </w:sectPr>
      </w:pPr>
    </w:p>
    <w:bookmarkStart w:id="66" w:name="page67"/>
    <w:bookmarkEnd w:id="66"/>
    <w:p>
      <w:pPr>
        <w:ind w:right="40" w:firstLine="630"/>
        <w:spacing w:after="0" w:line="253" w:lineRule="auto"/>
        <w:rPr>
          <w:sz w:val="20"/>
          <w:szCs w:val="20"/>
          <w:color w:val="auto"/>
        </w:rPr>
      </w:pPr>
      <w:r>
        <w:rPr>
          <w:rFonts w:ascii="Times New Roman" w:cs="Times New Roman" w:eastAsia="Times New Roman" w:hAnsi="Times New Roman"/>
          <w:sz w:val="20"/>
          <w:szCs w:val="20"/>
          <w:color w:val="auto"/>
        </w:rPr>
        <w:t xml:space="preserve">In October 2021, we signed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with Sagard. Pursuant to this transaction we received a $250.0 million payment upon closing in December 2021, in exchange for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royalties due to us on annual commercial sales below $1.0 billion and certain future milestones starting in October 2021. We treated the sale of future revenue from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with Sagard as debt, which will be amortized under the effective interest rate method over the estimated life of the related expected royalty stream. We recorded the upfront proceeds of $250.0 million, net of $0.4 million of transaction costs, as a liability related to the sale of future revenue. The liability and the related interest expense are based on our current estimates of future royalties and certain milestones expected to be paid over the life of the agreement. We will periodically assess the expected royalty and milestone payments and to the extent our future estimates or timing of such payments are materially different than our previous estimates, we will prospectively recognize related interest expense. Royalty revenue will be recognized as earned on net sales of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and we will record the royalty payments to Sagard as a reduction of the liability when paid. As such payments are made to Sagard, the balance of the liability will be effectively repaid over the life of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For further discussion of the sale of future revenue, refer to Note 5 — Sale of Future Royalties in the accompanying notes to the consolidated financial statements included in Part II, Item 8, “Consolidated Financial Statements and Supplementary Data” of this Annual Report on Form 10-K.</w:t>
      </w:r>
    </w:p>
    <w:p>
      <w:pPr>
        <w:spacing w:after="0" w:line="90" w:lineRule="exact"/>
        <w:rPr>
          <w:sz w:val="20"/>
          <w:szCs w:val="20"/>
          <w:color w:val="auto"/>
        </w:rPr>
      </w:pPr>
    </w:p>
    <w:p>
      <w:pPr>
        <w:ind w:firstLine="630"/>
        <w:spacing w:after="0" w:line="252" w:lineRule="auto"/>
        <w:rPr>
          <w:sz w:val="20"/>
          <w:szCs w:val="20"/>
          <w:color w:val="auto"/>
        </w:rPr>
      </w:pPr>
      <w:r>
        <w:rPr>
          <w:rFonts w:ascii="Times New Roman" w:cs="Times New Roman" w:eastAsia="Times New Roman" w:hAnsi="Times New Roman"/>
          <w:sz w:val="20"/>
          <w:szCs w:val="20"/>
          <w:color w:val="auto"/>
        </w:rPr>
        <w:t>In September 2022, we signed the Zejula Royalty Monetization Agreement with DRI. Pursuant to this transaction we received a $35.0 million payment in exchange for all royalties payable by GSK to us under the GSK Settlement Agreement on global net sales of Zejula starting in July 2022. We treated the sale of future revenue from the Zejula Royalty Monetization Agreement with DRI as debt, which will be amortized under the effective interest rate method over the estimated life of the related expected royalty stream. We recorded the upfront proceeds of $35.0 million, net of $0.2 million of transaction costs, as a liability related to the sale of future revenue. The liability and the related interest expense are based on our current estimates of future royalties expected to be paid over the life of the agreement. We will periodically assess the expected royalty and milestone payments and to the extent our future estimates or timing of such payments are materially different than our previous estimates, we will prospectively recognize related interest expense. Royalty Monetization Agreement. Royalty revenue will be recognized as earned on net sales of Zejula, and we will record the royalty payments to DRI as a reduction of the liability when paid. As such payments are made to DRI, the balance of the liability will be effectively repaid over the life of the Zejula Royalty Monetization Agreement. For further discussion of the sale of future revenue, refer to Note 5 — Sale of Future Royalties in the accompanying notes to the consolidated financial statements included in Part II, Item 8, “Consolidated Financial Statements and Supplementary Data” of this Annual Report on Form 10-K.</w:t>
      </w:r>
    </w:p>
    <w:p>
      <w:pPr>
        <w:spacing w:after="0" w:line="99" w:lineRule="exact"/>
        <w:rPr>
          <w:sz w:val="20"/>
          <w:szCs w:val="20"/>
          <w:color w:val="auto"/>
        </w:rPr>
      </w:pPr>
    </w:p>
    <w:p>
      <w:pPr>
        <w:ind w:right="360" w:firstLine="630"/>
        <w:spacing w:after="0" w:line="286" w:lineRule="auto"/>
        <w:rPr>
          <w:sz w:val="20"/>
          <w:szCs w:val="20"/>
          <w:color w:val="auto"/>
        </w:rPr>
      </w:pPr>
      <w:r>
        <w:rPr>
          <w:rFonts w:ascii="Times New Roman" w:cs="Times New Roman" w:eastAsia="Times New Roman" w:hAnsi="Times New Roman"/>
          <w:sz w:val="19"/>
          <w:szCs w:val="19"/>
          <w:color w:val="auto"/>
        </w:rPr>
        <w:t>In November 2022, we entered into a Sales Agreement (the “Cowen Sales Agreement”) with Cowen and Company, LLC (“Cowen”), through which we may offer and sell shares of our common stock, having an aggregate offering of up to $150.0 million through Cowen as our sales agent. As of December 31, 2023, we had sold no shares under this agreement.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Funding Requirements</w:t>
      </w:r>
    </w:p>
    <w:p>
      <w:pPr>
        <w:spacing w:after="0" w:line="137" w:lineRule="exact"/>
        <w:rPr>
          <w:sz w:val="20"/>
          <w:szCs w:val="20"/>
          <w:color w:val="auto"/>
        </w:rPr>
      </w:pPr>
    </w:p>
    <w:p>
      <w:pPr>
        <w:ind w:right="100" w:firstLine="630"/>
        <w:spacing w:after="0" w:line="266" w:lineRule="auto"/>
        <w:rPr>
          <w:sz w:val="20"/>
          <w:szCs w:val="20"/>
          <w:color w:val="auto"/>
        </w:rPr>
      </w:pPr>
      <w:r>
        <w:rPr>
          <w:rFonts w:ascii="Times New Roman" w:cs="Times New Roman" w:eastAsia="Times New Roman" w:hAnsi="Times New Roman"/>
          <w:sz w:val="20"/>
          <w:szCs w:val="20"/>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75" w:lineRule="exact"/>
        <w:rPr>
          <w:sz w:val="20"/>
          <w:szCs w:val="20"/>
          <w:color w:val="auto"/>
        </w:rPr>
      </w:pPr>
    </w:p>
    <w:p>
      <w:pPr>
        <w:ind w:right="40" w:firstLine="630"/>
        <w:spacing w:after="0" w:line="256" w:lineRule="auto"/>
        <w:rPr>
          <w:sz w:val="20"/>
          <w:szCs w:val="20"/>
          <w:color w:val="auto"/>
        </w:rPr>
      </w:pPr>
      <w:r>
        <w:rPr>
          <w:rFonts w:ascii="Times New Roman" w:cs="Times New Roman" w:eastAsia="Times New Roman" w:hAnsi="Times New Roman"/>
          <w:sz w:val="20"/>
          <w:szCs w:val="20"/>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spacing w:after="0" w:line="88" w:lineRule="exact"/>
        <w:rPr>
          <w:sz w:val="20"/>
          <w:szCs w:val="20"/>
          <w:color w:val="auto"/>
        </w:rPr>
      </w:pPr>
    </w:p>
    <w:p>
      <w:pPr>
        <w:ind w:right="40" w:firstLine="630"/>
        <w:spacing w:after="0" w:line="256" w:lineRule="auto"/>
        <w:rPr>
          <w:sz w:val="20"/>
          <w:szCs w:val="20"/>
          <w:color w:val="auto"/>
        </w:rPr>
      </w:pPr>
      <w:r>
        <w:rPr>
          <w:rFonts w:ascii="Times New Roman" w:cs="Times New Roman" w:eastAsia="Times New Roman" w:hAnsi="Times New Roman"/>
          <w:sz w:val="20"/>
          <w:szCs w:val="20"/>
          <w:color w:val="auto"/>
        </w:rPr>
        <w:t>Cash, cash equivalents and investments totaled $417.9 million as of December 31, 2023, compared to $584.2 million as of December 31, 2022. We believe that our existing cash, cash equivalents and investments will fund our current operating plan for at least the next twelve months from the issuance of our consolidated financial statements. We have based this estimate on assumptions that may prove to be wrong, and we could use our capital resources sooner than we expect. Additionally, the process of testing product candidates in clinical trials and seeking regulatory approval is costly, and the timing of progress and expenses in these trials is uncertain.</w:t>
      </w:r>
    </w:p>
    <w:p>
      <w:pPr>
        <w:sectPr>
          <w:pgSz w:w="12240" w:h="15840" w:orient="portrait"/>
          <w:cols w:equalWidth="0" w:num="1">
            <w:col w:w="10240"/>
          </w:cols>
          <w:pgMar w:left="1000" w:top="78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240"/>
          </w:cols>
          <w:pgMar w:left="1000" w:top="789" w:right="1000" w:bottom="0" w:gutter="0" w:footer="0" w:header="0"/>
          <w:type w:val="continuous"/>
        </w:sectPr>
      </w:pPr>
    </w:p>
    <w:bookmarkStart w:id="67" w:name="page68"/>
    <w:bookmarkEnd w:id="67"/>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following table summarizes our cash flows for the years ended December 31, 2023 and 2022:</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40" w:type="dxa"/>
            <w:vAlign w:val="bottom"/>
          </w:tcPr>
          <w:p>
            <w:pPr>
              <w:spacing w:after="0"/>
              <w:rPr>
                <w:sz w:val="16"/>
                <w:szCs w:val="16"/>
                <w:color w:val="auto"/>
              </w:rPr>
            </w:pPr>
          </w:p>
        </w:tc>
      </w:tr>
      <w:tr>
        <w:trPr>
          <w:trHeight w:val="214"/>
        </w:trPr>
        <w:tc>
          <w:tcPr>
            <w:tcW w:w="7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r>
      <w:tr>
        <w:trPr>
          <w:trHeight w:val="220"/>
        </w:trPr>
        <w:tc>
          <w:tcPr>
            <w:tcW w:w="7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1"/>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provided by:</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06"/>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Operating activities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(120,800)</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(73,593)</w:t>
            </w:r>
          </w:p>
        </w:tc>
      </w:tr>
      <w:tr>
        <w:trPr>
          <w:trHeight w:val="285"/>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Investing activities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144,754</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(394,845)</w:t>
            </w:r>
          </w:p>
        </w:tc>
      </w:tr>
      <w:tr>
        <w:trPr>
          <w:trHeight w:val="288"/>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Financing activities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(59,297)</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44,017</w:t>
            </w:r>
          </w:p>
        </w:tc>
      </w:tr>
      <w:tr>
        <w:trPr>
          <w:trHeight w:val="245"/>
        </w:trPr>
        <w:tc>
          <w:tcPr>
            <w:tcW w:w="75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Net decrease in cash and cash equivalents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(35,343)</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(424,421)</w:t>
            </w:r>
          </w:p>
        </w:tc>
      </w:tr>
      <w:tr>
        <w:trPr>
          <w:trHeight w:val="20"/>
        </w:trPr>
        <w:tc>
          <w:tcPr>
            <w:tcW w:w="7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540500" cy="2063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-574040</wp:posOffset>
            </wp:positionV>
            <wp:extent cx="6553200" cy="593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6553200" cy="59372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134" w:lineRule="exact"/>
        <w:rPr>
          <w:sz w:val="20"/>
          <w:szCs w:val="20"/>
          <w:color w:val="auto"/>
        </w:rPr>
      </w:pPr>
    </w:p>
    <w:p>
      <w:pPr>
        <w:jc w:val="both"/>
        <w:ind w:right="40" w:firstLine="630"/>
        <w:spacing w:after="0" w:line="260" w:lineRule="auto"/>
        <w:rPr>
          <w:sz w:val="20"/>
          <w:szCs w:val="20"/>
          <w:color w:val="auto"/>
        </w:rPr>
      </w:pPr>
      <w:r>
        <w:rPr>
          <w:rFonts w:ascii="Times New Roman" w:cs="Times New Roman" w:eastAsia="Times New Roman" w:hAnsi="Times New Roman"/>
          <w:sz w:val="20"/>
          <w:szCs w:val="20"/>
          <w:color w:val="auto"/>
        </w:rPr>
        <w:t>Net cash used in operating activities during the year ended December 31, 2023 was $120.8 million, primarily due to our net loss of $163.6 million, adjusted for addbacks for non-cash items of $43.1 million which includes stock-based compensation, amortization of operating right-of-use assets, non-cash interest expense, and income from marketable securities and increases in working capital of $0.2 million.</w:t>
      </w:r>
    </w:p>
    <w:p>
      <w:pPr>
        <w:spacing w:after="0" w:line="203" w:lineRule="exact"/>
        <w:rPr>
          <w:sz w:val="20"/>
          <w:szCs w:val="20"/>
          <w:color w:val="auto"/>
        </w:rPr>
      </w:pPr>
    </w:p>
    <w:p>
      <w:pPr>
        <w:ind w:right="40" w:firstLine="630"/>
        <w:spacing w:after="0" w:line="260" w:lineRule="auto"/>
        <w:rPr>
          <w:sz w:val="20"/>
          <w:szCs w:val="20"/>
          <w:color w:val="auto"/>
        </w:rPr>
      </w:pPr>
      <w:r>
        <w:rPr>
          <w:rFonts w:ascii="Times New Roman" w:cs="Times New Roman" w:eastAsia="Times New Roman" w:hAnsi="Times New Roman"/>
          <w:sz w:val="20"/>
          <w:szCs w:val="20"/>
          <w:color w:val="auto"/>
        </w:rPr>
        <w:t>Net cash used in operating activities during the year ended December 31, 2022 was $73.6 million, primarily due to our net loss of $128.7 million, adjusted for addbacks for non-cash items of $48.3 million which includes stock-based compensation, amortization of operating right-of-use assets, non-cash interest expense, and income from marketable securities and increases in working capital of $6.8 million.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134" w:lineRule="exact"/>
        <w:rPr>
          <w:sz w:val="20"/>
          <w:szCs w:val="20"/>
          <w:color w:val="auto"/>
        </w:rPr>
      </w:pPr>
    </w:p>
    <w:p>
      <w:pPr>
        <w:ind w:right="300" w:firstLine="630"/>
        <w:spacing w:after="0" w:line="266" w:lineRule="auto"/>
        <w:rPr>
          <w:sz w:val="20"/>
          <w:szCs w:val="20"/>
          <w:color w:val="auto"/>
        </w:rPr>
      </w:pPr>
      <w:r>
        <w:rPr>
          <w:rFonts w:ascii="Times New Roman" w:cs="Times New Roman" w:eastAsia="Times New Roman" w:hAnsi="Times New Roman"/>
          <w:sz w:val="20"/>
          <w:szCs w:val="20"/>
          <w:color w:val="auto"/>
        </w:rPr>
        <w:t>Cash provided by investing activities during the year ended December 31, 2023 was $144.8 million, primarily due to the sale and maturities of investments of $449.5 million, offset by the acquisition of investments of $303.9 million and the purchases of property and equipment of approximately $0.8 million.</w:t>
      </w:r>
    </w:p>
    <w:p>
      <w:pPr>
        <w:spacing w:after="0" w:line="75" w:lineRule="exact"/>
        <w:rPr>
          <w:sz w:val="20"/>
          <w:szCs w:val="20"/>
          <w:color w:val="auto"/>
        </w:rPr>
      </w:pPr>
    </w:p>
    <w:p>
      <w:pPr>
        <w:jc w:val="both"/>
        <w:ind w:right="20" w:firstLine="630"/>
        <w:spacing w:after="0" w:line="266" w:lineRule="auto"/>
        <w:rPr>
          <w:sz w:val="20"/>
          <w:szCs w:val="20"/>
          <w:color w:val="auto"/>
        </w:rPr>
      </w:pPr>
      <w:r>
        <w:rPr>
          <w:rFonts w:ascii="Times New Roman" w:cs="Times New Roman" w:eastAsia="Times New Roman" w:hAnsi="Times New Roman"/>
          <w:sz w:val="20"/>
          <w:szCs w:val="20"/>
          <w:color w:val="auto"/>
        </w:rPr>
        <w:t>Cash used in investing activities during the year ended December 31, 2022 was $394.8 million, primarily due to the sale and maturities of investments of $408.0 million, offset by the acquisition of investments of $802.5 million and the purchases of property and equipment of $0.3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1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Cash used in financing activities during the year ended December 31, 2023 was $59.3 million, primarily related to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$50.0 million paid for repurchases and retirements of common stock, $11.8 million for repayments of the liability for the sale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future royalties and debt issuance costs, offset by $2.5 million proceeds received from the issuance of common stock.</w:t>
      </w:r>
    </w:p>
    <w:p>
      <w:pPr>
        <w:spacing w:after="0" w:line="110" w:lineRule="exact"/>
        <w:rPr>
          <w:sz w:val="20"/>
          <w:szCs w:val="20"/>
          <w:color w:val="auto"/>
        </w:rPr>
      </w:pPr>
    </w:p>
    <w:p>
      <w:pPr>
        <w:ind w:right="100" w:firstLine="630"/>
        <w:spacing w:after="0" w:line="260" w:lineRule="auto"/>
        <w:rPr>
          <w:sz w:val="20"/>
          <w:szCs w:val="20"/>
          <w:color w:val="auto"/>
        </w:rPr>
      </w:pPr>
      <w:r>
        <w:rPr>
          <w:rFonts w:ascii="Times New Roman" w:cs="Times New Roman" w:eastAsia="Times New Roman" w:hAnsi="Times New Roman"/>
          <w:sz w:val="20"/>
          <w:szCs w:val="20"/>
          <w:color w:val="auto"/>
        </w:rPr>
        <w:t>Cash provided by financing activities during the year ended December 31, 2022 was $44.0 million, primarily related to $35.0 million received for the sale of future royalties, and $11.8 million proceeds received from the issuance of common stock, offset by $2.5 million for repayments of the liability for the sale of future royalties and $0.3 million for payments of issuance costs related to the sale of future royalties.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w:t>
      </w:r>
    </w:p>
    <w:p>
      <w:pPr>
        <w:spacing w:after="0" w:line="137" w:lineRule="exact"/>
        <w:rPr>
          <w:sz w:val="20"/>
          <w:szCs w:val="20"/>
          <w:color w:val="auto"/>
        </w:rPr>
      </w:pPr>
    </w:p>
    <w:p>
      <w:pPr>
        <w:ind w:right="20" w:firstLine="630"/>
        <w:spacing w:after="0" w:line="256" w:lineRule="auto"/>
        <w:rPr>
          <w:sz w:val="20"/>
          <w:szCs w:val="20"/>
          <w:color w:val="auto"/>
        </w:rPr>
      </w:pPr>
      <w:r>
        <w:rPr>
          <w:rFonts w:ascii="Times New Roman" w:cs="Times New Roman" w:eastAsia="Times New Roman" w:hAnsi="Times New Roman"/>
          <w:sz w:val="20"/>
          <w:szCs w:val="20"/>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spacing w:after="0" w:line="88" w:lineRule="exact"/>
        <w:rPr>
          <w:sz w:val="20"/>
          <w:szCs w:val="20"/>
          <w:color w:val="auto"/>
        </w:rPr>
      </w:pPr>
    </w:p>
    <w:p>
      <w:pPr>
        <w:ind w:right="20" w:firstLine="630"/>
        <w:spacing w:after="0" w:line="266" w:lineRule="auto"/>
        <w:rPr>
          <w:sz w:val="20"/>
          <w:szCs w:val="20"/>
          <w:color w:val="auto"/>
        </w:rPr>
      </w:pPr>
      <w:r>
        <w:rPr>
          <w:rFonts w:ascii="Times New Roman" w:cs="Times New Roman" w:eastAsia="Times New Roman" w:hAnsi="Times New Roman"/>
          <w:sz w:val="20"/>
          <w:szCs w:val="20"/>
          <w:color w:val="auto"/>
        </w:rPr>
        <w:t>For further information related to our operating lease, see Note 10 — Commitments and Contingencies in the accompanying notes to the consolidated financial statements included in Part II, Item 8, “Consolidated Financial Statements and Supplementary Data” of this Annual Report on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260"/>
          </w:cols>
          <w:pgMar w:left="1000" w:top="784" w:right="980" w:bottom="0" w:gutter="0" w:footer="0" w:header="0"/>
          <w:type w:val="continuous"/>
        </w:sectPr>
      </w:pPr>
    </w:p>
    <w:bookmarkStart w:id="68" w:name="page69"/>
    <w:bookmarkEnd w:id="68"/>
    <w:p>
      <w:pPr>
        <w:ind w:firstLine="630"/>
        <w:spacing w:after="0" w:line="252" w:lineRule="auto"/>
        <w:rPr>
          <w:sz w:val="20"/>
          <w:szCs w:val="20"/>
          <w:color w:val="auto"/>
        </w:rPr>
      </w:pPr>
      <w:r>
        <w:rPr>
          <w:rFonts w:ascii="Times New Roman" w:cs="Times New Roman" w:eastAsia="Times New Roman" w:hAnsi="Times New Roman"/>
          <w:sz w:val="20"/>
          <w:szCs w:val="20"/>
          <w:color w:val="auto"/>
        </w:rPr>
        <w:t>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and cash equivalents, short-term and long-term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As of December 31, 2023, our investment portfolio includes cash, cash equivalents, and investments of $417.9 million that earn interest at market rates. Our investments held during the year were comprised of highly rated instruments such as money market funds, certificates of deposit, agency securities, commercial obligations and U.S. Treasury securities. As of December 31, 2023, the majority of these instruments had a maturity of less than a year. A hypothetical increase or decrease of 100 basis points on the interest rates of our investments would not have a material effect on the fair value of our investment portfolio and any losses would only be realized if we sold the investments prior to maturity.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Exchange Risk</w:t>
      </w:r>
    </w:p>
    <w:p>
      <w:pPr>
        <w:spacing w:after="0" w:line="139" w:lineRule="exact"/>
        <w:rPr>
          <w:sz w:val="20"/>
          <w:szCs w:val="20"/>
          <w:color w:val="auto"/>
        </w:rPr>
      </w:pPr>
    </w:p>
    <w:p>
      <w:pPr>
        <w:ind w:right="140" w:firstLine="630"/>
        <w:spacing w:after="0" w:line="254" w:lineRule="auto"/>
        <w:rPr>
          <w:sz w:val="20"/>
          <w:szCs w:val="20"/>
          <w:color w:val="auto"/>
        </w:rPr>
      </w:pPr>
      <w:r>
        <w:rPr>
          <w:rFonts w:ascii="Times New Roman" w:cs="Times New Roman" w:eastAsia="Times New Roman" w:hAnsi="Times New Roman"/>
          <w:sz w:val="20"/>
          <w:szCs w:val="20"/>
          <w:color w:val="auto"/>
        </w:rPr>
        <w:t>We conduct a portion of our business with CROs in currencies other than our U.S. dollar functional currency. These transactions give rise to monetary assets and liabilities that are denominated in currencies other than the U.S. dollar. The value of these monetary assets and liabilities are subject to changes in currency exchange rates from the time the transactions are originated until settlement in cash. Our foreign currency exposures are primarily concentrated in the euro, British pound, Australian dollar, and Canadian dollar. Both realized and unrealized gains or losses on the value of these monetary assets and liabilities are included in the determination of net income. We do not hedge our foreign currency exchange rate risk, however, we may do so in the future. As of December 31, 2023, we had no material accounts payable or receivable denominated in foreign currencies, and a hypothetical 10% change in foreign currency exchange rates applicable to our business would not have had a material impact on our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Inflation Risk</w:t>
      </w:r>
    </w:p>
    <w:p>
      <w:pPr>
        <w:spacing w:after="0" w:line="139" w:lineRule="exact"/>
        <w:rPr>
          <w:sz w:val="20"/>
          <w:szCs w:val="20"/>
          <w:color w:val="auto"/>
        </w:rPr>
      </w:pPr>
    </w:p>
    <w:p>
      <w:pPr>
        <w:ind w:right="40" w:firstLine="630"/>
        <w:spacing w:after="0" w:line="266" w:lineRule="auto"/>
        <w:rPr>
          <w:sz w:val="20"/>
          <w:szCs w:val="20"/>
          <w:color w:val="auto"/>
        </w:rPr>
      </w:pPr>
      <w:r>
        <w:rPr>
          <w:rFonts w:ascii="Times New Roman" w:cs="Times New Roman" w:eastAsia="Times New Roman" w:hAnsi="Times New Roman"/>
          <w:sz w:val="20"/>
          <w:szCs w:val="20"/>
          <w:color w:val="auto"/>
        </w:rPr>
        <w:t>Inflation generally affects us by increasing our clinical trial and other operational costs. We do not believe that inflation has had a material effect on our business, financial condition or results of operations during the years ended December 31, 2023, 2022 or 2021.</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240"/>
          </w:cols>
          <w:pgMar w:left="1000" w:top="793" w:right="100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b w:val="1"/>
          <w:bCs w:val="1"/>
          <w:color w:val="auto"/>
        </w:rPr>
        <w:t>Item 8. Consolidated Financial Statements and Supplementary Data</w:t>
      </w: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Index to Audited Consolidated Financial Statements</w:t>
      </w: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80" w:type="dxa"/>
            <w:vAlign w:val="bottom"/>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45"/>
        </w:trPr>
        <w:tc>
          <w:tcPr>
            <w:tcW w:w="55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Report of Independent Registered Public Accounting Firm</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65"/>
        </w:trPr>
        <w:tc>
          <w:tcPr>
            <w:tcW w:w="27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9"/>
              </w:rPr>
              <w:t>Consolidated Financial Statements</w:t>
            </w:r>
          </w:p>
        </w:tc>
        <w:tc>
          <w:tcPr>
            <w:tcW w:w="1900" w:type="dxa"/>
            <w:vAlign w:val="bottom"/>
            <w:tcBorders>
              <w:top w:val="single" w:sz="8" w:color="0000FF"/>
            </w:tcBorders>
            <w:gridSpan w:val="4"/>
          </w:tcPr>
          <w:p>
            <w:pPr>
              <w:spacing w:after="0"/>
              <w:rPr>
                <w:sz w:val="23"/>
                <w:szCs w:val="23"/>
                <w:color w:val="auto"/>
              </w:rPr>
            </w:pPr>
          </w:p>
        </w:tc>
        <w:tc>
          <w:tcPr>
            <w:tcW w:w="880" w:type="dxa"/>
            <w:vAlign w:val="bottom"/>
          </w:tcPr>
          <w:p>
            <w:pPr>
              <w:spacing w:after="0"/>
              <w:rPr>
                <w:sz w:val="23"/>
                <w:szCs w:val="23"/>
                <w:color w:val="auto"/>
              </w:rPr>
            </w:pPr>
          </w:p>
        </w:tc>
        <w:tc>
          <w:tcPr>
            <w:tcW w:w="4580" w:type="dxa"/>
            <w:vAlign w:val="bottom"/>
          </w:tcPr>
          <w:p>
            <w:pPr>
              <w:spacing w:after="0"/>
              <w:rPr>
                <w:sz w:val="23"/>
                <w:szCs w:val="23"/>
                <w:color w:val="auto"/>
              </w:rPr>
            </w:pPr>
          </w:p>
        </w:tc>
      </w:tr>
      <w:tr>
        <w:trPr>
          <w:trHeight w:val="265"/>
        </w:trPr>
        <w:tc>
          <w:tcPr>
            <w:tcW w:w="360" w:type="dxa"/>
            <w:vAlign w:val="bottom"/>
          </w:tcPr>
          <w:p>
            <w:pPr>
              <w:spacing w:after="0"/>
              <w:rPr>
                <w:sz w:val="23"/>
                <w:szCs w:val="23"/>
                <w:color w:val="auto"/>
              </w:rPr>
            </w:pPr>
          </w:p>
        </w:tc>
        <w:tc>
          <w:tcPr>
            <w:tcW w:w="520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Consolidated Balance Sheets</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0"/>
        </w:trPr>
        <w:tc>
          <w:tcPr>
            <w:tcW w:w="36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265"/>
        </w:trPr>
        <w:tc>
          <w:tcPr>
            <w:tcW w:w="360" w:type="dxa"/>
            <w:vAlign w:val="bottom"/>
          </w:tcPr>
          <w:p>
            <w:pPr>
              <w:spacing w:after="0"/>
              <w:rPr>
                <w:sz w:val="23"/>
                <w:szCs w:val="23"/>
                <w:color w:val="auto"/>
              </w:rPr>
            </w:pPr>
          </w:p>
        </w:tc>
        <w:tc>
          <w:tcPr>
            <w:tcW w:w="52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9"/>
              </w:rPr>
              <w:t>Consolidated Statements of Operations and Comprehensive Loss</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65"/>
        </w:trPr>
        <w:tc>
          <w:tcPr>
            <w:tcW w:w="360" w:type="dxa"/>
            <w:vAlign w:val="bottom"/>
          </w:tcPr>
          <w:p>
            <w:pPr>
              <w:spacing w:after="0"/>
              <w:rPr>
                <w:sz w:val="23"/>
                <w:szCs w:val="23"/>
                <w:color w:val="auto"/>
              </w:rPr>
            </w:pPr>
          </w:p>
        </w:tc>
        <w:tc>
          <w:tcPr>
            <w:tcW w:w="40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Consolidated Statements of Stockholders’ Equity</w:t>
            </w:r>
          </w:p>
        </w:tc>
        <w:tc>
          <w:tcPr>
            <w:tcW w:w="1200" w:type="dxa"/>
            <w:vAlign w:val="bottom"/>
            <w:gridSpan w:val="2"/>
          </w:tcPr>
          <w:p>
            <w:pPr>
              <w:spacing w:after="0"/>
              <w:rPr>
                <w:sz w:val="23"/>
                <w:szCs w:val="23"/>
                <w:color w:val="auto"/>
              </w:rPr>
            </w:pP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65"/>
        </w:trPr>
        <w:tc>
          <w:tcPr>
            <w:tcW w:w="360" w:type="dxa"/>
            <w:vAlign w:val="bottom"/>
          </w:tcPr>
          <w:p>
            <w:pPr>
              <w:spacing w:after="0"/>
              <w:rPr>
                <w:sz w:val="23"/>
                <w:szCs w:val="23"/>
                <w:color w:val="auto"/>
              </w:rPr>
            </w:pPr>
          </w:p>
        </w:tc>
        <w:tc>
          <w:tcPr>
            <w:tcW w:w="520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Consolidated Statements of Cash Flows</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0"/>
        </w:trPr>
        <w:tc>
          <w:tcPr>
            <w:tcW w:w="360" w:type="dxa"/>
            <w:vAlign w:val="bottom"/>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265"/>
        </w:trPr>
        <w:tc>
          <w:tcPr>
            <w:tcW w:w="360" w:type="dxa"/>
            <w:vAlign w:val="bottom"/>
          </w:tcPr>
          <w:p>
            <w:pPr>
              <w:spacing w:after="0"/>
              <w:rPr>
                <w:sz w:val="23"/>
                <w:szCs w:val="23"/>
                <w:color w:val="auto"/>
              </w:rPr>
            </w:pPr>
          </w:p>
        </w:tc>
        <w:tc>
          <w:tcPr>
            <w:tcW w:w="35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9"/>
              </w:rPr>
              <w:t>Notes to Consolidated Financial Statements</w:t>
            </w:r>
          </w:p>
        </w:tc>
        <w:tc>
          <w:tcPr>
            <w:tcW w:w="1700" w:type="dxa"/>
            <w:vAlign w:val="bottom"/>
            <w:gridSpan w:val="3"/>
          </w:tcPr>
          <w:p>
            <w:pPr>
              <w:spacing w:after="0"/>
              <w:rPr>
                <w:sz w:val="23"/>
                <w:szCs w:val="23"/>
                <w:color w:val="auto"/>
              </w:rPr>
            </w:pP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bl>
    <w:p>
      <w:pPr>
        <w:spacing w:after="0" w:line="200" w:lineRule="exact"/>
        <w:rPr>
          <w:sz w:val="20"/>
          <w:szCs w:val="20"/>
          <w:color w:val="auto"/>
        </w:rPr>
      </w:pPr>
    </w:p>
    <w:p>
      <w:pPr>
        <w:sectPr>
          <w:pgSz w:w="12240" w:h="15840" w:orient="portrait"/>
          <w:cols w:equalWidth="0" w:num="1">
            <w:col w:w="10180"/>
          </w:cols>
          <w:pgMar w:left="1000" w:top="78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180"/>
          </w:cols>
          <w:pgMar w:left="1000" w:top="786" w:right="1060" w:bottom="0" w:gutter="0" w:footer="0" w:header="0"/>
          <w:type w:val="continuous"/>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Board of Directors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AnaptysBio, Inc.:</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Consolidated Financial Statements</w:t>
      </w:r>
    </w:p>
    <w:p>
      <w:pPr>
        <w:spacing w:after="0" w:line="1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AnaptysBio, Inc. and subsidiary (the Company) as of December 31, 2023 and 2022, the related consolidated statements of operations and comprehensive loss, stockholders’ equity,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1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8"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9"/>
          <w:szCs w:val="19"/>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w:t>
      </w:r>
    </w:p>
    <w:p>
      <w:pPr>
        <w:spacing w:after="0" w:line="11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of Research and Development Costs</w:t>
      </w:r>
    </w:p>
    <w:p>
      <w:pPr>
        <w:spacing w:after="0" w:line="1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As discussed in Note 2 to the consolidated financial statements, the Company has entered into various contracts with third parties to perform research and development, including clinical manufacturing. When billing terms under these contracts do not coincide with the timing of when the work is performed, the Company makes estimates of the costs incurred by third parties during the period and the outstanding obligations to those third parties as of period end. Estimates of costs incurred during the period that are included in period-end prepaid or accrued expense balances are based on a number of factors, including the Company’s knowledge of the research and development programs and clinical manufacturing activities associated with project status and milestones, invoicing to date, and the provisions in the contract. Significant judgments and estimates are made by the Company in determining the costs incurred during the period that are included in prepaid or accrued expense balances at the end of each reporting period.</w:t>
      </w:r>
    </w:p>
    <w:p>
      <w:pPr>
        <w:spacing w:after="0" w:line="16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9"/>
          <w:szCs w:val="19"/>
          <w:color w:val="auto"/>
        </w:rPr>
        <w:t>We identified the evaluation of research and development costs as a critical audit matter. These estimates are based on certain assumptions and inputs that were challenging to assess, including the Company’s knowledge of the status of research and development programs and associated completion status, project milestones achieved, raw materials used in manufacturing,</w:t>
      </w:r>
    </w:p>
    <w:p>
      <w:pPr>
        <w:sectPr>
          <w:pgSz w:w="12240" w:h="15840" w:orient="portrait"/>
          <w:cols w:equalWidth="0" w:num="1">
            <w:col w:w="10220"/>
          </w:cols>
          <w:pgMar w:left="1000" w:top="786"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220"/>
          </w:cols>
          <w:pgMar w:left="1000" w:top="786" w:right="1020" w:bottom="0" w:gutter="0" w:footer="0" w:header="0"/>
          <w:type w:val="continuous"/>
        </w:sectPr>
      </w:pPr>
    </w:p>
    <w:bookmarkStart w:id="71" w:name="page72"/>
    <w:bookmarkEnd w:id="71"/>
    <w:p>
      <w:pPr>
        <w:ind w:right="460"/>
        <w:spacing w:after="0" w:line="281" w:lineRule="auto"/>
        <w:rPr>
          <w:sz w:val="20"/>
          <w:szCs w:val="20"/>
          <w:color w:val="auto"/>
        </w:rPr>
      </w:pPr>
      <w:r>
        <w:rPr>
          <w:rFonts w:ascii="Times New Roman" w:cs="Times New Roman" w:eastAsia="Times New Roman" w:hAnsi="Times New Roman"/>
          <w:sz w:val="20"/>
          <w:szCs w:val="20"/>
          <w:color w:val="auto"/>
        </w:rPr>
        <w:t>and, for larger clinical trials, per patient costs, patient enrollment status, project costs, and site costs. Significant auditor judgment, subjectivity, and effort were required to evaluate the assumptions and inputs to these estimates.</w:t>
      </w:r>
    </w:p>
    <w:p>
      <w:pPr>
        <w:spacing w:after="0" w:line="14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The following are the primary procedures we performed to address this critical audit matter. On a sample basis, we examined contracts, invoices, and third-party confirmations and compared them to the assumptions and inputs that are described above. We also examined certain invoices received after December 31, 2023 and evaluated whether services received prior to December 31, 2023 were included in the Company’s estimate of costs incurred as of December 31, 2023.</w:t>
      </w:r>
    </w:p>
    <w:p>
      <w:pPr>
        <w:spacing w:after="0" w:line="1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/s/ KPMG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2009.</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Diego, California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11, 2024</w:t>
      </w:r>
    </w:p>
    <w:p>
      <w:pPr>
        <w:sectPr>
          <w:pgSz w:w="12240" w:h="15840" w:orient="portrait"/>
          <w:cols w:equalWidth="0" w:num="1">
            <w:col w:w="10000"/>
          </w:cols>
          <w:pgMar w:left="1000" w:top="793"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000"/>
          </w:cols>
          <w:pgMar w:left="1000" w:top="793" w:right="1240" w:bottom="0" w:gutter="0" w:footer="0" w:header="0"/>
          <w:type w:val="continuous"/>
        </w:sectPr>
      </w:pPr>
    </w:p>
    <w:bookmarkStart w:id="72" w:name="page73"/>
    <w:bookmarkEnd w:id="72"/>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 except par value)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20" w:type="dxa"/>
            <w:vAlign w:val="bottom"/>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0" w:type="dxa"/>
            <w:vAlign w:val="bottom"/>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78"/>
        </w:trPr>
        <w:tc>
          <w:tcPr>
            <w:tcW w:w="7220" w:type="dxa"/>
            <w:vAlign w:val="bottom"/>
          </w:tcPr>
          <w:p>
            <w:pPr>
              <w:ind w:left="47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35,965</w:t>
            </w:r>
          </w:p>
        </w:tc>
        <w:tc>
          <w:tcPr>
            <w:tcW w:w="50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71,308</w:t>
            </w:r>
          </w:p>
        </w:tc>
        <w:tc>
          <w:tcPr>
            <w:tcW w:w="0" w:type="dxa"/>
            <w:vAlign w:val="bottom"/>
          </w:tcPr>
          <w:p>
            <w:pPr>
              <w:spacing w:after="0"/>
              <w:rPr>
                <w:sz w:val="1"/>
                <w:szCs w:val="1"/>
                <w:color w:val="auto"/>
              </w:rPr>
            </w:pPr>
          </w:p>
        </w:tc>
      </w:tr>
      <w:tr>
        <w:trPr>
          <w:trHeight w:val="25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collaborative partners</w:t>
            </w:r>
          </w:p>
        </w:tc>
        <w:tc>
          <w:tcPr>
            <w:tcW w:w="4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5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4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354,939</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369,933</w:t>
            </w:r>
          </w:p>
        </w:tc>
        <w:tc>
          <w:tcPr>
            <w:tcW w:w="0" w:type="dxa"/>
            <w:vAlign w:val="bottom"/>
          </w:tcPr>
          <w:p>
            <w:pPr>
              <w:spacing w:after="0"/>
              <w:rPr>
                <w:sz w:val="1"/>
                <w:szCs w:val="1"/>
                <w:color w:val="auto"/>
              </w:rPr>
            </w:pPr>
          </w:p>
        </w:tc>
      </w:tr>
      <w:tr>
        <w:trPr>
          <w:trHeight w:val="26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0" w:type="dxa"/>
            <w:vAlign w:val="bottom"/>
          </w:tcPr>
          <w:p>
            <w:pPr>
              <w:spacing w:after="0"/>
              <w:rPr>
                <w:sz w:val="1"/>
                <w:szCs w:val="1"/>
                <w:color w:val="auto"/>
              </w:rPr>
            </w:pPr>
          </w:p>
        </w:tc>
      </w:tr>
      <w:tr>
        <w:trPr>
          <w:trHeight w:val="234"/>
        </w:trPr>
        <w:tc>
          <w:tcPr>
            <w:tcW w:w="7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 current assets</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406,835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447,205</w:t>
            </w:r>
          </w:p>
        </w:tc>
        <w:tc>
          <w:tcPr>
            <w:tcW w:w="0" w:type="dxa"/>
            <w:vAlign w:val="bottom"/>
          </w:tcPr>
          <w:p>
            <w:pPr>
              <w:spacing w:after="0"/>
              <w:rPr>
                <w:sz w:val="1"/>
                <w:szCs w:val="1"/>
                <w:color w:val="auto"/>
              </w:rPr>
            </w:pPr>
          </w:p>
        </w:tc>
      </w:tr>
      <w:tr>
        <w:trPr>
          <w:trHeight w:val="251"/>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5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16,174</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17,898</w:t>
            </w:r>
          </w:p>
        </w:tc>
        <w:tc>
          <w:tcPr>
            <w:tcW w:w="0" w:type="dxa"/>
            <w:vAlign w:val="bottom"/>
          </w:tcPr>
          <w:p>
            <w:pPr>
              <w:spacing w:after="0"/>
              <w:rPr>
                <w:sz w:val="1"/>
                <w:szCs w:val="1"/>
                <w:color w:val="auto"/>
              </w:rPr>
            </w:pPr>
          </w:p>
        </w:tc>
      </w:tr>
      <w:tr>
        <w:trPr>
          <w:trHeight w:val="25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4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27,026</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142,935</w:t>
            </w:r>
          </w:p>
        </w:tc>
        <w:tc>
          <w:tcPr>
            <w:tcW w:w="0" w:type="dxa"/>
            <w:vAlign w:val="bottom"/>
          </w:tcPr>
          <w:p>
            <w:pPr>
              <w:spacing w:after="0"/>
              <w:rPr>
                <w:sz w:val="1"/>
                <w:szCs w:val="1"/>
                <w:color w:val="auto"/>
              </w:rPr>
            </w:pPr>
          </w:p>
        </w:tc>
      </w:tr>
      <w:tr>
        <w:trPr>
          <w:trHeight w:val="26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5"/>
        </w:trPr>
        <w:tc>
          <w:tcPr>
            <w:tcW w:w="7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452,389</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610,383</w:t>
            </w:r>
          </w:p>
        </w:tc>
        <w:tc>
          <w:tcPr>
            <w:tcW w:w="0" w:type="dxa"/>
            <w:vAlign w:val="bottom"/>
          </w:tcPr>
          <w:p>
            <w:pPr>
              <w:spacing w:after="0"/>
              <w:rPr>
                <w:sz w:val="1"/>
                <w:szCs w:val="1"/>
                <w:color w:val="auto"/>
              </w:rPr>
            </w:pPr>
          </w:p>
        </w:tc>
      </w:tr>
      <w:tr>
        <w:trPr>
          <w:trHeight w:val="20"/>
        </w:trPr>
        <w:tc>
          <w:tcPr>
            <w:tcW w:w="7220" w:type="dxa"/>
            <w:vAlign w:val="bottom"/>
            <w:vMerge w:val="restart"/>
          </w:tcPr>
          <w:p>
            <w:pPr>
              <w:ind w:left="31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220" w:type="dxa"/>
            <w:vAlign w:val="bottom"/>
            <w:vMerge w:val="continue"/>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50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0" w:type="dxa"/>
            <w:vAlign w:val="bottom"/>
          </w:tcPr>
          <w:p>
            <w:pPr>
              <w:spacing w:after="0"/>
              <w:rPr>
                <w:sz w:val="1"/>
                <w:szCs w:val="1"/>
                <w:color w:val="auto"/>
              </w:rPr>
            </w:pPr>
          </w:p>
        </w:tc>
      </w:tr>
      <w:tr>
        <w:trPr>
          <w:trHeight w:val="25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30,967</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21,633</w:t>
            </w:r>
          </w:p>
        </w:tc>
        <w:tc>
          <w:tcPr>
            <w:tcW w:w="0" w:type="dxa"/>
            <w:vAlign w:val="bottom"/>
          </w:tcPr>
          <w:p>
            <w:pPr>
              <w:spacing w:after="0"/>
              <w:rPr>
                <w:sz w:val="1"/>
                <w:szCs w:val="1"/>
                <w:color w:val="auto"/>
              </w:rPr>
            </w:pPr>
          </w:p>
        </w:tc>
      </w:tr>
      <w:tr>
        <w:trPr>
          <w:trHeight w:val="26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234"/>
        </w:trPr>
        <w:tc>
          <w:tcPr>
            <w:tcW w:w="7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37,442</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26,054</w:t>
            </w:r>
          </w:p>
        </w:tc>
        <w:tc>
          <w:tcPr>
            <w:tcW w:w="0" w:type="dxa"/>
            <w:vAlign w:val="bottom"/>
          </w:tcPr>
          <w:p>
            <w:pPr>
              <w:spacing w:after="0"/>
              <w:rPr>
                <w:sz w:val="1"/>
                <w:szCs w:val="1"/>
                <w:color w:val="auto"/>
              </w:rPr>
            </w:pPr>
          </w:p>
        </w:tc>
      </w:tr>
      <w:tr>
        <w:trPr>
          <w:trHeight w:val="251"/>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Liability related to sale of future royalties</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310,807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304,413</w:t>
            </w:r>
          </w:p>
        </w:tc>
        <w:tc>
          <w:tcPr>
            <w:tcW w:w="0" w:type="dxa"/>
            <w:vAlign w:val="bottom"/>
          </w:tcPr>
          <w:p>
            <w:pPr>
              <w:spacing w:after="0"/>
              <w:rPr>
                <w:sz w:val="1"/>
                <w:szCs w:val="1"/>
                <w:color w:val="auto"/>
              </w:rPr>
            </w:pPr>
          </w:p>
        </w:tc>
      </w:tr>
      <w:tr>
        <w:trPr>
          <w:trHeight w:val="25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4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16,037</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17,813</w:t>
            </w:r>
          </w:p>
        </w:tc>
        <w:tc>
          <w:tcPr>
            <w:tcW w:w="0" w:type="dxa"/>
            <w:vAlign w:val="bottom"/>
          </w:tcPr>
          <w:p>
            <w:pPr>
              <w:spacing w:after="0"/>
              <w:rPr>
                <w:sz w:val="1"/>
                <w:szCs w:val="1"/>
                <w:color w:val="auto"/>
              </w:rPr>
            </w:pPr>
          </w:p>
        </w:tc>
      </w:tr>
      <w:tr>
        <w:trPr>
          <w:trHeight w:val="24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72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Preferred stock, $0.001 par value, 10,000 shares authorized and no shares, issued or outstanding at</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2023 and December 31, 2022, respectively</w:t>
            </w: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2"/>
        </w:trPr>
        <w:tc>
          <w:tcPr>
            <w:tcW w:w="72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Common stock, $0.001 par value, 500,000 shares authorized, 26,597 shares and 28,513 shares</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at December 31, 2023 and December 31, 2022, respectively</w:t>
            </w: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4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702,969</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717,797</w:t>
            </w:r>
          </w:p>
        </w:tc>
        <w:tc>
          <w:tcPr>
            <w:tcW w:w="0" w:type="dxa"/>
            <w:vAlign w:val="bottom"/>
          </w:tcPr>
          <w:p>
            <w:pPr>
              <w:spacing w:after="0"/>
              <w:rPr>
                <w:sz w:val="1"/>
                <w:szCs w:val="1"/>
                <w:color w:val="auto"/>
              </w:rPr>
            </w:pPr>
          </w:p>
        </w:tc>
      </w:tr>
      <w:tr>
        <w:trPr>
          <w:trHeight w:val="25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0" w:type="dxa"/>
            <w:vAlign w:val="bottom"/>
          </w:tcPr>
          <w:p>
            <w:pPr>
              <w:spacing w:after="0"/>
              <w:rPr>
                <w:sz w:val="1"/>
                <w:szCs w:val="1"/>
                <w:color w:val="auto"/>
              </w:rPr>
            </w:pPr>
          </w:p>
        </w:tc>
      </w:tr>
      <w:tr>
        <w:trPr>
          <w:trHeight w:val="26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(614,096)</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(450,477)</w:t>
            </w:r>
          </w:p>
        </w:tc>
        <w:tc>
          <w:tcPr>
            <w:tcW w:w="0" w:type="dxa"/>
            <w:vAlign w:val="bottom"/>
          </w:tcPr>
          <w:p>
            <w:pPr>
              <w:spacing w:after="0"/>
              <w:rPr>
                <w:sz w:val="1"/>
                <w:szCs w:val="1"/>
                <w:color w:val="auto"/>
              </w:rPr>
            </w:pPr>
          </w:p>
        </w:tc>
      </w:tr>
      <w:tr>
        <w:trPr>
          <w:trHeight w:val="235"/>
        </w:trPr>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88,103</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262,103</w:t>
            </w:r>
          </w:p>
        </w:tc>
        <w:tc>
          <w:tcPr>
            <w:tcW w:w="0" w:type="dxa"/>
            <w:vAlign w:val="bottom"/>
          </w:tcPr>
          <w:p>
            <w:pPr>
              <w:spacing w:after="0"/>
              <w:rPr>
                <w:sz w:val="1"/>
                <w:szCs w:val="1"/>
                <w:color w:val="auto"/>
              </w:rPr>
            </w:pPr>
          </w:p>
        </w:tc>
      </w:tr>
      <w:tr>
        <w:trPr>
          <w:trHeight w:val="215"/>
        </w:trPr>
        <w:tc>
          <w:tcPr>
            <w:tcW w:w="7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452,389</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610,383</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-4860290</wp:posOffset>
            </wp:positionV>
            <wp:extent cx="6534150" cy="4879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6534150" cy="4879975"/>
                    </a:xfrm>
                    <a:prstGeom prst="rect">
                      <a:avLst/>
                    </a:prstGeom>
                    <a:noFill/>
                  </pic:spPr>
                </pic:pic>
              </a:graphicData>
            </a:graphic>
          </wp:anchor>
        </w:drawing>
      </w:r>
    </w:p>
    <w:p>
      <w:pPr>
        <w:spacing w:after="0" w:line="2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180"/>
          </w:cols>
          <w:pgMar w:left="106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180"/>
          </w:cols>
          <w:pgMar w:left="1060" w:top="786" w:right="1000" w:bottom="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per share data)</w:t>
      </w:r>
    </w:p>
    <w:p>
      <w:pPr>
        <w:spacing w:after="0" w:line="200" w:lineRule="exact"/>
        <w:rPr>
          <w:sz w:val="20"/>
          <w:szCs w:val="20"/>
          <w:color w:val="auto"/>
        </w:rPr>
      </w:pPr>
    </w:p>
    <w:p>
      <w:pPr>
        <w:spacing w:after="0" w:line="224"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6"/>
          <w:szCs w:val="16"/>
          <w:b w:val="1"/>
          <w:bCs w:val="1"/>
          <w:color w:val="auto"/>
        </w:rPr>
        <w:t>Year Ended</w:t>
      </w:r>
    </w:p>
    <w:p>
      <w:pPr>
        <w:ind w:left="79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4273550</wp:posOffset>
                </wp:positionH>
                <wp:positionV relativeFrom="paragraph">
                  <wp:posOffset>13970</wp:posOffset>
                </wp:positionV>
                <wp:extent cx="218122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12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5pt,1.1pt" to="508.25pt,1.1pt" o:allowincell="f" strokecolor="#000000" strokeweight="1pt"/>
            </w:pict>
          </mc:Fallback>
        </mc:AlternateConten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65"/>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63,175</w:t>
            </w:r>
          </w:p>
        </w:tc>
        <w:tc>
          <w:tcPr>
            <w:tcW w:w="0" w:type="dxa"/>
            <w:vAlign w:val="bottom"/>
          </w:tcPr>
          <w:p>
            <w:pPr>
              <w:spacing w:after="0"/>
              <w:rPr>
                <w:sz w:val="1"/>
                <w:szCs w:val="1"/>
                <w:color w:val="auto"/>
              </w:rPr>
            </w:pPr>
          </w:p>
        </w:tc>
      </w:tr>
      <w:tr>
        <w:trPr>
          <w:trHeight w:val="26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132,283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88,798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98,496</w:t>
            </w:r>
          </w:p>
        </w:tc>
        <w:tc>
          <w:tcPr>
            <w:tcW w:w="0" w:type="dxa"/>
            <w:vAlign w:val="bottom"/>
          </w:tcPr>
          <w:p>
            <w:pPr>
              <w:spacing w:after="0"/>
              <w:rPr>
                <w:sz w:val="1"/>
                <w:szCs w:val="1"/>
                <w:color w:val="auto"/>
              </w:rPr>
            </w:pPr>
          </w:p>
        </w:tc>
      </w:tr>
      <w:tr>
        <w:trPr>
          <w:trHeight w:val="285"/>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21,493</w:t>
            </w:r>
          </w:p>
        </w:tc>
        <w:tc>
          <w:tcPr>
            <w:tcW w:w="0" w:type="dxa"/>
            <w:vAlign w:val="bottom"/>
          </w:tcPr>
          <w:p>
            <w:pPr>
              <w:spacing w:after="0"/>
              <w:rPr>
                <w:sz w:val="1"/>
                <w:szCs w:val="1"/>
                <w:color w:val="auto"/>
              </w:rPr>
            </w:pPr>
          </w:p>
        </w:tc>
      </w:tr>
      <w:tr>
        <w:trPr>
          <w:trHeight w:val="290"/>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6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181,568</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125,441</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119,989</w:t>
            </w:r>
          </w:p>
        </w:tc>
        <w:tc>
          <w:tcPr>
            <w:tcW w:w="0" w:type="dxa"/>
            <w:vAlign w:val="bottom"/>
          </w:tcPr>
          <w:p>
            <w:pPr>
              <w:spacing w:after="0"/>
              <w:rPr>
                <w:sz w:val="1"/>
                <w:szCs w:val="1"/>
                <w:color w:val="auto"/>
              </w:rPr>
            </w:pPr>
          </w:p>
        </w:tc>
      </w:tr>
      <w:tr>
        <w:trPr>
          <w:trHeight w:val="265"/>
        </w:trPr>
        <w:tc>
          <w:tcPr>
            <w:tcW w:w="6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(164,411)</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(115,154)</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(56,814)</w:t>
            </w:r>
          </w:p>
        </w:tc>
        <w:tc>
          <w:tcPr>
            <w:tcW w:w="0" w:type="dxa"/>
            <w:vAlign w:val="bottom"/>
          </w:tcPr>
          <w:p>
            <w:pPr>
              <w:spacing w:after="0"/>
              <w:rPr>
                <w:sz w:val="1"/>
                <w:szCs w:val="1"/>
                <w:color w:val="auto"/>
              </w:rPr>
            </w:pPr>
          </w:p>
        </w:tc>
      </w:tr>
      <w:tr>
        <w:trPr>
          <w:trHeight w:val="221"/>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85"/>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90"/>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65"/>
        </w:trPr>
        <w:tc>
          <w:tcPr>
            <w:tcW w:w="6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(13,546)</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6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(163,623)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(128,700)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(57,796)</w:t>
            </w:r>
          </w:p>
        </w:tc>
        <w:tc>
          <w:tcPr>
            <w:tcW w:w="0" w:type="dxa"/>
            <w:vAlign w:val="bottom"/>
          </w:tcPr>
          <w:p>
            <w:pPr>
              <w:spacing w:after="0"/>
              <w:rPr>
                <w:sz w:val="1"/>
                <w:szCs w:val="1"/>
                <w:color w:val="auto"/>
              </w:rPr>
            </w:pPr>
          </w:p>
        </w:tc>
      </w:tr>
      <w:tr>
        <w:trPr>
          <w:trHeight w:val="290"/>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6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(163,619)</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(128,724)</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(57,796)</w:t>
            </w:r>
          </w:p>
        </w:tc>
        <w:tc>
          <w:tcPr>
            <w:tcW w:w="0" w:type="dxa"/>
            <w:vAlign w:val="bottom"/>
          </w:tcPr>
          <w:p>
            <w:pPr>
              <w:spacing w:after="0"/>
              <w:rPr>
                <w:sz w:val="1"/>
                <w:szCs w:val="1"/>
                <w:color w:val="auto"/>
              </w:rPr>
            </w:pPr>
          </w:p>
        </w:tc>
      </w:tr>
      <w:tr>
        <w:trPr>
          <w:trHeight w:val="221"/>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gain (loss) on available for sale securities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45"/>
        </w:trPr>
        <w:tc>
          <w:tcPr>
            <w:tcW w:w="6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(159,170)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(133,548)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(58,214)</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7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7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26,924</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28,165</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-4012565</wp:posOffset>
            </wp:positionV>
            <wp:extent cx="6524625" cy="40322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extLst>
                    </a:blip>
                    <a:srcRect/>
                    <a:stretch>
                      <a:fillRect/>
                    </a:stretch>
                  </pic:blipFill>
                  <pic:spPr bwMode="auto">
                    <a:xfrm>
                      <a:off x="0" y="0"/>
                      <a:ext cx="6524625" cy="4032250"/>
                    </a:xfrm>
                    <a:prstGeom prst="rect">
                      <a:avLst/>
                    </a:prstGeom>
                    <a:noFill/>
                  </pic:spPr>
                </pic:pic>
              </a:graphicData>
            </a:graphic>
          </wp:anchor>
        </w:drawing>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160"/>
          </w:cols>
          <w:pgMar w:left="1040" w:top="786"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160"/>
          </w:cols>
          <w:pgMar w:left="1040" w:top="786" w:right="1040" w:bottom="0" w:gutter="0" w:footer="0" w:header="0"/>
          <w:type w:val="continuous"/>
        </w:sectPr>
      </w:pPr>
    </w:p>
    <w:bookmarkStart w:id="74" w:name="page75"/>
    <w:bookmarkEnd w:id="74"/>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Consolidated Statements of Stockholders’ Equity</w:t>
      </w:r>
    </w:p>
    <w:p>
      <w:pPr>
        <w:spacing w:after="0" w:line="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80" w:type="dxa"/>
            <w:vAlign w:val="bottom"/>
          </w:tcPr>
          <w:p>
            <w:pPr>
              <w:spacing w:after="0"/>
              <w:rPr>
                <w:sz w:val="12"/>
                <w:szCs w:val="12"/>
                <w:color w:val="auto"/>
              </w:rPr>
            </w:pPr>
          </w:p>
        </w:tc>
        <w:tc>
          <w:tcPr>
            <w:tcW w:w="1560" w:type="dxa"/>
            <w:vAlign w:val="bottom"/>
            <w:gridSpan w:val="4"/>
            <w:vMerge w:val="restart"/>
          </w:tcPr>
          <w:p>
            <w:pPr>
              <w:jc w:val="right"/>
              <w:ind w:right="311"/>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2"/>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96"/>
        </w:trPr>
        <w:tc>
          <w:tcPr>
            <w:tcW w:w="4480" w:type="dxa"/>
            <w:vAlign w:val="bottom"/>
          </w:tcPr>
          <w:p>
            <w:pPr>
              <w:spacing w:after="0"/>
              <w:rPr>
                <w:sz w:val="7"/>
                <w:szCs w:val="7"/>
                <w:color w:val="auto"/>
              </w:rPr>
            </w:pPr>
          </w:p>
        </w:tc>
        <w:tc>
          <w:tcPr>
            <w:tcW w:w="1560" w:type="dxa"/>
            <w:vAlign w:val="bottom"/>
            <w:tcBorders>
              <w:bottom w:val="single" w:sz="8" w:color="auto"/>
            </w:tcBorders>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jc w:val="right"/>
              <w:ind w:right="232"/>
              <w:spacing w:after="0" w:line="91"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jc w:val="right"/>
              <w:ind w:right="112"/>
              <w:spacing w:after="0" w:line="91"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jc w:val="right"/>
              <w:ind w:right="172"/>
              <w:spacing w:after="0" w:line="91"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jc w:val="center"/>
              <w:ind w:right="112"/>
              <w:spacing w:after="0" w:line="91"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75"/>
        </w:trPr>
        <w:tc>
          <w:tcPr>
            <w:tcW w:w="4480" w:type="dxa"/>
            <w:vAlign w:val="bottom"/>
          </w:tcPr>
          <w:p>
            <w:pPr>
              <w:spacing w:after="0"/>
              <w:rPr>
                <w:sz w:val="15"/>
                <w:szCs w:val="15"/>
                <w:color w:val="auto"/>
              </w:rPr>
            </w:pPr>
          </w:p>
        </w:tc>
        <w:tc>
          <w:tcPr>
            <w:tcW w:w="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w w:val="99"/>
              </w:rPr>
              <w:t>Paid-in Capital</w:t>
            </w: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272"/>
        </w:trPr>
        <w:tc>
          <w:tcPr>
            <w:tcW w:w="4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January 1, 2021</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27,356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660,665</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(263,957)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396,731</w:t>
            </w: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Issuance of common stock from exercises of options and employee stock purchase plan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2,563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2,564</w:t>
            </w: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15,347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15,347</w:t>
            </w: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Comprehensive loss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308"/>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(57,796)</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(57,796)</w:t>
            </w:r>
          </w:p>
        </w:tc>
        <w:tc>
          <w:tcPr>
            <w:tcW w:w="0" w:type="dxa"/>
            <w:vAlign w:val="bottom"/>
          </w:tcPr>
          <w:p>
            <w:pPr>
              <w:spacing w:after="0"/>
              <w:rPr>
                <w:sz w:val="1"/>
                <w:szCs w:val="1"/>
                <w:color w:val="auto"/>
              </w:rPr>
            </w:pPr>
          </w:p>
        </w:tc>
      </w:tr>
      <w:tr>
        <w:trPr>
          <w:trHeight w:val="272"/>
        </w:trPr>
        <w:tc>
          <w:tcPr>
            <w:tcW w:w="4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December 31, 2021</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27,647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678,575</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(321,753)</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356,428</w:t>
            </w: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Issuance of common stock from exercises of options and employee stock purchase plan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11,866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11,867</w:t>
            </w: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27,356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27,356</w:t>
            </w: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Comprehensive loss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(4,824)</w:t>
            </w:r>
          </w:p>
        </w:tc>
        <w:tc>
          <w:tcPr>
            <w:tcW w:w="0" w:type="dxa"/>
            <w:vAlign w:val="bottom"/>
          </w:tcPr>
          <w:p>
            <w:pPr>
              <w:spacing w:after="0"/>
              <w:rPr>
                <w:sz w:val="1"/>
                <w:szCs w:val="1"/>
                <w:color w:val="auto"/>
              </w:rPr>
            </w:pPr>
          </w:p>
        </w:tc>
      </w:tr>
      <w:tr>
        <w:trPr>
          <w:trHeight w:val="308"/>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(128,724)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(128,724)</w:t>
            </w:r>
          </w:p>
        </w:tc>
        <w:tc>
          <w:tcPr>
            <w:tcW w:w="0" w:type="dxa"/>
            <w:vAlign w:val="bottom"/>
          </w:tcPr>
          <w:p>
            <w:pPr>
              <w:spacing w:after="0"/>
              <w:rPr>
                <w:sz w:val="1"/>
                <w:szCs w:val="1"/>
                <w:color w:val="auto"/>
              </w:rPr>
            </w:pPr>
          </w:p>
        </w:tc>
      </w:tr>
      <w:tr>
        <w:trPr>
          <w:trHeight w:val="272"/>
        </w:trPr>
        <w:tc>
          <w:tcPr>
            <w:tcW w:w="4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December 31, 2022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717,797</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(5,246)</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(450,477)</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262,103</w:t>
            </w: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Issuance of common stock from exercises of options and employee stock purchase plan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2,421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2,421</w:t>
            </w: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Issuance of common stock upon vesting of restricted stock units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Repurchases and retirements of common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(50,454)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(50,456)</w:t>
            </w: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33,205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33,205</w:t>
            </w: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Comprehensive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4,449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4,449</w:t>
            </w:r>
          </w:p>
        </w:tc>
        <w:tc>
          <w:tcPr>
            <w:tcW w:w="0" w:type="dxa"/>
            <w:vAlign w:val="bottom"/>
          </w:tcPr>
          <w:p>
            <w:pPr>
              <w:spacing w:after="0"/>
              <w:rPr>
                <w:sz w:val="1"/>
                <w:szCs w:val="1"/>
                <w:color w:val="auto"/>
              </w:rPr>
            </w:pPr>
          </w:p>
        </w:tc>
      </w:tr>
      <w:tr>
        <w:trPr>
          <w:trHeight w:val="308"/>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(163,619)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(163,619)</w:t>
            </w:r>
          </w:p>
        </w:tc>
        <w:tc>
          <w:tcPr>
            <w:tcW w:w="0" w:type="dxa"/>
            <w:vAlign w:val="bottom"/>
          </w:tcPr>
          <w:p>
            <w:pPr>
              <w:spacing w:after="0"/>
              <w:rPr>
                <w:sz w:val="1"/>
                <w:szCs w:val="1"/>
                <w:color w:val="auto"/>
              </w:rPr>
            </w:pPr>
          </w:p>
        </w:tc>
      </w:tr>
      <w:tr>
        <w:trPr>
          <w:trHeight w:val="260"/>
        </w:trPr>
        <w:tc>
          <w:tcPr>
            <w:tcW w:w="4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December 31, 2023</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26,597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702,969</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(614,096)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88,103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-3460115</wp:posOffset>
            </wp:positionV>
            <wp:extent cx="6953250" cy="3479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extLst>
                    </a:blip>
                    <a:srcRect/>
                    <a:stretch>
                      <a:fillRect/>
                    </a:stretch>
                  </pic:blipFill>
                  <pic:spPr bwMode="auto">
                    <a:xfrm>
                      <a:off x="0" y="0"/>
                      <a:ext cx="6953250" cy="3479800"/>
                    </a:xfrm>
                    <a:prstGeom prst="rect">
                      <a:avLst/>
                    </a:prstGeom>
                    <a:noFill/>
                  </pic:spPr>
                </pic:pic>
              </a:graphicData>
            </a:graphic>
          </wp:anchor>
        </w:drawing>
      </w:r>
    </w:p>
    <w:p>
      <w:pPr>
        <w:spacing w:after="0" w:line="2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840"/>
          </w:cols>
          <w:pgMar w:left="780" w:top="786"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840"/>
          </w:cols>
          <w:pgMar w:left="780" w:top="786" w:right="620" w:bottom="0" w:gutter="0" w:footer="0" w:header="0"/>
          <w:type w:val="continuous"/>
        </w:sectPr>
      </w:pPr>
    </w:p>
    <w:bookmarkStart w:id="75" w:name="page76"/>
    <w:bookmarkEnd w:id="75"/>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6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6"/>
          <w:szCs w:val="16"/>
          <w:b w:val="1"/>
          <w:bCs w:val="1"/>
          <w:color w:val="auto"/>
        </w:rPr>
        <w:t>Year Ended</w:t>
      </w:r>
    </w:p>
    <w:p>
      <w:pPr>
        <w:ind w:left="80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4284345</wp:posOffset>
                </wp:positionH>
                <wp:positionV relativeFrom="paragraph">
                  <wp:posOffset>13970</wp:posOffset>
                </wp:positionV>
                <wp:extent cx="21717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717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35pt,1.1pt" to="508.35pt,1.1pt" o:allowincell="f" strokecolor="#000000" strokeweight="1pt"/>
            </w:pict>
          </mc:Fallback>
        </mc:AlternateConten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(163,619)</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(128,724)</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(57,796)</w:t>
            </w:r>
          </w:p>
        </w:tc>
        <w:tc>
          <w:tcPr>
            <w:tcW w:w="0" w:type="dxa"/>
            <w:vAlign w:val="bottom"/>
          </w:tcPr>
          <w:p>
            <w:pPr>
              <w:spacing w:after="0"/>
              <w:rPr>
                <w:sz w:val="1"/>
                <w:szCs w:val="1"/>
                <w:color w:val="auto"/>
              </w:rPr>
            </w:pPr>
          </w:p>
        </w:tc>
      </w:tr>
      <w:tr>
        <w:trPr>
          <w:trHeight w:val="24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55"/>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15,347</w:t>
            </w:r>
          </w:p>
        </w:tc>
        <w:tc>
          <w:tcPr>
            <w:tcW w:w="0" w:type="dxa"/>
            <w:vAlign w:val="bottom"/>
          </w:tcPr>
          <w:p>
            <w:pPr>
              <w:spacing w:after="0"/>
              <w:rPr>
                <w:sz w:val="1"/>
                <w:szCs w:val="1"/>
                <w:color w:val="auto"/>
              </w:rPr>
            </w:pPr>
          </w:p>
        </w:tc>
      </w:tr>
      <w:tr>
        <w:trPr>
          <w:trHeight w:val="255"/>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Accretion/amortization of investments, net</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55"/>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right-of-use assets – operating</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55"/>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55"/>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6"/>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Receivables from collaborative partners</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55"/>
        </w:trPr>
        <w:tc>
          <w:tcPr>
            <w:tcW w:w="6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0" w:type="dxa"/>
            <w:vAlign w:val="bottom"/>
          </w:tcPr>
          <w:p>
            <w:pPr>
              <w:spacing w:after="0"/>
              <w:rPr>
                <w:sz w:val="1"/>
                <w:szCs w:val="1"/>
                <w:color w:val="auto"/>
              </w:rPr>
            </w:pPr>
          </w:p>
        </w:tc>
      </w:tr>
      <w:tr>
        <w:trPr>
          <w:trHeight w:val="255"/>
        </w:trPr>
        <w:tc>
          <w:tcPr>
            <w:tcW w:w="6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0" w:type="dxa"/>
            <w:vAlign w:val="bottom"/>
          </w:tcPr>
          <w:p>
            <w:pPr>
              <w:spacing w:after="0"/>
              <w:rPr>
                <w:sz w:val="1"/>
                <w:szCs w:val="1"/>
                <w:color w:val="auto"/>
              </w:rPr>
            </w:pPr>
          </w:p>
        </w:tc>
      </w:tr>
      <w:tr>
        <w:trPr>
          <w:trHeight w:val="260"/>
        </w:trPr>
        <w:tc>
          <w:tcPr>
            <w:tcW w:w="6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5"/>
        </w:trPr>
        <w:tc>
          <w:tcPr>
            <w:tcW w:w="6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(120,800)</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(73,593)</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(45,920)</w:t>
            </w:r>
          </w:p>
        </w:tc>
        <w:tc>
          <w:tcPr>
            <w:tcW w:w="0" w:type="dxa"/>
            <w:vAlign w:val="bottom"/>
          </w:tcPr>
          <w:p>
            <w:pPr>
              <w:spacing w:after="0"/>
              <w:rPr>
                <w:sz w:val="1"/>
                <w:szCs w:val="1"/>
                <w:color w:val="auto"/>
              </w:rPr>
            </w:pPr>
          </w:p>
        </w:tc>
      </w:tr>
      <w:tr>
        <w:trPr>
          <w:trHeight w:val="21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(303,919)</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(802,503)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(118,662)</w:t>
            </w:r>
          </w:p>
        </w:tc>
        <w:tc>
          <w:tcPr>
            <w:tcW w:w="0" w:type="dxa"/>
            <w:vAlign w:val="bottom"/>
          </w:tcPr>
          <w:p>
            <w:pPr>
              <w:spacing w:after="0"/>
              <w:rPr>
                <w:sz w:val="1"/>
                <w:szCs w:val="1"/>
                <w:color w:val="auto"/>
              </w:rPr>
            </w:pPr>
          </w:p>
        </w:tc>
      </w:tr>
      <w:tr>
        <w:trPr>
          <w:trHeight w:val="255"/>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449,480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408,016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158,848</w:t>
            </w:r>
          </w:p>
        </w:tc>
        <w:tc>
          <w:tcPr>
            <w:tcW w:w="0" w:type="dxa"/>
            <w:vAlign w:val="bottom"/>
          </w:tcPr>
          <w:p>
            <w:pPr>
              <w:spacing w:after="0"/>
              <w:rPr>
                <w:sz w:val="1"/>
                <w:szCs w:val="1"/>
                <w:color w:val="auto"/>
              </w:rPr>
            </w:pPr>
          </w:p>
        </w:tc>
      </w:tr>
      <w:tr>
        <w:trPr>
          <w:trHeight w:val="255"/>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6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35"/>
        </w:trPr>
        <w:tc>
          <w:tcPr>
            <w:tcW w:w="6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144,754</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(394,845)</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38,835</w:t>
            </w:r>
          </w:p>
        </w:tc>
        <w:tc>
          <w:tcPr>
            <w:tcW w:w="0" w:type="dxa"/>
            <w:vAlign w:val="bottom"/>
          </w:tcPr>
          <w:p>
            <w:pPr>
              <w:spacing w:after="0"/>
              <w:rPr>
                <w:sz w:val="1"/>
                <w:szCs w:val="1"/>
                <w:color w:val="auto"/>
              </w:rPr>
            </w:pPr>
          </w:p>
        </w:tc>
      </w:tr>
      <w:tr>
        <w:trPr>
          <w:trHeight w:val="21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0" w:type="dxa"/>
            <w:vAlign w:val="bottom"/>
          </w:tcPr>
          <w:p>
            <w:pPr>
              <w:spacing w:after="0"/>
              <w:rPr>
                <w:sz w:val="1"/>
                <w:szCs w:val="1"/>
                <w:color w:val="auto"/>
              </w:rPr>
            </w:pPr>
          </w:p>
        </w:tc>
      </w:tr>
      <w:tr>
        <w:trPr>
          <w:trHeight w:val="255"/>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 of future royalties</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55"/>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liability for sale of future royalties</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repurchase of common stock</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issuance costs related to the sale of future royalties</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35"/>
        </w:trPr>
        <w:tc>
          <w:tcPr>
            <w:tcW w:w="6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(59,297)</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44,017</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252,298</w:t>
            </w:r>
          </w:p>
        </w:tc>
        <w:tc>
          <w:tcPr>
            <w:tcW w:w="0" w:type="dxa"/>
            <w:vAlign w:val="bottom"/>
          </w:tcPr>
          <w:p>
            <w:pPr>
              <w:spacing w:after="0"/>
              <w:rPr>
                <w:sz w:val="1"/>
                <w:szCs w:val="1"/>
                <w:color w:val="auto"/>
              </w:rPr>
            </w:pPr>
          </w:p>
        </w:tc>
      </w:tr>
      <w:tr>
        <w:trPr>
          <w:trHeight w:val="234"/>
        </w:trPr>
        <w:tc>
          <w:tcPr>
            <w:tcW w:w="67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245,213</w:t>
            </w:r>
          </w:p>
        </w:tc>
        <w:tc>
          <w:tcPr>
            <w:tcW w:w="0" w:type="dxa"/>
            <w:vAlign w:val="bottom"/>
          </w:tcPr>
          <w:p>
            <w:pPr>
              <w:spacing w:after="0"/>
              <w:rPr>
                <w:sz w:val="1"/>
                <w:szCs w:val="1"/>
                <w:color w:val="auto"/>
              </w:rPr>
            </w:pPr>
          </w:p>
        </w:tc>
      </w:tr>
      <w:tr>
        <w:trPr>
          <w:trHeight w:val="25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71,308</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495,729</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250,516</w:t>
            </w:r>
          </w:p>
        </w:tc>
        <w:tc>
          <w:tcPr>
            <w:tcW w:w="0" w:type="dxa"/>
            <w:vAlign w:val="bottom"/>
          </w:tcPr>
          <w:p>
            <w:pPr>
              <w:spacing w:after="0"/>
              <w:rPr>
                <w:sz w:val="1"/>
                <w:szCs w:val="1"/>
                <w:color w:val="auto"/>
              </w:rPr>
            </w:pPr>
          </w:p>
        </w:tc>
      </w:tr>
      <w:tr>
        <w:trPr>
          <w:trHeight w:val="215"/>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35,965</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71,308</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495,729</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7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 assets obtained in exchange for operating lease liabilities</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20,685</w:t>
            </w:r>
          </w:p>
        </w:tc>
        <w:tc>
          <w:tcPr>
            <w:tcW w:w="0" w:type="dxa"/>
            <w:vAlign w:val="bottom"/>
          </w:tcPr>
          <w:p>
            <w:pPr>
              <w:spacing w:after="0"/>
              <w:rPr>
                <w:sz w:val="1"/>
                <w:szCs w:val="1"/>
                <w:color w:val="auto"/>
              </w:rPr>
            </w:pPr>
          </w:p>
        </w:tc>
      </w:tr>
      <w:tr>
        <w:trPr>
          <w:trHeight w:val="255"/>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Amounts accrued for property and equipment</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5"/>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Amounts accrued for issuance costs related to the sale of future royalties</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55"/>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Amounts accrued for repurchase of common stock</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Receivable related to issuance of common stock, upon exercise of stock options</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-6155690</wp:posOffset>
            </wp:positionV>
            <wp:extent cx="6524625" cy="61785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extLst>
                    </a:blip>
                    <a:srcRect/>
                    <a:stretch>
                      <a:fillRect/>
                    </a:stretch>
                  </pic:blipFill>
                  <pic:spPr bwMode="auto">
                    <a:xfrm>
                      <a:off x="0" y="0"/>
                      <a:ext cx="6524625" cy="6178550"/>
                    </a:xfrm>
                    <a:prstGeom prst="rect">
                      <a:avLst/>
                    </a:prstGeom>
                    <a:noFill/>
                  </pic:spPr>
                </pic:pic>
              </a:graphicData>
            </a:graphic>
          </wp:anchor>
        </w:drawing>
      </w: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160"/>
          </w:cols>
          <w:pgMar w:left="1060" w:top="786"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160"/>
          </w:cols>
          <w:pgMar w:left="1060" w:top="786" w:right="1020" w:bottom="0" w:gutter="0" w:footer="0" w:header="0"/>
          <w:type w:val="continuous"/>
        </w:sectPr>
      </w:pPr>
    </w:p>
    <w:bookmarkStart w:id="76" w:name="page77"/>
    <w:bookmarkEnd w:id="76"/>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1. Description of the Business</w:t>
      </w:r>
    </w:p>
    <w:p>
      <w:pPr>
        <w:spacing w:after="0" w:line="257" w:lineRule="exact"/>
        <w:rPr>
          <w:sz w:val="20"/>
          <w:szCs w:val="20"/>
          <w:color w:val="auto"/>
        </w:rPr>
      </w:pPr>
    </w:p>
    <w:p>
      <w:pPr>
        <w:ind w:left="10" w:firstLine="630"/>
        <w:spacing w:after="0" w:line="236" w:lineRule="auto"/>
        <w:rPr>
          <w:sz w:val="20"/>
          <w:szCs w:val="20"/>
          <w:color w:val="auto"/>
        </w:rPr>
      </w:pPr>
      <w:r>
        <w:rPr>
          <w:rFonts w:ascii="Times New Roman" w:cs="Times New Roman" w:eastAsia="Times New Roman" w:hAnsi="Times New Roman"/>
          <w:sz w:val="20"/>
          <w:szCs w:val="20"/>
          <w:color w:val="auto"/>
        </w:rPr>
        <w:t>AnaptysBio, Inc. (“we,” “us,” “our,” or the “Company”) was incorporated in the state of Delaware in November 2005. We are a clinical-stage biotechnology company focused on delivering innovative immunology therapeutics. We are developing immune cell modulating antibodies, including two wholly owned checkpoint agonists in clinical-stage development, for autoimmune and inflammatory diseases: rosnilimab, our PD-1 agonist in a Phase 2b trial for the treatment of moderate-to-severe rheumatoid arthritis (“RA”) and a Phase 2 trial for the treatment of moderate-to-severe ulcerative colitis (“UC”); and ANB032, our BTLA agonist, in a Phase 2b trial for the treatment of moderate-to-severe atopic dermatitis (“AD”). We also have other preclinical immune cell modulator candidates for the treatment of autoimmune and inflammatory diseases in our portfolio, including ANB033, an anti-CD122 antagonist antibody, and ANB101, a BDCA2 modulator antibody. In addition, we have developed two cytokine antagonists that we are exploring options for out-licensing: imsidolimab, our anti-IL-36R antibody, in Phase 3 development for the treatment of generalized pustular psoriasis (“GPP”), and etokimab, our anti-IL-33 antagonist that is Phase 2/3 ready. We have also discovered multiple therapeutic antibodies licensed to GlaxoSmithKline, Inc. (“GSK”) in a financial collaboration for immuno-oncology, including an anti-PD-1 antagonist antibody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(dostarlimab-gxly)) and an anti-TIM-3 antagonist antibody (cobolimab, GSK4069889). We currently recognize revenue from milestones and royalties achieved under our immuno-oncology collaboration with GSK.</w:t>
      </w:r>
    </w:p>
    <w:p>
      <w:pPr>
        <w:spacing w:after="0" w:line="90" w:lineRule="exact"/>
        <w:rPr>
          <w:sz w:val="20"/>
          <w:szCs w:val="20"/>
          <w:color w:val="auto"/>
        </w:rPr>
      </w:pPr>
    </w:p>
    <w:p>
      <w:pPr>
        <w:ind w:left="10" w:right="40" w:firstLine="630"/>
        <w:spacing w:after="0" w:line="253" w:lineRule="auto"/>
        <w:rPr>
          <w:sz w:val="20"/>
          <w:szCs w:val="20"/>
          <w:color w:val="auto"/>
        </w:rPr>
      </w:pPr>
      <w:r>
        <w:rPr>
          <w:rFonts w:ascii="Times New Roman" w:cs="Times New Roman" w:eastAsia="Times New Roman" w:hAnsi="Times New Roman"/>
          <w:sz w:val="20"/>
          <w:szCs w:val="20"/>
          <w:color w:val="auto"/>
        </w:rPr>
        <w:t>Since our inception, we have devoted our primary effort to research and development activities. Our financial support has been provided primarily from the sale of our common stock, royalty monetizations,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AnaptysBio management believes our currently available resources will provide sufficient funds to enable us to meet our operating plans for at least the next twelve months from the issuance of our consolidated financial statements. The accompanying consolidated financial statements do not include any adjustments that might be necessary if we are unable to continue as a going concern.</w:t>
      </w:r>
    </w:p>
    <w:p>
      <w:pPr>
        <w:spacing w:after="0" w:line="328" w:lineRule="exact"/>
        <w:rPr>
          <w:sz w:val="20"/>
          <w:szCs w:val="20"/>
          <w:color w:val="auto"/>
        </w:rPr>
      </w:pPr>
    </w:p>
    <w:p>
      <w:pPr>
        <w:ind w:left="270" w:right="6300" w:hanging="270"/>
        <w:spacing w:after="0" w:line="379" w:lineRule="auto"/>
        <w:tabs>
          <w:tab w:leader="none" w:pos="20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Summary of Significant Accounting Policies </w:t>
      </w:r>
      <w:r>
        <w:rPr>
          <w:rFonts w:ascii="Times New Roman" w:cs="Times New Roman" w:eastAsia="Times New Roman" w:hAnsi="Times New Roman"/>
          <w:sz w:val="20"/>
          <w:szCs w:val="20"/>
          <w:b w:val="1"/>
          <w:bCs w:val="1"/>
          <w:i w:val="1"/>
          <w:iCs w:val="1"/>
          <w:color w:val="auto"/>
        </w:rPr>
        <w:t>Basis of Presentation</w:t>
      </w:r>
    </w:p>
    <w:p>
      <w:pPr>
        <w:spacing w:after="0" w:line="1" w:lineRule="exact"/>
        <w:rPr>
          <w:sz w:val="20"/>
          <w:szCs w:val="20"/>
          <w:color w:val="auto"/>
        </w:rPr>
      </w:pPr>
    </w:p>
    <w:p>
      <w:pPr>
        <w:ind w:left="10" w:right="60" w:firstLine="630"/>
        <w:spacing w:after="0" w:line="266"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pursuant to the rules and regulations of the Securities and Exchange Commission (the “SEC”). The accompanying consolidated financial statements have been prepared in conformity with accounting principles generally accepted in the United States of America (“U.S. GAAP”).</w:t>
      </w:r>
    </w:p>
    <w:p>
      <w:pPr>
        <w:spacing w:after="0" w:line="186"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20"/>
          <w:szCs w:val="20"/>
          <w:b w:val="1"/>
          <w:bCs w:val="1"/>
          <w:i w:val="1"/>
          <w:iCs w:val="1"/>
          <w:color w:val="auto"/>
        </w:rPr>
        <w:t>Basis of Consolidation</w:t>
      </w:r>
    </w:p>
    <w:p>
      <w:pPr>
        <w:spacing w:after="0" w:line="139" w:lineRule="exact"/>
        <w:rPr>
          <w:sz w:val="20"/>
          <w:szCs w:val="20"/>
          <w:color w:val="auto"/>
        </w:rPr>
      </w:pPr>
    </w:p>
    <w:p>
      <w:pPr>
        <w:ind w:left="10" w:right="140" w:firstLine="630"/>
        <w:spacing w:after="0" w:line="266" w:lineRule="auto"/>
        <w:rPr>
          <w:sz w:val="20"/>
          <w:szCs w:val="20"/>
          <w:color w:val="auto"/>
        </w:rPr>
      </w:pPr>
      <w:r>
        <w:rPr>
          <w:rFonts w:ascii="Times New Roman" w:cs="Times New Roman" w:eastAsia="Times New Roman" w:hAnsi="Times New Roman"/>
          <w:sz w:val="20"/>
          <w:szCs w:val="20"/>
          <w:color w:val="auto"/>
        </w:rPr>
        <w:t>The accompanying consolidated financial statements include us and our wholly-owned Australian subsidiary. All intercompany accounts and transactions have been eliminated in consolidation. We operate in one reportable segment, and our functional and reporting currency is the U.S. dollar.</w:t>
      </w:r>
    </w:p>
    <w:p>
      <w:pPr>
        <w:spacing w:after="0" w:line="186"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39" w:lineRule="exact"/>
        <w:rPr>
          <w:sz w:val="20"/>
          <w:szCs w:val="20"/>
          <w:color w:val="auto"/>
        </w:rPr>
      </w:pPr>
    </w:p>
    <w:p>
      <w:pPr>
        <w:ind w:left="10" w:right="20" w:firstLine="630"/>
        <w:spacing w:after="0" w:line="254" w:lineRule="auto"/>
        <w:rPr>
          <w:sz w:val="20"/>
          <w:szCs w:val="20"/>
          <w:color w:val="auto"/>
        </w:rPr>
      </w:pPr>
      <w:r>
        <w:rPr>
          <w:rFonts w:ascii="Times New Roman" w:cs="Times New Roman" w:eastAsia="Times New Roman" w:hAnsi="Times New Roman"/>
          <w:sz w:val="20"/>
          <w:szCs w:val="20"/>
          <w:color w:val="auto"/>
        </w:rPr>
        <w:t>The preparation of the accompanying consolidated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Significant estimates relied upon in preparing these financial statements include estimates related to revenue recognition, accrued research and development expenses, stock-based compensation, and the liability related to the sale of future royalties. We evaluate our estimates and assumptions on an ongoing basis. Our actual results could differ from these estimates under different assumptions or conditions.</w:t>
      </w:r>
    </w:p>
    <w:p>
      <w:pPr>
        <w:spacing w:after="0" w:line="200" w:lineRule="exact"/>
        <w:rPr>
          <w:sz w:val="20"/>
          <w:szCs w:val="20"/>
          <w:color w:val="auto"/>
        </w:rPr>
      </w:pPr>
    </w:p>
    <w:p>
      <w:pPr>
        <w:ind w:left="230"/>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39" w:lineRule="exact"/>
        <w:rPr>
          <w:sz w:val="20"/>
          <w:szCs w:val="20"/>
          <w:color w:val="auto"/>
        </w:rPr>
      </w:pPr>
    </w:p>
    <w:p>
      <w:pPr>
        <w:ind w:left="10" w:right="200" w:firstLine="630"/>
        <w:spacing w:after="0" w:line="309" w:lineRule="auto"/>
        <w:rPr>
          <w:sz w:val="20"/>
          <w:szCs w:val="20"/>
          <w:color w:val="auto"/>
        </w:rPr>
      </w:pPr>
      <w:r>
        <w:rPr>
          <w:rFonts w:ascii="Times New Roman" w:cs="Times New Roman" w:eastAsia="Times New Roman" w:hAnsi="Times New Roman"/>
          <w:sz w:val="19"/>
          <w:szCs w:val="19"/>
          <w:color w:val="auto"/>
        </w:rPr>
        <w:t>We consider all highly liquid investments with a maturity at date of purchase of three months or less to be cash equivalents. Cash equivalents consist primarily of money market and mutual funds with original maturities of 90 days or less.</w:t>
      </w:r>
    </w:p>
    <w:p>
      <w:pPr>
        <w:sectPr>
          <w:pgSz w:w="12240" w:h="15840" w:orient="portrait"/>
          <w:cols w:equalWidth="0" w:num="1">
            <w:col w:w="10250"/>
          </w:cols>
          <w:pgMar w:left="99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250"/>
          </w:cols>
          <w:pgMar w:left="990" w:top="786" w:right="1000" w:bottom="0" w:gutter="0" w:footer="0" w:header="0"/>
          <w:type w:val="continuous"/>
        </w:sectPr>
      </w:pPr>
    </w:p>
    <w:bookmarkStart w:id="77" w:name="page78"/>
    <w:bookmarkEnd w:id="77"/>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Short-Term and Long-Term Investments</w:t>
      </w:r>
    </w:p>
    <w:p>
      <w:pPr>
        <w:spacing w:after="0" w:line="139" w:lineRule="exact"/>
        <w:rPr>
          <w:sz w:val="20"/>
          <w:szCs w:val="20"/>
          <w:color w:val="auto"/>
        </w:rPr>
      </w:pPr>
    </w:p>
    <w:p>
      <w:pPr>
        <w:ind w:right="60" w:firstLine="630"/>
        <w:spacing w:after="0" w:line="253" w:lineRule="auto"/>
        <w:rPr>
          <w:sz w:val="20"/>
          <w:szCs w:val="20"/>
          <w:color w:val="auto"/>
        </w:rPr>
      </w:pPr>
      <w:r>
        <w:rPr>
          <w:rFonts w:ascii="Times New Roman" w:cs="Times New Roman" w:eastAsia="Times New Roman" w:hAnsi="Times New Roman"/>
          <w:sz w:val="20"/>
          <w:szCs w:val="20"/>
          <w:color w:val="auto"/>
        </w:rPr>
        <w:t>All investments have been classified as “available-for-sale” and are carried at fair value as determined based upon quoted market prices or pricing models for similar securities at period end. Investments with contractual maturities less than 12 months at the balance sheet date are considered short-term investments. Those investments with contractual maturities 12 months or greater at the balance sheet date are considered long-term investments. Dividend and interest income are recognized when earned. Realized gains and losses are included in earnings and are derived using the specific identification method for determining the cost of securities sold. Unrealized gains and losses are reported as a component of accumulated other comprehensive income (loss). We review our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net income, whereas if the decline in fair value is not due to credit-related factors, the loss is recorded in other comprehensive income (loss). No credit impairment losses have been recorded during the years ended December 31, 2023, 2022, or 2021.</w:t>
      </w: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w:t>
      </w:r>
    </w:p>
    <w:p>
      <w:pPr>
        <w:spacing w:after="0" w:line="139" w:lineRule="exact"/>
        <w:rPr>
          <w:sz w:val="20"/>
          <w:szCs w:val="20"/>
          <w:color w:val="auto"/>
        </w:rPr>
      </w:pPr>
    </w:p>
    <w:p>
      <w:pPr>
        <w:ind w:firstLine="630"/>
        <w:spacing w:after="0" w:line="256" w:lineRule="auto"/>
        <w:rPr>
          <w:sz w:val="20"/>
          <w:szCs w:val="20"/>
          <w:color w:val="auto"/>
        </w:rPr>
      </w:pPr>
      <w:r>
        <w:rPr>
          <w:rFonts w:ascii="Times New Roman" w:cs="Times New Roman" w:eastAsia="Times New Roman" w:hAnsi="Times New Roman"/>
          <w:sz w:val="20"/>
          <w:szCs w:val="20"/>
          <w:color w:val="auto"/>
        </w:rPr>
        <w:t>Financial instruments that potentially subject us to a concentration of credit risk consist of cash and cash equivalents and certain investments in money market funds, certificates of deposit, agency securities, commercial obligations and U.S. Treasury securities. Bank deposits are diversified between three financial institutions and these deposits may exceed insured limits. We are exposed to credit risk in the event of default by the financial institutions holding our cash and cash equivalents and issuers of investments that are recorded on our consolidated balance sheets. We mitigate our risk by investing in high-grade instruments and limiting the concentration in any one issuer, which limits our exposure.</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139" w:lineRule="exact"/>
        <w:rPr>
          <w:sz w:val="20"/>
          <w:szCs w:val="20"/>
          <w:color w:val="auto"/>
        </w:rPr>
      </w:pPr>
    </w:p>
    <w:p>
      <w:pPr>
        <w:ind w:right="200" w:firstLine="630"/>
        <w:spacing w:after="0" w:line="256" w:lineRule="auto"/>
        <w:rPr>
          <w:sz w:val="20"/>
          <w:szCs w:val="20"/>
          <w:color w:val="auto"/>
        </w:rPr>
      </w:pPr>
      <w:r>
        <w:rPr>
          <w:rFonts w:ascii="Times New Roman" w:cs="Times New Roman" w:eastAsia="Times New Roman" w:hAnsi="Times New Roman"/>
          <w:sz w:val="20"/>
          <w:szCs w:val="20"/>
          <w:color w:val="auto"/>
        </w:rPr>
        <w:t>Property and equipment are stated at cost, less accumulated depreciation. Expenditures for major additions and betterments are capitalized. Maintenance and repairs are charged to operations as incurred. Depreciation and amortization are calculated using the straight-line method over the estimated useful lives of the assets, which range from three to seven years. Leasehold improvements are amortized using the straight-line method over the term of the lease. Upon sale or retirement of property and equipment, the related cost and accumulated depreciation are removed from the accounts and any gain or loss is reflected in operations.</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Long Lived Assets</w:t>
      </w:r>
    </w:p>
    <w:p>
      <w:pPr>
        <w:spacing w:after="0" w:line="139" w:lineRule="exact"/>
        <w:rPr>
          <w:sz w:val="20"/>
          <w:szCs w:val="20"/>
          <w:color w:val="auto"/>
        </w:rPr>
      </w:pPr>
    </w:p>
    <w:p>
      <w:pPr>
        <w:ind w:right="80" w:firstLine="630"/>
        <w:spacing w:after="0" w:line="258" w:lineRule="auto"/>
        <w:rPr>
          <w:sz w:val="20"/>
          <w:szCs w:val="20"/>
          <w:color w:val="auto"/>
        </w:rPr>
      </w:pPr>
      <w:r>
        <w:rPr>
          <w:rFonts w:ascii="Times New Roman" w:cs="Times New Roman" w:eastAsia="Times New Roman" w:hAnsi="Times New Roman"/>
          <w:sz w:val="20"/>
          <w:szCs w:val="20"/>
          <w:color w:val="auto"/>
        </w:rPr>
        <w:t>Long-lived assets, consisting of property and equipment, are reviewed for impairment whenever events or changes in circumstances indicate that the carrying value of an asset may not be recoverable based on undiscounted cash flows. If long-lived assets are impaired, an impairment loss is recognized and is measured as the amount by which the carrying value exceeds the estimated fair value of the assets. No impairment charges were recorded during the years ended December 31, 2023, 2022, or 2021.</w:t>
      </w:r>
    </w:p>
    <w:p>
      <w:pPr>
        <w:spacing w:after="0" w:line="1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39" w:lineRule="exact"/>
        <w:rPr>
          <w:sz w:val="20"/>
          <w:szCs w:val="20"/>
          <w:color w:val="auto"/>
        </w:rPr>
      </w:pPr>
    </w:p>
    <w:p>
      <w:pPr>
        <w:ind w:right="60" w:firstLine="630"/>
        <w:spacing w:after="0" w:line="255" w:lineRule="auto"/>
        <w:rPr>
          <w:sz w:val="20"/>
          <w:szCs w:val="20"/>
          <w:color w:val="auto"/>
        </w:rPr>
      </w:pPr>
      <w:r>
        <w:rPr>
          <w:rFonts w:ascii="Times New Roman" w:cs="Times New Roman" w:eastAsia="Times New Roman" w:hAnsi="Times New Roman"/>
          <w:sz w:val="20"/>
          <w:szCs w:val="20"/>
          <w:color w:val="auto"/>
        </w:rPr>
        <w:t>Our leases consist of a lease for office and lab space that is classified as an operating lease. We determine if an arrangement is a lease at inception. Rent expense is recognized on a straight-line basis. When an operating lease includes rent abatements or requires fixed escalations of the minimum lease payments, the aggregate rental expense is recognized on a straight-line basis over the term of the lease. When an operating lease includes lease incentives such as leasehold improvement allowances, the lease incentive is included in ROU asset. For leases that have greater than a 12-month lease term, the ROU assets and lease liabilities are recognized based on the present value of the future minimum lease payments over the lease term. For this purpose, we consider only payments that are fixed and determinable at the time of commencement.</w:t>
      </w:r>
    </w:p>
    <w:p>
      <w:pPr>
        <w:spacing w:after="0" w:line="90" w:lineRule="exact"/>
        <w:rPr>
          <w:sz w:val="20"/>
          <w:szCs w:val="20"/>
          <w:color w:val="auto"/>
        </w:rPr>
      </w:pPr>
    </w:p>
    <w:p>
      <w:pPr>
        <w:ind w:right="180" w:firstLine="680"/>
        <w:spacing w:after="0" w:line="266" w:lineRule="auto"/>
        <w:rPr>
          <w:sz w:val="20"/>
          <w:szCs w:val="20"/>
          <w:color w:val="auto"/>
        </w:rPr>
      </w:pPr>
      <w:r>
        <w:rPr>
          <w:rFonts w:ascii="Times New Roman" w:cs="Times New Roman" w:eastAsia="Times New Roman" w:hAnsi="Times New Roman"/>
          <w:sz w:val="20"/>
          <w:szCs w:val="20"/>
          <w:color w:val="auto"/>
        </w:rPr>
        <w:t>As our lease does not provide an implicit rate, we use our incremental borrowing rate based on the information available at commencement date in determining the present value of future payments. We account for fixed lease components separately from non-lease components.</w:t>
      </w:r>
    </w:p>
    <w:p>
      <w:pPr>
        <w:spacing w:after="0" w:line="75" w:lineRule="exact"/>
        <w:rPr>
          <w:sz w:val="20"/>
          <w:szCs w:val="20"/>
          <w:color w:val="auto"/>
        </w:rPr>
      </w:pPr>
    </w:p>
    <w:p>
      <w:pPr>
        <w:jc w:val="both"/>
        <w:ind w:firstLine="630"/>
        <w:spacing w:after="0" w:line="309" w:lineRule="auto"/>
        <w:rPr>
          <w:sz w:val="20"/>
          <w:szCs w:val="20"/>
          <w:color w:val="auto"/>
        </w:rPr>
      </w:pPr>
      <w:r>
        <w:rPr>
          <w:rFonts w:ascii="Times New Roman" w:cs="Times New Roman" w:eastAsia="Times New Roman" w:hAnsi="Times New Roman"/>
          <w:sz w:val="19"/>
          <w:szCs w:val="19"/>
          <w:color w:val="auto"/>
        </w:rPr>
        <w:t>We elected the practical expedient to not record leases with an initial term of 12 months or less on the balance sheet and recognize the associated lease payments in the consolidated statements of operations on a straight-line basis over the lease term.</w:t>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Liability Related to the Sale of Future Royalties</w:t>
      </w:r>
    </w:p>
    <w:p>
      <w:pPr>
        <w:spacing w:after="0" w:line="139" w:lineRule="exact"/>
        <w:rPr>
          <w:sz w:val="20"/>
          <w:szCs w:val="20"/>
          <w:color w:val="auto"/>
        </w:rPr>
      </w:pPr>
    </w:p>
    <w:p>
      <w:pPr>
        <w:ind w:right="140" w:firstLine="630"/>
        <w:spacing w:after="0" w:line="286" w:lineRule="auto"/>
        <w:rPr>
          <w:sz w:val="20"/>
          <w:szCs w:val="20"/>
          <w:color w:val="auto"/>
        </w:rPr>
      </w:pPr>
      <w:r>
        <w:rPr>
          <w:rFonts w:ascii="Times New Roman" w:cs="Times New Roman" w:eastAsia="Times New Roman" w:hAnsi="Times New Roman"/>
          <w:sz w:val="19"/>
          <w:szCs w:val="19"/>
          <w:color w:val="auto"/>
        </w:rPr>
        <w:t xml:space="preserve">We treat the liability related to the sale of future royalties as debt, amortized under the effective interest rate method over the estimated life of the </w:t>
      </w:r>
      <w:r>
        <w:rPr>
          <w:rFonts w:ascii="Times New Roman" w:cs="Times New Roman" w:eastAsia="Times New Roman" w:hAnsi="Times New Roman"/>
          <w:sz w:val="19"/>
          <w:szCs w:val="19"/>
          <w:b w:val="1"/>
          <w:bCs w:val="1"/>
          <w:i w:val="1"/>
          <w:iCs w:val="1"/>
          <w:color w:val="auto"/>
        </w:rPr>
        <w:t>Jemperli</w:t>
      </w:r>
      <w:r>
        <w:rPr>
          <w:rFonts w:ascii="Times New Roman" w:cs="Times New Roman" w:eastAsia="Times New Roman" w:hAnsi="Times New Roman"/>
          <w:sz w:val="19"/>
          <w:szCs w:val="19"/>
          <w:color w:val="auto"/>
        </w:rPr>
        <w:t xml:space="preserve"> Royalty Monetization Agreement and the Zejula Royalty Monetization Agreement. See Note 5. The amortization of the liability related to the sale of future revenue is based on our current estimates of future royalty</w:t>
      </w:r>
    </w:p>
    <w:p>
      <w:pPr>
        <w:sectPr>
          <w:pgSz w:w="12240" w:h="15840" w:orient="portrait"/>
          <w:cols w:equalWidth="0" w:num="1">
            <w:col w:w="10220"/>
          </w:cols>
          <w:pgMar w:left="1000" w:top="784" w:right="1020" w:bottom="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220"/>
          </w:cols>
          <w:pgMar w:left="1000" w:top="784" w:right="1020" w:bottom="0" w:gutter="0" w:footer="0" w:header="0"/>
          <w:type w:val="continuous"/>
        </w:sectPr>
      </w:pPr>
    </w:p>
    <w:bookmarkStart w:id="78" w:name="page79"/>
    <w:bookmarkEnd w:id="78"/>
    <w:p>
      <w:pPr>
        <w:ind w:right="100"/>
        <w:spacing w:after="0" w:line="281" w:lineRule="auto"/>
        <w:rPr>
          <w:sz w:val="20"/>
          <w:szCs w:val="20"/>
          <w:color w:val="auto"/>
        </w:rPr>
      </w:pPr>
      <w:r>
        <w:rPr>
          <w:rFonts w:ascii="Times New Roman" w:cs="Times New Roman" w:eastAsia="Times New Roman" w:hAnsi="Times New Roman"/>
          <w:sz w:val="20"/>
          <w:szCs w:val="20"/>
          <w:color w:val="auto"/>
        </w:rPr>
        <w:t>payments. Royalty and milestone revenue will be recognized as earned and the payments made will be recorded as a reduction of the liability when paid.</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Debt Issuance Costs</w:t>
      </w:r>
    </w:p>
    <w:p>
      <w:pPr>
        <w:spacing w:after="0" w:line="139" w:lineRule="exact"/>
        <w:rPr>
          <w:sz w:val="20"/>
          <w:szCs w:val="20"/>
          <w:color w:val="auto"/>
        </w:rPr>
      </w:pPr>
    </w:p>
    <w:p>
      <w:pPr>
        <w:ind w:right="100" w:firstLine="630"/>
        <w:spacing w:after="0" w:line="266" w:lineRule="auto"/>
        <w:rPr>
          <w:sz w:val="20"/>
          <w:szCs w:val="20"/>
          <w:color w:val="auto"/>
        </w:rPr>
      </w:pPr>
      <w:r>
        <w:rPr>
          <w:rFonts w:ascii="Times New Roman" w:cs="Times New Roman" w:eastAsia="Times New Roman" w:hAnsi="Times New Roman"/>
          <w:sz w:val="20"/>
          <w:szCs w:val="20"/>
          <w:color w:val="auto"/>
        </w:rPr>
        <w:t>Debt issuance costs related to a recognized debt liability are deferred and amortized over the term of the debt using the effective interest method. These costs are recorded as a direct reduction to the carrying value of the debt on the balance sheet and the amortization expense is included in non-cash interest expense in the statement of operations.</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Non-Cash Interest Expense on the Liability Related to the Sale of Future Royalties</w:t>
      </w:r>
    </w:p>
    <w:p>
      <w:pPr>
        <w:spacing w:after="0" w:line="139" w:lineRule="exact"/>
        <w:rPr>
          <w:sz w:val="20"/>
          <w:szCs w:val="20"/>
          <w:color w:val="auto"/>
        </w:rPr>
      </w:pPr>
    </w:p>
    <w:p>
      <w:pPr>
        <w:jc w:val="both"/>
        <w:ind w:right="140" w:firstLine="630"/>
        <w:spacing w:after="0" w:line="258" w:lineRule="auto"/>
        <w:rPr>
          <w:sz w:val="20"/>
          <w:szCs w:val="20"/>
          <w:color w:val="auto"/>
        </w:rPr>
      </w:pPr>
      <w:r>
        <w:rPr>
          <w:rFonts w:ascii="Times New Roman" w:cs="Times New Roman" w:eastAsia="Times New Roman" w:hAnsi="Times New Roman"/>
          <w:sz w:val="20"/>
          <w:szCs w:val="20"/>
          <w:color w:val="auto"/>
        </w:rPr>
        <w:t xml:space="preserve">The total threshold of royalties to be paid, less the net proceeds received will be recorded as non-cash interest expense over the life of the liability. We impute interest on the unamortized portion of the liability using the effective interest method and record expense based on the timing of payments received over the term of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and the Zejula Royalty Monetization Agreement. Over the course of the agreement, the actual interest rate will be affected by the timing of royalty and milestone payments made and changes in the forecasted revenue.</w:t>
      </w:r>
    </w:p>
    <w:p>
      <w:pPr>
        <w:spacing w:after="0" w:line="1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39" w:lineRule="exact"/>
        <w:rPr>
          <w:sz w:val="20"/>
          <w:szCs w:val="20"/>
          <w:color w:val="auto"/>
        </w:rPr>
      </w:pPr>
    </w:p>
    <w:p>
      <w:pPr>
        <w:ind w:right="180" w:firstLine="630"/>
        <w:spacing w:after="0" w:line="260" w:lineRule="auto"/>
        <w:rPr>
          <w:sz w:val="20"/>
          <w:szCs w:val="20"/>
          <w:color w:val="auto"/>
        </w:rPr>
      </w:pPr>
      <w:r>
        <w:rPr>
          <w:rFonts w:ascii="Times New Roman" w:cs="Times New Roman" w:eastAsia="Times New Roman" w:hAnsi="Times New Roman"/>
          <w:sz w:val="20"/>
          <w:szCs w:val="20"/>
          <w:color w:val="auto"/>
        </w:rPr>
        <w:t>Revenue is recognized in accordance with revenue recognition accounting guidance,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w:t>
      </w:r>
    </w:p>
    <w:p>
      <w:pPr>
        <w:spacing w:after="0" w:line="80" w:lineRule="exact"/>
        <w:rPr>
          <w:sz w:val="20"/>
          <w:szCs w:val="20"/>
          <w:color w:val="auto"/>
        </w:rPr>
      </w:pPr>
    </w:p>
    <w:p>
      <w:pPr>
        <w:ind w:right="40" w:firstLine="63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Performance Obligations. </w:t>
      </w:r>
      <w:r>
        <w:rPr>
          <w:rFonts w:ascii="Times New Roman" w:cs="Times New Roman" w:eastAsia="Times New Roman" w:hAnsi="Times New Roman"/>
          <w:sz w:val="20"/>
          <w:szCs w:val="20"/>
          <w:color w:val="auto"/>
        </w:rPr>
        <w:t>We evaluate deliverables on a contract-by-contract basis to determine whether each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deliverable represents a good or service that is distinct or has the same pattern of transfer as other deliverables. A deliverable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deliverable is not considered distinct, we combine such deliverables and account for them as a single performance obligation. We allocate the consideration to each deliverable at the inception of the arrangement based on the transaction price.</w:t>
      </w:r>
    </w:p>
    <w:p>
      <w:pPr>
        <w:spacing w:after="0" w:line="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Our performance obligations may include the following:</w:t>
      </w:r>
    </w:p>
    <w:p>
      <w:pPr>
        <w:spacing w:after="0" w:line="130" w:lineRule="exact"/>
        <w:rPr>
          <w:sz w:val="20"/>
          <w:szCs w:val="20"/>
          <w:color w:val="auto"/>
        </w:rPr>
      </w:pPr>
    </w:p>
    <w:p>
      <w:pPr>
        <w:ind w:left="720" w:hanging="370"/>
        <w:spacing w:after="0" w:line="258"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w:t>
      </w:r>
    </w:p>
    <w:p>
      <w:pPr>
        <w:spacing w:after="0" w:line="83" w:lineRule="exact"/>
        <w:rPr>
          <w:rFonts w:ascii="Times New Roman" w:cs="Times New Roman" w:eastAsia="Times New Roman" w:hAnsi="Times New Roman"/>
          <w:sz w:val="20"/>
          <w:szCs w:val="20"/>
          <w:color w:val="auto"/>
        </w:rPr>
      </w:pPr>
    </w:p>
    <w:p>
      <w:pPr>
        <w:ind w:left="720" w:right="80" w:hanging="370"/>
        <w:spacing w:after="0" w:line="256"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w:t>
      </w:r>
    </w:p>
    <w:p>
      <w:pPr>
        <w:spacing w:after="0" w:line="88" w:lineRule="exact"/>
        <w:rPr>
          <w:rFonts w:ascii="Times New Roman" w:cs="Times New Roman" w:eastAsia="Times New Roman" w:hAnsi="Times New Roman"/>
          <w:sz w:val="20"/>
          <w:szCs w:val="20"/>
          <w:color w:val="auto"/>
        </w:rPr>
      </w:pPr>
    </w:p>
    <w:p>
      <w:pPr>
        <w:ind w:left="720" w:right="40" w:hanging="370"/>
        <w:spacing w:after="0" w:line="260"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Steering Committee Meetings. The performance obligations under our collaboration and license agreements may also include our participation on steering committees, which allows us to direct the progression of our discovery programs. As these steering committees would not occur or benefit the customer without the use of our licenses, these are not considered distinct.</w:t>
      </w:r>
    </w:p>
    <w:p>
      <w:pPr>
        <w:spacing w:after="0" w:line="83" w:lineRule="exact"/>
        <w:rPr>
          <w:sz w:val="20"/>
          <w:szCs w:val="20"/>
          <w:color w:val="auto"/>
        </w:rPr>
      </w:pPr>
    </w:p>
    <w:p>
      <w:pPr>
        <w:ind w:right="20" w:firstLine="630"/>
        <w:spacing w:after="0" w:line="278" w:lineRule="auto"/>
        <w:rPr>
          <w:sz w:val="20"/>
          <w:szCs w:val="20"/>
          <w:color w:val="auto"/>
        </w:rPr>
      </w:pPr>
      <w:r>
        <w:rPr>
          <w:rFonts w:ascii="Times New Roman" w:cs="Times New Roman" w:eastAsia="Times New Roman" w:hAnsi="Times New Roman"/>
          <w:sz w:val="19"/>
          <w:szCs w:val="19"/>
          <w:color w:val="auto"/>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 There were no new agreements with performance obligations entered into during the year ended December 31, 2023.</w:t>
      </w:r>
    </w:p>
    <w:p>
      <w:pPr>
        <w:spacing w:after="0" w:line="64" w:lineRule="exact"/>
        <w:rPr>
          <w:sz w:val="20"/>
          <w:szCs w:val="20"/>
          <w:color w:val="auto"/>
        </w:rPr>
      </w:pPr>
    </w:p>
    <w:p>
      <w:pPr>
        <w:ind w:right="20" w:firstLine="63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Transaction Price. </w:t>
      </w:r>
      <w:r>
        <w:rPr>
          <w:rFonts w:ascii="Times New Roman" w:cs="Times New Roman" w:eastAsia="Times New Roman" w:hAnsi="Times New Roman"/>
          <w:sz w:val="20"/>
          <w:szCs w:val="20"/>
          <w:color w:val="auto"/>
        </w:rPr>
        <w:t>Our collaboration and license agreements generally include both fixed and variable consideration.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Fixed payments, such as those for 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Research and development services are updated for actual invoices. Given the nature of our agreements, milestones are estimated using the most likely amount and are evaluated on a quarterly basis. Upon commercialization, royalty payments will be recognized in the period incurred.</w:t>
      </w:r>
    </w:p>
    <w:p>
      <w:pPr>
        <w:sectPr>
          <w:pgSz w:w="12240" w:h="15840" w:orient="portrait"/>
          <w:cols w:equalWidth="0" w:num="1">
            <w:col w:w="10200"/>
          </w:cols>
          <w:pgMar w:left="1000" w:top="793" w:right="1040" w:bottom="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200"/>
          </w:cols>
          <w:pgMar w:left="1000" w:top="793" w:right="1040" w:bottom="0" w:gutter="0" w:footer="0" w:header="0"/>
          <w:type w:val="continuous"/>
        </w:sectPr>
      </w:pPr>
    </w:p>
    <w:bookmarkStart w:id="79" w:name="page80"/>
    <w:bookmarkEnd w:id="79"/>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Royalty Revenue</w:t>
      </w:r>
    </w:p>
    <w:p>
      <w:pPr>
        <w:spacing w:after="0" w:line="139"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0"/>
          <w:szCs w:val="20"/>
          <w:color w:val="auto"/>
        </w:rPr>
        <w:t>We receive royalty revenue on sales by our partners of products covered by patents or contract rights that we own and net sales of their approved drugs, where we have concluded the license is the predominant item to which the royalties relate. We do not have future performance obligations under these license arrangements. We generally satisfy our obligation to grant intellectual property rights on the effective date of the contract. However, we apply the royalty recognition constraint required under the guidance for sales-based royalties, which requires a sales-based royalty to be recorded when the underlying sale occurs. Therefore, royalties on sales of products commercialized by our partners are recognized in the quarter the product is sold. Our partners generally report sales information to us on a quarter lag. Thus, we estimate the expected royalty proceeds based on an analysis of our partners’ historical experience including their publicly announced sales. Differences between actual and estimated royalty revenues are adjusted for in the period in which they become known, typically the following quarter. As of December 31, 2023, there have not been material differences between actual and estimated royalty revenues.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39" w:lineRule="exact"/>
        <w:rPr>
          <w:sz w:val="20"/>
          <w:szCs w:val="20"/>
          <w:color w:val="auto"/>
        </w:rPr>
      </w:pPr>
    </w:p>
    <w:p>
      <w:pPr>
        <w:ind w:right="180" w:firstLine="630"/>
        <w:spacing w:after="0" w:line="266" w:lineRule="auto"/>
        <w:rPr>
          <w:sz w:val="20"/>
          <w:szCs w:val="20"/>
          <w:color w:val="auto"/>
        </w:rPr>
      </w:pPr>
      <w:r>
        <w:rPr>
          <w:rFonts w:ascii="Times New Roman" w:cs="Times New Roman" w:eastAsia="Times New Roman" w:hAnsi="Times New Roman"/>
          <w:sz w:val="20"/>
          <w:szCs w:val="20"/>
          <w:color w:val="auto"/>
        </w:rPr>
        <w:t>Research and development costs primarily include third-party clinical and preclinical research and development services such as manufacturing, laboratory and related supplies, salaries and personnel-related costs, in-licensing fees, outside services, and an allocation of information technology, and facility overhead costs.</w:t>
      </w:r>
    </w:p>
    <w:p>
      <w:pPr>
        <w:spacing w:after="0" w:line="75" w:lineRule="exact"/>
        <w:rPr>
          <w:sz w:val="20"/>
          <w:szCs w:val="20"/>
          <w:color w:val="auto"/>
        </w:rPr>
      </w:pPr>
    </w:p>
    <w:p>
      <w:pPr>
        <w:ind w:firstLine="495"/>
        <w:spacing w:after="0" w:line="253" w:lineRule="auto"/>
        <w:rPr>
          <w:sz w:val="20"/>
          <w:szCs w:val="20"/>
          <w:color w:val="auto"/>
        </w:rPr>
      </w:pPr>
      <w:r>
        <w:rPr>
          <w:rFonts w:ascii="Times New Roman" w:cs="Times New Roman" w:eastAsia="Times New Roman" w:hAnsi="Times New Roman"/>
          <w:sz w:val="20"/>
          <w:szCs w:val="20"/>
          <w:color w:val="auto"/>
        </w:rPr>
        <w:t>Costs associated with research and development activities are expensed as incurred. We account for nonrefundable advance payments for goods and services that will be used in future research and development activities as expense when the service has been performed or when the goods have been received. We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91" w:lineRule="exact"/>
        <w:rPr>
          <w:sz w:val="20"/>
          <w:szCs w:val="20"/>
          <w:color w:val="auto"/>
        </w:rPr>
      </w:pPr>
    </w:p>
    <w:p>
      <w:pPr>
        <w:jc w:val="both"/>
        <w:ind w:right="20" w:firstLine="495"/>
        <w:spacing w:after="0" w:line="309" w:lineRule="auto"/>
        <w:rPr>
          <w:sz w:val="20"/>
          <w:szCs w:val="20"/>
          <w:color w:val="auto"/>
        </w:rPr>
      </w:pPr>
      <w:r>
        <w:rPr>
          <w:rFonts w:ascii="Times New Roman" w:cs="Times New Roman" w:eastAsia="Times New Roman" w:hAnsi="Times New Roman"/>
          <w:sz w:val="19"/>
          <w:szCs w:val="19"/>
          <w:color w:val="auto"/>
        </w:rPr>
        <w:t>Upfront and milestone payments incurred under our in-licensing agreements are expensed as acquired in-process research and development in the period in which they are incurred, provided that the technology or method has no alternative future use.</w:t>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Acquired In-process Research and Development</w:t>
      </w:r>
    </w:p>
    <w:p>
      <w:pPr>
        <w:spacing w:after="0" w:line="139" w:lineRule="exact"/>
        <w:rPr>
          <w:sz w:val="20"/>
          <w:szCs w:val="20"/>
          <w:color w:val="auto"/>
        </w:rPr>
      </w:pPr>
    </w:p>
    <w:p>
      <w:pPr>
        <w:jc w:val="both"/>
        <w:ind w:right="740" w:firstLine="495"/>
        <w:spacing w:after="0" w:line="266" w:lineRule="auto"/>
        <w:rPr>
          <w:sz w:val="20"/>
          <w:szCs w:val="20"/>
          <w:color w:val="auto"/>
        </w:rPr>
      </w:pPr>
      <w:r>
        <w:rPr>
          <w:rFonts w:ascii="Times New Roman" w:cs="Times New Roman" w:eastAsia="Times New Roman" w:hAnsi="Times New Roman"/>
          <w:sz w:val="20"/>
          <w:szCs w:val="20"/>
          <w:color w:val="auto"/>
        </w:rPr>
        <w:t xml:space="preserve">Acquired in-process research and development costs consist of upfront payments incurred in connection with the acquisition of licensing of products or technologies that do not meet the definition of a business under the Accounting Standards of Codification Topic 805, </w:t>
      </w:r>
      <w:r>
        <w:rPr>
          <w:rFonts w:ascii="Times New Roman" w:cs="Times New Roman" w:eastAsia="Times New Roman" w:hAnsi="Times New Roman"/>
          <w:sz w:val="20"/>
          <w:szCs w:val="20"/>
          <w:b w:val="1"/>
          <w:bCs w:val="1"/>
          <w:i w:val="1"/>
          <w:iCs w:val="1"/>
          <w:color w:val="auto"/>
        </w:rPr>
        <w:t>Business Combinations</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39" w:lineRule="exact"/>
        <w:rPr>
          <w:sz w:val="20"/>
          <w:szCs w:val="20"/>
          <w:color w:val="auto"/>
        </w:rPr>
      </w:pPr>
    </w:p>
    <w:p>
      <w:pPr>
        <w:ind w:right="180" w:firstLine="630"/>
        <w:spacing w:after="0" w:line="258" w:lineRule="auto"/>
        <w:rPr>
          <w:sz w:val="20"/>
          <w:szCs w:val="20"/>
          <w:color w:val="auto"/>
        </w:rPr>
      </w:pPr>
      <w:r>
        <w:rPr>
          <w:rFonts w:ascii="Times New Roman" w:cs="Times New Roman" w:eastAsia="Times New Roman" w:hAnsi="Times New Roman"/>
          <w:sz w:val="20"/>
          <w:szCs w:val="20"/>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recognize forfeitures in the period in which forfeitures occur and record stock-based compensation expense as though all awards are expected to vest.</w:t>
      </w:r>
    </w:p>
    <w:p>
      <w:pPr>
        <w:spacing w:after="0" w:line="84" w:lineRule="exact"/>
        <w:rPr>
          <w:sz w:val="20"/>
          <w:szCs w:val="20"/>
          <w:color w:val="auto"/>
        </w:rPr>
      </w:pPr>
    </w:p>
    <w:p>
      <w:pPr>
        <w:ind w:right="180" w:firstLine="630"/>
        <w:spacing w:after="0" w:line="260" w:lineRule="auto"/>
        <w:rPr>
          <w:sz w:val="20"/>
          <w:szCs w:val="20"/>
          <w:color w:val="auto"/>
        </w:rPr>
      </w:pPr>
      <w:r>
        <w:rPr>
          <w:rFonts w:ascii="Times New Roman" w:cs="Times New Roman" w:eastAsia="Times New Roman" w:hAnsi="Times New Roman"/>
          <w:sz w:val="20"/>
          <w:szCs w:val="20"/>
          <w:color w:val="auto"/>
        </w:rPr>
        <w:t>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w:t>
      </w:r>
    </w:p>
    <w:p>
      <w:pPr>
        <w:spacing w:after="0" w:line="83" w:lineRule="exact"/>
        <w:rPr>
          <w:sz w:val="20"/>
          <w:szCs w:val="20"/>
          <w:color w:val="auto"/>
        </w:rPr>
      </w:pPr>
    </w:p>
    <w:p>
      <w:pPr>
        <w:ind w:right="160" w:firstLine="630"/>
        <w:spacing w:after="0" w:line="260" w:lineRule="auto"/>
        <w:rPr>
          <w:sz w:val="20"/>
          <w:szCs w:val="20"/>
          <w:color w:val="auto"/>
        </w:rPr>
      </w:pPr>
      <w:r>
        <w:rPr>
          <w:rFonts w:ascii="Times New Roman" w:cs="Times New Roman" w:eastAsia="Times New Roman" w:hAnsi="Times New Roman"/>
          <w:sz w:val="20"/>
          <w:szCs w:val="20"/>
          <w:color w:val="auto"/>
        </w:rPr>
        <w:t>Each Restricted Stock Unit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w:t>
      </w:r>
    </w:p>
    <w:p>
      <w:pPr>
        <w:spacing w:after="0" w:line="83" w:lineRule="exact"/>
        <w:rPr>
          <w:sz w:val="20"/>
          <w:szCs w:val="20"/>
          <w:color w:val="auto"/>
        </w:rPr>
      </w:pPr>
    </w:p>
    <w:p>
      <w:pPr>
        <w:ind w:firstLine="630"/>
        <w:spacing w:after="0" w:line="286" w:lineRule="auto"/>
        <w:rPr>
          <w:sz w:val="20"/>
          <w:szCs w:val="20"/>
          <w:color w:val="auto"/>
        </w:rPr>
      </w:pPr>
      <w:r>
        <w:rPr>
          <w:rFonts w:ascii="Times New Roman" w:cs="Times New Roman" w:eastAsia="Times New Roman" w:hAnsi="Times New Roman"/>
          <w:sz w:val="19"/>
          <w:szCs w:val="19"/>
          <w:color w:val="auto"/>
        </w:rPr>
        <w:t>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w:t>
      </w:r>
    </w:p>
    <w:p>
      <w:pPr>
        <w:sectPr>
          <w:pgSz w:w="12240" w:h="15840" w:orient="portrait"/>
          <w:cols w:equalWidth="0" w:num="1">
            <w:col w:w="10240"/>
          </w:cols>
          <w:pgMar w:left="1000" w:top="78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240"/>
          </w:cols>
          <w:pgMar w:left="1000" w:top="784" w:right="1000" w:bottom="0" w:gutter="0" w:footer="0" w:header="0"/>
          <w:type w:val="continuous"/>
        </w:sectPr>
      </w:pPr>
    </w:p>
    <w:bookmarkStart w:id="80" w:name="page81"/>
    <w:bookmarkEnd w:id="80"/>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39" w:lineRule="exact"/>
        <w:rPr>
          <w:sz w:val="20"/>
          <w:szCs w:val="20"/>
          <w:color w:val="auto"/>
        </w:rPr>
      </w:pPr>
    </w:p>
    <w:p>
      <w:pPr>
        <w:ind w:right="100" w:firstLine="630"/>
        <w:spacing w:after="0" w:line="256" w:lineRule="auto"/>
        <w:rPr>
          <w:sz w:val="20"/>
          <w:szCs w:val="20"/>
          <w:color w:val="auto"/>
        </w:rPr>
      </w:pPr>
      <w:r>
        <w:rPr>
          <w:rFonts w:ascii="Times New Roman" w:cs="Times New Roman" w:eastAsia="Times New Roman" w:hAnsi="Times New Roman"/>
          <w:sz w:val="20"/>
          <w:szCs w:val="20"/>
          <w:color w:val="auto"/>
        </w:rPr>
        <w:t>We account for income taxes under the asset and liability method. Under this method, deferred tax assets and liabilities are determined based on differences between financial reporting and tax basis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88" w:lineRule="exact"/>
        <w:rPr>
          <w:sz w:val="20"/>
          <w:szCs w:val="20"/>
          <w:color w:val="auto"/>
        </w:rPr>
      </w:pPr>
    </w:p>
    <w:p>
      <w:pPr>
        <w:ind w:right="40" w:firstLine="630"/>
        <w:spacing w:after="0" w:line="256" w:lineRule="auto"/>
        <w:rPr>
          <w:sz w:val="20"/>
          <w:szCs w:val="20"/>
          <w:color w:val="auto"/>
        </w:rPr>
      </w:pPr>
      <w:r>
        <w:rPr>
          <w:rFonts w:ascii="Times New Roman" w:cs="Times New Roman" w:eastAsia="Times New Roman" w:hAnsi="Times New Roman"/>
          <w:sz w:val="20"/>
          <w:szCs w:val="20"/>
          <w:color w:val="auto"/>
        </w:rPr>
        <w:t>We recognize an uncertain tax position in our consolidated financial statements when we conclude that a tax position is more likely than not to be sustained upon examination based solely on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We have elected to accrue any interest or penalties related to income taxes as part of our income tax expense.</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Functional Currency of Foreign Operations</w:t>
      </w:r>
    </w:p>
    <w:p>
      <w:pPr>
        <w:spacing w:after="0" w:line="139" w:lineRule="exact"/>
        <w:rPr>
          <w:sz w:val="20"/>
          <w:szCs w:val="20"/>
          <w:color w:val="auto"/>
        </w:rPr>
      </w:pPr>
    </w:p>
    <w:p>
      <w:pPr>
        <w:ind w:firstLine="630"/>
        <w:spacing w:after="0" w:line="255" w:lineRule="auto"/>
        <w:rPr>
          <w:sz w:val="20"/>
          <w:szCs w:val="20"/>
          <w:color w:val="auto"/>
        </w:rPr>
      </w:pPr>
      <w:r>
        <w:rPr>
          <w:rFonts w:ascii="Times New Roman" w:cs="Times New Roman" w:eastAsia="Times New Roman" w:hAnsi="Times New Roman"/>
          <w:sz w:val="20"/>
          <w:szCs w:val="20"/>
          <w:color w:val="auto"/>
        </w:rPr>
        <w:t>Our Australian subsidiary operates in a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Comprehensive Income (Loss)</w:t>
      </w:r>
    </w:p>
    <w:p>
      <w:pPr>
        <w:spacing w:after="0" w:line="139" w:lineRule="exact"/>
        <w:rPr>
          <w:sz w:val="20"/>
          <w:szCs w:val="20"/>
          <w:color w:val="auto"/>
        </w:rPr>
      </w:pPr>
    </w:p>
    <w:p>
      <w:pPr>
        <w:ind w:right="60" w:firstLine="630"/>
        <w:spacing w:after="0" w:line="266" w:lineRule="auto"/>
        <w:rPr>
          <w:sz w:val="20"/>
          <w:szCs w:val="20"/>
          <w:color w:val="auto"/>
        </w:rPr>
      </w:pPr>
      <w:r>
        <w:rPr>
          <w:rFonts w:ascii="Times New Roman" w:cs="Times New Roman" w:eastAsia="Times New Roman" w:hAnsi="Times New Roman"/>
          <w:sz w:val="20"/>
          <w:szCs w:val="20"/>
          <w:color w:val="auto"/>
        </w:rPr>
        <w:t>Comprehensive income (loss) represents all changes in stockholders’ equity except those resulting from distributions to stockholders. Our unrealized gain and losses on available for sale investments represent the only component of other comprehensive income (loss) that is excluded from the reported net income (loss).</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Net Loss Per Common Share</w:t>
      </w:r>
    </w:p>
    <w:p>
      <w:pPr>
        <w:spacing w:after="0" w:line="139" w:lineRule="exact"/>
        <w:rPr>
          <w:sz w:val="20"/>
          <w:szCs w:val="20"/>
          <w:color w:val="auto"/>
        </w:rPr>
      </w:pPr>
    </w:p>
    <w:p>
      <w:pPr>
        <w:ind w:right="20" w:firstLine="630"/>
        <w:spacing w:after="0" w:line="258" w:lineRule="auto"/>
        <w:rPr>
          <w:sz w:val="20"/>
          <w:szCs w:val="20"/>
          <w:color w:val="auto"/>
        </w:rPr>
      </w:pPr>
      <w:r>
        <w:rPr>
          <w:rFonts w:ascii="Times New Roman" w:cs="Times New Roman" w:eastAsia="Times New Roman" w:hAnsi="Times New Roman"/>
          <w:sz w:val="20"/>
          <w:szCs w:val="20"/>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spacing w:after="0" w:line="84" w:lineRule="exact"/>
        <w:rPr>
          <w:sz w:val="20"/>
          <w:szCs w:val="20"/>
          <w:color w:val="auto"/>
        </w:rPr>
      </w:pPr>
    </w:p>
    <w:p>
      <w:pPr>
        <w:ind w:right="160" w:firstLine="630"/>
        <w:spacing w:after="0" w:line="309" w:lineRule="auto"/>
        <w:rPr>
          <w:sz w:val="20"/>
          <w:szCs w:val="20"/>
          <w:color w:val="auto"/>
        </w:rPr>
      </w:pPr>
      <w:r>
        <w:rPr>
          <w:rFonts w:ascii="Times New Roman" w:cs="Times New Roman" w:eastAsia="Times New Roman" w:hAnsi="Times New Roman"/>
          <w:sz w:val="19"/>
          <w:szCs w:val="19"/>
          <w:color w:val="auto"/>
        </w:rPr>
        <w:t>The following table sets forth the weighted-average outstanding potentially dilutive securities that have been excluded in the calculation of diluted net loss per share because to do so would be anti-dilutive (in common stock equivalent shares):</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4"/>
        </w:trPr>
        <w:tc>
          <w:tcPr>
            <w:tcW w:w="67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35"/>
        </w:trPr>
        <w:tc>
          <w:tcPr>
            <w:tcW w:w="6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8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77"/>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Options to purchase 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3,602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3,631</w:t>
            </w:r>
          </w:p>
        </w:tc>
      </w:tr>
      <w:tr>
        <w:trPr>
          <w:trHeight w:val="303"/>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Restricted stock units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521</w:t>
            </w:r>
          </w:p>
        </w:tc>
        <w:tc>
          <w:tcPr>
            <w:tcW w:w="8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375</w:t>
            </w:r>
          </w:p>
        </w:tc>
        <w:tc>
          <w:tcPr>
            <w:tcW w:w="8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7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3,977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3,631</w:t>
            </w:r>
          </w:p>
        </w:tc>
      </w:tr>
      <w:tr>
        <w:trPr>
          <w:trHeight w:val="20"/>
        </w:trPr>
        <w:tc>
          <w:tcPr>
            <w:tcW w:w="6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511925" cy="215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extLst>
                    </a:blip>
                    <a:srcRect/>
                    <a:stretch>
                      <a:fillRect/>
                    </a:stretch>
                  </pic:blipFill>
                  <pic:spPr bwMode="auto">
                    <a:xfrm>
                      <a:off x="0" y="0"/>
                      <a:ext cx="6511925"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-221615</wp:posOffset>
            </wp:positionV>
            <wp:extent cx="6524625" cy="241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extLst>
                    </a:blip>
                    <a:srcRect/>
                    <a:stretch>
                      <a:fillRect/>
                    </a:stretch>
                  </pic:blipFill>
                  <pic:spPr bwMode="auto">
                    <a:xfrm>
                      <a:off x="0" y="0"/>
                      <a:ext cx="6524625" cy="241300"/>
                    </a:xfrm>
                    <a:prstGeom prst="rect">
                      <a:avLst/>
                    </a:prstGeom>
                    <a:noFill/>
                  </pic:spPr>
                </pic:pic>
              </a:graphicData>
            </a:graphic>
          </wp:anchor>
        </w:drawing>
      </w:r>
    </w:p>
    <w:p>
      <w:pPr>
        <w:sectPr>
          <w:pgSz w:w="12240" w:h="15840" w:orient="portrait"/>
          <w:cols w:equalWidth="0" w:num="1">
            <w:col w:w="10240"/>
          </w:cols>
          <w:pgMar w:left="1000" w:top="78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240"/>
          </w:cols>
          <w:pgMar w:left="1000" w:top="784" w:right="1000" w:bottom="0" w:gutter="0" w:footer="0" w:header="0"/>
          <w:type w:val="continuous"/>
        </w:sectPr>
      </w:pPr>
    </w:p>
    <w:bookmarkStart w:id="81" w:name="page82"/>
    <w:bookmarkEnd w:id="81"/>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Accounting Pronouncements</w:t>
      </w:r>
    </w:p>
    <w:p>
      <w:pPr>
        <w:spacing w:after="0" w:line="139" w:lineRule="exact"/>
        <w:rPr>
          <w:sz w:val="20"/>
          <w:szCs w:val="20"/>
          <w:color w:val="auto"/>
        </w:rPr>
      </w:pPr>
    </w:p>
    <w:p>
      <w:pPr>
        <w:ind w:right="240" w:firstLine="630"/>
        <w:spacing w:after="0" w:line="266" w:lineRule="auto"/>
        <w:rPr>
          <w:sz w:val="20"/>
          <w:szCs w:val="20"/>
          <w:color w:val="auto"/>
        </w:rPr>
      </w:pPr>
      <w:r>
        <w:rPr>
          <w:rFonts w:ascii="Times New Roman" w:cs="Times New Roman" w:eastAsia="Times New Roman" w:hAnsi="Times New Roman"/>
          <w:sz w:val="20"/>
          <w:szCs w:val="20"/>
          <w:color w:val="auto"/>
        </w:rPr>
        <w:t>We have implemented all new accounting pronouncements that are in effect and may have an impact on our consolidated financial statements. Unless otherwise discussed, we believe the impact of any recently issued pronouncements, not yet effective will not have a material impact on our consolidated financial statements.</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 Not Yet Adopted</w:t>
      </w:r>
    </w:p>
    <w:p>
      <w:pPr>
        <w:spacing w:after="0" w:line="139" w:lineRule="exact"/>
        <w:rPr>
          <w:sz w:val="20"/>
          <w:szCs w:val="20"/>
          <w:color w:val="auto"/>
        </w:rPr>
      </w:pPr>
    </w:p>
    <w:p>
      <w:pPr>
        <w:ind w:right="120" w:firstLine="630"/>
        <w:spacing w:after="0" w:line="272" w:lineRule="auto"/>
        <w:rPr>
          <w:sz w:val="20"/>
          <w:szCs w:val="20"/>
          <w:color w:val="auto"/>
        </w:rPr>
      </w:pPr>
      <w:r>
        <w:rPr>
          <w:rFonts w:ascii="Times New Roman" w:cs="Times New Roman" w:eastAsia="Times New Roman" w:hAnsi="Times New Roman"/>
          <w:sz w:val="19"/>
          <w:szCs w:val="19"/>
          <w:color w:val="auto"/>
        </w:rPr>
        <w:t xml:space="preserve">In November 2023, the Financial Accounting Standards Board (FASB) issued Accounting Standard Update (ASU) 2023-07, </w:t>
      </w:r>
      <w:r>
        <w:rPr>
          <w:rFonts w:ascii="Times New Roman" w:cs="Times New Roman" w:eastAsia="Times New Roman" w:hAnsi="Times New Roman"/>
          <w:sz w:val="19"/>
          <w:szCs w:val="19"/>
          <w:b w:val="1"/>
          <w:bCs w:val="1"/>
          <w:i w:val="1"/>
          <w:iCs w:val="1"/>
          <w:color w:val="auto"/>
        </w:rPr>
        <w:t>Segment Reporting (Topic 280): Improvements to Reportable Segment Disclosures</w:t>
      </w:r>
      <w:r>
        <w:rPr>
          <w:rFonts w:ascii="Times New Roman" w:cs="Times New Roman" w:eastAsia="Times New Roman" w:hAnsi="Times New Roman"/>
          <w:sz w:val="19"/>
          <w:szCs w:val="19"/>
          <w:color w:val="auto"/>
        </w:rPr>
        <w:t>, which requires enhanced disclosure of significant segment expenses on an annual and interim basis. The guidance will be effective for fiscal years beginning after December 15, 2023, and interim periods within fiscal years beginning December 15, 2024, with early adoption permitted. Upon adoption, the guidance should be applied retrospectively to all prior periods presented in the financial statements. We are currently assessing the impact that this standard will have on our consolidated financial statements.</w:t>
      </w:r>
    </w:p>
    <w:p>
      <w:pPr>
        <w:spacing w:after="0" w:line="71" w:lineRule="exact"/>
        <w:rPr>
          <w:sz w:val="20"/>
          <w:szCs w:val="20"/>
          <w:color w:val="auto"/>
        </w:rPr>
      </w:pPr>
    </w:p>
    <w:p>
      <w:pPr>
        <w:ind w:right="160" w:firstLine="630"/>
        <w:spacing w:after="0" w:line="256" w:lineRule="auto"/>
        <w:rPr>
          <w:sz w:val="20"/>
          <w:szCs w:val="20"/>
          <w:color w:val="auto"/>
        </w:rPr>
      </w:pPr>
      <w:r>
        <w:rPr>
          <w:rFonts w:ascii="Times New Roman" w:cs="Times New Roman" w:eastAsia="Times New Roman" w:hAnsi="Times New Roman"/>
          <w:sz w:val="20"/>
          <w:szCs w:val="20"/>
          <w:color w:val="auto"/>
        </w:rPr>
        <w:t xml:space="preserve">In December 2023, the FASB issued ASU No. 2023-09, </w:t>
      </w:r>
      <w:r>
        <w:rPr>
          <w:rFonts w:ascii="Times New Roman" w:cs="Times New Roman" w:eastAsia="Times New Roman" w:hAnsi="Times New Roman"/>
          <w:sz w:val="20"/>
          <w:szCs w:val="20"/>
          <w:b w:val="1"/>
          <w:bCs w:val="1"/>
          <w:i w:val="1"/>
          <w:iCs w:val="1"/>
          <w:color w:val="auto"/>
        </w:rPr>
        <w:t>Income Taxes (Topic 740): Improvements to Income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Disclosures Income Taxes</w:t>
      </w:r>
      <w:r>
        <w:rPr>
          <w:rFonts w:ascii="Times New Roman" w:cs="Times New Roman" w:eastAsia="Times New Roman" w:hAnsi="Times New Roman"/>
          <w:sz w:val="20"/>
          <w:szCs w:val="20"/>
          <w:color w:val="auto"/>
        </w:rPr>
        <w:t>, which improves the transparency of income tax disclosures by requiring consistent categories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after December 15, 2024. Early adoption is permitted. Upon adoption, the guidance can be applied prospectively or retrospectively. We are currently assessing the impact that this standard will have on our consolidated financial statements.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Balance Sheet Accounts and Supplemental Disclosures</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Property and equipment consist of the following:</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6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7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Laboratory equipment</w:t>
            </w:r>
          </w:p>
        </w:tc>
        <w:tc>
          <w:tcPr>
            <w:tcW w:w="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6,473</w:t>
            </w:r>
          </w:p>
        </w:tc>
        <w:tc>
          <w:tcPr>
            <w:tcW w:w="20" w:type="dxa"/>
            <w:vAlign w:val="bottom"/>
          </w:tcPr>
          <w:p>
            <w:pPr>
              <w:spacing w:after="0"/>
              <w:rPr>
                <w:sz w:val="22"/>
                <w:szCs w:val="22"/>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Office furniture and equipment</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2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Property and equipment, gross</w:t>
            </w: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8,316</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7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(6,218)</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2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Total property and equipment, net</w:t>
            </w:r>
          </w:p>
        </w:tc>
        <w:tc>
          <w:tcPr>
            <w:tcW w:w="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2,098</w:t>
            </w:r>
          </w:p>
        </w:tc>
        <w:tc>
          <w:tcPr>
            <w:tcW w:w="20" w:type="dxa"/>
            <w:vAlign w:val="bottom"/>
          </w:tcPr>
          <w:p>
            <w:pPr>
              <w:spacing w:after="0"/>
              <w:rPr>
                <w:sz w:val="21"/>
                <w:szCs w:val="21"/>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20"/>
                <w:szCs w:val="20"/>
                <w:b w:val="1"/>
                <w:bCs w:val="1"/>
                <w:i w:val="1"/>
                <w:iCs w:val="1"/>
                <w:color w:val="auto"/>
              </w:rPr>
              <w:t>Accrued Expenses</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72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20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Accrued expenses consist of the following:</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1"/>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Accrued compensation and related expenses</w:t>
            </w:r>
          </w:p>
        </w:tc>
        <w:tc>
          <w:tcPr>
            <w:tcW w:w="40" w:type="dxa"/>
            <w:vAlign w:val="bottom"/>
          </w:tcPr>
          <w:p>
            <w:pPr>
              <w:spacing w:after="0"/>
              <w:rPr>
                <w:sz w:val="22"/>
                <w:szCs w:val="22"/>
                <w:color w:val="auto"/>
              </w:rPr>
            </w:pPr>
          </w:p>
        </w:tc>
        <w:tc>
          <w:tcPr>
            <w:tcW w:w="480" w:type="dxa"/>
            <w:vAlign w:val="bottom"/>
          </w:tcPr>
          <w:p>
            <w:pPr>
              <w:jc w:val="right"/>
              <w:ind w:right="267"/>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7,201</w:t>
            </w:r>
          </w:p>
        </w:tc>
        <w:tc>
          <w:tcPr>
            <w:tcW w:w="20" w:type="dxa"/>
            <w:vAlign w:val="bottom"/>
          </w:tcPr>
          <w:p>
            <w:pPr>
              <w:spacing w:after="0"/>
              <w:rPr>
                <w:sz w:val="22"/>
                <w:szCs w:val="22"/>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Accrued professional fees</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Accrued research, development and manufacturing expenses</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21,898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Accrued for repurchase of common stock</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w:t>
            </w: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296</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1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 accrued expenses</w:t>
            </w:r>
          </w:p>
        </w:tc>
        <w:tc>
          <w:tcPr>
            <w:tcW w:w="40" w:type="dxa"/>
            <w:vAlign w:val="bottom"/>
          </w:tcPr>
          <w:p>
            <w:pPr>
              <w:spacing w:after="0"/>
              <w:rPr>
                <w:sz w:val="21"/>
                <w:szCs w:val="21"/>
                <w:color w:val="auto"/>
              </w:rPr>
            </w:pPr>
          </w:p>
        </w:tc>
        <w:tc>
          <w:tcPr>
            <w:tcW w:w="480" w:type="dxa"/>
            <w:vAlign w:val="bottom"/>
          </w:tcPr>
          <w:p>
            <w:pPr>
              <w:jc w:val="right"/>
              <w:ind w:right="267"/>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30,967</w:t>
            </w:r>
          </w:p>
        </w:tc>
        <w:tc>
          <w:tcPr>
            <w:tcW w:w="20" w:type="dxa"/>
            <w:vAlign w:val="bottom"/>
          </w:tcPr>
          <w:p>
            <w:pPr>
              <w:spacing w:after="0"/>
              <w:rPr>
                <w:sz w:val="21"/>
                <w:szCs w:val="21"/>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-3129915</wp:posOffset>
            </wp:positionV>
            <wp:extent cx="6521450" cy="206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extLst>
                    </a:blip>
                    <a:srcRect/>
                    <a:stretch>
                      <a:fillRect/>
                    </a:stretch>
                  </pic:blipFill>
                  <pic:spPr bwMode="auto">
                    <a:xfrm>
                      <a:off x="0" y="0"/>
                      <a:ext cx="652145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-2767965</wp:posOffset>
            </wp:positionV>
            <wp:extent cx="6521450" cy="2063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extLst>
                    </a:blip>
                    <a:srcRect/>
                    <a:stretch>
                      <a:fillRect/>
                    </a:stretch>
                  </pic:blipFill>
                  <pic:spPr bwMode="auto">
                    <a:xfrm>
                      <a:off x="0" y="0"/>
                      <a:ext cx="652145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-2406015</wp:posOffset>
            </wp:positionV>
            <wp:extent cx="6521450" cy="2063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extLst>
                    </a:blip>
                    <a:srcRect/>
                    <a:stretch>
                      <a:fillRect/>
                    </a:stretch>
                  </pic:blipFill>
                  <pic:spPr bwMode="auto">
                    <a:xfrm>
                      <a:off x="0" y="0"/>
                      <a:ext cx="6521450" cy="206375"/>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-2069465</wp:posOffset>
            </wp:positionV>
            <wp:extent cx="1946275" cy="76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extLst>
                    </a:blip>
                    <a:srcRect/>
                    <a:stretch>
                      <a:fillRect/>
                    </a:stretch>
                  </pic:blipFill>
                  <pic:spPr bwMode="auto">
                    <a:xfrm>
                      <a:off x="0" y="0"/>
                      <a:ext cx="1946275" cy="7620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-1116965</wp:posOffset>
            </wp:positionV>
            <wp:extent cx="6543675" cy="11366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extLst>
                    </a:blip>
                    <a:srcRect/>
                    <a:stretch>
                      <a:fillRect/>
                    </a:stretch>
                  </pic:blipFill>
                  <pic:spPr bwMode="auto">
                    <a:xfrm>
                      <a:off x="0" y="0"/>
                      <a:ext cx="6543675" cy="1136650"/>
                    </a:xfrm>
                    <a:prstGeom prst="rect">
                      <a:avLst/>
                    </a:prstGeom>
                    <a:noFill/>
                  </pic:spPr>
                </pic:pic>
              </a:graphicData>
            </a:graphic>
          </wp:anchor>
        </w:drawing>
      </w:r>
    </w:p>
    <w:p>
      <w:pPr>
        <w:sectPr>
          <w:pgSz w:w="12240" w:h="15840" w:orient="portrait"/>
          <w:cols w:equalWidth="0" w:num="1">
            <w:col w:w="10240"/>
          </w:cols>
          <w:pgMar w:left="1000" w:top="78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240"/>
          </w:cols>
          <w:pgMar w:left="1000" w:top="784" w:right="1000" w:bottom="0" w:gutter="0" w:footer="0" w:header="0"/>
          <w:type w:val="continuous"/>
        </w:sectPr>
      </w:pPr>
    </w:p>
    <w:bookmarkStart w:id="82" w:name="page83"/>
    <w:bookmarkEnd w:id="82"/>
    <w:p>
      <w:pPr>
        <w:ind w:left="270" w:right="5440" w:hanging="270"/>
        <w:spacing w:after="0" w:line="379" w:lineRule="auto"/>
        <w:tabs>
          <w:tab w:leader="none" w:pos="20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Collaborative Research and Development Agreements </w:t>
      </w:r>
      <w:r>
        <w:rPr>
          <w:rFonts w:ascii="Times New Roman" w:cs="Times New Roman" w:eastAsia="Times New Roman" w:hAnsi="Times New Roman"/>
          <w:sz w:val="20"/>
          <w:szCs w:val="20"/>
          <w:b w:val="1"/>
          <w:bCs w:val="1"/>
          <w:i w:val="1"/>
          <w:iCs w:val="1"/>
          <w:color w:val="auto"/>
        </w:rPr>
        <w:t>GlaxoSmithKline Collaboration</w:t>
      </w:r>
    </w:p>
    <w:p>
      <w:pPr>
        <w:spacing w:after="0" w:line="1" w:lineRule="exact"/>
        <w:rPr>
          <w:sz w:val="20"/>
          <w:szCs w:val="20"/>
          <w:color w:val="auto"/>
        </w:rPr>
      </w:pPr>
    </w:p>
    <w:p>
      <w:pPr>
        <w:ind w:left="10" w:right="20" w:firstLine="630"/>
        <w:spacing w:after="0" w:line="254" w:lineRule="auto"/>
        <w:rPr>
          <w:sz w:val="20"/>
          <w:szCs w:val="20"/>
          <w:color w:val="auto"/>
        </w:rPr>
      </w:pPr>
      <w:r>
        <w:rPr>
          <w:rFonts w:ascii="Times New Roman" w:cs="Times New Roman" w:eastAsia="Times New Roman" w:hAnsi="Times New Roman"/>
          <w:sz w:val="20"/>
          <w:szCs w:val="20"/>
          <w:color w:val="auto"/>
        </w:rPr>
        <w:t xml:space="preserve">In March 2014, we entered into a Collaboration and Exclusive License Agreement with GSK (the “GSK Agreement”) with TESARO, Inc. (“Tesaro”), an oncology-focused biopharmaceutical company now a part of GlaxoSmithKline (Tesaro and GlaxoSmithKline are hereinafter referred to, collectively, as “GSK”). Currently, under the GSK Agreement, GSK is developing </w:t>
      </w:r>
      <w:r>
        <w:rPr>
          <w:rFonts w:ascii="Times New Roman" w:cs="Times New Roman" w:eastAsia="Times New Roman" w:hAnsi="Times New Roman"/>
          <w:sz w:val="20"/>
          <w:szCs w:val="20"/>
          <w:b w:val="1"/>
          <w:bCs w:val="1"/>
          <w:i w:val="1"/>
          <w:iCs w:val="1"/>
          <w:color w:val="auto"/>
        </w:rPr>
        <w:t xml:space="preserve">Jemperli </w:t>
      </w:r>
      <w:r>
        <w:rPr>
          <w:rFonts w:ascii="Times New Roman" w:cs="Times New Roman" w:eastAsia="Times New Roman" w:hAnsi="Times New Roman"/>
          <w:sz w:val="20"/>
          <w:szCs w:val="20"/>
          <w:color w:val="auto"/>
        </w:rPr>
        <w:t>(dostarlimab), an anti-PD-1 antagonist antibody, as a monotherapy for various solid tumor indications. In addition,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GSK is developing dostarlimab in combination with additional therapies under the collaboration, including with another development program from the GSK Agreement: cobolimab, an anti-TIM-3 antibody, in 2L NSCLC. In October 2023, Amendment No. 5 to the GSK Agreement was agreed by both parties to terminate the anti-LAG-3 antagonist antibody development program under the GSK Agreement. In accordance with the GSK Agreement and the amendment, we have regained full global rights to the anti-LAG-3 antagonist antibody development program.</w:t>
      </w:r>
    </w:p>
    <w:p>
      <w:pPr>
        <w:spacing w:after="0" w:line="89" w:lineRule="exact"/>
        <w:rPr>
          <w:sz w:val="20"/>
          <w:szCs w:val="20"/>
          <w:color w:val="auto"/>
        </w:rPr>
      </w:pPr>
    </w:p>
    <w:p>
      <w:pPr>
        <w:ind w:left="10" w:right="40" w:firstLine="630"/>
        <w:spacing w:after="0" w:line="253" w:lineRule="auto"/>
        <w:rPr>
          <w:sz w:val="20"/>
          <w:szCs w:val="20"/>
          <w:color w:val="auto"/>
        </w:rPr>
      </w:pPr>
      <w:r>
        <w:rPr>
          <w:rFonts w:ascii="Times New Roman" w:cs="Times New Roman" w:eastAsia="Times New Roman" w:hAnsi="Times New Roman"/>
          <w:sz w:val="20"/>
          <w:szCs w:val="20"/>
          <w:color w:val="auto"/>
        </w:rPr>
        <w:t xml:space="preserve">For each remaining development program under the GSK Agreement, we are eligible to receive milestone payments if certain preclinical and clinical trial events are achieved by GSK, if certain U.S. and European regulatory submissions and approvals in multiple indications are achieved, and upon the achievement of specified levels of annual worldwide net sales. We will also be eligible to receive tiered 4-8% royalties related to worldwide net sales of products developed under the collaboration. On October 23, 2020, Amendment No. 3 to the GSK Agreement (the “Amendment”) was agreed to by both parties to permit GSK to conduct development and commercialization in combination with any third-party molecules of Zejula, an oral, once-daily poly (ADP-ribose) polymerase (PARP) inhibitor. Under the Amendment, we were granted increased royalties upon sales of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equal to 8% of Net Sales (as defined in the GSK Agreement) below $1.0 billion and from 12% up to 25% of Net Sales above $1.0 billion.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w:t>
      </w:r>
    </w:p>
    <w:p>
      <w:pPr>
        <w:spacing w:after="0" w:line="93" w:lineRule="exact"/>
        <w:rPr>
          <w:sz w:val="20"/>
          <w:szCs w:val="20"/>
          <w:color w:val="auto"/>
        </w:rPr>
      </w:pPr>
    </w:p>
    <w:p>
      <w:pPr>
        <w:ind w:left="10" w:firstLine="630"/>
        <w:spacing w:after="0" w:line="253" w:lineRule="auto"/>
        <w:rPr>
          <w:sz w:val="20"/>
          <w:szCs w:val="20"/>
          <w:color w:val="auto"/>
        </w:rPr>
      </w:pPr>
      <w:r>
        <w:rPr>
          <w:rFonts w:ascii="Times New Roman" w:cs="Times New Roman" w:eastAsia="Times New Roman" w:hAnsi="Times New Roman"/>
          <w:sz w:val="20"/>
          <w:szCs w:val="20"/>
          <w:color w:val="auto"/>
        </w:rPr>
        <w:t>We assessed these arrangements in accordance with ASC 606 and concluded that the contract counterparty, GSK, is a customer. We identified the following material promises under the GSK Agreement: (1) the licenses under certain patent rights and transfer of certain development and regulatory information, (2) research and development (“R&amp;D”) services, and (3) joint steering committee meetings. We considered the research and discovery capabilities of GSK for these specific programs and the fact that the discovery and optimization of these antibodies is proprietary and could not, at the time of contract inception, be provided by other vendors, to conclude that the license does not have stand-alone functionality and is therefore not</w:t>
      </w:r>
    </w:p>
    <w:p>
      <w:pPr>
        <w:spacing w:after="0" w:line="6" w:lineRule="exact"/>
        <w:rPr>
          <w:sz w:val="20"/>
          <w:szCs w:val="20"/>
          <w:color w:val="auto"/>
        </w:rPr>
      </w:pPr>
    </w:p>
    <w:p>
      <w:pPr>
        <w:ind w:left="10" w:right="160"/>
        <w:spacing w:after="0" w:line="255" w:lineRule="auto"/>
        <w:rPr>
          <w:sz w:val="20"/>
          <w:szCs w:val="20"/>
          <w:color w:val="auto"/>
        </w:rPr>
      </w:pPr>
      <w:r>
        <w:rPr>
          <w:rFonts w:ascii="Times New Roman" w:cs="Times New Roman" w:eastAsia="Times New Roman" w:hAnsi="Times New Roman"/>
          <w:sz w:val="20"/>
          <w:szCs w:val="20"/>
          <w:color w:val="auto"/>
        </w:rPr>
        <w:t>distinct. Additionally, we determined that the joint steering committee participation would not have been provided without the R&amp;D services and GSK Agreement. Based on these assessments, we identified all services to be interrelated and therefore concluded that the promises should be combined into a single performance obligation at the inception of the arrangement.</w:t>
      </w:r>
    </w:p>
    <w:p>
      <w:pPr>
        <w:spacing w:after="0" w:line="87" w:lineRule="exact"/>
        <w:rPr>
          <w:sz w:val="20"/>
          <w:szCs w:val="20"/>
          <w:color w:val="auto"/>
        </w:rPr>
      </w:pPr>
    </w:p>
    <w:p>
      <w:pPr>
        <w:ind w:left="10" w:right="240" w:firstLine="720"/>
        <w:spacing w:after="0" w:line="266" w:lineRule="auto"/>
        <w:rPr>
          <w:sz w:val="20"/>
          <w:szCs w:val="20"/>
          <w:color w:val="auto"/>
        </w:rPr>
      </w:pPr>
      <w:r>
        <w:rPr>
          <w:rFonts w:ascii="Times New Roman" w:cs="Times New Roman" w:eastAsia="Times New Roman" w:hAnsi="Times New Roman"/>
          <w:sz w:val="20"/>
          <w:szCs w:val="20"/>
          <w:color w:val="auto"/>
        </w:rPr>
        <w:t>As of December 31, 2023, the transaction price for the GSK Agreement and Amendments includes the upfront payment, research reimbursement revenue and milestones and royalties earned to date, which are allocated in their entirety to the single performance obligation.</w:t>
      </w:r>
    </w:p>
    <w:p>
      <w:pPr>
        <w:spacing w:after="0" w:line="75" w:lineRule="exact"/>
        <w:rPr>
          <w:sz w:val="20"/>
          <w:szCs w:val="20"/>
          <w:color w:val="auto"/>
        </w:rPr>
      </w:pPr>
    </w:p>
    <w:p>
      <w:pPr>
        <w:ind w:left="10" w:firstLine="540"/>
        <w:spacing w:after="0" w:line="253" w:lineRule="auto"/>
        <w:rPr>
          <w:sz w:val="20"/>
          <w:szCs w:val="20"/>
          <w:color w:val="auto"/>
        </w:rPr>
      </w:pPr>
      <w:r>
        <w:rPr>
          <w:rFonts w:ascii="Times New Roman" w:cs="Times New Roman" w:eastAsia="Times New Roman" w:hAnsi="Times New Roman"/>
          <w:sz w:val="20"/>
          <w:szCs w:val="20"/>
          <w:color w:val="auto"/>
        </w:rPr>
        <w:t xml:space="preserve">We recognized $17.2 million in royalty revenue during the year ended December 31, 2023 related to GSK’s net sales of </w:t>
      </w:r>
      <w:r>
        <w:rPr>
          <w:rFonts w:ascii="Times New Roman" w:cs="Times New Roman" w:eastAsia="Times New Roman" w:hAnsi="Times New Roman"/>
          <w:sz w:val="20"/>
          <w:szCs w:val="20"/>
          <w:b w:val="1"/>
          <w:bCs w:val="1"/>
          <w:i w:val="1"/>
          <w:iCs w:val="1"/>
          <w:color w:val="auto"/>
        </w:rPr>
        <w:t xml:space="preserve">Jemperli </w:t>
      </w:r>
      <w:r>
        <w:rPr>
          <w:rFonts w:ascii="Times New Roman" w:cs="Times New Roman" w:eastAsia="Times New Roman" w:hAnsi="Times New Roman"/>
          <w:sz w:val="20"/>
          <w:szCs w:val="20"/>
          <w:color w:val="auto"/>
        </w:rPr>
        <w:t>and Zejula during the period, which we estimate based on either GSK’s prior sales experience or actuals.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royalty revenue recognized during the year ended December 31, 2023, $13.8 million is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non-cash revenue related to the </w:t>
      </w:r>
      <w:r>
        <w:rPr>
          <w:rFonts w:ascii="Times New Roman" w:cs="Times New Roman" w:eastAsia="Times New Roman" w:hAnsi="Times New Roman"/>
          <w:sz w:val="20"/>
          <w:szCs w:val="20"/>
          <w:b w:val="1"/>
          <w:bCs w:val="1"/>
          <w:i w:val="1"/>
          <w:iCs w:val="1"/>
          <w:color w:val="auto"/>
        </w:rPr>
        <w:t xml:space="preserve">Jemperli </w:t>
      </w:r>
      <w:r>
        <w:rPr>
          <w:rFonts w:ascii="Times New Roman" w:cs="Times New Roman" w:eastAsia="Times New Roman" w:hAnsi="Times New Roman"/>
          <w:sz w:val="20"/>
          <w:szCs w:val="20"/>
          <w:color w:val="auto"/>
        </w:rPr>
        <w:t>Royalty Monetization Agreement, $3.4 million is Zejula non-cash revenue related to the Zejula Monetization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Agreement, each of such agreements as described in Note 5. We recognized $5.3 million in royalty revenue during the year ended December 31, 2022, related to GSK’s net sales of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and Zejula during the period based on GSK’s prior sales experience or actuals. Of the royalty revenue recognized during the year ended December 31, 2022, $2.3 million is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non-cash revenue related to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$1.6 million is Zejula revenue prior to the Zejula Royalty Monetization Agreement and $1.4 million is Zejula non-cash revenue related to the Zejula Royalty Monetization Agreement. GSK reports sales information to us on a one quarter lag and differences between actual and estimated royalty revenues will be adjusted in the following quarter. All royalty revenue related to Zejula global net sales starting July 2022, will be paid directly to a wholly-owned subsidiary of DRI Healthcare Trust pursuant to the Zejula Royalty Monetization Agreement, as described in Note 5.</w:t>
      </w:r>
    </w:p>
    <w:p>
      <w:pPr>
        <w:spacing w:after="0" w:line="88" w:lineRule="exact"/>
        <w:rPr>
          <w:sz w:val="20"/>
          <w:szCs w:val="20"/>
          <w:color w:val="auto"/>
        </w:rPr>
      </w:pPr>
    </w:p>
    <w:p>
      <w:pPr>
        <w:ind w:left="10" w:right="80" w:firstLine="540"/>
        <w:spacing w:after="0" w:line="271" w:lineRule="auto"/>
        <w:rPr>
          <w:sz w:val="20"/>
          <w:szCs w:val="20"/>
          <w:color w:val="auto"/>
        </w:rPr>
      </w:pPr>
      <w:r>
        <w:rPr>
          <w:rFonts w:ascii="Times New Roman" w:cs="Times New Roman" w:eastAsia="Times New Roman" w:hAnsi="Times New Roman"/>
          <w:sz w:val="19"/>
          <w:szCs w:val="19"/>
          <w:color w:val="auto"/>
        </w:rPr>
        <w:t>No clinical milestones were recognized during the year ended December 31, 2023 and we recognized one clinical milestone for $5.0 million during the year ended December 31, 2022.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GSK’s efforts. Any consideration related to sales-based milestones, including royalties, will be recognized when the related sales occur as they were determined to relate predominantly to the intellectual property license granted to GSK and therefore have also been excluded from the</w:t>
      </w:r>
    </w:p>
    <w:p>
      <w:pPr>
        <w:sectPr>
          <w:pgSz w:w="12240" w:h="15840" w:orient="portrait"/>
          <w:cols w:equalWidth="0" w:num="1">
            <w:col w:w="10250"/>
          </w:cols>
          <w:pgMar w:left="99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250"/>
          </w:cols>
          <w:pgMar w:left="990" w:top="786" w:right="1000" w:bottom="0" w:gutter="0" w:footer="0" w:header="0"/>
          <w:type w:val="continuous"/>
        </w:sectPr>
      </w:pPr>
    </w:p>
    <w:bookmarkStart w:id="83" w:name="page84"/>
    <w:bookmarkEnd w:id="83"/>
    <w:p>
      <w:pPr>
        <w:ind w:right="20"/>
        <w:spacing w:after="0" w:line="281" w:lineRule="auto"/>
        <w:rPr>
          <w:sz w:val="20"/>
          <w:szCs w:val="20"/>
          <w:color w:val="auto"/>
        </w:rPr>
      </w:pPr>
      <w:r>
        <w:rPr>
          <w:rFonts w:ascii="Times New Roman" w:cs="Times New Roman" w:eastAsia="Times New Roman" w:hAnsi="Times New Roman"/>
          <w:sz w:val="20"/>
          <w:szCs w:val="20"/>
          <w:color w:val="auto"/>
        </w:rPr>
        <w:t>transaction price. We will re-evaluate the variable transaction price in each reporting period and as uncertain events are resolved or other changes in circumstances occur.</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Milestones under the GSK Agreement are as follows: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204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Anti-PD-1</w:t>
            </w:r>
          </w:p>
        </w:tc>
        <w:tc>
          <w:tcPr>
            <w:tcW w:w="80" w:type="dxa"/>
            <w:vAlign w:val="bottom"/>
          </w:tcPr>
          <w:p>
            <w:pPr>
              <w:spacing w:after="0"/>
              <w:rPr>
                <w:sz w:val="16"/>
                <w:szCs w:val="16"/>
                <w:color w:val="auto"/>
              </w:rPr>
            </w:pP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Anti-TIM-3</w:t>
            </w:r>
          </w:p>
        </w:tc>
        <w:tc>
          <w:tcPr>
            <w:tcW w:w="0" w:type="dxa"/>
            <w:vAlign w:val="bottom"/>
          </w:tcPr>
          <w:p>
            <w:pPr>
              <w:spacing w:after="0"/>
              <w:rPr>
                <w:sz w:val="1"/>
                <w:szCs w:val="1"/>
                <w:color w:val="auto"/>
              </w:rPr>
            </w:pPr>
          </w:p>
        </w:tc>
      </w:tr>
      <w:tr>
        <w:trPr>
          <w:trHeight w:val="214"/>
        </w:trPr>
        <w:tc>
          <w:tcPr>
            <w:tcW w:w="6060" w:type="dxa"/>
            <w:vAlign w:val="bottom"/>
          </w:tcPr>
          <w:p>
            <w:pPr>
              <w:spacing w:after="0"/>
              <w:rPr>
                <w:sz w:val="18"/>
                <w:szCs w:val="18"/>
                <w:color w:val="auto"/>
              </w:rPr>
            </w:pPr>
          </w:p>
        </w:tc>
        <w:tc>
          <w:tcPr>
            <w:tcW w:w="20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Jemperli</w:t>
            </w:r>
            <w:r>
              <w:rPr>
                <w:rFonts w:ascii="Times New Roman" w:cs="Times New Roman" w:eastAsia="Times New Roman" w:hAnsi="Times New Roman"/>
                <w:sz w:val="16"/>
                <w:szCs w:val="16"/>
                <w:b w:val="1"/>
                <w:bCs w:val="1"/>
                <w:color w:val="auto"/>
              </w:rPr>
              <w:t>/Dostarlimab)</w:t>
            </w:r>
          </w:p>
        </w:tc>
        <w:tc>
          <w:tcPr>
            <w:tcW w:w="80" w:type="dxa"/>
            <w:vAlign w:val="bottom"/>
          </w:tcPr>
          <w:p>
            <w:pPr>
              <w:spacing w:after="0"/>
              <w:rPr>
                <w:sz w:val="18"/>
                <w:szCs w:val="18"/>
                <w:color w:val="auto"/>
              </w:rPr>
            </w:pPr>
          </w:p>
        </w:tc>
        <w:tc>
          <w:tcPr>
            <w:tcW w:w="2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(GSK4069889A/Cobolimab)</w:t>
            </w:r>
          </w:p>
        </w:tc>
        <w:tc>
          <w:tcPr>
            <w:tcW w:w="0" w:type="dxa"/>
            <w:vAlign w:val="bottom"/>
          </w:tcPr>
          <w:p>
            <w:pPr>
              <w:spacing w:after="0"/>
              <w:rPr>
                <w:sz w:val="1"/>
                <w:szCs w:val="1"/>
                <w:color w:val="auto"/>
              </w:rPr>
            </w:pPr>
          </w:p>
        </w:tc>
      </w:tr>
      <w:tr>
        <w:trPr>
          <w:trHeight w:val="171"/>
        </w:trPr>
        <w:tc>
          <w:tcPr>
            <w:tcW w:w="60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Milestone Event</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9"/>
              </w:rPr>
              <w:t>Quarter</w:t>
            </w:r>
          </w:p>
        </w:tc>
        <w:tc>
          <w:tcPr>
            <w:tcW w:w="80" w:type="dxa"/>
            <w:vAlign w:val="bottom"/>
          </w:tcPr>
          <w:p>
            <w:pPr>
              <w:spacing w:after="0"/>
              <w:rPr>
                <w:sz w:val="14"/>
                <w:szCs w:val="14"/>
                <w:color w:val="auto"/>
              </w:rPr>
            </w:pP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9"/>
              </w:rPr>
              <w:t>Quarter</w:t>
            </w:r>
          </w:p>
        </w:tc>
        <w:tc>
          <w:tcPr>
            <w:tcW w:w="0" w:type="dxa"/>
            <w:vAlign w:val="bottom"/>
          </w:tcPr>
          <w:p>
            <w:pPr>
              <w:spacing w:after="0"/>
              <w:rPr>
                <w:sz w:val="1"/>
                <w:szCs w:val="1"/>
                <w:color w:val="auto"/>
              </w:rPr>
            </w:pPr>
          </w:p>
        </w:tc>
      </w:tr>
      <w:tr>
        <w:trPr>
          <w:trHeight w:val="211"/>
        </w:trPr>
        <w:tc>
          <w:tcPr>
            <w:tcW w:w="60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Recognized</w:t>
            </w:r>
          </w:p>
        </w:tc>
        <w:tc>
          <w:tcPr>
            <w:tcW w:w="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Recognized</w:t>
            </w:r>
          </w:p>
        </w:tc>
        <w:tc>
          <w:tcPr>
            <w:tcW w:w="0" w:type="dxa"/>
            <w:vAlign w:val="bottom"/>
          </w:tcPr>
          <w:p>
            <w:pPr>
              <w:spacing w:after="0"/>
              <w:rPr>
                <w:sz w:val="1"/>
                <w:szCs w:val="1"/>
                <w:color w:val="auto"/>
              </w:rPr>
            </w:pPr>
          </w:p>
        </w:tc>
      </w:tr>
      <w:tr>
        <w:trPr>
          <w:trHeight w:val="402"/>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Initiated </w:t>
            </w:r>
            <w:r>
              <w:rPr>
                <w:rFonts w:ascii="Times New Roman" w:cs="Times New Roman" w:eastAsia="Times New Roman" w:hAnsi="Times New Roman"/>
                <w:sz w:val="16"/>
                <w:szCs w:val="16"/>
                <w:b w:val="1"/>
                <w:bCs w:val="1"/>
                <w:i w:val="1"/>
                <w:iCs w:val="1"/>
                <w:color w:val="auto"/>
              </w:rPr>
              <w:t>in vivo</w:t>
            </w:r>
            <w:r>
              <w:rPr>
                <w:rFonts w:ascii="Times New Roman" w:cs="Times New Roman" w:eastAsia="Times New Roman" w:hAnsi="Times New Roman"/>
                <w:sz w:val="16"/>
                <w:szCs w:val="16"/>
                <w:color w:val="auto"/>
              </w:rPr>
              <w:t xml:space="preserve"> toxicology studies using good laboratory practices (GLPs)</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Q2'15</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Q4'15</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IND clearance from the FDA</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Q1'16</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Q2'16</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Phase 2 clinical trial initiation</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Q2'17</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Q4'17</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Phase 3 clinical trial initiation - first indication</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Q3'18</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Q4'22</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Phase 3 clinical trial initiation - second indication</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Q2'19</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5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Filing of the first BLA</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 first indication</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Q1'20</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Filing of the first MAA</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xml:space="preserve"> - first indication</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Q1'20</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Filing of the first BLA - second indication</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Q1'21</w:t>
            </w:r>
          </w:p>
        </w:tc>
        <w:tc>
          <w:tcPr>
            <w:tcW w:w="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First BLA approval - first indication</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Q2'21</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First MAA approval - first indication</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Q2'21</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First BLA approval - second indication</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Q3'21</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5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Filing of the first MAA - second indication</w:t>
            </w:r>
            <w:r>
              <w:rPr>
                <w:rFonts w:ascii="Times New Roman" w:cs="Times New Roman" w:eastAsia="Times New Roman" w:hAnsi="Times New Roman"/>
                <w:sz w:val="20"/>
                <w:szCs w:val="20"/>
                <w:color w:val="auto"/>
                <w:vertAlign w:val="superscript"/>
              </w:rPr>
              <w:t>(3)</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First MAA approval - second indication</w:t>
            </w:r>
            <w:r>
              <w:rPr>
                <w:rFonts w:ascii="Times New Roman" w:cs="Times New Roman" w:eastAsia="Times New Roman" w:hAnsi="Times New Roman"/>
                <w:sz w:val="20"/>
                <w:szCs w:val="20"/>
                <w:color w:val="auto"/>
                <w:vertAlign w:val="superscript"/>
              </w:rPr>
              <w:t>(3)</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First commercial sales milestone</w:t>
            </w:r>
            <w:r>
              <w:rPr>
                <w:rFonts w:ascii="Times New Roman" w:cs="Times New Roman" w:eastAsia="Times New Roman" w:hAnsi="Times New Roman"/>
                <w:sz w:val="20"/>
                <w:szCs w:val="20"/>
                <w:color w:val="auto"/>
                <w:vertAlign w:val="superscript"/>
              </w:rPr>
              <w:t>(3)</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Second commercial sales milestone</w:t>
            </w:r>
            <w:r>
              <w:rPr>
                <w:rFonts w:ascii="Times New Roman" w:cs="Times New Roman" w:eastAsia="Times New Roman" w:hAnsi="Times New Roman"/>
                <w:sz w:val="20"/>
                <w:szCs w:val="20"/>
                <w:color w:val="auto"/>
                <w:vertAlign w:val="superscript"/>
              </w:rPr>
              <w:t>(3)</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Third commercial sales milestone</w:t>
            </w:r>
            <w:r>
              <w:rPr>
                <w:rFonts w:ascii="Times New Roman" w:cs="Times New Roman" w:eastAsia="Times New Roman" w:hAnsi="Times New Roman"/>
                <w:sz w:val="20"/>
                <w:szCs w:val="20"/>
                <w:color w:val="auto"/>
                <w:vertAlign w:val="superscript"/>
              </w:rPr>
              <w:t>(3)</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Fourth commercial sales milestone</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6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Milestones recognized through December 31, 2023</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$93.0M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Milestones that may be recognized in the future</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$180.0M</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$260.0M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-3878580</wp:posOffset>
            </wp:positionV>
            <wp:extent cx="6540500" cy="3902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extLst>
                    </a:blip>
                    <a:srcRect/>
                    <a:stretch>
                      <a:fillRect/>
                    </a:stretch>
                  </pic:blipFill>
                  <pic:spPr bwMode="auto">
                    <a:xfrm>
                      <a:off x="0" y="0"/>
                      <a:ext cx="6540500" cy="3902075"/>
                    </a:xfrm>
                    <a:prstGeom prst="rect">
                      <a:avLst/>
                    </a:prstGeom>
                    <a:noFill/>
                  </pic:spPr>
                </pic:pic>
              </a:graphicData>
            </a:graphic>
          </wp:anchor>
        </w:drawing>
      </w:r>
    </w:p>
    <w:p>
      <w:pPr>
        <w:spacing w:after="0" w:line="76" w:lineRule="exact"/>
        <w:rPr>
          <w:sz w:val="20"/>
          <w:szCs w:val="20"/>
          <w:color w:val="auto"/>
        </w:rPr>
      </w:pPr>
    </w:p>
    <w:p>
      <w:pPr>
        <w:ind w:left="480" w:hanging="445"/>
        <w:spacing w:after="0"/>
        <w:tabs>
          <w:tab w:leader="none" w:pos="480" w:val="left"/>
        </w:tabs>
        <w:numPr>
          <w:ilvl w:val="0"/>
          <w:numId w:val="3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Biologics License Application (“BLA”)</w:t>
      </w:r>
    </w:p>
    <w:p>
      <w:pPr>
        <w:spacing w:after="0" w:line="21" w:lineRule="exact"/>
        <w:rPr>
          <w:rFonts w:ascii="Times New Roman" w:cs="Times New Roman" w:eastAsia="Times New Roman" w:hAnsi="Times New Roman"/>
          <w:sz w:val="26"/>
          <w:szCs w:val="26"/>
          <w:color w:val="auto"/>
          <w:vertAlign w:val="superscript"/>
        </w:rPr>
      </w:pPr>
    </w:p>
    <w:p>
      <w:pPr>
        <w:ind w:left="480" w:hanging="445"/>
        <w:spacing w:after="0" w:line="191" w:lineRule="auto"/>
        <w:tabs>
          <w:tab w:leader="none" w:pos="480" w:val="left"/>
        </w:tabs>
        <w:numPr>
          <w:ilvl w:val="0"/>
          <w:numId w:val="3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Marketing Authorization Application (“MAA”)</w:t>
      </w:r>
    </w:p>
    <w:p>
      <w:pPr>
        <w:spacing w:after="0" w:line="22" w:lineRule="exact"/>
        <w:rPr>
          <w:rFonts w:ascii="Times New Roman" w:cs="Times New Roman" w:eastAsia="Times New Roman" w:hAnsi="Times New Roman"/>
          <w:sz w:val="26"/>
          <w:szCs w:val="26"/>
          <w:color w:val="auto"/>
          <w:vertAlign w:val="superscript"/>
        </w:rPr>
      </w:pPr>
    </w:p>
    <w:p>
      <w:pPr>
        <w:ind w:left="480" w:right="60" w:hanging="445"/>
        <w:spacing w:after="0" w:line="227" w:lineRule="auto"/>
        <w:tabs>
          <w:tab w:leader="none" w:pos="480" w:val="left"/>
        </w:tabs>
        <w:numPr>
          <w:ilvl w:val="0"/>
          <w:numId w:val="3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 xml:space="preserve">For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the filing and approval of the first MAA for a second indication and first three commercial sales milestones are included as part of the royalty monetization agreement with Sagard, see Note 5. Cash is generally received within 30 days of milestone achievement.</w:t>
      </w:r>
    </w:p>
    <w:p>
      <w:pPr>
        <w:spacing w:after="0" w:line="160" w:lineRule="exact"/>
        <w:rPr>
          <w:sz w:val="20"/>
          <w:szCs w:val="20"/>
          <w:color w:val="auto"/>
        </w:rPr>
      </w:pPr>
    </w:p>
    <w:p>
      <w:pPr>
        <w:ind w:right="120" w:firstLine="540"/>
        <w:spacing w:after="0" w:line="256" w:lineRule="auto"/>
        <w:rPr>
          <w:sz w:val="20"/>
          <w:szCs w:val="20"/>
          <w:color w:val="auto"/>
        </w:rPr>
      </w:pPr>
      <w:r>
        <w:rPr>
          <w:rFonts w:ascii="Times New Roman" w:cs="Times New Roman" w:eastAsia="Times New Roman" w:hAnsi="Times New Roman"/>
          <w:sz w:val="20"/>
          <w:szCs w:val="20"/>
          <w:color w:val="auto"/>
        </w:rPr>
        <w:t>We recognized $17.2 million in revenue under the GSK Agreement during the year ended December 31, 2023, of which $17.2 million was related to royalty revenue and none was related to milestone revenue, as there were no milestones earned during the year. We recognized $10.3 million in revenue during the year ended December 31, 2022, of which $5.3 million was related to royalty revenue and $5.0 million was related to one milestone. We recognized $63.2 million in revenue during the year ended December 31, 2021, of which $60.0 million was related to four milestones and $3.2 million was related to royalty revenue.</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Centessa</w:t>
      </w:r>
    </w:p>
    <w:p>
      <w:pPr>
        <w:spacing w:after="0" w:line="139" w:lineRule="exact"/>
        <w:rPr>
          <w:sz w:val="20"/>
          <w:szCs w:val="20"/>
          <w:color w:val="auto"/>
        </w:rPr>
      </w:pPr>
    </w:p>
    <w:p>
      <w:pPr>
        <w:ind w:right="360" w:firstLine="540"/>
        <w:spacing w:after="0" w:line="258" w:lineRule="auto"/>
        <w:rPr>
          <w:sz w:val="20"/>
          <w:szCs w:val="20"/>
          <w:color w:val="auto"/>
        </w:rPr>
      </w:pPr>
      <w:r>
        <w:rPr>
          <w:rFonts w:ascii="Times New Roman" w:cs="Times New Roman" w:eastAsia="Times New Roman" w:hAnsi="Times New Roman"/>
          <w:sz w:val="20"/>
          <w:szCs w:val="20"/>
          <w:color w:val="auto"/>
        </w:rPr>
        <w:t>On November 24, 2023, we entered into an exclusive license agreement (the “Centessa Agreement”) with Centessa Pharmaceuticals (UK) Limited (“Centessa”), pursuant to which we acquired the exclusive global development and commercialization rights to a blood dendritic cell antigen 2 (BDCA2) modulator antibody portfolio, including lead asset CBS004 (renamed ANB101), CBS008 (renamed ANB102) and the related family of backup antibodies, for the treatment of autoimmune and inflammatory diseases.</w:t>
      </w:r>
    </w:p>
    <w:p>
      <w:pPr>
        <w:spacing w:after="0" w:line="84" w:lineRule="exact"/>
        <w:rPr>
          <w:sz w:val="20"/>
          <w:szCs w:val="20"/>
          <w:color w:val="auto"/>
        </w:rPr>
      </w:pPr>
    </w:p>
    <w:p>
      <w:pPr>
        <w:ind w:right="60" w:firstLine="540"/>
        <w:spacing w:after="0" w:line="278" w:lineRule="auto"/>
        <w:rPr>
          <w:sz w:val="20"/>
          <w:szCs w:val="20"/>
          <w:color w:val="auto"/>
        </w:rPr>
      </w:pPr>
      <w:r>
        <w:rPr>
          <w:rFonts w:ascii="Times New Roman" w:cs="Times New Roman" w:eastAsia="Times New Roman" w:hAnsi="Times New Roman"/>
          <w:sz w:val="19"/>
          <w:szCs w:val="19"/>
          <w:color w:val="auto"/>
        </w:rPr>
        <w:t>In connection with the Centessa Agreement, we paid Centessa an upfront cash payment of $4.0 million and an additional cash payment of $3.0 million as reimbursement to Centessa for manufacturing costs incurred. There were $0.3 million in transaction costs incurred. The total transaction amount of $7.3 million was expensed as in-process research and development in December 2023, and the $7.0 million in payments made as of December 31, 2023 were classified as an operating activity in</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260"/>
          </w:cols>
          <w:pgMar w:left="1000" w:top="793" w:right="980" w:bottom="0" w:gutter="0" w:footer="0" w:header="0"/>
          <w:type w:val="continuous"/>
        </w:sectPr>
      </w:pPr>
    </w:p>
    <w:bookmarkStart w:id="84" w:name="page85"/>
    <w:bookmarkEnd w:id="84"/>
    <w:p>
      <w:pPr>
        <w:ind w:right="680"/>
        <w:spacing w:after="0" w:line="281" w:lineRule="auto"/>
        <w:rPr>
          <w:sz w:val="20"/>
          <w:szCs w:val="20"/>
          <w:color w:val="auto"/>
        </w:rPr>
      </w:pPr>
      <w:r>
        <w:rPr>
          <w:rFonts w:ascii="Times New Roman" w:cs="Times New Roman" w:eastAsia="Times New Roman" w:hAnsi="Times New Roman"/>
          <w:sz w:val="20"/>
          <w:szCs w:val="20"/>
          <w:color w:val="auto"/>
        </w:rPr>
        <w:t>the statement of cash flows. We accounted for the transaction as an asset acquisition as the set of acquired assets did not constitute a business.</w:t>
      </w:r>
    </w:p>
    <w:p>
      <w:pPr>
        <w:spacing w:after="0" w:line="61" w:lineRule="exact"/>
        <w:rPr>
          <w:sz w:val="20"/>
          <w:szCs w:val="20"/>
          <w:color w:val="auto"/>
        </w:rPr>
      </w:pPr>
    </w:p>
    <w:p>
      <w:pPr>
        <w:ind w:right="80" w:firstLine="540"/>
        <w:spacing w:after="0" w:line="258" w:lineRule="auto"/>
        <w:rPr>
          <w:sz w:val="20"/>
          <w:szCs w:val="20"/>
          <w:color w:val="auto"/>
        </w:rPr>
      </w:pPr>
      <w:r>
        <w:rPr>
          <w:rFonts w:ascii="Times New Roman" w:cs="Times New Roman" w:eastAsia="Times New Roman" w:hAnsi="Times New Roman"/>
          <w:sz w:val="20"/>
          <w:szCs w:val="20"/>
          <w:color w:val="auto"/>
        </w:rPr>
        <w:t>Under the term of the agreement, Centessa may be entitled to receive potential future payments of up to $10.0 million upon the achievement of a certain event-based milestone and would be entitled to receive on a product-by-product and country-by-country basis, a royalty of low single digits on annual net sales of any product in the territory in each calendar year. As of December 31, 2023, achievement of the milestone is not probable and, therefore, we have not recognized a liability for the associated $10.0 million contingent consideration.</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Sale of Future Royalties</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Jemperli Royalty Monetization Agreement</w:t>
      </w:r>
    </w:p>
    <w:p>
      <w:pPr>
        <w:spacing w:after="0" w:line="135" w:lineRule="exact"/>
        <w:rPr>
          <w:sz w:val="20"/>
          <w:szCs w:val="20"/>
          <w:color w:val="auto"/>
        </w:rPr>
      </w:pPr>
    </w:p>
    <w:p>
      <w:pPr>
        <w:ind w:right="80" w:firstLine="630"/>
        <w:spacing w:after="0" w:line="254" w:lineRule="auto"/>
        <w:rPr>
          <w:sz w:val="20"/>
          <w:szCs w:val="20"/>
          <w:color w:val="auto"/>
        </w:rPr>
      </w:pPr>
      <w:r>
        <w:rPr>
          <w:rFonts w:ascii="Times New Roman" w:cs="Times New Roman" w:eastAsia="Times New Roman" w:hAnsi="Times New Roman"/>
          <w:sz w:val="20"/>
          <w:szCs w:val="20"/>
          <w:color w:val="auto"/>
        </w:rPr>
        <w:t>In October 2021, we signed a royalty monetization agreement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with Sagard Healthcare Royalty Partners, LP (“Sagard”). Under the terms of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we received $250.0 million in exchange for royalties and milestones payable to us under our GSK collaboration on annual global net sales of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below $1.0 billion starting in October 2021 (not including any combination products that contain both </w:t>
      </w:r>
      <w:r>
        <w:rPr>
          <w:rFonts w:ascii="Times New Roman" w:cs="Times New Roman" w:eastAsia="Times New Roman" w:hAnsi="Times New Roman"/>
          <w:sz w:val="20"/>
          <w:szCs w:val="20"/>
          <w:b w:val="1"/>
          <w:bCs w:val="1"/>
          <w:i w:val="1"/>
          <w:iCs w:val="1"/>
          <w:color w:val="auto"/>
        </w:rPr>
        <w:t xml:space="preserve">Jemperli </w:t>
      </w:r>
      <w:r>
        <w:rPr>
          <w:rFonts w:ascii="Times New Roman" w:cs="Times New Roman" w:eastAsia="Times New Roman" w:hAnsi="Times New Roman"/>
          <w:sz w:val="20"/>
          <w:szCs w:val="20"/>
          <w:color w:val="auto"/>
        </w:rPr>
        <w:t>and another Development Antibody). The aggregate</w:t>
      </w:r>
      <w:r>
        <w:rPr>
          <w:rFonts w:ascii="Times New Roman" w:cs="Times New Roman" w:eastAsia="Times New Roman" w:hAnsi="Times New Roman"/>
          <w:sz w:val="20"/>
          <w:szCs w:val="20"/>
          <w:b w:val="1"/>
          <w:bCs w:val="1"/>
          <w:i w:val="1"/>
          <w:iCs w:val="1"/>
          <w:color w:val="auto"/>
        </w:rPr>
        <w:t xml:space="preserve"> Jemperli </w:t>
      </w:r>
      <w:r>
        <w:rPr>
          <w:rFonts w:ascii="Times New Roman" w:cs="Times New Roman" w:eastAsia="Times New Roman" w:hAnsi="Times New Roman"/>
          <w:sz w:val="20"/>
          <w:szCs w:val="20"/>
          <w:color w:val="auto"/>
        </w:rPr>
        <w:t>royalties and milestones to be received by Sagard under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is capped at certain fixed multiples of the upfront payment based on time. Once Sagard receives an aggregate amount of either $312.5 million (125% of the upfront) by the end of 2026, or $337.5 million (135% of the upfront) during 2027, or $412.5 million (165% of the upfront) at any time after 2027,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will expire resulting in us regaining all subsequent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royalties and milestones. As of December 31, 2023, Sagard has received a total of $10.4 million in royalties and milestones.</w:t>
      </w:r>
    </w:p>
    <w:p>
      <w:pPr>
        <w:spacing w:after="0" w:line="86" w:lineRule="exact"/>
        <w:rPr>
          <w:sz w:val="20"/>
          <w:szCs w:val="20"/>
          <w:color w:val="auto"/>
        </w:rPr>
      </w:pPr>
    </w:p>
    <w:p>
      <w:pPr>
        <w:jc w:val="both"/>
        <w:ind w:right="100" w:firstLine="630"/>
        <w:spacing w:after="0" w:line="262" w:lineRule="auto"/>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includes a call option pursuant to which at any time after December 1, 2024, we may reacquire our interest in the specified royalties by paying Sagard (in cash) a specified amount as described in the </w:t>
      </w:r>
      <w:r>
        <w:rPr>
          <w:rFonts w:ascii="Times New Roman" w:cs="Times New Roman" w:eastAsia="Times New Roman" w:hAnsi="Times New Roman"/>
          <w:sz w:val="20"/>
          <w:szCs w:val="20"/>
          <w:b w:val="1"/>
          <w:bCs w:val="1"/>
          <w:i w:val="1"/>
          <w:iCs w:val="1"/>
          <w:color w:val="auto"/>
        </w:rPr>
        <w:t xml:space="preserve">Jemperli </w:t>
      </w:r>
      <w:r>
        <w:rPr>
          <w:rFonts w:ascii="Times New Roman" w:cs="Times New Roman" w:eastAsia="Times New Roman" w:hAnsi="Times New Roman"/>
          <w:sz w:val="20"/>
          <w:szCs w:val="20"/>
          <w:color w:val="auto"/>
        </w:rPr>
        <w:t>Royalty Monetization Agreement. The exercise of this call option is at our sole discretion, which we currently do not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anticipate exercising.</w:t>
      </w:r>
    </w:p>
    <w:p>
      <w:pPr>
        <w:spacing w:after="0" w:line="8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The proceeds received from Sagard of $250.0 million were recorded as a liability, net of transaction costs of</w:t>
      </w:r>
    </w:p>
    <w:p>
      <w:pPr>
        <w:spacing w:after="0" w:line="30"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0"/>
          <w:szCs w:val="20"/>
          <w:color w:val="auto"/>
        </w:rPr>
        <w:t xml:space="preserve">$0.4 million, which will be amortized over the estimated life of the arrangement using the effective interest rate method. The aggregate future estimated payments, less the $249.6 million, net of proceeds, will be recognized as non-cash interest expense over the life of the agreement. Royalty and milestone revenue will be recognized as earned on net sales of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and these payments to Sagard will be recorded as a reduction of the liability when paid. As such payments are made to Sagard, the balance of the liability will be effectively repaid over the life of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w:t>
      </w:r>
    </w:p>
    <w:p>
      <w:pPr>
        <w:spacing w:after="0" w:line="84" w:lineRule="exact"/>
        <w:rPr>
          <w:sz w:val="20"/>
          <w:szCs w:val="20"/>
          <w:color w:val="auto"/>
        </w:rPr>
      </w:pPr>
    </w:p>
    <w:p>
      <w:pPr>
        <w:ind w:right="100" w:firstLine="630"/>
        <w:spacing w:after="0" w:line="256" w:lineRule="auto"/>
        <w:rPr>
          <w:sz w:val="20"/>
          <w:szCs w:val="20"/>
          <w:color w:val="auto"/>
        </w:rPr>
      </w:pPr>
      <w:r>
        <w:rPr>
          <w:rFonts w:ascii="Times New Roman" w:cs="Times New Roman" w:eastAsia="Times New Roman" w:hAnsi="Times New Roman"/>
          <w:sz w:val="20"/>
          <w:szCs w:val="20"/>
          <w:color w:val="auto"/>
        </w:rPr>
        <w:t xml:space="preserve">We estimate the effective interest rate used to record non-cash interest expense under the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Royalty Monetization Agreement based on the estimate of future royalty payments to be received by Sagard. As of December 31, 2023, the estimated effective rate under the agreement was 8.1%. Over the life of the arrangement, the actual effective interest rate will be affected by the amount and the timing of the royalty payments received by Sagard and changes in our forecasted royalties. At each reporting date, we will reassess our estimate of total future royalty payments to be received and if such payments are materially different than our original estimates, we will prospectively adjust the imputed interest rate and the related amortization of the royalty obligation.</w:t>
      </w:r>
    </w:p>
    <w:p>
      <w:pPr>
        <w:spacing w:after="0" w:line="83" w:lineRule="exact"/>
        <w:rPr>
          <w:sz w:val="20"/>
          <w:szCs w:val="20"/>
          <w:color w:val="auto"/>
        </w:rPr>
      </w:pPr>
    </w:p>
    <w:p>
      <w:pPr>
        <w:ind w:right="360" w:firstLine="630"/>
        <w:spacing w:after="0" w:line="262" w:lineRule="auto"/>
        <w:rPr>
          <w:sz w:val="20"/>
          <w:szCs w:val="20"/>
          <w:color w:val="auto"/>
        </w:rPr>
      </w:pPr>
      <w:r>
        <w:rPr>
          <w:rFonts w:ascii="Times New Roman" w:cs="Times New Roman" w:eastAsia="Times New Roman" w:hAnsi="Times New Roman"/>
          <w:sz w:val="20"/>
          <w:szCs w:val="20"/>
          <w:color w:val="auto"/>
        </w:rPr>
        <w:t xml:space="preserve">We recognized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non-cash royalty revenue of approximately $13.8 million and $2.3 million during the years ended December 31, 2023 and 2022, respectively and non-cash interest expense of approximately $17.1 million and</w:t>
      </w:r>
    </w:p>
    <w:p>
      <w:pPr>
        <w:spacing w:after="0" w:line="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$20.4 million during the years ended December 31, 2023 and 2022, respectively. The interest and amortization of issuance costs is reflected as non-cash interest expense for the sale of future royalties in the Consolidated Statements of Operations.</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following table shows the activity within the liability account for the year ended December 31, 2023:</w:t>
      </w:r>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8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92"/>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Liability related to sale of future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color w:val="auto"/>
              </w:rPr>
              <w:t xml:space="preserve"> royalties and milestones - balance at 12/31/2022</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269,540</w:t>
            </w:r>
          </w:p>
        </w:tc>
      </w:tr>
      <w:tr>
        <w:trPr>
          <w:trHeight w:val="315"/>
        </w:trPr>
        <w:tc>
          <w:tcPr>
            <w:tcW w:w="8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Issuance costs related to the sale of future royalties</w:t>
            </w:r>
          </w:p>
        </w:tc>
        <w:tc>
          <w:tcPr>
            <w:tcW w:w="300" w:type="dxa"/>
            <w:vAlign w:val="bottom"/>
          </w:tcPr>
          <w:p>
            <w:pPr>
              <w:spacing w:after="0"/>
              <w:rPr>
                <w:sz w:val="24"/>
                <w:szCs w:val="24"/>
                <w:color w:val="auto"/>
              </w:rPr>
            </w:pPr>
          </w:p>
        </w:tc>
        <w:tc>
          <w:tcPr>
            <w:tcW w:w="1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37</w:t>
            </w:r>
          </w:p>
        </w:tc>
      </w:tr>
      <w:tr>
        <w:trPr>
          <w:trHeight w:val="315"/>
        </w:trPr>
        <w:tc>
          <w:tcPr>
            <w:tcW w:w="8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Amortization of issuance costs</w:t>
            </w:r>
          </w:p>
        </w:tc>
        <w:tc>
          <w:tcPr>
            <w:tcW w:w="300" w:type="dxa"/>
            <w:vAlign w:val="bottom"/>
          </w:tcPr>
          <w:p>
            <w:pPr>
              <w:spacing w:after="0"/>
              <w:rPr>
                <w:sz w:val="24"/>
                <w:szCs w:val="24"/>
                <w:color w:val="auto"/>
              </w:rPr>
            </w:pPr>
          </w:p>
        </w:tc>
        <w:tc>
          <w:tcPr>
            <w:tcW w:w="1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39</w:t>
            </w:r>
          </w:p>
        </w:tc>
      </w:tr>
      <w:tr>
        <w:trPr>
          <w:trHeight w:val="315"/>
        </w:trPr>
        <w:tc>
          <w:tcPr>
            <w:tcW w:w="8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Royalty and milestone payments to Sagard</w:t>
            </w:r>
          </w:p>
        </w:tc>
        <w:tc>
          <w:tcPr>
            <w:tcW w:w="3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(8,600)</w:t>
            </w:r>
          </w:p>
        </w:tc>
      </w:tr>
      <w:tr>
        <w:trPr>
          <w:trHeight w:val="318"/>
        </w:trPr>
        <w:tc>
          <w:tcPr>
            <w:tcW w:w="8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Non-cash interest expense recognized</w:t>
            </w:r>
          </w:p>
        </w:tc>
        <w:tc>
          <w:tcPr>
            <w:tcW w:w="3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17,074</w:t>
            </w:r>
          </w:p>
        </w:tc>
      </w:tr>
      <w:tr>
        <w:trPr>
          <w:trHeight w:val="245"/>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Liability related to sale of future royalties and milestones - ending balance</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278,090</w:t>
            </w: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-1212215</wp:posOffset>
            </wp:positionV>
            <wp:extent cx="6553200" cy="1231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extLst>
                    </a:blip>
                    <a:srcRect/>
                    <a:stretch>
                      <a:fillRect/>
                    </a:stretch>
                  </pic:blipFill>
                  <pic:spPr bwMode="auto">
                    <a:xfrm>
                      <a:off x="0" y="0"/>
                      <a:ext cx="6553200" cy="1231900"/>
                    </a:xfrm>
                    <a:prstGeom prst="rect">
                      <a:avLst/>
                    </a:prstGeom>
                    <a:noFill/>
                  </pic:spPr>
                </pic:pic>
              </a:graphicData>
            </a:graphic>
          </wp:anchor>
        </w:drawing>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Zejula Royalty Monetization Agreement</w:t>
      </w:r>
    </w:p>
    <w:p>
      <w:pPr>
        <w:sectPr>
          <w:pgSz w:w="12240" w:h="15840" w:orient="portrait"/>
          <w:cols w:equalWidth="0" w:num="1">
            <w:col w:w="10260"/>
          </w:cols>
          <w:pgMar w:left="1000" w:top="793" w:right="980" w:bottom="0" w:gutter="0" w:footer="0" w:header="0"/>
        </w:sect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260"/>
          </w:cols>
          <w:pgMar w:left="1000" w:top="793" w:right="980" w:bottom="0" w:gutter="0" w:footer="0" w:header="0"/>
          <w:type w:val="continuous"/>
        </w:sectPr>
      </w:pPr>
    </w:p>
    <w:bookmarkStart w:id="85" w:name="page86"/>
    <w:bookmarkEnd w:id="85"/>
    <w:p>
      <w:pPr>
        <w:ind w:right="120" w:firstLine="630"/>
        <w:spacing w:after="0" w:line="258" w:lineRule="auto"/>
        <w:rPr>
          <w:sz w:val="20"/>
          <w:szCs w:val="20"/>
          <w:color w:val="auto"/>
        </w:rPr>
      </w:pPr>
      <w:r>
        <w:rPr>
          <w:rFonts w:ascii="Times New Roman" w:cs="Times New Roman" w:eastAsia="Times New Roman" w:hAnsi="Times New Roman"/>
          <w:sz w:val="20"/>
          <w:szCs w:val="20"/>
          <w:color w:val="auto"/>
        </w:rPr>
        <w:t>In October 2020, in connection with Amendment No. 3 to the GSK Agreement, GSK agreed, under the terms of a settlement agreement (the “GSK Settlement Agreement”), to pay us a royalty on all GSK net sales of Zejula starting January 1, 2021. Under the GSK Settlement Agreement, the royalty is paid at a rate of 1.0% but is subject to reduction due to royalties paid to third parties, with a minimum royalty payable under the GSK Settlement Agreement of 0.5% of global net sales of Zejula. The current effective royalty rate is 0.5%.</w:t>
      </w:r>
    </w:p>
    <w:p>
      <w:pPr>
        <w:spacing w:after="0" w:line="84" w:lineRule="exact"/>
        <w:rPr>
          <w:sz w:val="20"/>
          <w:szCs w:val="20"/>
          <w:color w:val="auto"/>
        </w:rPr>
      </w:pPr>
    </w:p>
    <w:p>
      <w:pPr>
        <w:jc w:val="both"/>
        <w:ind w:right="200" w:firstLine="630"/>
        <w:spacing w:after="0" w:line="257" w:lineRule="auto"/>
        <w:rPr>
          <w:sz w:val="20"/>
          <w:szCs w:val="20"/>
          <w:color w:val="auto"/>
        </w:rPr>
      </w:pPr>
      <w:r>
        <w:rPr>
          <w:rFonts w:ascii="Times New Roman" w:cs="Times New Roman" w:eastAsia="Times New Roman" w:hAnsi="Times New Roman"/>
          <w:sz w:val="20"/>
          <w:szCs w:val="20"/>
          <w:color w:val="auto"/>
        </w:rPr>
        <w:t>In September 2022, we signed a purchase and sale agreement (the “Zejula Royalty Monetization Agreement”) with a wholly-owned subsidiary of DRI Healthcare Trust (“DRI”) to monetize all of our future royalties on global net sales of Zejula under the GSK Settlement Agreement. Under the terms of the Zejula Royalty Monetization Agreement, we received</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$35.0 million in exchange for all royalties payable by GSK to us under the GSK Settlement Agreement on global net sales of Zejula starting in July 2022 (the “Purchased Royalty Interest”). In addition, under the Zejula Royalty Monetization Agreement, we are entitled to receive an additional $10.0 million payment from DRI if Zejula is approved by the U.S. Food and Drug Administration for the treatment of endometrial cancer on or prior to December 31, 2025.</w:t>
      </w:r>
    </w:p>
    <w:p>
      <w:pPr>
        <w:spacing w:after="0" w:line="90" w:lineRule="exact"/>
        <w:rPr>
          <w:sz w:val="20"/>
          <w:szCs w:val="20"/>
          <w:color w:val="auto"/>
        </w:rPr>
      </w:pPr>
    </w:p>
    <w:p>
      <w:pPr>
        <w:ind w:right="200" w:firstLine="630"/>
        <w:spacing w:after="0" w:line="256" w:lineRule="auto"/>
        <w:rPr>
          <w:sz w:val="20"/>
          <w:szCs w:val="20"/>
          <w:color w:val="auto"/>
        </w:rPr>
      </w:pPr>
      <w:r>
        <w:rPr>
          <w:rFonts w:ascii="Times New Roman" w:cs="Times New Roman" w:eastAsia="Times New Roman" w:hAnsi="Times New Roman"/>
          <w:sz w:val="20"/>
          <w:szCs w:val="20"/>
          <w:color w:val="auto"/>
        </w:rPr>
        <w:t>The proceeds received from DRI of $35.0 million were recorded as a liability, net of transaction costs of $0.2 million, which will be amortized over the estimated life of the arrangement using the effective interest rate method. Royalty revenue will be recognized as earned on net sales of Zejula, and these royalty payments to DRI will be recorded as a reduction of the liability when paid. The aggregate future estimated payments, less the $34.8 million, of net proceeds, will be recorded as non-cash interest expense over the life of the agreement. As such payments are made to DRI, the balance of the liability will be effectively repaid over the life of the Zejula Royalty Monetization Agreement.</w:t>
      </w:r>
    </w:p>
    <w:p>
      <w:pPr>
        <w:spacing w:after="0" w:line="88" w:lineRule="exact"/>
        <w:rPr>
          <w:sz w:val="20"/>
          <w:szCs w:val="20"/>
          <w:color w:val="auto"/>
        </w:rPr>
      </w:pPr>
    </w:p>
    <w:p>
      <w:pPr>
        <w:ind w:right="80" w:firstLine="630"/>
        <w:spacing w:after="0" w:line="255" w:lineRule="auto"/>
        <w:rPr>
          <w:sz w:val="20"/>
          <w:szCs w:val="20"/>
          <w:color w:val="auto"/>
        </w:rPr>
      </w:pPr>
      <w:r>
        <w:rPr>
          <w:rFonts w:ascii="Times New Roman" w:cs="Times New Roman" w:eastAsia="Times New Roman" w:hAnsi="Times New Roman"/>
          <w:sz w:val="20"/>
          <w:szCs w:val="20"/>
          <w:color w:val="auto"/>
        </w:rPr>
        <w:t>We estimate the effective interest rate used to record non-cash interest expense under the Zejula Royalty Monetization Agreement based on the estimate of future royalty payments to be received by DRI. As of December 31, 2023, the estimated effective rate under the agreement was 2.7%. Over the life of the arrangement, the actual effective interest rate will be affected by the amount and the timing of the royalty payments received by DRI and the changes in our forecasted royalties. At each reporting date, we will reassess our estimate of total future royalty payments to be received and if such payments are materially different than our original estimates, we will prospectively adjust the imputed interest rate and the related amortization of the royalty obligation.</w:t>
      </w:r>
    </w:p>
    <w:p>
      <w:pPr>
        <w:spacing w:after="0" w:line="90" w:lineRule="exact"/>
        <w:rPr>
          <w:sz w:val="20"/>
          <w:szCs w:val="20"/>
          <w:color w:val="auto"/>
        </w:rPr>
      </w:pPr>
    </w:p>
    <w:p>
      <w:pPr>
        <w:ind w:right="20" w:firstLine="630"/>
        <w:spacing w:after="0" w:line="260" w:lineRule="auto"/>
        <w:rPr>
          <w:sz w:val="20"/>
          <w:szCs w:val="20"/>
          <w:color w:val="auto"/>
        </w:rPr>
      </w:pPr>
      <w:r>
        <w:rPr>
          <w:rFonts w:ascii="Times New Roman" w:cs="Times New Roman" w:eastAsia="Times New Roman" w:hAnsi="Times New Roman"/>
          <w:sz w:val="20"/>
          <w:szCs w:val="20"/>
          <w:color w:val="auto"/>
        </w:rPr>
        <w:t>We recognized Zejula non-cash royalty revenue of approximately $3.4 million and $1.4 million during the years ended December 31, 2023 and 2022, respectively and non-cash interest expense of approximately $1.0 million and $0.7 million during the years ended December 31, 2023 and 2022, respectively. The interest and amortization of issuance costs is reflected as non-cash interest expense for the sale of future royalties in the Consolidated Statements of Operations.</w:t>
      </w:r>
    </w:p>
    <w:p>
      <w:pPr>
        <w:spacing w:after="0" w:line="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following table shows the activity within the liability account for the year ended December 31, 2023:</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8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92"/>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Liability related to sale of future Zejula royalties - balance at 12/31/2022</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34,873</w:t>
            </w:r>
          </w:p>
        </w:tc>
      </w:tr>
      <w:tr>
        <w:trPr>
          <w:trHeight w:val="315"/>
        </w:trPr>
        <w:tc>
          <w:tcPr>
            <w:tcW w:w="8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Amortization of issuance costs</w:t>
            </w:r>
          </w:p>
        </w:tc>
        <w:tc>
          <w:tcPr>
            <w:tcW w:w="300" w:type="dxa"/>
            <w:vAlign w:val="bottom"/>
          </w:tcPr>
          <w:p>
            <w:pPr>
              <w:spacing w:after="0"/>
              <w:rPr>
                <w:sz w:val="24"/>
                <w:szCs w:val="24"/>
                <w:color w:val="auto"/>
              </w:rPr>
            </w:pPr>
          </w:p>
        </w:tc>
        <w:tc>
          <w:tcPr>
            <w:tcW w:w="1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28</w:t>
            </w:r>
          </w:p>
        </w:tc>
      </w:tr>
      <w:tr>
        <w:trPr>
          <w:trHeight w:val="315"/>
        </w:trPr>
        <w:tc>
          <w:tcPr>
            <w:tcW w:w="8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Royalty payments to DRI</w:t>
            </w:r>
          </w:p>
        </w:tc>
        <w:tc>
          <w:tcPr>
            <w:tcW w:w="3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(3,126)</w:t>
            </w:r>
          </w:p>
        </w:tc>
      </w:tr>
      <w:tr>
        <w:trPr>
          <w:trHeight w:val="318"/>
        </w:trPr>
        <w:tc>
          <w:tcPr>
            <w:tcW w:w="8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Non-cash interest expense recognized</w:t>
            </w:r>
          </w:p>
        </w:tc>
        <w:tc>
          <w:tcPr>
            <w:tcW w:w="3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942</w:t>
            </w:r>
          </w:p>
        </w:tc>
      </w:tr>
      <w:tr>
        <w:trPr>
          <w:trHeight w:val="245"/>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Liability related to sale of future royalties - ending balance</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32,717</w:t>
            </w: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-1012190</wp:posOffset>
            </wp:positionV>
            <wp:extent cx="6553200" cy="1031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ext uri="{28A0092B-C50C-407E-A947-70E740481C1C}"/>
                      </a:extLst>
                    </a:blip>
                    <a:srcRect/>
                    <a:stretch>
                      <a:fillRect/>
                    </a:stretch>
                  </pic:blipFill>
                  <pic:spPr bwMode="auto">
                    <a:xfrm>
                      <a:off x="0" y="0"/>
                      <a:ext cx="6553200" cy="103187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Fair Value Measurements and Available for Sale Investments</w:t>
      </w:r>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139" w:lineRule="exact"/>
        <w:rPr>
          <w:sz w:val="20"/>
          <w:szCs w:val="20"/>
          <w:color w:val="auto"/>
        </w:rPr>
      </w:pPr>
    </w:p>
    <w:p>
      <w:pPr>
        <w:jc w:val="both"/>
        <w:ind w:right="840" w:firstLine="630"/>
        <w:spacing w:after="0" w:line="266" w:lineRule="auto"/>
        <w:rPr>
          <w:sz w:val="20"/>
          <w:szCs w:val="20"/>
          <w:color w:val="auto"/>
        </w:rPr>
      </w:pPr>
      <w:r>
        <w:rPr>
          <w:rFonts w:ascii="Times New Roman" w:cs="Times New Roman" w:eastAsia="Times New Roman" w:hAnsi="Times New Roman"/>
          <w:sz w:val="20"/>
          <w:szCs w:val="20"/>
          <w:color w:val="auto"/>
        </w:rPr>
        <w:t>Our financial instruments consist principally of cash, cash equivalents, short-term and long-term investments, receivables, and accounts payable. Certain of our financial assets and liabilities have been recorded at fair value in the consolidated balance sheet in accordance with the accounting standards for fair value measurements.</w:t>
      </w:r>
    </w:p>
    <w:p>
      <w:pPr>
        <w:spacing w:after="0" w:line="75" w:lineRule="exact"/>
        <w:rPr>
          <w:sz w:val="20"/>
          <w:szCs w:val="20"/>
          <w:color w:val="auto"/>
        </w:rPr>
      </w:pPr>
    </w:p>
    <w:p>
      <w:pPr>
        <w:ind w:right="200" w:firstLine="630"/>
        <w:spacing w:after="0" w:line="260" w:lineRule="auto"/>
        <w:rPr>
          <w:sz w:val="20"/>
          <w:szCs w:val="20"/>
          <w:color w:val="auto"/>
        </w:rPr>
      </w:pPr>
      <w:r>
        <w:rPr>
          <w:rFonts w:ascii="Times New Roman" w:cs="Times New Roman" w:eastAsia="Times New Roman" w:hAnsi="Times New Roman"/>
          <w:sz w:val="20"/>
          <w:szCs w:val="20"/>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Level 1 - Observable inputs that reflect quoted prices (unadjusted) for identical assets or liabilities in active markets.</w:t>
      </w:r>
    </w:p>
    <w:p>
      <w:pPr>
        <w:spacing w:after="0" w:line="130" w:lineRule="exact"/>
        <w:rPr>
          <w:sz w:val="20"/>
          <w:szCs w:val="20"/>
          <w:color w:val="auto"/>
        </w:rPr>
      </w:pPr>
    </w:p>
    <w:p>
      <w:pPr>
        <w:ind w:right="100" w:firstLine="630"/>
        <w:spacing w:after="0" w:line="266" w:lineRule="auto"/>
        <w:rPr>
          <w:sz w:val="20"/>
          <w:szCs w:val="20"/>
          <w:color w:val="auto"/>
        </w:rPr>
      </w:pPr>
      <w:r>
        <w:rPr>
          <w:rFonts w:ascii="Times New Roman" w:cs="Times New Roman" w:eastAsia="Times New Roman" w:hAnsi="Times New Roman"/>
          <w:sz w:val="20"/>
          <w:szCs w:val="20"/>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260"/>
          </w:cols>
          <w:pgMar w:left="1000" w:top="793" w:right="980" w:bottom="0" w:gutter="0" w:footer="0" w:header="0"/>
          <w:type w:val="continuous"/>
        </w:sectPr>
      </w:pPr>
    </w:p>
    <w:bookmarkStart w:id="86" w:name="page87"/>
    <w:bookmarkEnd w:id="86"/>
    <w:p>
      <w:pPr>
        <w:ind w:right="640" w:firstLine="630"/>
        <w:spacing w:after="0" w:line="281" w:lineRule="auto"/>
        <w:rPr>
          <w:sz w:val="20"/>
          <w:szCs w:val="20"/>
          <w:color w:val="auto"/>
        </w:rPr>
      </w:pPr>
      <w:r>
        <w:rPr>
          <w:rFonts w:ascii="Times New Roman" w:cs="Times New Roman" w:eastAsia="Times New Roman" w:hAnsi="Times New Roman"/>
          <w:sz w:val="20"/>
          <w:szCs w:val="20"/>
          <w:color w:val="auto"/>
        </w:rPr>
        <w:t>Level 3 - Unobservable inputs that are supported by little or no market activities, therefore requiring an entity to develop its own assumptions.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i w:val="1"/>
          <w:iCs w:val="1"/>
          <w:color w:val="auto"/>
        </w:rPr>
        <w:t>Assets and Liabilities Measured at Fair Value on a Recurring Basis</w:t>
      </w:r>
    </w:p>
    <w:p>
      <w:pPr>
        <w:spacing w:after="0" w:line="139" w:lineRule="exact"/>
        <w:rPr>
          <w:sz w:val="20"/>
          <w:szCs w:val="20"/>
          <w:color w:val="auto"/>
        </w:rPr>
      </w:pPr>
    </w:p>
    <w:p>
      <w:pPr>
        <w:ind w:right="120" w:firstLine="630"/>
        <w:spacing w:after="0" w:line="281" w:lineRule="auto"/>
        <w:rPr>
          <w:sz w:val="20"/>
          <w:szCs w:val="20"/>
          <w:color w:val="auto"/>
        </w:rPr>
      </w:pPr>
      <w:r>
        <w:rPr>
          <w:rFonts w:ascii="Times New Roman" w:cs="Times New Roman" w:eastAsia="Times New Roman" w:hAnsi="Times New Roman"/>
          <w:sz w:val="20"/>
          <w:szCs w:val="20"/>
          <w:color w:val="auto"/>
        </w:rPr>
        <w:t>The following table summarizes our assets and liabilities that require fair value measurements on a recurring basis and their respective input levels based on the fair value hierarchy:</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18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Measurements at End of Period Using:</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8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rPr>
              <w:t>Quoted Market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center"/>
              <w:ind w:right="144"/>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center"/>
              <w:ind w:right="12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Fair</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ind w:right="65"/>
              <w:spacing w:after="0" w:line="160" w:lineRule="exact"/>
              <w:rPr>
                <w:sz w:val="20"/>
                <w:szCs w:val="20"/>
                <w:color w:val="auto"/>
              </w:rPr>
            </w:pPr>
            <w:r>
              <w:rPr>
                <w:rFonts w:ascii="Times New Roman" w:cs="Times New Roman" w:eastAsia="Times New Roman" w:hAnsi="Times New Roman"/>
                <w:sz w:val="16"/>
                <w:szCs w:val="16"/>
                <w:b w:val="1"/>
                <w:bCs w:val="1"/>
                <w:color w:val="auto"/>
              </w:rPr>
              <w:t>Prices for</w:t>
            </w:r>
          </w:p>
        </w:tc>
        <w:tc>
          <w:tcPr>
            <w:tcW w:w="60" w:type="dxa"/>
            <w:vAlign w:val="bottom"/>
          </w:tcPr>
          <w:p>
            <w:pPr>
              <w:spacing w:after="0"/>
              <w:rPr>
                <w:sz w:val="13"/>
                <w:szCs w:val="13"/>
                <w:color w:val="auto"/>
              </w:rPr>
            </w:pPr>
          </w:p>
        </w:tc>
        <w:tc>
          <w:tcPr>
            <w:tcW w:w="13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Other Observable</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125"/>
              <w:spacing w:after="0" w:line="160" w:lineRule="exact"/>
              <w:rPr>
                <w:sz w:val="20"/>
                <w:szCs w:val="20"/>
                <w:color w:val="auto"/>
              </w:rPr>
            </w:pPr>
            <w:r>
              <w:rPr>
                <w:rFonts w:ascii="Times New Roman" w:cs="Times New Roman" w:eastAsia="Times New Roman" w:hAnsi="Times New Roman"/>
                <w:sz w:val="16"/>
                <w:szCs w:val="16"/>
                <w:b w:val="1"/>
                <w:bCs w:val="1"/>
                <w:color w:val="auto"/>
                <w:w w:val="99"/>
              </w:rPr>
              <w:t>Unobservable</w:t>
            </w:r>
          </w:p>
        </w:tc>
        <w:tc>
          <w:tcPr>
            <w:tcW w:w="0" w:type="dxa"/>
            <w:vAlign w:val="bottom"/>
          </w:tcPr>
          <w:p>
            <w:pPr>
              <w:spacing w:after="0"/>
              <w:rPr>
                <w:sz w:val="1"/>
                <w:szCs w:val="1"/>
                <w:color w:val="auto"/>
              </w:rPr>
            </w:pPr>
          </w:p>
        </w:tc>
      </w:tr>
      <w:tr>
        <w:trPr>
          <w:trHeight w:val="160"/>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ind w:right="65"/>
              <w:spacing w:after="0" w:line="160" w:lineRule="exact"/>
              <w:rPr>
                <w:sz w:val="20"/>
                <w:szCs w:val="20"/>
                <w:color w:val="auto"/>
              </w:rPr>
            </w:pPr>
            <w:r>
              <w:rPr>
                <w:rFonts w:ascii="Times New Roman" w:cs="Times New Roman" w:eastAsia="Times New Roman" w:hAnsi="Times New Roman"/>
                <w:sz w:val="16"/>
                <w:szCs w:val="16"/>
                <w:b w:val="1"/>
                <w:bCs w:val="1"/>
                <w:color w:val="auto"/>
              </w:rPr>
              <w:t>Identical Assets</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24"/>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125"/>
              <w:spacing w:after="0" w:line="160" w:lineRule="exact"/>
              <w:rPr>
                <w:sz w:val="20"/>
                <w:szCs w:val="20"/>
                <w:color w:val="auto"/>
              </w:rPr>
            </w:pPr>
            <w:r>
              <w:rPr>
                <w:rFonts w:ascii="Times New Roman" w:cs="Times New Roman" w:eastAsia="Times New Roman" w:hAnsi="Times New Roman"/>
                <w:sz w:val="16"/>
                <w:szCs w:val="16"/>
                <w:b w:val="1"/>
                <w:bCs w:val="1"/>
                <w:color w:val="auto"/>
              </w:rPr>
              <w:t>Inputs</w:t>
            </w:r>
          </w:p>
        </w:tc>
        <w:tc>
          <w:tcPr>
            <w:tcW w:w="0" w:type="dxa"/>
            <w:vAlign w:val="bottom"/>
          </w:tcPr>
          <w:p>
            <w:pPr>
              <w:spacing w:after="0"/>
              <w:rPr>
                <w:sz w:val="1"/>
                <w:szCs w:val="1"/>
                <w:color w:val="auto"/>
              </w:rPr>
            </w:pPr>
          </w:p>
        </w:tc>
      </w:tr>
      <w:tr>
        <w:trPr>
          <w:trHeight w:val="214"/>
        </w:trPr>
        <w:tc>
          <w:tcPr>
            <w:tcW w:w="4440" w:type="dxa"/>
            <w:vAlign w:val="bottom"/>
            <w:gridSpan w:val="2"/>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195"/>
        </w:trPr>
        <w:tc>
          <w:tcPr>
            <w:tcW w:w="1880" w:type="dxa"/>
            <w:vAlign w:val="bottom"/>
            <w:tcBorders>
              <w:bottom w:val="single" w:sz="8" w:color="auto"/>
            </w:tcBorders>
          </w:tcPr>
          <w:p>
            <w:pPr>
              <w:spacing w:after="0" w:line="195" w:lineRule="exact"/>
              <w:rPr>
                <w:sz w:val="20"/>
                <w:szCs w:val="20"/>
                <w:color w:val="auto"/>
              </w:rPr>
            </w:pPr>
            <w:r>
              <w:rPr>
                <w:rFonts w:ascii="Times New Roman" w:cs="Times New Roman" w:eastAsia="Times New Roman" w:hAnsi="Times New Roman"/>
                <w:sz w:val="20"/>
                <w:szCs w:val="20"/>
                <w:b w:val="1"/>
                <w:bCs w:val="1"/>
                <w:color w:val="auto"/>
                <w:w w:val="99"/>
              </w:rPr>
              <w:t>At December 31, 2023</w:t>
            </w:r>
          </w:p>
        </w:tc>
        <w:tc>
          <w:tcPr>
            <w:tcW w:w="2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Money market funds</w:t>
            </w:r>
            <w:r>
              <w:rPr>
                <w:rFonts w:ascii="Times New Roman" w:cs="Times New Roman" w:eastAsia="Times New Roman" w:hAnsi="Times New Roman"/>
                <w:sz w:val="26"/>
                <w:szCs w:val="26"/>
                <w:color w:val="auto"/>
                <w:vertAlign w:val="superscript"/>
              </w:rPr>
              <w:t>(1)</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27,789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27,789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4440" w:type="dxa"/>
            <w:vAlign w:val="bottom"/>
            <w:gridSpan w:val="2"/>
          </w:tcPr>
          <w:p>
            <w:pPr>
              <w:spacing w:after="0" w:line="285" w:lineRule="exact"/>
              <w:rPr>
                <w:sz w:val="20"/>
                <w:szCs w:val="20"/>
                <w:color w:val="auto"/>
              </w:rPr>
            </w:pPr>
            <w:r>
              <w:rPr>
                <w:rFonts w:ascii="Times New Roman" w:cs="Times New Roman" w:eastAsia="Times New Roman" w:hAnsi="Times New Roman"/>
                <w:sz w:val="20"/>
                <w:szCs w:val="20"/>
                <w:color w:val="auto"/>
              </w:rPr>
              <w:t>Mutual funds</w:t>
            </w:r>
            <w:r>
              <w:rPr>
                <w:rFonts w:ascii="Times New Roman" w:cs="Times New Roman" w:eastAsia="Times New Roman" w:hAnsi="Times New Roman"/>
                <w:sz w:val="26"/>
                <w:szCs w:val="26"/>
                <w:color w:val="auto"/>
                <w:vertAlign w:val="superscript"/>
              </w:rPr>
              <w:t>(1)</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6,286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4440" w:type="dxa"/>
            <w:vAlign w:val="bottom"/>
            <w:gridSpan w:val="2"/>
          </w:tcPr>
          <w:p>
            <w:pPr>
              <w:spacing w:after="0" w:line="285" w:lineRule="exact"/>
              <w:rPr>
                <w:sz w:val="20"/>
                <w:szCs w:val="20"/>
                <w:color w:val="auto"/>
              </w:rPr>
            </w:pPr>
            <w:r>
              <w:rPr>
                <w:rFonts w:ascii="Times New Roman" w:cs="Times New Roman" w:eastAsia="Times New Roman" w:hAnsi="Times New Roman"/>
                <w:sz w:val="20"/>
                <w:szCs w:val="20"/>
                <w:color w:val="auto"/>
              </w:rPr>
              <w:t>U.S. Treasury securities</w:t>
            </w:r>
            <w:r>
              <w:rPr>
                <w:rFonts w:ascii="Times New Roman" w:cs="Times New Roman" w:eastAsia="Times New Roman" w:hAnsi="Times New Roman"/>
                <w:sz w:val="26"/>
                <w:szCs w:val="26"/>
                <w:color w:val="auto"/>
                <w:vertAlign w:val="superscript"/>
              </w:rPr>
              <w:t>(2)</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325,714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325,714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4440" w:type="dxa"/>
            <w:vAlign w:val="bottom"/>
            <w:gridSpan w:val="2"/>
          </w:tcPr>
          <w:p>
            <w:pPr>
              <w:spacing w:after="0" w:line="285" w:lineRule="exact"/>
              <w:rPr>
                <w:sz w:val="20"/>
                <w:szCs w:val="20"/>
                <w:color w:val="auto"/>
              </w:rPr>
            </w:pPr>
            <w:r>
              <w:rPr>
                <w:rFonts w:ascii="Times New Roman" w:cs="Times New Roman" w:eastAsia="Times New Roman" w:hAnsi="Times New Roman"/>
                <w:sz w:val="20"/>
                <w:szCs w:val="20"/>
                <w:color w:val="auto"/>
              </w:rPr>
              <w:t>Certificates of deposit</w:t>
            </w:r>
            <w:r>
              <w:rPr>
                <w:rFonts w:ascii="Times New Roman" w:cs="Times New Roman" w:eastAsia="Times New Roman" w:hAnsi="Times New Roman"/>
                <w:sz w:val="26"/>
                <w:szCs w:val="26"/>
                <w:color w:val="auto"/>
                <w:vertAlign w:val="superscript"/>
              </w:rPr>
              <w:t>(2)</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4440" w:type="dxa"/>
            <w:vAlign w:val="bottom"/>
            <w:gridSpan w:val="2"/>
          </w:tcPr>
          <w:p>
            <w:pPr>
              <w:spacing w:after="0" w:line="285" w:lineRule="exact"/>
              <w:rPr>
                <w:sz w:val="20"/>
                <w:szCs w:val="20"/>
                <w:color w:val="auto"/>
              </w:rPr>
            </w:pPr>
            <w:r>
              <w:rPr>
                <w:rFonts w:ascii="Times New Roman" w:cs="Times New Roman" w:eastAsia="Times New Roman" w:hAnsi="Times New Roman"/>
                <w:sz w:val="20"/>
                <w:szCs w:val="20"/>
                <w:color w:val="auto"/>
              </w:rPr>
              <w:t>Agency securities</w:t>
            </w:r>
            <w:r>
              <w:rPr>
                <w:rFonts w:ascii="Times New Roman" w:cs="Times New Roman" w:eastAsia="Times New Roman" w:hAnsi="Times New Roman"/>
                <w:sz w:val="26"/>
                <w:szCs w:val="26"/>
                <w:color w:val="auto"/>
                <w:vertAlign w:val="superscript"/>
              </w:rPr>
              <w:t>(2)</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7"/>
        </w:trPr>
        <w:tc>
          <w:tcPr>
            <w:tcW w:w="4440" w:type="dxa"/>
            <w:vAlign w:val="bottom"/>
            <w:gridSpan w:val="2"/>
          </w:tcPr>
          <w:p>
            <w:pPr>
              <w:spacing w:after="0" w:line="297" w:lineRule="exact"/>
              <w:rPr>
                <w:sz w:val="20"/>
                <w:szCs w:val="20"/>
                <w:color w:val="auto"/>
              </w:rPr>
            </w:pPr>
            <w:r>
              <w:rPr>
                <w:rFonts w:ascii="Times New Roman" w:cs="Times New Roman" w:eastAsia="Times New Roman" w:hAnsi="Times New Roman"/>
                <w:sz w:val="20"/>
                <w:szCs w:val="20"/>
                <w:color w:val="auto"/>
              </w:rPr>
              <w:t>Commercial and corporate obligations</w:t>
            </w:r>
            <w:r>
              <w:rPr>
                <w:rFonts w:ascii="Times New Roman" w:cs="Times New Roman" w:eastAsia="Times New Roman" w:hAnsi="Times New Roman"/>
                <w:sz w:val="26"/>
                <w:szCs w:val="26"/>
                <w:color w:val="auto"/>
                <w:vertAlign w:val="superscript"/>
              </w:rPr>
              <w:t>(2)</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35,754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35,754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1"/>
        </w:trPr>
        <w:tc>
          <w:tcPr>
            <w:tcW w:w="188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b w:val="1"/>
                <w:bCs w:val="1"/>
                <w:color w:val="auto"/>
                <w:w w:val="99"/>
              </w:rPr>
              <w:t>At December 31, 2022</w:t>
            </w:r>
          </w:p>
        </w:tc>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Money market funds</w:t>
            </w:r>
            <w:r>
              <w:rPr>
                <w:rFonts w:ascii="Times New Roman" w:cs="Times New Roman" w:eastAsia="Times New Roman" w:hAnsi="Times New Roman"/>
                <w:sz w:val="26"/>
                <w:szCs w:val="26"/>
                <w:color w:val="auto"/>
                <w:vertAlign w:val="superscript"/>
              </w:rPr>
              <w:t>(1)</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29,702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4440" w:type="dxa"/>
            <w:vAlign w:val="bottom"/>
            <w:gridSpan w:val="2"/>
          </w:tcPr>
          <w:p>
            <w:pPr>
              <w:spacing w:after="0" w:line="285" w:lineRule="exact"/>
              <w:rPr>
                <w:sz w:val="20"/>
                <w:szCs w:val="20"/>
                <w:color w:val="auto"/>
              </w:rPr>
            </w:pPr>
            <w:r>
              <w:rPr>
                <w:rFonts w:ascii="Times New Roman" w:cs="Times New Roman" w:eastAsia="Times New Roman" w:hAnsi="Times New Roman"/>
                <w:sz w:val="20"/>
                <w:szCs w:val="20"/>
                <w:color w:val="auto"/>
              </w:rPr>
              <w:t>Mutual funds</w:t>
            </w:r>
            <w:r>
              <w:rPr>
                <w:rFonts w:ascii="Times New Roman" w:cs="Times New Roman" w:eastAsia="Times New Roman" w:hAnsi="Times New Roman"/>
                <w:sz w:val="26"/>
                <w:szCs w:val="26"/>
                <w:color w:val="auto"/>
                <w:vertAlign w:val="superscript"/>
              </w:rPr>
              <w:t>(1)</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41,812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4440" w:type="dxa"/>
            <w:vAlign w:val="bottom"/>
            <w:gridSpan w:val="2"/>
          </w:tcPr>
          <w:p>
            <w:pPr>
              <w:spacing w:after="0" w:line="285" w:lineRule="exact"/>
              <w:rPr>
                <w:sz w:val="20"/>
                <w:szCs w:val="20"/>
                <w:color w:val="auto"/>
              </w:rPr>
            </w:pPr>
            <w:r>
              <w:rPr>
                <w:rFonts w:ascii="Times New Roman" w:cs="Times New Roman" w:eastAsia="Times New Roman" w:hAnsi="Times New Roman"/>
                <w:sz w:val="20"/>
                <w:szCs w:val="20"/>
                <w:color w:val="auto"/>
              </w:rPr>
              <w:t>U.S. Treasury securities</w:t>
            </w:r>
            <w:r>
              <w:rPr>
                <w:rFonts w:ascii="Times New Roman" w:cs="Times New Roman" w:eastAsia="Times New Roman" w:hAnsi="Times New Roman"/>
                <w:sz w:val="26"/>
                <w:szCs w:val="26"/>
                <w:color w:val="auto"/>
                <w:vertAlign w:val="superscript"/>
              </w:rPr>
              <w:t>(2)</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374,527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374,527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4440" w:type="dxa"/>
            <w:vAlign w:val="bottom"/>
            <w:gridSpan w:val="2"/>
          </w:tcPr>
          <w:p>
            <w:pPr>
              <w:spacing w:after="0" w:line="285" w:lineRule="exact"/>
              <w:rPr>
                <w:sz w:val="20"/>
                <w:szCs w:val="20"/>
                <w:color w:val="auto"/>
              </w:rPr>
            </w:pPr>
            <w:r>
              <w:rPr>
                <w:rFonts w:ascii="Times New Roman" w:cs="Times New Roman" w:eastAsia="Times New Roman" w:hAnsi="Times New Roman"/>
                <w:sz w:val="20"/>
                <w:szCs w:val="20"/>
                <w:color w:val="auto"/>
              </w:rPr>
              <w:t>Certificates of deposit</w:t>
            </w:r>
            <w:r>
              <w:rPr>
                <w:rFonts w:ascii="Times New Roman" w:cs="Times New Roman" w:eastAsia="Times New Roman" w:hAnsi="Times New Roman"/>
                <w:sz w:val="26"/>
                <w:szCs w:val="26"/>
                <w:color w:val="auto"/>
                <w:vertAlign w:val="superscript"/>
              </w:rPr>
              <w:t>(2)</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4440" w:type="dxa"/>
            <w:vAlign w:val="bottom"/>
            <w:gridSpan w:val="2"/>
          </w:tcPr>
          <w:p>
            <w:pPr>
              <w:spacing w:after="0" w:line="285" w:lineRule="exact"/>
              <w:rPr>
                <w:sz w:val="20"/>
                <w:szCs w:val="20"/>
                <w:color w:val="auto"/>
              </w:rPr>
            </w:pPr>
            <w:r>
              <w:rPr>
                <w:rFonts w:ascii="Times New Roman" w:cs="Times New Roman" w:eastAsia="Times New Roman" w:hAnsi="Times New Roman"/>
                <w:sz w:val="20"/>
                <w:szCs w:val="20"/>
                <w:color w:val="auto"/>
              </w:rPr>
              <w:t>Agency securities</w:t>
            </w:r>
            <w:r>
              <w:rPr>
                <w:rFonts w:ascii="Times New Roman" w:cs="Times New Roman" w:eastAsia="Times New Roman" w:hAnsi="Times New Roman"/>
                <w:sz w:val="26"/>
                <w:szCs w:val="26"/>
                <w:color w:val="auto"/>
                <w:vertAlign w:val="superscript"/>
              </w:rPr>
              <w:t>(2)</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74,602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74,602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42"/>
        </w:trPr>
        <w:tc>
          <w:tcPr>
            <w:tcW w:w="4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Commercial and corporate obligations</w:t>
            </w:r>
            <w:r>
              <w:rPr>
                <w:rFonts w:ascii="Times New Roman" w:cs="Times New Roman" w:eastAsia="Times New Roman" w:hAnsi="Times New Roman"/>
                <w:sz w:val="26"/>
                <w:szCs w:val="26"/>
                <w:color w:val="auto"/>
                <w:vertAlign w:val="superscript"/>
              </w:rPr>
              <w:t>(2)</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60,883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60,883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-2564130</wp:posOffset>
            </wp:positionV>
            <wp:extent cx="6521450" cy="255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extLst>
                    </a:blip>
                    <a:srcRect/>
                    <a:stretch>
                      <a:fillRect/>
                    </a:stretch>
                  </pic:blipFill>
                  <pic:spPr bwMode="auto">
                    <a:xfrm>
                      <a:off x="0" y="0"/>
                      <a:ext cx="6521450" cy="2559050"/>
                    </a:xfrm>
                    <a:prstGeom prst="rect">
                      <a:avLst/>
                    </a:prstGeom>
                    <a:noFill/>
                  </pic:spPr>
                </pic:pic>
              </a:graphicData>
            </a:graphic>
          </wp:anchor>
        </w:drawing>
      </w:r>
    </w:p>
    <w:p>
      <w:pPr>
        <w:ind w:left="480" w:hanging="445"/>
        <w:spacing w:after="0"/>
        <w:tabs>
          <w:tab w:leader="none" w:pos="480" w:val="left"/>
        </w:tabs>
        <w:numPr>
          <w:ilvl w:val="0"/>
          <w:numId w:val="3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Included in cash and cash equivalents in the accompanying consolidated balance sheets.</w:t>
      </w:r>
    </w:p>
    <w:p>
      <w:pPr>
        <w:spacing w:after="0" w:line="41" w:lineRule="exact"/>
        <w:rPr>
          <w:rFonts w:ascii="Times New Roman" w:cs="Times New Roman" w:eastAsia="Times New Roman" w:hAnsi="Times New Roman"/>
          <w:sz w:val="26"/>
          <w:szCs w:val="26"/>
          <w:color w:val="auto"/>
          <w:vertAlign w:val="superscript"/>
        </w:rPr>
      </w:pPr>
    </w:p>
    <w:p>
      <w:pPr>
        <w:ind w:left="480" w:right="480" w:hanging="445"/>
        <w:spacing w:after="0" w:line="216" w:lineRule="auto"/>
        <w:tabs>
          <w:tab w:leader="none" w:pos="480" w:val="left"/>
        </w:tabs>
        <w:numPr>
          <w:ilvl w:val="0"/>
          <w:numId w:val="3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Included in short-term or long-term investments in the accompanying consolidated balance sheets depending on the respective maturity date.</w:t>
      </w:r>
    </w:p>
    <w:p>
      <w:pPr>
        <w:spacing w:after="0" w:line="222" w:lineRule="exact"/>
        <w:rPr>
          <w:sz w:val="20"/>
          <w:szCs w:val="20"/>
          <w:color w:val="auto"/>
        </w:rPr>
      </w:pPr>
    </w:p>
    <w:p>
      <w:pPr>
        <w:ind w:right="40" w:firstLine="630"/>
        <w:spacing w:after="0" w:line="281" w:lineRule="auto"/>
        <w:rPr>
          <w:sz w:val="20"/>
          <w:szCs w:val="20"/>
          <w:color w:val="auto"/>
        </w:rPr>
      </w:pPr>
      <w:r>
        <w:rPr>
          <w:rFonts w:ascii="Times New Roman" w:cs="Times New Roman" w:eastAsia="Times New Roman" w:hAnsi="Times New Roman"/>
          <w:sz w:val="20"/>
          <w:szCs w:val="20"/>
          <w:color w:val="auto"/>
        </w:rPr>
        <w:t>The following methods and assumptions were used to estimate the fair value of our financial instruments for which it is practicable to estimate that value:</w:t>
      </w:r>
    </w:p>
    <w:p>
      <w:pPr>
        <w:spacing w:after="0" w:line="58" w:lineRule="exact"/>
        <w:rPr>
          <w:sz w:val="20"/>
          <w:szCs w:val="20"/>
          <w:color w:val="auto"/>
        </w:rPr>
      </w:pPr>
    </w:p>
    <w:p>
      <w:pPr>
        <w:ind w:right="60" w:firstLine="63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Marketable Securities. </w:t>
      </w:r>
      <w:r>
        <w:rPr>
          <w:rFonts w:ascii="Times New Roman" w:cs="Times New Roman" w:eastAsia="Times New Roman" w:hAnsi="Times New Roman"/>
          <w:sz w:val="20"/>
          <w:szCs w:val="20"/>
          <w:color w:val="auto"/>
        </w:rPr>
        <w:t>For fair values determined by Level 1 inputs, which utilize quoted prices in active markets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identical assets, the level of 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Fair Value of Other Financial Instruments</w:t>
      </w:r>
    </w:p>
    <w:p>
      <w:pPr>
        <w:spacing w:after="0" w:line="139" w:lineRule="exact"/>
        <w:rPr>
          <w:sz w:val="20"/>
          <w:szCs w:val="20"/>
          <w:color w:val="auto"/>
        </w:rPr>
      </w:pPr>
    </w:p>
    <w:p>
      <w:pPr>
        <w:ind w:right="240" w:firstLine="680"/>
        <w:spacing w:after="0" w:line="281" w:lineRule="auto"/>
        <w:rPr>
          <w:sz w:val="20"/>
          <w:szCs w:val="20"/>
          <w:color w:val="auto"/>
        </w:rPr>
      </w:pPr>
      <w:r>
        <w:rPr>
          <w:rFonts w:ascii="Times New Roman" w:cs="Times New Roman" w:eastAsia="Times New Roman" w:hAnsi="Times New Roman"/>
          <w:sz w:val="20"/>
          <w:szCs w:val="20"/>
          <w:color w:val="auto"/>
        </w:rPr>
        <w:t>The carrying amounts of certain of our financial instruments, including cash and cash equivalents, accounts payable, and accrued expenses approximate fair value due to their short-term nature.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Available for Sale Investments</w:t>
      </w:r>
    </w:p>
    <w:p>
      <w:pPr>
        <w:spacing w:after="0" w:line="139" w:lineRule="exact"/>
        <w:rPr>
          <w:sz w:val="20"/>
          <w:szCs w:val="20"/>
          <w:color w:val="auto"/>
        </w:rPr>
      </w:pPr>
    </w:p>
    <w:p>
      <w:pPr>
        <w:ind w:right="60" w:firstLine="630"/>
        <w:spacing w:after="0" w:line="258" w:lineRule="auto"/>
        <w:rPr>
          <w:sz w:val="20"/>
          <w:szCs w:val="20"/>
          <w:color w:val="auto"/>
        </w:rPr>
      </w:pPr>
      <w:r>
        <w:rPr>
          <w:rFonts w:ascii="Times New Roman" w:cs="Times New Roman" w:eastAsia="Times New Roman" w:hAnsi="Times New Roman"/>
          <w:sz w:val="20"/>
          <w:szCs w:val="20"/>
          <w:color w:val="auto"/>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cash equivalents, short-term and long-term investments as of December 31, 2023 are as follows:</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220"/>
          </w:cols>
          <w:pgMar w:left="1000" w:top="793" w:right="1020" w:bottom="0" w:gutter="0" w:footer="0" w:header="0"/>
          <w:type w:val="continuous"/>
        </w:sectPr>
      </w:pPr>
    </w:p>
    <w:bookmarkStart w:id="87" w:name="page88"/>
    <w:bookmarkEnd w:id="87"/>
    <w:tbl>
      <w:tblPr>
        <w:tblLayout w:type="fixed"/>
        <w:tblInd w:w="5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restart"/>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restart"/>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Gross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28"/>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restart"/>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0"/>
        </w:trPr>
        <w:tc>
          <w:tcPr>
            <w:tcW w:w="4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28"/>
              <w:spacing w:after="0" w:line="160"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76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8"/>
                <w:szCs w:val="18"/>
                <w:color w:val="auto"/>
              </w:rPr>
            </w:pPr>
          </w:p>
        </w:tc>
        <w:tc>
          <w:tcPr>
            <w:tcW w:w="1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98"/>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Agency securities</w:t>
            </w:r>
            <w:r>
              <w:rPr>
                <w:rFonts w:ascii="Times New Roman" w:cs="Times New Roman" w:eastAsia="Times New Roman" w:hAnsi="Times New Roman"/>
                <w:sz w:val="26"/>
                <w:szCs w:val="26"/>
                <w:color w:val="auto"/>
                <w:vertAlign w:val="superscript"/>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20,322</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20,253</w:t>
            </w: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Certificates of deposit</w:t>
            </w:r>
            <w:r>
              <w:rPr>
                <w:rFonts w:ascii="Times New Roman" w:cs="Times New Roman" w:eastAsia="Times New Roman" w:hAnsi="Times New Roman"/>
                <w:sz w:val="26"/>
                <w:szCs w:val="26"/>
                <w:color w:val="auto"/>
                <w:vertAlign w:val="superscript"/>
              </w:rPr>
              <w:t>(2)</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Commercial and corporate obligations</w:t>
            </w:r>
            <w:r>
              <w:rPr>
                <w:rFonts w:ascii="Times New Roman" w:cs="Times New Roman" w:eastAsia="Times New Roman" w:hAnsi="Times New Roman"/>
                <w:sz w:val="26"/>
                <w:szCs w:val="26"/>
                <w:color w:val="auto"/>
                <w:vertAlign w:val="superscript"/>
              </w:rPr>
              <w:t>(3)</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35,760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35,754</w:t>
            </w:r>
          </w:p>
        </w:tc>
        <w:tc>
          <w:tcPr>
            <w:tcW w:w="0" w:type="dxa"/>
            <w:vAlign w:val="bottom"/>
          </w:tcPr>
          <w:p>
            <w:pPr>
              <w:spacing w:after="0"/>
              <w:rPr>
                <w:sz w:val="1"/>
                <w:szCs w:val="1"/>
                <w:color w:val="auto"/>
              </w:rPr>
            </w:pPr>
          </w:p>
        </w:tc>
      </w:tr>
      <w:tr>
        <w:trPr>
          <w:trHeight w:val="282"/>
        </w:trPr>
        <w:tc>
          <w:tcPr>
            <w:tcW w:w="4760" w:type="dxa"/>
            <w:vAlign w:val="bottom"/>
          </w:tcPr>
          <w:p>
            <w:pPr>
              <w:spacing w:after="0" w:line="282" w:lineRule="exact"/>
              <w:rPr>
                <w:sz w:val="20"/>
                <w:szCs w:val="20"/>
                <w:color w:val="auto"/>
              </w:rPr>
            </w:pPr>
            <w:r>
              <w:rPr>
                <w:rFonts w:ascii="Times New Roman" w:cs="Times New Roman" w:eastAsia="Times New Roman" w:hAnsi="Times New Roman"/>
                <w:sz w:val="20"/>
                <w:szCs w:val="20"/>
                <w:color w:val="auto"/>
              </w:rPr>
              <w:t>US Treasury securities</w:t>
            </w:r>
            <w:r>
              <w:rPr>
                <w:rFonts w:ascii="Times New Roman" w:cs="Times New Roman" w:eastAsia="Times New Roman" w:hAnsi="Times New Roman"/>
                <w:sz w:val="26"/>
                <w:szCs w:val="26"/>
                <w:color w:val="auto"/>
                <w:vertAlign w:val="superscript"/>
              </w:rPr>
              <w:t>(4)</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326,227</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(635)</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325,714</w:t>
            </w:r>
          </w:p>
        </w:tc>
        <w:tc>
          <w:tcPr>
            <w:tcW w:w="0" w:type="dxa"/>
            <w:vAlign w:val="bottom"/>
          </w:tcPr>
          <w:p>
            <w:pPr>
              <w:spacing w:after="0"/>
              <w:rPr>
                <w:sz w:val="1"/>
                <w:szCs w:val="1"/>
                <w:color w:val="auto"/>
              </w:rPr>
            </w:pPr>
          </w:p>
        </w:tc>
      </w:tr>
      <w:tr>
        <w:trPr>
          <w:trHeight w:val="260"/>
        </w:trPr>
        <w:tc>
          <w:tcPr>
            <w:tcW w:w="4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Total available-for-sale investments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382,555</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381,965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-209550</wp:posOffset>
                </wp:positionV>
                <wp:extent cx="567690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76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4999pt" to="447pt,-16.4999pt" o:allowincell="f" strokecolor="#000000" strokeweight="0pt"/>
            </w:pict>
          </mc:Fallback>
        </mc:AlternateContent>
        <w:drawing>
          <wp:anchor simplePos="0" relativeHeight="251657728" behindDoc="1" locked="0" layoutInCell="0" allowOverlap="1">
            <wp:simplePos x="0" y="0"/>
            <wp:positionH relativeFrom="column">
              <wp:posOffset>-24765</wp:posOffset>
            </wp:positionH>
            <wp:positionV relativeFrom="paragraph">
              <wp:posOffset>-983615</wp:posOffset>
            </wp:positionV>
            <wp:extent cx="6556375" cy="1003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a:extLst>
                        <a:ext uri="{28A0092B-C50C-407E-A947-70E740481C1C}"/>
                      </a:extLst>
                    </a:blip>
                    <a:srcRect/>
                    <a:stretch>
                      <a:fillRect/>
                    </a:stretch>
                  </pic:blipFill>
                  <pic:spPr bwMode="auto">
                    <a:xfrm>
                      <a:off x="0" y="0"/>
                      <a:ext cx="6556375" cy="1003300"/>
                    </a:xfrm>
                    <a:prstGeom prst="rect">
                      <a:avLst/>
                    </a:prstGeom>
                    <a:noFill/>
                  </pic:spPr>
                </pic:pic>
              </a:graphicData>
            </a:graphic>
          </wp:anchor>
        </w:drawing>
      </w:r>
    </w:p>
    <w:p>
      <w:pPr>
        <w:spacing w:after="0" w:line="228" w:lineRule="exact"/>
        <w:rPr>
          <w:sz w:val="20"/>
          <w:szCs w:val="20"/>
          <w:color w:val="auto"/>
        </w:rPr>
      </w:pPr>
    </w:p>
    <w:p>
      <w:pPr>
        <w:ind w:left="550" w:right="420" w:hanging="550"/>
        <w:spacing w:after="0" w:line="226" w:lineRule="auto"/>
        <w:tabs>
          <w:tab w:leader="none" w:pos="505" w:val="left"/>
        </w:tabs>
        <w:numPr>
          <w:ilvl w:val="0"/>
          <w:numId w:val="3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Of our outstanding agency securities, $20.3 million have maturity dates of less than one year and $0.0 million have a maturity date of between one to two years as of December 31, 2023.</w:t>
      </w:r>
    </w:p>
    <w:p>
      <w:pPr>
        <w:spacing w:after="0" w:line="21" w:lineRule="exact"/>
        <w:rPr>
          <w:rFonts w:ascii="Times New Roman" w:cs="Times New Roman" w:eastAsia="Times New Roman" w:hAnsi="Times New Roman"/>
          <w:sz w:val="26"/>
          <w:szCs w:val="26"/>
          <w:color w:val="auto"/>
          <w:vertAlign w:val="superscript"/>
        </w:rPr>
      </w:pPr>
    </w:p>
    <w:p>
      <w:pPr>
        <w:ind w:left="550" w:right="120" w:hanging="550"/>
        <w:spacing w:after="0" w:line="226" w:lineRule="auto"/>
        <w:tabs>
          <w:tab w:leader="none" w:pos="505" w:val="left"/>
        </w:tabs>
        <w:numPr>
          <w:ilvl w:val="0"/>
          <w:numId w:val="3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Of our outstanding certificates of deposit, $0.2 million have a maturity date of less than one year and $0.0 million have a maturity date of between one to two years as of December 31, 2023.</w:t>
      </w:r>
    </w:p>
    <w:p>
      <w:pPr>
        <w:spacing w:after="0" w:line="2" w:lineRule="exact"/>
        <w:rPr>
          <w:rFonts w:ascii="Times New Roman" w:cs="Times New Roman" w:eastAsia="Times New Roman" w:hAnsi="Times New Roman"/>
          <w:sz w:val="26"/>
          <w:szCs w:val="26"/>
          <w:color w:val="auto"/>
          <w:vertAlign w:val="superscript"/>
        </w:rPr>
      </w:pPr>
    </w:p>
    <w:p>
      <w:pPr>
        <w:ind w:left="490" w:hanging="490"/>
        <w:spacing w:after="0" w:line="224" w:lineRule="auto"/>
        <w:tabs>
          <w:tab w:leader="none" w:pos="490" w:val="left"/>
        </w:tabs>
        <w:numPr>
          <w:ilvl w:val="0"/>
          <w:numId w:val="3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Of our outstanding commercial and corporate obligations, $25.8 million have maturity dates of less than one year and</w:t>
      </w:r>
    </w:p>
    <w:p>
      <w:pPr>
        <w:spacing w:after="0" w:line="3"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$10.0 million have a maturity date of between one to two years as of December 31, 2023.</w:t>
      </w:r>
    </w:p>
    <w:p>
      <w:pPr>
        <w:spacing w:after="0" w:line="28" w:lineRule="exact"/>
        <w:rPr>
          <w:sz w:val="20"/>
          <w:szCs w:val="20"/>
          <w:color w:val="auto"/>
        </w:rPr>
      </w:pPr>
    </w:p>
    <w:p>
      <w:pPr>
        <w:ind w:left="550" w:right="240" w:hanging="550"/>
        <w:spacing w:after="0" w:line="226" w:lineRule="auto"/>
        <w:tabs>
          <w:tab w:leader="none" w:pos="505" w:val="left"/>
        </w:tabs>
        <w:numPr>
          <w:ilvl w:val="0"/>
          <w:numId w:val="3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Of our outstanding U.S. Treasury securities, $308.6 million have maturity dates of less than one year and $17.1 million have a maturity date of between one to two years as of December 31, 2023.</w:t>
      </w:r>
    </w:p>
    <w:p>
      <w:pPr>
        <w:spacing w:after="0" w:line="222" w:lineRule="exact"/>
        <w:rPr>
          <w:sz w:val="20"/>
          <w:szCs w:val="20"/>
          <w:color w:val="auto"/>
        </w:rPr>
      </w:pPr>
    </w:p>
    <w:p>
      <w:pPr>
        <w:ind w:left="10" w:right="440" w:firstLine="630"/>
        <w:spacing w:after="0" w:line="285" w:lineRule="auto"/>
        <w:rPr>
          <w:sz w:val="20"/>
          <w:szCs w:val="20"/>
          <w:color w:val="auto"/>
        </w:rPr>
      </w:pPr>
      <w:r>
        <w:rPr>
          <w:rFonts w:ascii="Times New Roman" w:cs="Times New Roman" w:eastAsia="Times New Roman" w:hAnsi="Times New Roman"/>
          <w:sz w:val="19"/>
          <w:szCs w:val="19"/>
          <w:color w:val="auto"/>
        </w:rPr>
        <w:t>The aggregate market value, cost basis, and gross unrealized gains and losses of available-for-sale investments by security type, classified in cash equivalents, short-term and long-term investments as of December 31, 2022 are as follows:</w:t>
      </w:r>
    </w:p>
    <w:tbl>
      <w:tblPr>
        <w:tblLayout w:type="fixed"/>
        <w:tblInd w:w="50" w:type="dxa"/>
        <w:tblCellMar>
          <w:top w:w="0" w:type="dxa"/>
          <w:left w:w="0" w:type="dxa"/>
          <w:bottom w:w="0" w:type="dxa"/>
          <w:right w:w="0" w:type="dxa"/>
        </w:tblCellMar>
      </w:tblPr>
      <w:tr>
        <w:trPr>
          <w:trHeight w:val="163"/>
        </w:trPr>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restart"/>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Gross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28"/>
              <w:spacing w:after="0" w:line="164"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restart"/>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0"/>
        </w:trPr>
        <w:tc>
          <w:tcPr>
            <w:tcW w:w="4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28"/>
              <w:spacing w:after="0" w:line="160"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76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8"/>
                <w:szCs w:val="18"/>
                <w:color w:val="auto"/>
              </w:rPr>
            </w:pPr>
          </w:p>
        </w:tc>
        <w:tc>
          <w:tcPr>
            <w:tcW w:w="1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98"/>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Agency securities</w:t>
            </w:r>
            <w:r>
              <w:rPr>
                <w:rFonts w:ascii="Times New Roman" w:cs="Times New Roman" w:eastAsia="Times New Roman" w:hAnsi="Times New Roman"/>
                <w:sz w:val="26"/>
                <w:szCs w:val="26"/>
                <w:color w:val="auto"/>
                <w:vertAlign w:val="superscript"/>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75,504</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74,602</w:t>
            </w: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Certificates of deposit</w:t>
            </w:r>
            <w:r>
              <w:rPr>
                <w:rFonts w:ascii="Times New Roman" w:cs="Times New Roman" w:eastAsia="Times New Roman" w:hAnsi="Times New Roman"/>
                <w:sz w:val="26"/>
                <w:szCs w:val="26"/>
                <w:color w:val="auto"/>
                <w:vertAlign w:val="superscript"/>
              </w:rPr>
              <w:t>(2)</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2,856</w:t>
            </w: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Commercial and corporate obligations</w:t>
            </w:r>
            <w:r>
              <w:rPr>
                <w:rFonts w:ascii="Times New Roman" w:cs="Times New Roman" w:eastAsia="Times New Roman" w:hAnsi="Times New Roman"/>
                <w:sz w:val="26"/>
                <w:szCs w:val="26"/>
                <w:color w:val="auto"/>
                <w:vertAlign w:val="superscript"/>
              </w:rPr>
              <w:t>(3)</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61,791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60,883</w:t>
            </w:r>
          </w:p>
        </w:tc>
        <w:tc>
          <w:tcPr>
            <w:tcW w:w="0" w:type="dxa"/>
            <w:vAlign w:val="bottom"/>
          </w:tcPr>
          <w:p>
            <w:pPr>
              <w:spacing w:after="0"/>
              <w:rPr>
                <w:sz w:val="1"/>
                <w:szCs w:val="1"/>
                <w:color w:val="auto"/>
              </w:rPr>
            </w:pPr>
          </w:p>
        </w:tc>
      </w:tr>
      <w:tr>
        <w:trPr>
          <w:trHeight w:val="282"/>
        </w:trPr>
        <w:tc>
          <w:tcPr>
            <w:tcW w:w="4760" w:type="dxa"/>
            <w:vAlign w:val="bottom"/>
          </w:tcPr>
          <w:p>
            <w:pPr>
              <w:spacing w:after="0" w:line="282" w:lineRule="exact"/>
              <w:rPr>
                <w:sz w:val="20"/>
                <w:szCs w:val="20"/>
                <w:color w:val="auto"/>
              </w:rPr>
            </w:pPr>
            <w:r>
              <w:rPr>
                <w:rFonts w:ascii="Times New Roman" w:cs="Times New Roman" w:eastAsia="Times New Roman" w:hAnsi="Times New Roman"/>
                <w:sz w:val="20"/>
                <w:szCs w:val="20"/>
                <w:color w:val="auto"/>
              </w:rPr>
              <w:t>US Treasury securities</w:t>
            </w:r>
            <w:r>
              <w:rPr>
                <w:rFonts w:ascii="Times New Roman" w:cs="Times New Roman" w:eastAsia="Times New Roman" w:hAnsi="Times New Roman"/>
                <w:sz w:val="26"/>
                <w:szCs w:val="26"/>
                <w:color w:val="auto"/>
                <w:vertAlign w:val="superscript"/>
              </w:rPr>
              <w:t>(4)</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377,697</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(3,189)</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374,527</w:t>
            </w:r>
          </w:p>
        </w:tc>
        <w:tc>
          <w:tcPr>
            <w:tcW w:w="0" w:type="dxa"/>
            <w:vAlign w:val="bottom"/>
          </w:tcPr>
          <w:p>
            <w:pPr>
              <w:spacing w:after="0"/>
              <w:rPr>
                <w:sz w:val="1"/>
                <w:szCs w:val="1"/>
                <w:color w:val="auto"/>
              </w:rPr>
            </w:pPr>
          </w:p>
        </w:tc>
      </w:tr>
      <w:tr>
        <w:trPr>
          <w:trHeight w:val="260"/>
        </w:trPr>
        <w:tc>
          <w:tcPr>
            <w:tcW w:w="4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Total available-for-sale investments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517,907</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(5,077)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512,868</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-209550</wp:posOffset>
                </wp:positionV>
                <wp:extent cx="30480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4999pt" to="240pt,-1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3924300</wp:posOffset>
                </wp:positionH>
                <wp:positionV relativeFrom="paragraph">
                  <wp:posOffset>-209550</wp:posOffset>
                </wp:positionV>
                <wp:extent cx="17526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26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9pt,-16.4999pt" to="447pt,-16.4999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-983615</wp:posOffset>
            </wp:positionV>
            <wp:extent cx="6543675" cy="1003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a:extLst>
                        <a:ext uri="{28A0092B-C50C-407E-A947-70E740481C1C}"/>
                      </a:extLst>
                    </a:blip>
                    <a:srcRect/>
                    <a:stretch>
                      <a:fillRect/>
                    </a:stretch>
                  </pic:blipFill>
                  <pic:spPr bwMode="auto">
                    <a:xfrm>
                      <a:off x="0" y="0"/>
                      <a:ext cx="6543675" cy="1003300"/>
                    </a:xfrm>
                    <a:prstGeom prst="rect">
                      <a:avLst/>
                    </a:prstGeom>
                    <a:noFill/>
                  </pic:spPr>
                </pic:pic>
              </a:graphicData>
            </a:graphic>
          </wp:anchor>
        </w:drawing>
      </w:r>
    </w:p>
    <w:p>
      <w:pPr>
        <w:spacing w:after="0" w:line="228" w:lineRule="exact"/>
        <w:rPr>
          <w:sz w:val="20"/>
          <w:szCs w:val="20"/>
          <w:color w:val="auto"/>
        </w:rPr>
      </w:pPr>
    </w:p>
    <w:p>
      <w:pPr>
        <w:ind w:left="550" w:right="320" w:hanging="550"/>
        <w:spacing w:after="0" w:line="226" w:lineRule="auto"/>
        <w:tabs>
          <w:tab w:leader="none" w:pos="505" w:val="left"/>
        </w:tabs>
        <w:numPr>
          <w:ilvl w:val="0"/>
          <w:numId w:val="3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Of our outstanding agency securities, $57.1 million have maturity dates of less than one year and $17.5 million have a maturity date of between one to two years as of December 31, 2022.</w:t>
      </w:r>
    </w:p>
    <w:p>
      <w:pPr>
        <w:spacing w:after="0" w:line="21" w:lineRule="exact"/>
        <w:rPr>
          <w:rFonts w:ascii="Times New Roman" w:cs="Times New Roman" w:eastAsia="Times New Roman" w:hAnsi="Times New Roman"/>
          <w:sz w:val="26"/>
          <w:szCs w:val="26"/>
          <w:color w:val="auto"/>
          <w:vertAlign w:val="superscript"/>
        </w:rPr>
      </w:pPr>
    </w:p>
    <w:p>
      <w:pPr>
        <w:ind w:left="550" w:right="120" w:hanging="550"/>
        <w:spacing w:after="0" w:line="226" w:lineRule="auto"/>
        <w:tabs>
          <w:tab w:leader="none" w:pos="505" w:val="left"/>
        </w:tabs>
        <w:numPr>
          <w:ilvl w:val="0"/>
          <w:numId w:val="3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Of our outstanding certificates of deposit, $2.6 million have a maturity date of less than one year and $0.3 million have a maturity date of between one to two years as of December 31, 2022.</w:t>
      </w:r>
    </w:p>
    <w:p>
      <w:pPr>
        <w:spacing w:after="0" w:line="2" w:lineRule="exact"/>
        <w:rPr>
          <w:rFonts w:ascii="Times New Roman" w:cs="Times New Roman" w:eastAsia="Times New Roman" w:hAnsi="Times New Roman"/>
          <w:sz w:val="26"/>
          <w:szCs w:val="26"/>
          <w:color w:val="auto"/>
          <w:vertAlign w:val="superscript"/>
        </w:rPr>
      </w:pPr>
    </w:p>
    <w:p>
      <w:pPr>
        <w:ind w:left="490" w:hanging="490"/>
        <w:spacing w:after="0" w:line="224" w:lineRule="auto"/>
        <w:tabs>
          <w:tab w:leader="none" w:pos="490" w:val="left"/>
        </w:tabs>
        <w:numPr>
          <w:ilvl w:val="0"/>
          <w:numId w:val="3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Of our outstanding commercial and corporate obligations, $44.0 million have maturity dates of less than one year and</w:t>
      </w:r>
    </w:p>
    <w:p>
      <w:pPr>
        <w:spacing w:after="0" w:line="3"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$16.9 million have a maturity date of between one to two years as of December 31, 2022.</w:t>
      </w:r>
    </w:p>
    <w:p>
      <w:pPr>
        <w:spacing w:after="0" w:line="28" w:lineRule="exact"/>
        <w:rPr>
          <w:sz w:val="20"/>
          <w:szCs w:val="20"/>
          <w:color w:val="auto"/>
        </w:rPr>
      </w:pPr>
    </w:p>
    <w:p>
      <w:pPr>
        <w:ind w:left="550" w:right="140" w:hanging="550"/>
        <w:spacing w:after="0" w:line="226" w:lineRule="auto"/>
        <w:tabs>
          <w:tab w:leader="none" w:pos="505" w:val="left"/>
        </w:tabs>
        <w:numPr>
          <w:ilvl w:val="0"/>
          <w:numId w:val="4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Of our outstanding U.S. Treasury securities, $266.2 million have maturity dates of less than one year and $108.3 million have a maturity date of between one to two years as of December 31, 2022.</w:t>
      </w:r>
    </w:p>
    <w:p>
      <w:pPr>
        <w:spacing w:after="0" w:line="222" w:lineRule="exact"/>
        <w:rPr>
          <w:sz w:val="20"/>
          <w:szCs w:val="20"/>
          <w:color w:val="auto"/>
        </w:rPr>
      </w:pPr>
    </w:p>
    <w:p>
      <w:pPr>
        <w:ind w:left="10" w:right="20" w:firstLine="630"/>
        <w:spacing w:after="0" w:line="266" w:lineRule="auto"/>
        <w:rPr>
          <w:sz w:val="20"/>
          <w:szCs w:val="20"/>
          <w:color w:val="auto"/>
        </w:rPr>
      </w:pPr>
      <w:r>
        <w:rPr>
          <w:rFonts w:ascii="Times New Roman" w:cs="Times New Roman" w:eastAsia="Times New Roman" w:hAnsi="Times New Roman"/>
          <w:sz w:val="20"/>
          <w:szCs w:val="20"/>
          <w:color w:val="auto"/>
        </w:rPr>
        <w:t>The following tables present gross unrealized losses and fair values for those investments that were in an unrealized loss position as of December 31, 2023 and December 31, 2022, aggregated by investment category and the length of time that individual securities have been in a continuous loss position:</w:t>
      </w:r>
    </w:p>
    <w:p>
      <w:pPr>
        <w:spacing w:after="0" w:line="330"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2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468"/>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20" w:type="dxa"/>
            <w:vAlign w:val="bottom"/>
            <w:gridSpan w:val="4"/>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20" w:type="dxa"/>
            <w:vAlign w:val="bottom"/>
            <w:gridSpan w:val="4"/>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29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88"/>
              <w:spacing w:after="0" w:line="16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88"/>
              <w:spacing w:after="0" w:line="16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88"/>
              <w:spacing w:after="0" w:line="16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0" w:type="dxa"/>
            <w:vAlign w:val="bottom"/>
          </w:tcPr>
          <w:p>
            <w:pPr>
              <w:spacing w:after="0"/>
              <w:rPr>
                <w:sz w:val="1"/>
                <w:szCs w:val="1"/>
                <w:color w:val="auto"/>
              </w:rPr>
            </w:pPr>
          </w:p>
        </w:tc>
      </w:tr>
      <w:tr>
        <w:trPr>
          <w:trHeight w:val="160"/>
        </w:trPr>
        <w:tc>
          <w:tcPr>
            <w:tcW w:w="2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Pr>
          <w:p>
            <w:pPr>
              <w:spacing w:after="0"/>
              <w:rPr>
                <w:sz w:val="13"/>
                <w:szCs w:val="13"/>
                <w:color w:val="auto"/>
              </w:rPr>
            </w:pPr>
          </w:p>
        </w:tc>
        <w:tc>
          <w:tcPr>
            <w:tcW w:w="980" w:type="dxa"/>
            <w:vAlign w:val="bottom"/>
            <w:vMerge w:val="restart"/>
          </w:tcPr>
          <w:p>
            <w:pPr>
              <w:jc w:val="right"/>
              <w:ind w:right="12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108"/>
              <w:spacing w:after="0" w:line="160"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108"/>
              <w:spacing w:after="0" w:line="160"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ind w:right="12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108"/>
              <w:spacing w:after="0" w:line="160"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1"/>
        </w:trPr>
        <w:tc>
          <w:tcPr>
            <w:tcW w:w="2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301"/>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Agency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17,723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0" w:type="dxa"/>
            <w:vAlign w:val="bottom"/>
          </w:tcPr>
          <w:p>
            <w:pPr>
              <w:spacing w:after="0"/>
              <w:rPr>
                <w:sz w:val="1"/>
                <w:szCs w:val="1"/>
                <w:color w:val="auto"/>
              </w:rPr>
            </w:pPr>
          </w:p>
        </w:tc>
      </w:tr>
      <w:tr>
        <w:trPr>
          <w:trHeight w:val="275"/>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Certificates of Deposit</w:t>
            </w: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00"/>
        </w:trPr>
        <w:tc>
          <w:tcPr>
            <w:tcW w:w="29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Commercial and corporate</w:t>
            </w: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5,160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15,200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20,360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60"/>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obligations</w:t>
            </w: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US Treasury Securities</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98,840</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99,000</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197,840</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(635)</w:t>
            </w:r>
          </w:p>
        </w:tc>
        <w:tc>
          <w:tcPr>
            <w:tcW w:w="0" w:type="dxa"/>
            <w:vAlign w:val="bottom"/>
          </w:tcPr>
          <w:p>
            <w:pPr>
              <w:spacing w:after="0"/>
              <w:rPr>
                <w:sz w:val="1"/>
                <w:szCs w:val="1"/>
                <w:color w:val="auto"/>
              </w:rPr>
            </w:pPr>
          </w:p>
        </w:tc>
      </w:tr>
      <w:tr>
        <w:trPr>
          <w:trHeight w:val="260"/>
        </w:trPr>
        <w:tc>
          <w:tcPr>
            <w:tcW w:w="2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106,530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132,167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238,697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-1069340</wp:posOffset>
            </wp:positionV>
            <wp:extent cx="6553200" cy="1089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a:extLst>
                        <a:ext uri="{28A0092B-C50C-407E-A947-70E740481C1C}"/>
                      </a:extLst>
                    </a:blip>
                    <a:srcRect/>
                    <a:stretch>
                      <a:fillRect/>
                    </a:stretch>
                  </pic:blipFill>
                  <pic:spPr bwMode="auto">
                    <a:xfrm>
                      <a:off x="0" y="0"/>
                      <a:ext cx="6553200" cy="1089025"/>
                    </a:xfrm>
                    <a:prstGeom prst="rect">
                      <a:avLst/>
                    </a:prstGeom>
                    <a:noFill/>
                  </pic:spPr>
                </pic:pic>
              </a:graphicData>
            </a:graphic>
          </wp:anchor>
        </w:drawing>
      </w:r>
    </w:p>
    <w:p>
      <w:pPr>
        <w:sectPr>
          <w:pgSz w:w="12240" w:h="15840" w:orient="portrait"/>
          <w:cols w:equalWidth="0" w:num="1">
            <w:col w:w="10270"/>
          </w:cols>
          <w:pgMar w:left="990" w:top="8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270"/>
          </w:cols>
          <w:pgMar w:left="990" w:top="811" w:right="980" w:bottom="0" w:gutter="0" w:footer="0" w:header="0"/>
          <w:type w:val="continuous"/>
        </w:sectPr>
      </w:pPr>
    </w:p>
    <w:bookmarkStart w:id="88" w:name="page89"/>
    <w:bookmarkEnd w:id="88"/>
    <w:tbl>
      <w:tblPr>
        <w:tblLayout w:type="fixed"/>
        <w:tblInd w:w="50" w:type="dxa"/>
        <w:tblCellMar>
          <w:top w:w="0" w:type="dxa"/>
          <w:left w:w="0" w:type="dxa"/>
          <w:bottom w:w="0" w:type="dxa"/>
          <w:right w:w="0" w:type="dxa"/>
        </w:tblCellMar>
      </w:tblPr>
      <w:tr>
        <w:trPr>
          <w:trHeight w:val="217"/>
        </w:trPr>
        <w:tc>
          <w:tcPr>
            <w:tcW w:w="2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468"/>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20" w:type="dxa"/>
            <w:vAlign w:val="bottom"/>
            <w:gridSpan w:val="4"/>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20" w:type="dxa"/>
            <w:vAlign w:val="bottom"/>
            <w:gridSpan w:val="4"/>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9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0" w:type="dxa"/>
            <w:vAlign w:val="bottom"/>
          </w:tcPr>
          <w:p>
            <w:pPr>
              <w:spacing w:after="0"/>
              <w:rPr>
                <w:sz w:val="1"/>
                <w:szCs w:val="1"/>
                <w:color w:val="auto"/>
              </w:rPr>
            </w:pPr>
          </w:p>
        </w:tc>
      </w:tr>
      <w:tr>
        <w:trPr>
          <w:trHeight w:val="160"/>
        </w:trPr>
        <w:tc>
          <w:tcPr>
            <w:tcW w:w="2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Pr>
          <w:p>
            <w:pPr>
              <w:spacing w:after="0"/>
              <w:rPr>
                <w:sz w:val="13"/>
                <w:szCs w:val="13"/>
                <w:color w:val="auto"/>
              </w:rPr>
            </w:pPr>
          </w:p>
        </w:tc>
        <w:tc>
          <w:tcPr>
            <w:tcW w:w="980" w:type="dxa"/>
            <w:vAlign w:val="bottom"/>
            <w:vMerge w:val="restart"/>
          </w:tcPr>
          <w:p>
            <w:pPr>
              <w:jc w:val="right"/>
              <w:ind w:right="12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108"/>
              <w:spacing w:after="0" w:line="160"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108"/>
              <w:spacing w:after="0" w:line="160"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ind w:right="12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108"/>
              <w:spacing w:after="0" w:line="160"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1"/>
        </w:trPr>
        <w:tc>
          <w:tcPr>
            <w:tcW w:w="2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301"/>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Agency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61,117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64,554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(913)</w:t>
            </w:r>
          </w:p>
        </w:tc>
        <w:tc>
          <w:tcPr>
            <w:tcW w:w="0" w:type="dxa"/>
            <w:vAlign w:val="bottom"/>
          </w:tcPr>
          <w:p>
            <w:pPr>
              <w:spacing w:after="0"/>
              <w:rPr>
                <w:sz w:val="1"/>
                <w:szCs w:val="1"/>
                <w:color w:val="auto"/>
              </w:rPr>
            </w:pPr>
          </w:p>
        </w:tc>
      </w:tr>
      <w:tr>
        <w:trPr>
          <w:trHeight w:val="275"/>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Certificates of Deposit</w:t>
            </w: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200"/>
        </w:trPr>
        <w:tc>
          <w:tcPr>
            <w:tcW w:w="29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Commercial and corporate</w:t>
            </w: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44,213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(624)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14,778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58,991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(916)</w:t>
            </w:r>
          </w:p>
        </w:tc>
        <w:tc>
          <w:tcPr>
            <w:tcW w:w="0" w:type="dxa"/>
            <w:vAlign w:val="bottom"/>
          </w:tcPr>
          <w:p>
            <w:pPr>
              <w:spacing w:after="0"/>
              <w:rPr>
                <w:sz w:val="1"/>
                <w:szCs w:val="1"/>
                <w:color w:val="auto"/>
              </w:rPr>
            </w:pPr>
          </w:p>
        </w:tc>
      </w:tr>
      <w:tr>
        <w:trPr>
          <w:trHeight w:val="260"/>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obligations</w:t>
            </w: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US Treasury Securities</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298,575</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41,937</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340,513</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(3,189)</w:t>
            </w:r>
          </w:p>
        </w:tc>
        <w:tc>
          <w:tcPr>
            <w:tcW w:w="0" w:type="dxa"/>
            <w:vAlign w:val="bottom"/>
          </w:tcPr>
          <w:p>
            <w:pPr>
              <w:spacing w:after="0"/>
              <w:rPr>
                <w:sz w:val="1"/>
                <w:szCs w:val="1"/>
                <w:color w:val="auto"/>
              </w:rPr>
            </w:pPr>
          </w:p>
        </w:tc>
      </w:tr>
      <w:tr>
        <w:trPr>
          <w:trHeight w:val="260"/>
        </w:trPr>
        <w:tc>
          <w:tcPr>
            <w:tcW w:w="2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404,386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62,527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466,914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(5,077)</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-1069340</wp:posOffset>
            </wp:positionV>
            <wp:extent cx="6553200" cy="10890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a:extLst>
                        <a:ext uri="{28A0092B-C50C-407E-A947-70E740481C1C}"/>
                      </a:extLst>
                    </a:blip>
                    <a:srcRect/>
                    <a:stretch>
                      <a:fillRect/>
                    </a:stretch>
                  </pic:blipFill>
                  <pic:spPr bwMode="auto">
                    <a:xfrm>
                      <a:off x="0" y="0"/>
                      <a:ext cx="6553200" cy="1089025"/>
                    </a:xfrm>
                    <a:prstGeom prst="rect">
                      <a:avLst/>
                    </a:prstGeom>
                    <a:noFill/>
                  </pic:spPr>
                </pic:pic>
              </a:graphicData>
            </a:graphic>
          </wp:anchor>
        </w:drawing>
      </w:r>
    </w:p>
    <w:p>
      <w:pPr>
        <w:spacing w:after="0" w:line="228" w:lineRule="exact"/>
        <w:rPr>
          <w:sz w:val="20"/>
          <w:szCs w:val="20"/>
          <w:color w:val="auto"/>
        </w:rPr>
      </w:pPr>
    </w:p>
    <w:p>
      <w:pPr>
        <w:ind w:left="630"/>
        <w:spacing w:after="0"/>
        <w:rPr>
          <w:sz w:val="20"/>
          <w:szCs w:val="20"/>
          <w:color w:val="auto"/>
        </w:rPr>
      </w:pPr>
      <w:r>
        <w:rPr>
          <w:rFonts w:ascii="Times New Roman" w:cs="Times New Roman" w:eastAsia="Times New Roman" w:hAnsi="Times New Roman"/>
          <w:sz w:val="20"/>
          <w:szCs w:val="20"/>
          <w:color w:val="auto"/>
        </w:rPr>
        <w:t>As of December 31, 2023 and 2022, unrealized losses on available-for-sale investments were $0.8 million and</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$5.1 million, respectively, with unrealized losses of $0.7 million, on available for sale investments that were in an unrealized</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loss position for greater than 12 months as of December 31, 2023. We do not intend to sell the investments and it is not more</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likely than not that we will be required to sell the investments before recovery of their amortized cost basis, accordingly, no</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allowance for credit losses was recorded.</w:t>
      </w:r>
    </w:p>
    <w:p>
      <w:pPr>
        <w:spacing w:after="0" w:line="343" w:lineRule="exact"/>
        <w:rPr>
          <w:sz w:val="20"/>
          <w:szCs w:val="20"/>
          <w:color w:val="auto"/>
        </w:rPr>
      </w:pPr>
    </w:p>
    <w:p>
      <w:pPr>
        <w:ind w:left="270" w:right="8260" w:hanging="270"/>
        <w:spacing w:after="0" w:line="379" w:lineRule="auto"/>
        <w:tabs>
          <w:tab w:leader="none" w:pos="20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Stockholders’ Equity </w:t>
      </w:r>
      <w:r>
        <w:rPr>
          <w:rFonts w:ascii="Times New Roman" w:cs="Times New Roman" w:eastAsia="Times New Roman" w:hAnsi="Times New Roman"/>
          <w:sz w:val="20"/>
          <w:szCs w:val="20"/>
          <w:b w:val="1"/>
          <w:bCs w:val="1"/>
          <w:i w:val="1"/>
          <w:iCs w:val="1"/>
          <w:color w:val="auto"/>
        </w:rPr>
        <w:t>Common Stock</w:t>
      </w:r>
    </w:p>
    <w:p>
      <w:pPr>
        <w:spacing w:after="0" w:line="1" w:lineRule="exact"/>
        <w:rPr>
          <w:sz w:val="20"/>
          <w:szCs w:val="20"/>
          <w:color w:val="auto"/>
        </w:rPr>
      </w:pPr>
    </w:p>
    <w:p>
      <w:pPr>
        <w:ind w:left="10" w:right="920" w:firstLine="630"/>
        <w:spacing w:after="0" w:line="281" w:lineRule="auto"/>
        <w:rPr>
          <w:sz w:val="20"/>
          <w:szCs w:val="20"/>
          <w:color w:val="auto"/>
        </w:rPr>
      </w:pPr>
      <w:r>
        <w:rPr>
          <w:rFonts w:ascii="Times New Roman" w:cs="Times New Roman" w:eastAsia="Times New Roman" w:hAnsi="Times New Roman"/>
          <w:sz w:val="20"/>
          <w:szCs w:val="20"/>
          <w:color w:val="auto"/>
        </w:rPr>
        <w:t>Of the 500,000,000 shares of common stock authorized, 26,596,765 shares were issued and outstanding as of December 31, 2023.</w:t>
      </w:r>
    </w:p>
    <w:p>
      <w:pPr>
        <w:spacing w:after="0" w:line="52"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20"/>
          <w:szCs w:val="20"/>
          <w:b w:val="1"/>
          <w:bCs w:val="1"/>
          <w:i w:val="1"/>
          <w:iCs w:val="1"/>
          <w:color w:val="auto"/>
        </w:rPr>
        <w:t>Stock Repurchase Program</w:t>
      </w:r>
    </w:p>
    <w:p>
      <w:pPr>
        <w:spacing w:after="0" w:line="139" w:lineRule="exact"/>
        <w:rPr>
          <w:sz w:val="20"/>
          <w:szCs w:val="20"/>
          <w:color w:val="auto"/>
        </w:rPr>
      </w:pPr>
    </w:p>
    <w:p>
      <w:pPr>
        <w:ind w:left="10" w:right="280" w:firstLine="630"/>
        <w:spacing w:after="0" w:line="260" w:lineRule="auto"/>
        <w:rPr>
          <w:sz w:val="20"/>
          <w:szCs w:val="20"/>
          <w:color w:val="auto"/>
        </w:rPr>
      </w:pPr>
      <w:r>
        <w:rPr>
          <w:rFonts w:ascii="Times New Roman" w:cs="Times New Roman" w:eastAsia="Times New Roman" w:hAnsi="Times New Roman"/>
          <w:sz w:val="20"/>
          <w:szCs w:val="20"/>
          <w:color w:val="auto"/>
        </w:rPr>
        <w:t>In January 2023, our Board of Directors authorized a stock repurchase program (the “Repurchase Program”) to repurchase up to $50.0 million of our outstanding common stock, par value $0.001 per share. The Repurchase Program was completed in May 2023. The following table presents the repurchase activity from January 1, 2023 through May 5, 2023, the end date of the Repurchase Program:</w:t>
      </w:r>
    </w:p>
    <w:p>
      <w:pPr>
        <w:spacing w:after="0" w:line="122" w:lineRule="exact"/>
        <w:rPr>
          <w:sz w:val="20"/>
          <w:szCs w:val="20"/>
          <w:color w:val="auto"/>
        </w:rPr>
      </w:pPr>
    </w:p>
    <w:tbl>
      <w:tblPr>
        <w:tblLayout w:type="fixed"/>
        <w:tblInd w:w="50" w:type="dxa"/>
        <w:tblCellMar>
          <w:top w:w="0" w:type="dxa"/>
          <w:left w:w="0" w:type="dxa"/>
          <w:bottom w:w="0" w:type="dxa"/>
          <w:right w:w="0" w:type="dxa"/>
        </w:tblCellMar>
      </w:tblPr>
      <w:tr>
        <w:trPr>
          <w:trHeight w:val="184"/>
        </w:trPr>
        <w:tc>
          <w:tcPr>
            <w:tcW w:w="5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Approximate dollar</w:t>
            </w:r>
          </w:p>
        </w:tc>
        <w:tc>
          <w:tcPr>
            <w:tcW w:w="0" w:type="dxa"/>
            <w:vAlign w:val="bottom"/>
          </w:tcPr>
          <w:p>
            <w:pPr>
              <w:spacing w:after="0"/>
              <w:rPr>
                <w:sz w:val="1"/>
                <w:szCs w:val="1"/>
                <w:color w:val="auto"/>
              </w:rPr>
            </w:pPr>
          </w:p>
        </w:tc>
      </w:tr>
      <w:tr>
        <w:trPr>
          <w:trHeight w:val="160"/>
        </w:trPr>
        <w:tc>
          <w:tcPr>
            <w:tcW w:w="5420" w:type="dxa"/>
            <w:vAlign w:val="bottom"/>
          </w:tcPr>
          <w:p>
            <w:pPr>
              <w:spacing w:after="0"/>
              <w:rPr>
                <w:sz w:val="13"/>
                <w:szCs w:val="13"/>
                <w:color w:val="auto"/>
              </w:rPr>
            </w:pPr>
          </w:p>
        </w:tc>
        <w:tc>
          <w:tcPr>
            <w:tcW w:w="1560" w:type="dxa"/>
            <w:vAlign w:val="bottom"/>
            <w:vMerge w:val="restart"/>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60" w:type="dxa"/>
            <w:vAlign w:val="bottom"/>
          </w:tcPr>
          <w:p>
            <w:pPr>
              <w:spacing w:after="0"/>
              <w:rPr>
                <w:sz w:val="13"/>
                <w:szCs w:val="13"/>
                <w:color w:val="auto"/>
              </w:rPr>
            </w:pPr>
          </w:p>
        </w:tc>
        <w:tc>
          <w:tcPr>
            <w:tcW w:w="1560" w:type="dxa"/>
            <w:vAlign w:val="bottom"/>
            <w:gridSpan w:val="2"/>
            <w:vMerge w:val="restart"/>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center"/>
              <w:ind w:right="130"/>
              <w:spacing w:after="0" w:line="160" w:lineRule="exact"/>
              <w:rPr>
                <w:sz w:val="20"/>
                <w:szCs w:val="20"/>
                <w:color w:val="auto"/>
              </w:rPr>
            </w:pPr>
            <w:r>
              <w:rPr>
                <w:rFonts w:ascii="Times New Roman" w:cs="Times New Roman" w:eastAsia="Times New Roman" w:hAnsi="Times New Roman"/>
                <w:sz w:val="16"/>
                <w:szCs w:val="16"/>
                <w:b w:val="1"/>
                <w:bCs w:val="1"/>
                <w:color w:val="auto"/>
              </w:rPr>
              <w:t>value of shares</w:t>
            </w:r>
          </w:p>
        </w:tc>
        <w:tc>
          <w:tcPr>
            <w:tcW w:w="0" w:type="dxa"/>
            <w:vAlign w:val="bottom"/>
          </w:tcPr>
          <w:p>
            <w:pPr>
              <w:spacing w:after="0"/>
              <w:rPr>
                <w:sz w:val="1"/>
                <w:szCs w:val="1"/>
                <w:color w:val="auto"/>
              </w:rPr>
            </w:pPr>
          </w:p>
        </w:tc>
      </w:tr>
      <w:tr>
        <w:trPr>
          <w:trHeight w:val="160"/>
        </w:trPr>
        <w:tc>
          <w:tcPr>
            <w:tcW w:w="542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center"/>
              <w:ind w:right="130"/>
              <w:spacing w:after="0" w:line="160" w:lineRule="exact"/>
              <w:rPr>
                <w:sz w:val="20"/>
                <w:szCs w:val="20"/>
                <w:color w:val="auto"/>
              </w:rPr>
            </w:pPr>
            <w:r>
              <w:rPr>
                <w:rFonts w:ascii="Times New Roman" w:cs="Times New Roman" w:eastAsia="Times New Roman" w:hAnsi="Times New Roman"/>
                <w:sz w:val="16"/>
                <w:szCs w:val="16"/>
                <w:b w:val="1"/>
                <w:bCs w:val="1"/>
                <w:color w:val="auto"/>
                <w:w w:val="98"/>
              </w:rPr>
              <w:t>purchased</w:t>
            </w:r>
          </w:p>
        </w:tc>
        <w:tc>
          <w:tcPr>
            <w:tcW w:w="0" w:type="dxa"/>
            <w:vAlign w:val="bottom"/>
          </w:tcPr>
          <w:p>
            <w:pPr>
              <w:spacing w:after="0"/>
              <w:rPr>
                <w:sz w:val="1"/>
                <w:szCs w:val="1"/>
                <w:color w:val="auto"/>
              </w:rPr>
            </w:pPr>
          </w:p>
        </w:tc>
      </w:tr>
      <w:tr>
        <w:trPr>
          <w:trHeight w:val="214"/>
        </w:trPr>
        <w:tc>
          <w:tcPr>
            <w:tcW w:w="5420" w:type="dxa"/>
            <w:vAlign w:val="bottom"/>
          </w:tcPr>
          <w:p>
            <w:pPr>
              <w:spacing w:after="0"/>
              <w:rPr>
                <w:sz w:val="18"/>
                <w:szCs w:val="18"/>
                <w:color w:val="auto"/>
              </w:rPr>
            </w:pPr>
          </w:p>
        </w:tc>
        <w:tc>
          <w:tcPr>
            <w:tcW w:w="15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92"/>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First Quarter 2023</w:t>
            </w: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1,589,424</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24.19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38,456</w:t>
            </w:r>
          </w:p>
        </w:tc>
        <w:tc>
          <w:tcPr>
            <w:tcW w:w="0" w:type="dxa"/>
            <w:vAlign w:val="bottom"/>
          </w:tcPr>
          <w:p>
            <w:pPr>
              <w:spacing w:after="0"/>
              <w:rPr>
                <w:sz w:val="1"/>
                <w:szCs w:val="1"/>
                <w:color w:val="auto"/>
              </w:rPr>
            </w:pPr>
          </w:p>
        </w:tc>
      </w:tr>
      <w:tr>
        <w:trPr>
          <w:trHeight w:val="318"/>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Second Quarter 2023</w:t>
            </w:r>
          </w:p>
        </w:tc>
        <w:tc>
          <w:tcPr>
            <w:tcW w:w="1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534,790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21.59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11,544</w:t>
            </w:r>
          </w:p>
        </w:tc>
        <w:tc>
          <w:tcPr>
            <w:tcW w:w="0" w:type="dxa"/>
            <w:vAlign w:val="bottom"/>
          </w:tcPr>
          <w:p>
            <w:pPr>
              <w:spacing w:after="0"/>
              <w:rPr>
                <w:sz w:val="1"/>
                <w:szCs w:val="1"/>
                <w:color w:val="auto"/>
              </w:rPr>
            </w:pPr>
          </w:p>
        </w:tc>
      </w:tr>
      <w:tr>
        <w:trPr>
          <w:trHeight w:val="275"/>
        </w:trPr>
        <w:tc>
          <w:tcPr>
            <w:tcW w:w="54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2,124,214</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50,000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-631190</wp:posOffset>
            </wp:positionV>
            <wp:extent cx="6553200" cy="650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a:extLst>
                        <a:ext uri="{28A0092B-C50C-407E-A947-70E740481C1C}"/>
                      </a:extLst>
                    </a:blip>
                    <a:srcRect/>
                    <a:stretch>
                      <a:fillRect/>
                    </a:stretch>
                  </pic:blipFill>
                  <pic:spPr bwMode="auto">
                    <a:xfrm>
                      <a:off x="0" y="0"/>
                      <a:ext cx="6553200" cy="650875"/>
                    </a:xfrm>
                    <a:prstGeom prst="rect">
                      <a:avLst/>
                    </a:prstGeom>
                    <a:noFill/>
                  </pic:spPr>
                </pic:pic>
              </a:graphicData>
            </a:graphic>
          </wp:anchor>
        </w:drawing>
      </w:r>
    </w:p>
    <w:p>
      <w:pPr>
        <w:spacing w:after="0" w:line="108" w:lineRule="exact"/>
        <w:rPr>
          <w:sz w:val="20"/>
          <w:szCs w:val="20"/>
          <w:color w:val="auto"/>
        </w:rPr>
      </w:pPr>
    </w:p>
    <w:p>
      <w:pPr>
        <w:ind w:left="10" w:right="180" w:firstLine="630"/>
        <w:spacing w:after="0" w:line="309" w:lineRule="auto"/>
        <w:rPr>
          <w:sz w:val="20"/>
          <w:szCs w:val="20"/>
          <w:color w:val="auto"/>
        </w:rPr>
      </w:pPr>
      <w:r>
        <w:rPr>
          <w:rFonts w:ascii="Times New Roman" w:cs="Times New Roman" w:eastAsia="Times New Roman" w:hAnsi="Times New Roman"/>
          <w:sz w:val="19"/>
          <w:szCs w:val="19"/>
          <w:color w:val="auto"/>
        </w:rPr>
        <w:t>The repurchased common stock was subsequently retired after the repurchase and the par value of the shares was charged to common stock. The excess of the repurchase price over the par value was applied against additional paid in capital.</w:t>
      </w:r>
    </w:p>
    <w:p>
      <w:pPr>
        <w:spacing w:after="0" w:line="28"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20"/>
          <w:szCs w:val="20"/>
          <w:b w:val="1"/>
          <w:bCs w:val="1"/>
          <w:i w:val="1"/>
          <w:iCs w:val="1"/>
          <w:color w:val="auto"/>
        </w:rPr>
        <w:t>Open Market Sales Agreement</w:t>
      </w:r>
    </w:p>
    <w:p>
      <w:pPr>
        <w:spacing w:after="0" w:line="139" w:lineRule="exact"/>
        <w:rPr>
          <w:sz w:val="20"/>
          <w:szCs w:val="20"/>
          <w:color w:val="auto"/>
        </w:rPr>
      </w:pPr>
    </w:p>
    <w:p>
      <w:pPr>
        <w:jc w:val="both"/>
        <w:ind w:left="10" w:right="420" w:firstLine="630"/>
        <w:spacing w:after="0" w:line="266" w:lineRule="auto"/>
        <w:rPr>
          <w:sz w:val="20"/>
          <w:szCs w:val="20"/>
          <w:color w:val="auto"/>
        </w:rPr>
      </w:pPr>
      <w:r>
        <w:rPr>
          <w:rFonts w:ascii="Times New Roman" w:cs="Times New Roman" w:eastAsia="Times New Roman" w:hAnsi="Times New Roman"/>
          <w:sz w:val="20"/>
          <w:szCs w:val="20"/>
          <w:color w:val="auto"/>
        </w:rPr>
        <w:t>In November 2022, we entered into the Cowen Sales Agreement with Cowen, through which we may offer and sell shares of our common stock, having an aggregate offering of up to $150.0 million through Cowen as our sales agent. As of December 31, 2023, we had sold no shares under this agreement.</w:t>
      </w:r>
    </w:p>
    <w:p>
      <w:pPr>
        <w:spacing w:after="0" w:line="308" w:lineRule="exact"/>
        <w:rPr>
          <w:sz w:val="20"/>
          <w:szCs w:val="20"/>
          <w:color w:val="auto"/>
        </w:rPr>
      </w:pPr>
    </w:p>
    <w:p>
      <w:pPr>
        <w:ind w:left="270" w:right="7760" w:hanging="270"/>
        <w:spacing w:after="0" w:line="399" w:lineRule="auto"/>
        <w:tabs>
          <w:tab w:leader="none" w:pos="200" w:val="left"/>
        </w:tabs>
        <w:numPr>
          <w:ilvl w:val="0"/>
          <w:numId w:val="4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Equity Incentive Plans </w:t>
      </w:r>
      <w:r>
        <w:rPr>
          <w:rFonts w:ascii="Times New Roman" w:cs="Times New Roman" w:eastAsia="Times New Roman" w:hAnsi="Times New Roman"/>
          <w:sz w:val="19"/>
          <w:szCs w:val="19"/>
          <w:b w:val="1"/>
          <w:bCs w:val="1"/>
          <w:i w:val="1"/>
          <w:iCs w:val="1"/>
          <w:color w:val="auto"/>
        </w:rPr>
        <w:t>2017 Equity Incentive Plan</w:t>
      </w:r>
    </w:p>
    <w:p>
      <w:pPr>
        <w:spacing w:after="0" w:line="1" w:lineRule="exact"/>
        <w:rPr>
          <w:sz w:val="20"/>
          <w:szCs w:val="20"/>
          <w:color w:val="auto"/>
        </w:rPr>
      </w:pPr>
    </w:p>
    <w:p>
      <w:pPr>
        <w:ind w:left="10" w:right="20" w:firstLine="630"/>
        <w:spacing w:after="0" w:line="255" w:lineRule="auto"/>
        <w:rPr>
          <w:sz w:val="20"/>
          <w:szCs w:val="20"/>
          <w:color w:val="auto"/>
        </w:rPr>
      </w:pPr>
      <w:r>
        <w:rPr>
          <w:rFonts w:ascii="Times New Roman" w:cs="Times New Roman" w:eastAsia="Times New Roman" w:hAnsi="Times New Roman"/>
          <w:sz w:val="20"/>
          <w:szCs w:val="20"/>
          <w:color w:val="auto"/>
        </w:rPr>
        <w:t>In January 2017, our Board of Directors and stockholders approved and adopted the 2017 Equity Incentive Plan (the “2017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1,140,527 shares as of January 1, 2023. As of December 31, 2023, 2,272,850 shares were available for future issuance.</w:t>
      </w:r>
    </w:p>
    <w:p>
      <w:pPr>
        <w:sectPr>
          <w:pgSz w:w="12240" w:h="15840" w:orient="portrait"/>
          <w:cols w:equalWidth="0" w:num="1">
            <w:col w:w="10270"/>
          </w:cols>
          <w:pgMar w:left="990" w:top="92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270"/>
          </w:cols>
          <w:pgMar w:left="990" w:top="928" w:right="980" w:bottom="0" w:gutter="0" w:footer="0" w:header="0"/>
          <w:type w:val="continuous"/>
        </w:sectPr>
      </w:pPr>
    </w:p>
    <w:bookmarkStart w:id="89" w:name="page90"/>
    <w:bookmarkEnd w:id="89"/>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w:t>
      </w:r>
    </w:p>
    <w:p>
      <w:pPr>
        <w:spacing w:after="0" w:line="139" w:lineRule="exact"/>
        <w:rPr>
          <w:sz w:val="20"/>
          <w:szCs w:val="20"/>
          <w:color w:val="auto"/>
        </w:rPr>
      </w:pPr>
    </w:p>
    <w:p>
      <w:pPr>
        <w:ind w:right="20" w:firstLine="630"/>
        <w:spacing w:after="0" w:line="256" w:lineRule="auto"/>
        <w:rPr>
          <w:sz w:val="20"/>
          <w:szCs w:val="20"/>
          <w:color w:val="auto"/>
        </w:rPr>
      </w:pPr>
      <w:r>
        <w:rPr>
          <w:rFonts w:ascii="Times New Roman" w:cs="Times New Roman" w:eastAsia="Times New Roman" w:hAnsi="Times New Roman"/>
          <w:sz w:val="20"/>
          <w:szCs w:val="20"/>
          <w:color w:val="auto"/>
        </w:rPr>
        <w:t>In January 2017, our Board of Directors and stockholders approved and adopted the 2017 Employee Stock Purchase Plan or the ESPP.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285,131 shares as of January 1, 2023. As of December 31, 2023, 98,000 shares have been issued under the ESPP. As of December 31, 2023, 1,734,840 shares were available for future issuance under the ESPP.</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39" w:lineRule="exact"/>
        <w:rPr>
          <w:sz w:val="20"/>
          <w:szCs w:val="20"/>
          <w:color w:val="auto"/>
        </w:rPr>
      </w:pPr>
    </w:p>
    <w:p>
      <w:pPr>
        <w:ind w:firstLine="630"/>
        <w:spacing w:after="0" w:line="260" w:lineRule="auto"/>
        <w:rPr>
          <w:sz w:val="20"/>
          <w:szCs w:val="20"/>
          <w:color w:val="auto"/>
        </w:rPr>
      </w:pPr>
      <w:r>
        <w:rPr>
          <w:rFonts w:ascii="Times New Roman" w:cs="Times New Roman" w:eastAsia="Times New Roman" w:hAnsi="Times New Roman"/>
          <w:sz w:val="20"/>
          <w:szCs w:val="20"/>
          <w:color w:val="auto"/>
        </w:rPr>
        <w:t>Stock options granted to employees and non-employees generally vest over a four-year period while stock options granted to directors generally vest over a one-year period. Each stock option award has a maximum term of 10 years from the date of grant, subject to earlier cancellation prior to vesting upon cessation of service to us. A summary of the activity related to stock option awards during the year ended December 31, 2023 is as follows: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8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0"/>
        </w:trPr>
        <w:tc>
          <w:tcPr>
            <w:tcW w:w="422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center"/>
              <w:ind w:right="187"/>
              <w:spacing w:after="0" w:line="160"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80" w:type="dxa"/>
            <w:vAlign w:val="bottom"/>
          </w:tcPr>
          <w:p>
            <w:pPr>
              <w:spacing w:after="0"/>
              <w:rPr>
                <w:sz w:val="13"/>
                <w:szCs w:val="13"/>
                <w:color w:val="auto"/>
              </w:rPr>
            </w:pPr>
          </w:p>
        </w:tc>
        <w:tc>
          <w:tcPr>
            <w:tcW w:w="15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131"/>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60"/>
        </w:trPr>
        <w:tc>
          <w:tcPr>
            <w:tcW w:w="4220" w:type="dxa"/>
            <w:vAlign w:val="bottom"/>
          </w:tcPr>
          <w:p>
            <w:pPr>
              <w:spacing w:after="0"/>
              <w:rPr>
                <w:sz w:val="13"/>
                <w:szCs w:val="13"/>
                <w:color w:val="auto"/>
              </w:rPr>
            </w:pPr>
          </w:p>
        </w:tc>
        <w:tc>
          <w:tcPr>
            <w:tcW w:w="13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Subject to</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center"/>
              <w:ind w:right="167"/>
              <w:spacing w:after="0" w:line="160" w:lineRule="exact"/>
              <w:rPr>
                <w:sz w:val="20"/>
                <w:szCs w:val="20"/>
                <w:color w:val="auto"/>
              </w:rPr>
            </w:pPr>
            <w:r>
              <w:rPr>
                <w:rFonts w:ascii="Times New Roman" w:cs="Times New Roman" w:eastAsia="Times New Roman" w:hAnsi="Times New Roman"/>
                <w:sz w:val="16"/>
                <w:szCs w:val="16"/>
                <w:b w:val="1"/>
                <w:bCs w:val="1"/>
                <w:color w:val="auto"/>
              </w:rPr>
              <w:t>Price per</w:t>
            </w:r>
          </w:p>
        </w:tc>
        <w:tc>
          <w:tcPr>
            <w:tcW w:w="80" w:type="dxa"/>
            <w:vAlign w:val="bottom"/>
          </w:tcPr>
          <w:p>
            <w:pPr>
              <w:spacing w:after="0"/>
              <w:rPr>
                <w:sz w:val="13"/>
                <w:szCs w:val="13"/>
                <w:color w:val="auto"/>
              </w:rPr>
            </w:pPr>
          </w:p>
        </w:tc>
        <w:tc>
          <w:tcPr>
            <w:tcW w:w="15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131"/>
              <w:spacing w:after="0" w:line="160" w:lineRule="exact"/>
              <w:rPr>
                <w:sz w:val="20"/>
                <w:szCs w:val="20"/>
                <w:color w:val="auto"/>
              </w:rPr>
            </w:pPr>
            <w:r>
              <w:rPr>
                <w:rFonts w:ascii="Times New Roman" w:cs="Times New Roman" w:eastAsia="Times New Roman" w:hAnsi="Times New Roman"/>
                <w:sz w:val="16"/>
                <w:szCs w:val="16"/>
                <w:b w:val="1"/>
                <w:bCs w:val="1"/>
                <w:color w:val="auto"/>
                <w:w w:val="98"/>
              </w:rPr>
              <w:t>Value (in</w:t>
            </w:r>
          </w:p>
        </w:tc>
        <w:tc>
          <w:tcPr>
            <w:tcW w:w="0" w:type="dxa"/>
            <w:vAlign w:val="bottom"/>
          </w:tcPr>
          <w:p>
            <w:pPr>
              <w:spacing w:after="0"/>
              <w:rPr>
                <w:sz w:val="1"/>
                <w:szCs w:val="1"/>
                <w:color w:val="auto"/>
              </w:rPr>
            </w:pPr>
          </w:p>
        </w:tc>
      </w:tr>
      <w:tr>
        <w:trPr>
          <w:trHeight w:val="214"/>
        </w:trPr>
        <w:tc>
          <w:tcPr>
            <w:tcW w:w="422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67"/>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8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Term (in years)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9"/>
              </w:rPr>
              <w:t>thousands)</w:t>
            </w:r>
          </w:p>
        </w:tc>
        <w:tc>
          <w:tcPr>
            <w:tcW w:w="0" w:type="dxa"/>
            <w:vAlign w:val="bottom"/>
          </w:tcPr>
          <w:p>
            <w:pPr>
              <w:spacing w:after="0"/>
              <w:rPr>
                <w:sz w:val="1"/>
                <w:szCs w:val="1"/>
                <w:color w:val="auto"/>
              </w:rPr>
            </w:pPr>
          </w:p>
        </w:tc>
      </w:tr>
      <w:tr>
        <w:trPr>
          <w:trHeight w:val="277"/>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January 1, 2023</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3,673,208</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32.04</w:t>
            </w:r>
          </w:p>
        </w:tc>
        <w:tc>
          <w:tcPr>
            <w:tcW w:w="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18,686</w:t>
            </w:r>
          </w:p>
        </w:tc>
        <w:tc>
          <w:tcPr>
            <w:tcW w:w="0" w:type="dxa"/>
            <w:vAlign w:val="bottom"/>
          </w:tcPr>
          <w:p>
            <w:pPr>
              <w:spacing w:after="0"/>
              <w:rPr>
                <w:sz w:val="1"/>
                <w:szCs w:val="1"/>
                <w:color w:val="auto"/>
              </w:rPr>
            </w:pPr>
          </w:p>
        </w:tc>
      </w:tr>
      <w:tr>
        <w:trPr>
          <w:trHeight w:val="30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1,579,331</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22.02</w:t>
            </w: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Exercises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(90,883)</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18.95</w:t>
            </w: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Forfeitures and cancellations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(936,041)</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37.52</w:t>
            </w: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2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Outstanding at December 31, 2023</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4,225,615</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5,827</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Exercisable at December 31, 2023</w:t>
            </w: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30.60</w:t>
            </w:r>
          </w:p>
        </w:tc>
        <w:tc>
          <w:tcPr>
            <w:tcW w:w="1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6.10</w:t>
            </w: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4,741</w:t>
            </w:r>
          </w:p>
        </w:tc>
        <w:tc>
          <w:tcPr>
            <w:tcW w:w="0" w:type="dxa"/>
            <w:vAlign w:val="bottom"/>
          </w:tcPr>
          <w:p>
            <w:pPr>
              <w:spacing w:after="0" w:line="20" w:lineRule="exact"/>
              <w:rPr>
                <w:sz w:val="1"/>
                <w:szCs w:val="1"/>
                <w:color w:val="auto"/>
              </w:rPr>
            </w:pPr>
          </w:p>
        </w:tc>
      </w:tr>
      <w:tr>
        <w:trPr>
          <w:trHeight w:val="260"/>
        </w:trPr>
        <w:tc>
          <w:tcPr>
            <w:tcW w:w="4220" w:type="dxa"/>
            <w:vAlign w:val="bottom"/>
            <w:vMerge w:val="continue"/>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2,154,408</w:t>
            </w:r>
          </w:p>
        </w:tc>
        <w:tc>
          <w:tcPr>
            <w:tcW w:w="340" w:type="dxa"/>
            <w:vAlign w:val="bottom"/>
            <w:gridSpan w:val="2"/>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1620" w:type="dxa"/>
            <w:vAlign w:val="bottom"/>
            <w:gridSpan w:val="2"/>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-1148715</wp:posOffset>
            </wp:positionV>
            <wp:extent cx="6511925" cy="1168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4">
                      <a:extLst>
                        <a:ext uri="{28A0092B-C50C-407E-A947-70E740481C1C}"/>
                      </a:extLst>
                    </a:blip>
                    <a:srcRect/>
                    <a:stretch>
                      <a:fillRect/>
                    </a:stretch>
                  </pic:blipFill>
                  <pic:spPr bwMode="auto">
                    <a:xfrm>
                      <a:off x="0" y="0"/>
                      <a:ext cx="6511925" cy="1168400"/>
                    </a:xfrm>
                    <a:prstGeom prst="rect">
                      <a:avLst/>
                    </a:prstGeom>
                    <a:noFill/>
                  </pic:spPr>
                </pic:pic>
              </a:graphicData>
            </a:graphic>
          </wp:anchor>
        </w:drawing>
      </w:r>
    </w:p>
    <w:p>
      <w:pPr>
        <w:spacing w:after="0" w:line="268" w:lineRule="exact"/>
        <w:rPr>
          <w:sz w:val="20"/>
          <w:szCs w:val="20"/>
          <w:color w:val="auto"/>
        </w:rPr>
      </w:pPr>
    </w:p>
    <w:p>
      <w:pPr>
        <w:jc w:val="both"/>
        <w:ind w:right="40" w:firstLine="630"/>
        <w:spacing w:after="0" w:line="281" w:lineRule="auto"/>
        <w:rPr>
          <w:sz w:val="20"/>
          <w:szCs w:val="20"/>
          <w:color w:val="auto"/>
        </w:rPr>
      </w:pPr>
      <w:r>
        <w:rPr>
          <w:rFonts w:ascii="Times New Roman" w:cs="Times New Roman" w:eastAsia="Times New Roman" w:hAnsi="Times New Roman"/>
          <w:sz w:val="20"/>
          <w:szCs w:val="20"/>
          <w:color w:val="auto"/>
        </w:rPr>
        <w:t>Total cash received from the exercise of stock options was approximately $1.8 million during the year ended December 31, 2023.</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Time-based Restricted Stock Units</w:t>
      </w:r>
    </w:p>
    <w:p>
      <w:pPr>
        <w:spacing w:after="0" w:line="139" w:lineRule="exact"/>
        <w:rPr>
          <w:sz w:val="20"/>
          <w:szCs w:val="20"/>
          <w:color w:val="auto"/>
        </w:rPr>
      </w:pPr>
    </w:p>
    <w:p>
      <w:pPr>
        <w:ind w:right="20" w:firstLine="630"/>
        <w:spacing w:after="0" w:line="258" w:lineRule="auto"/>
        <w:rPr>
          <w:sz w:val="20"/>
          <w:szCs w:val="20"/>
          <w:color w:val="auto"/>
        </w:rPr>
      </w:pPr>
      <w:r>
        <w:rPr>
          <w:rFonts w:ascii="Times New Roman" w:cs="Times New Roman" w:eastAsia="Times New Roman" w:hAnsi="Times New Roman"/>
          <w:sz w:val="20"/>
          <w:szCs w:val="20"/>
          <w:color w:val="auto"/>
        </w:rPr>
        <w:t>Each Restricted Stock Unit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 The RSUs do not entitle the participants to the rights of holders of common stock, such as voting rights, until the shares are issued.</w:t>
      </w:r>
    </w:p>
    <w:p>
      <w:pPr>
        <w:spacing w:after="0" w:line="200" w:lineRule="exact"/>
        <w:rPr>
          <w:sz w:val="20"/>
          <w:szCs w:val="20"/>
          <w:color w:val="auto"/>
        </w:rPr>
      </w:pP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7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restart"/>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43"/>
        </w:trPr>
        <w:tc>
          <w:tcPr>
            <w:tcW w:w="4700" w:type="dxa"/>
            <w:vAlign w:val="bottom"/>
          </w:tcPr>
          <w:p>
            <w:pPr>
              <w:spacing w:after="0"/>
              <w:rPr>
                <w:sz w:val="3"/>
                <w:szCs w:val="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vMerge w:val="restart"/>
          </w:tcPr>
          <w:p>
            <w:pPr>
              <w:jc w:val="center"/>
              <w:ind w:right="123"/>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0" w:type="dxa"/>
            <w:vAlign w:val="bottom"/>
          </w:tcPr>
          <w:p>
            <w:pPr>
              <w:spacing w:after="0"/>
              <w:rPr>
                <w:sz w:val="3"/>
                <w:szCs w:val="3"/>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47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center"/>
              <w:ind w:right="131"/>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60"/>
        </w:trPr>
        <w:tc>
          <w:tcPr>
            <w:tcW w:w="470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Restricted Stock</w:t>
            </w:r>
          </w:p>
        </w:tc>
        <w:tc>
          <w:tcPr>
            <w:tcW w:w="60" w:type="dxa"/>
            <w:vAlign w:val="bottom"/>
          </w:tcPr>
          <w:p>
            <w:pPr>
              <w:spacing w:after="0"/>
              <w:rPr>
                <w:sz w:val="13"/>
                <w:szCs w:val="13"/>
                <w:color w:val="auto"/>
              </w:rPr>
            </w:pPr>
          </w:p>
        </w:tc>
        <w:tc>
          <w:tcPr>
            <w:tcW w:w="13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60" w:type="dxa"/>
            <w:vAlign w:val="bottom"/>
          </w:tcPr>
          <w:p>
            <w:pPr>
              <w:spacing w:after="0"/>
              <w:rPr>
                <w:sz w:val="13"/>
                <w:szCs w:val="13"/>
                <w:color w:val="auto"/>
              </w:rPr>
            </w:pPr>
          </w:p>
        </w:tc>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Term</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center"/>
              <w:ind w:right="131"/>
              <w:spacing w:after="0" w:line="160" w:lineRule="exact"/>
              <w:rPr>
                <w:sz w:val="20"/>
                <w:szCs w:val="20"/>
                <w:color w:val="auto"/>
              </w:rPr>
            </w:pPr>
            <w:r>
              <w:rPr>
                <w:rFonts w:ascii="Times New Roman" w:cs="Times New Roman" w:eastAsia="Times New Roman" w:hAnsi="Times New Roman"/>
                <w:sz w:val="16"/>
                <w:szCs w:val="16"/>
                <w:b w:val="1"/>
                <w:bCs w:val="1"/>
                <w:color w:val="auto"/>
                <w:w w:val="98"/>
              </w:rPr>
              <w:t>Value (in</w:t>
            </w:r>
          </w:p>
        </w:tc>
        <w:tc>
          <w:tcPr>
            <w:tcW w:w="0" w:type="dxa"/>
            <w:vAlign w:val="bottom"/>
          </w:tcPr>
          <w:p>
            <w:pPr>
              <w:spacing w:after="0"/>
              <w:rPr>
                <w:sz w:val="1"/>
                <w:szCs w:val="1"/>
                <w:color w:val="auto"/>
              </w:rPr>
            </w:pPr>
          </w:p>
        </w:tc>
      </w:tr>
      <w:tr>
        <w:trPr>
          <w:trHeight w:val="214"/>
        </w:trPr>
        <w:tc>
          <w:tcPr>
            <w:tcW w:w="470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60" w:type="dxa"/>
            <w:vAlign w:val="bottom"/>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6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9"/>
              </w:rPr>
              <w:t>thousands)</w:t>
            </w:r>
          </w:p>
        </w:tc>
        <w:tc>
          <w:tcPr>
            <w:tcW w:w="0" w:type="dxa"/>
            <w:vAlign w:val="bottom"/>
          </w:tcPr>
          <w:p>
            <w:pPr>
              <w:spacing w:after="0"/>
              <w:rPr>
                <w:sz w:val="1"/>
                <w:szCs w:val="1"/>
                <w:color w:val="auto"/>
              </w:rPr>
            </w:pPr>
          </w:p>
        </w:tc>
      </w:tr>
      <w:tr>
        <w:trPr>
          <w:trHeight w:val="277"/>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January 1, 2023</w:t>
            </w:r>
          </w:p>
        </w:tc>
        <w:tc>
          <w:tcPr>
            <w:tcW w:w="132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1,028,843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26.14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31,884</w:t>
            </w:r>
          </w:p>
        </w:tc>
        <w:tc>
          <w:tcPr>
            <w:tcW w:w="0" w:type="dxa"/>
            <w:vAlign w:val="bottom"/>
          </w:tcPr>
          <w:p>
            <w:pPr>
              <w:spacing w:after="0"/>
              <w:rPr>
                <w:sz w:val="1"/>
                <w:szCs w:val="1"/>
                <w:color w:val="auto"/>
              </w:rPr>
            </w:pPr>
          </w:p>
        </w:tc>
      </w:tr>
      <w:tr>
        <w:trPr>
          <w:trHeight w:val="300"/>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32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568,574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22.02</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Released</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23.89</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Forfeitures and cancellations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(46,945)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21.87</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December 31, 2023</w:t>
            </w:r>
          </w:p>
        </w:tc>
        <w:tc>
          <w:tcPr>
            <w:tcW w:w="13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1,481,572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24.80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31,735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RSU expected to vest at December 31, 2023</w:t>
            </w:r>
          </w:p>
        </w:tc>
        <w:tc>
          <w:tcPr>
            <w:tcW w:w="132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1,481,572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24.80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-1156335</wp:posOffset>
            </wp:positionV>
            <wp:extent cx="6483350" cy="1177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5">
                      <a:extLst>
                        <a:ext uri="{28A0092B-C50C-407E-A947-70E740481C1C}"/>
                      </a:extLst>
                    </a:blip>
                    <a:srcRect/>
                    <a:stretch>
                      <a:fillRect/>
                    </a:stretch>
                  </pic:blipFill>
                  <pic:spPr bwMode="auto">
                    <a:xfrm>
                      <a:off x="0" y="0"/>
                      <a:ext cx="6483350" cy="1177925"/>
                    </a:xfrm>
                    <a:prstGeom prst="rect">
                      <a:avLst/>
                    </a:prstGeom>
                    <a:noFill/>
                  </pic:spPr>
                </pic:pic>
              </a:graphicData>
            </a:graphic>
          </wp:anchor>
        </w:drawing>
      </w:r>
    </w:p>
    <w:p>
      <w:pPr>
        <w:spacing w:after="0" w:line="2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139" w:lineRule="exact"/>
        <w:rPr>
          <w:sz w:val="20"/>
          <w:szCs w:val="20"/>
          <w:color w:val="auto"/>
        </w:rPr>
      </w:pPr>
    </w:p>
    <w:p>
      <w:pPr>
        <w:ind w:right="40" w:firstLine="630"/>
        <w:spacing w:after="0" w:line="258" w:lineRule="auto"/>
        <w:rPr>
          <w:sz w:val="20"/>
          <w:szCs w:val="20"/>
          <w:color w:val="auto"/>
        </w:rPr>
      </w:pPr>
      <w:r>
        <w:rPr>
          <w:rFonts w:ascii="Times New Roman" w:cs="Times New Roman" w:eastAsia="Times New Roman" w:hAnsi="Times New Roman"/>
          <w:sz w:val="20"/>
          <w:szCs w:val="20"/>
          <w:color w:val="auto"/>
        </w:rPr>
        <w:t>We recognize stock-based compensation expense for awards issued to employees and non-employees over the requisite service period based on the estimated grant-date fair value of such awards. 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 The</w:t>
      </w:r>
    </w:p>
    <w:p>
      <w:pPr>
        <w:sectPr>
          <w:pgSz w:w="12240" w:h="15840" w:orient="portrait"/>
          <w:cols w:equalWidth="0" w:num="1">
            <w:col w:w="10220"/>
          </w:cols>
          <w:pgMar w:left="1000" w:top="784" w:right="1020" w:bottom="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220"/>
          </w:cols>
          <w:pgMar w:left="1000" w:top="784" w:right="1020" w:bottom="0" w:gutter="0" w:footer="0" w:header="0"/>
          <w:type w:val="continuous"/>
        </w:sectPr>
      </w:pPr>
    </w:p>
    <w:bookmarkStart w:id="90" w:name="page91"/>
    <w:bookmarkEnd w:id="90"/>
    <w:p>
      <w:pPr>
        <w:ind w:right="580"/>
        <w:spacing w:after="0" w:line="281" w:lineRule="auto"/>
        <w:rPr>
          <w:sz w:val="20"/>
          <w:szCs w:val="20"/>
          <w:color w:val="auto"/>
        </w:rPr>
      </w:pPr>
      <w:r>
        <w:rPr>
          <w:rFonts w:ascii="Times New Roman" w:cs="Times New Roman" w:eastAsia="Times New Roman" w:hAnsi="Times New Roman"/>
          <w:sz w:val="20"/>
          <w:szCs w:val="20"/>
          <w:color w:val="auto"/>
        </w:rPr>
        <w:t>estimated fair values of stock option awards granted were determined on the date of grant using the Black-Scholes option valuation model with the following weighted-average assumptions:</w:t>
      </w:r>
    </w:p>
    <w:p>
      <w:pPr>
        <w:spacing w:after="0" w:line="87"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6"/>
          <w:szCs w:val="16"/>
          <w:b w:val="1"/>
          <w:bCs w:val="1"/>
          <w:color w:val="auto"/>
        </w:rPr>
        <w:t>Year Ended</w:t>
      </w:r>
    </w:p>
    <w:p>
      <w:pPr>
        <w:ind w:left="76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3813175</wp:posOffset>
                </wp:positionH>
                <wp:positionV relativeFrom="paragraph">
                  <wp:posOffset>13970</wp:posOffset>
                </wp:positionV>
                <wp:extent cx="269557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9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25pt,1.1pt" to="512.5pt,1.1pt" o:allowincell="f" strokecolor="#000000" strokeweight="1pt"/>
            </w:pict>
          </mc:Fallback>
        </mc:AlternateConten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8"/>
                <w:szCs w:val="18"/>
                <w:color w:val="auto"/>
              </w:rPr>
            </w:pPr>
          </w:p>
        </w:tc>
        <w:tc>
          <w:tcPr>
            <w:tcW w:w="13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13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2"/>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3.8 %</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0.7 %</w:t>
            </w:r>
          </w:p>
        </w:tc>
      </w:tr>
      <w:tr>
        <w:trPr>
          <w:trHeight w:val="285"/>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85.7 %</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87.4 %</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92.9 %</w:t>
            </w:r>
          </w:p>
        </w:tc>
      </w:tr>
      <w:tr>
        <w:trPr>
          <w:trHeight w:val="285"/>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1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85"/>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(in years)</w:t>
            </w:r>
          </w:p>
        </w:tc>
        <w:tc>
          <w:tcPr>
            <w:tcW w:w="1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w:t>
            </w:r>
          </w:p>
        </w:tc>
      </w:tr>
      <w:tr>
        <w:trPr>
          <w:trHeight w:val="285"/>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grant date fair value per share</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16.06</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21.58</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-908685</wp:posOffset>
            </wp:positionV>
            <wp:extent cx="6540500" cy="2063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6">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-546735</wp:posOffset>
            </wp:positionV>
            <wp:extent cx="6540500" cy="2063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-184785</wp:posOffset>
            </wp:positionV>
            <wp:extent cx="6540500" cy="2063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8">
                      <a:extLst>
                        <a:ext uri="{28A0092B-C50C-407E-A947-70E740481C1C}"/>
                      </a:extLst>
                    </a:blip>
                    <a:srcRect/>
                    <a:stretch>
                      <a:fillRect/>
                    </a:stretch>
                  </pic:blipFill>
                  <pic:spPr bwMode="auto">
                    <a:xfrm>
                      <a:off x="0" y="0"/>
                      <a:ext cx="6540500" cy="206375"/>
                    </a:xfrm>
                    <a:prstGeom prst="rect">
                      <a:avLst/>
                    </a:prstGeom>
                    <a:noFill/>
                  </pic:spPr>
                </pic:pic>
              </a:graphicData>
            </a:graphic>
          </wp:anchor>
        </w:drawing>
      </w:r>
    </w:p>
    <w:p>
      <w:pPr>
        <w:spacing w:after="0" w:line="271" w:lineRule="exact"/>
        <w:rPr>
          <w:sz w:val="20"/>
          <w:szCs w:val="20"/>
          <w:color w:val="auto"/>
        </w:rPr>
      </w:pPr>
    </w:p>
    <w:p>
      <w:pPr>
        <w:ind w:right="60" w:firstLine="495"/>
        <w:spacing w:after="0" w:line="255" w:lineRule="auto"/>
        <w:rPr>
          <w:sz w:val="20"/>
          <w:szCs w:val="20"/>
          <w:color w:val="auto"/>
        </w:rPr>
      </w:pPr>
      <w:r>
        <w:rPr>
          <w:rFonts w:ascii="Times New Roman" w:cs="Times New Roman" w:eastAsia="Times New Roman" w:hAnsi="Times New Roman"/>
          <w:sz w:val="20"/>
          <w:szCs w:val="20"/>
          <w:color w:val="auto"/>
        </w:rPr>
        <w:t>We determine the appropriate risk-free interest rate, expected term for employee stock-based awards, contractual term for non-employee stock-based awards, and volatility assumptions. The weighted-average expected option term for employee and non-employee stock-based awards reflects the historical option term for 2023 and the simplified life method for 2022 and 2021, which defines the life as the average of the contractual term of the options and the weighted-average vesting period for all option tranches. Expected volatility incorporates the historical volatility of our stock price.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spacing w:after="0" w:line="90" w:lineRule="exact"/>
        <w:rPr>
          <w:sz w:val="20"/>
          <w:szCs w:val="20"/>
          <w:color w:val="auto"/>
        </w:rPr>
      </w:pPr>
    </w:p>
    <w:p>
      <w:pPr>
        <w:ind w:right="20" w:firstLine="495"/>
        <w:spacing w:after="0" w:line="281" w:lineRule="auto"/>
        <w:rPr>
          <w:sz w:val="20"/>
          <w:szCs w:val="20"/>
          <w:color w:val="auto"/>
        </w:rPr>
      </w:pPr>
      <w:r>
        <w:rPr>
          <w:rFonts w:ascii="Times New Roman" w:cs="Times New Roman" w:eastAsia="Times New Roman" w:hAnsi="Times New Roman"/>
          <w:sz w:val="20"/>
          <w:szCs w:val="20"/>
          <w:color w:val="auto"/>
        </w:rPr>
        <w:t>Total non-cash stock-based compensation expense for all stock awards that was recognized in the consolidated statements of operations and comprehensive loss is as follows: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4"/>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20"/>
        </w:trPr>
        <w:tc>
          <w:tcPr>
            <w:tcW w:w="6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2"/>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10,159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6,775</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5,856</w:t>
            </w:r>
          </w:p>
        </w:tc>
      </w:tr>
      <w:tr>
        <w:trPr>
          <w:trHeight w:val="288"/>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23,046</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20,581</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9,491</w:t>
            </w:r>
          </w:p>
        </w:tc>
      </w:tr>
      <w:tr>
        <w:trPr>
          <w:trHeight w:val="245"/>
        </w:trPr>
        <w:tc>
          <w:tcPr>
            <w:tcW w:w="61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33,205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27,356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15,347</w:t>
            </w: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530975" cy="2063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9">
                      <a:extLst>
                        <a:ext uri="{28A0092B-C50C-407E-A947-70E740481C1C}"/>
                      </a:extLst>
                    </a:blip>
                    <a:srcRect/>
                    <a:stretch>
                      <a:fillRect/>
                    </a:stretch>
                  </pic:blipFill>
                  <pic:spPr bwMode="auto">
                    <a:xfrm>
                      <a:off x="0" y="0"/>
                      <a:ext cx="6530975"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-212090</wp:posOffset>
            </wp:positionV>
            <wp:extent cx="6543675" cy="2317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0">
                      <a:extLst>
                        <a:ext uri="{28A0092B-C50C-407E-A947-70E740481C1C}"/>
                      </a:extLst>
                    </a:blip>
                    <a:srcRect/>
                    <a:stretch>
                      <a:fillRect/>
                    </a:stretch>
                  </pic:blipFill>
                  <pic:spPr bwMode="auto">
                    <a:xfrm>
                      <a:off x="0" y="0"/>
                      <a:ext cx="6543675" cy="231775"/>
                    </a:xfrm>
                    <a:prstGeom prst="rect">
                      <a:avLst/>
                    </a:prstGeom>
                    <a:noFill/>
                  </pic:spPr>
                </pic:pic>
              </a:graphicData>
            </a:graphic>
          </wp:anchor>
        </w:drawing>
      </w:r>
    </w:p>
    <w:p>
      <w:pPr>
        <w:spacing w:after="0" w:line="108" w:lineRule="exact"/>
        <w:rPr>
          <w:sz w:val="20"/>
          <w:szCs w:val="20"/>
          <w:color w:val="auto"/>
        </w:rPr>
      </w:pPr>
    </w:p>
    <w:p>
      <w:pPr>
        <w:ind w:right="120" w:firstLine="495"/>
        <w:spacing w:after="0" w:line="254" w:lineRule="auto"/>
        <w:rPr>
          <w:sz w:val="20"/>
          <w:szCs w:val="20"/>
          <w:color w:val="auto"/>
        </w:rPr>
      </w:pPr>
      <w:r>
        <w:rPr>
          <w:rFonts w:ascii="Times New Roman" w:cs="Times New Roman" w:eastAsia="Times New Roman" w:hAnsi="Times New Roman"/>
          <w:sz w:val="20"/>
          <w:szCs w:val="20"/>
          <w:color w:val="auto"/>
        </w:rPr>
        <w:t>On March 20, 2022, our then Chief Executive Officer (“former CEO”), resigned by mutual agreement with the Board of Directors. In connection with his separation agreement, we modified certain equity awards and recognized approximately $3.2 million in non-cash stock-based compensation expense. Given the former CEO had substantially rendered the required services per his separation agreement, we recorded the full expense related to the modification in the period ending March 31, 2022. Additionally, on March 21, 2022, we awarded our newly appointed Interim President and Chief Executive Officer RSUs for 887,043 shares of the Company’s common stock. The fair value of the award will be recognized as part of compensation cost, occurring ratably over the stated 24-month requisite service period. During the year ended December 31, 2023, we recognized $11.7 million and $9.2 million during the year ended December 31, 2022 of non-cash stock-based compensation cost related to the award.</w:t>
      </w:r>
    </w:p>
    <w:p>
      <w:pPr>
        <w:spacing w:after="0" w:line="209" w:lineRule="exact"/>
        <w:rPr>
          <w:sz w:val="20"/>
          <w:szCs w:val="20"/>
          <w:color w:val="auto"/>
        </w:rPr>
      </w:pPr>
    </w:p>
    <w:p>
      <w:pPr>
        <w:ind w:right="60" w:firstLine="495"/>
        <w:spacing w:after="0" w:line="258" w:lineRule="auto"/>
        <w:rPr>
          <w:sz w:val="20"/>
          <w:szCs w:val="20"/>
          <w:color w:val="auto"/>
        </w:rPr>
      </w:pPr>
      <w:r>
        <w:rPr>
          <w:rFonts w:ascii="Times New Roman" w:cs="Times New Roman" w:eastAsia="Times New Roman" w:hAnsi="Times New Roman"/>
          <w:sz w:val="20"/>
          <w:szCs w:val="20"/>
          <w:color w:val="auto"/>
        </w:rPr>
        <w:t>At December 31, 2023, there was $31.6 million of unrecognized compensation cost related to unvested stock option awards, which is expected to be recognized over a remaining weighted average vesting period of 2.67 years, $12.2 million of unrecognized cost related to unvested RSU awards, which is expected to be recognized over a period of 1.23 years, and $0.2 million of unrecognized compensation cost related to the ESPP, which is expected to be recognized over a remaining weighted-average vesting period of 0.37 years.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Employee Benefit Plan</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We have a defined contribution 401(k) plan available to eligible employees. Employee contributions are voluntary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are determined on an individual basis, limited to the maximum amount allowable under U.S. federal tax regulations. We elected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match 100% of an employee’s contributions up to 10% of the employees’ eligible salary with a maximum limit of $22,500 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2023, 100% of an employee’s contribution up to 6% of the employees’ salary with a maximum limit of $11,000 in 2022,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$8,000 in 2021. For the years ended December 31, 2023, 2022, and 2021, we incurred approximately $1.6 million, $1.0 million,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$0.6 million, respectively of costs related to the 401(k) plan.</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260"/>
          </w:cols>
          <w:pgMar w:left="1000" w:top="793" w:right="980" w:bottom="0" w:gutter="0" w:footer="0" w:header="0"/>
          <w:type w:val="continuous"/>
        </w:sectPr>
      </w:pPr>
    </w:p>
    <w:bookmarkStart w:id="91" w:name="page92"/>
    <w:bookmarkEnd w:id="91"/>
    <w:p>
      <w:pPr>
        <w:ind w:left="310" w:right="7140" w:hanging="310"/>
        <w:spacing w:after="0" w:line="379" w:lineRule="auto"/>
        <w:tabs>
          <w:tab w:leader="none" w:pos="295"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Commitments and Contingencies </w:t>
      </w:r>
      <w:r>
        <w:rPr>
          <w:rFonts w:ascii="Times New Roman" w:cs="Times New Roman" w:eastAsia="Times New Roman" w:hAnsi="Times New Roman"/>
          <w:sz w:val="20"/>
          <w:szCs w:val="20"/>
          <w:b w:val="1"/>
          <w:bCs w:val="1"/>
          <w:i w:val="1"/>
          <w:iCs w:val="1"/>
          <w:color w:val="auto"/>
        </w:rPr>
        <w:t>Operating Leases</w:t>
      </w:r>
    </w:p>
    <w:p>
      <w:pPr>
        <w:spacing w:after="0" w:line="1" w:lineRule="exact"/>
        <w:rPr>
          <w:sz w:val="20"/>
          <w:szCs w:val="20"/>
          <w:color w:val="auto"/>
        </w:rPr>
      </w:pPr>
    </w:p>
    <w:p>
      <w:pPr>
        <w:ind w:left="10" w:right="40" w:firstLine="540"/>
        <w:spacing w:after="0" w:line="253" w:lineRule="auto"/>
        <w:rPr>
          <w:sz w:val="20"/>
          <w:szCs w:val="20"/>
          <w:color w:val="auto"/>
        </w:rPr>
      </w:pPr>
      <w:r>
        <w:rPr>
          <w:rFonts w:ascii="Times New Roman" w:cs="Times New Roman" w:eastAsia="Times New Roman" w:hAnsi="Times New Roman"/>
          <w:sz w:val="20"/>
          <w:szCs w:val="20"/>
          <w:color w:val="auto"/>
        </w:rPr>
        <w:t>On May 4, 2020, we entered into a lease agreement with Wateridge Property Owner, LP, with respect to facilities in the building at 10770 Wateridge Circle, San Diego, California 92121 (the “Lease Agreement”). Under the Lease Agreement, we agreed to lease approximately 45,000 square feet of space for a term of 124 months, beginning on April 5, 2021. The terms of the Lease Agreement provide us with an option to extend the term of the lease for an additional five years, as well as a one-time option to terminate the lease after seven years with the payment of a termination fee. The exercise of the lease option is at our sole discretion, which we currently do not anticipate exercising and as such was not recognized as part of the ROU asset and lease liability. The monthly base rent was initially $4.20 per rentable square foot and is increased by 3% annually. Under the Lease Agreement, we are also responsible for our pro rata share of real estate taxes, building insurance, maintenance, direct expenses, and utilities. Upon lease commencement, on April 5, 2021, we recognized an ROU asset of $20.6 million, with a corresponding lease liability of $20.7 million on the consolidated balance sheets. The ROU asset includes adjustments for prepayments, initial direct costs, and lease incentives. As of December 31, 2023, we have recorded $0.3 million as a security deposit in accordance with the terms of the Lease Agreement.</w:t>
      </w:r>
    </w:p>
    <w:p>
      <w:pPr>
        <w:spacing w:after="0" w:line="91" w:lineRule="exact"/>
        <w:rPr>
          <w:sz w:val="20"/>
          <w:szCs w:val="20"/>
          <w:color w:val="auto"/>
        </w:rPr>
      </w:pPr>
    </w:p>
    <w:p>
      <w:pPr>
        <w:ind w:left="10" w:right="120" w:firstLine="590"/>
        <w:spacing w:after="0" w:line="275" w:lineRule="auto"/>
        <w:rPr>
          <w:sz w:val="20"/>
          <w:szCs w:val="20"/>
          <w:color w:val="auto"/>
        </w:rPr>
      </w:pPr>
      <w:r>
        <w:rPr>
          <w:rFonts w:ascii="Times New Roman" w:cs="Times New Roman" w:eastAsia="Times New Roman" w:hAnsi="Times New Roman"/>
          <w:sz w:val="19"/>
          <w:szCs w:val="19"/>
          <w:color w:val="auto"/>
        </w:rPr>
        <w:t>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 does not provide an implicit rate, we used our incremental borrowing rate based on the information available at the lease commencement date in determining the present value of future payments. The weighted-average discount rate used was 4.0% and the weighted-average remaining lease term is approximately 7.7 years.</w:t>
      </w:r>
    </w:p>
    <w:p>
      <w:pPr>
        <w:spacing w:after="0" w:line="188"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non-cancellable office lease costs are included in our consolidated statements of cash flow (in thousands):</w:t>
      </w:r>
    </w:p>
    <w:p>
      <w:pPr>
        <w:sectPr>
          <w:pgSz w:w="12240" w:h="15840" w:orient="portrait"/>
          <w:cols w:equalWidth="0" w:num="1">
            <w:col w:w="10270"/>
          </w:cols>
          <w:pgMar w:left="99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34"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Operating lease cost</w:t>
      </w:r>
    </w:p>
    <w:p>
      <w:pPr>
        <w:spacing w:after="0" w:line="131"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60" w:type="dxa"/>
            <w:vAlign w:val="bottom"/>
            <w:tcBorders>
              <w:bottom w:val="single" w:sz="8" w:color="auto"/>
            </w:tcBorders>
          </w:tcPr>
          <w:p>
            <w:pPr>
              <w:spacing w:after="0"/>
              <w:rPr>
                <w:sz w:val="18"/>
                <w:szCs w:val="18"/>
                <w:color w:val="auto"/>
              </w:rPr>
            </w:pPr>
          </w:p>
        </w:tc>
      </w:tr>
      <w:tr>
        <w:trPr>
          <w:trHeight w:val="505"/>
        </w:trPr>
        <w:tc>
          <w:tcPr>
            <w:tcW w:w="2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Classification on the Cash Flow</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77"/>
        </w:trPr>
        <w:tc>
          <w:tcPr>
            <w:tcW w:w="24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Operating</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2,478</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2,213</w:t>
            </w:r>
          </w:p>
        </w:tc>
      </w:tr>
      <w:tr>
        <w:trPr>
          <w:trHeight w:val="525"/>
        </w:trPr>
        <w:tc>
          <w:tcPr>
            <w:tcW w:w="24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Operating</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705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-2812415</wp:posOffset>
            </wp:positionH>
            <wp:positionV relativeFrom="paragraph">
              <wp:posOffset>-527685</wp:posOffset>
            </wp:positionV>
            <wp:extent cx="6540500" cy="215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1">
                      <a:extLst>
                        <a:ext uri="{28A0092B-C50C-407E-A947-70E740481C1C}"/>
                      </a:extLst>
                    </a:blip>
                    <a:srcRect/>
                    <a:stretch>
                      <a:fillRect/>
                    </a:stretch>
                  </pic:blipFill>
                  <pic:spPr bwMode="auto">
                    <a:xfrm>
                      <a:off x="0" y="0"/>
                      <a:ext cx="6540500" cy="21590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4210" w:space="200"/>
            <w:col w:w="5860"/>
          </w:cols>
          <w:pgMar w:left="990" w:top="786" w:right="980" w:bottom="0" w:gutter="0" w:footer="0" w:header="0"/>
          <w:type w:val="continuous"/>
        </w:sectPr>
      </w:pPr>
    </w:p>
    <w:p>
      <w:pPr>
        <w:spacing w:after="0" w:line="91" w:lineRule="exact"/>
        <w:rPr>
          <w:sz w:val="20"/>
          <w:szCs w:val="20"/>
          <w:color w:val="auto"/>
        </w:rPr>
      </w:pPr>
    </w:p>
    <w:p>
      <w:pPr>
        <w:ind w:left="10" w:right="580" w:firstLine="540"/>
        <w:spacing w:after="0" w:line="281" w:lineRule="auto"/>
        <w:rPr>
          <w:sz w:val="20"/>
          <w:szCs w:val="20"/>
          <w:color w:val="auto"/>
        </w:rPr>
      </w:pPr>
      <w:r>
        <w:rPr>
          <w:rFonts w:ascii="Times New Roman" w:cs="Times New Roman" w:eastAsia="Times New Roman" w:hAnsi="Times New Roman"/>
          <w:sz w:val="20"/>
          <w:szCs w:val="20"/>
          <w:color w:val="auto"/>
        </w:rPr>
        <w:t>At December 31, 2023, the future minimum annual obligations for the Company’s operating lease liabilities are as follows:</w:t>
      </w:r>
    </w:p>
    <w:p>
      <w:pPr>
        <w:spacing w:after="0" w:line="176" w:lineRule="exact"/>
        <w:rPr>
          <w:sz w:val="20"/>
          <w:szCs w:val="20"/>
          <w:color w:val="auto"/>
        </w:rPr>
      </w:pPr>
    </w:p>
    <w:tbl>
      <w:tblPr>
        <w:tblLayout w:type="fixed"/>
        <w:tblInd w:w="70" w:type="dxa"/>
        <w:tblCellMar>
          <w:top w:w="0" w:type="dxa"/>
          <w:left w:w="0" w:type="dxa"/>
          <w:bottom w:w="0" w:type="dxa"/>
          <w:right w:w="0" w:type="dxa"/>
        </w:tblCellMar>
      </w:tblPr>
      <w:tr>
        <w:trPr>
          <w:trHeight w:val="211"/>
        </w:trPr>
        <w:tc>
          <w:tcPr>
            <w:tcW w:w="8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 (in thousands)</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03"/>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54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2,457</w:t>
            </w:r>
          </w:p>
        </w:tc>
      </w:tr>
      <w:tr>
        <w:trPr>
          <w:trHeight w:val="30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5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2,531</w:t>
            </w:r>
          </w:p>
        </w:tc>
      </w:tr>
      <w:tr>
        <w:trPr>
          <w:trHeight w:val="30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5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2,607</w:t>
            </w:r>
          </w:p>
        </w:tc>
      </w:tr>
      <w:tr>
        <w:trPr>
          <w:trHeight w:val="30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5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2,685</w:t>
            </w:r>
          </w:p>
        </w:tc>
      </w:tr>
      <w:tr>
        <w:trPr>
          <w:trHeight w:val="30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5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2,766</w:t>
            </w:r>
          </w:p>
        </w:tc>
      </w:tr>
      <w:tr>
        <w:trPr>
          <w:trHeight w:val="303"/>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7,788</w:t>
            </w:r>
          </w:p>
        </w:tc>
      </w:tr>
      <w:tr>
        <w:trPr>
          <w:trHeight w:val="277"/>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Total minimum payments required</w:t>
            </w:r>
          </w:p>
        </w:tc>
        <w:tc>
          <w:tcPr>
            <w:tcW w:w="54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20,834</w:t>
            </w:r>
          </w:p>
        </w:tc>
      </w:tr>
      <w:tr>
        <w:trPr>
          <w:trHeight w:val="303"/>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(3,020)</w:t>
            </w:r>
          </w:p>
        </w:tc>
      </w:tr>
      <w:tr>
        <w:trPr>
          <w:trHeight w:val="26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5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17,814</w:t>
            </w:r>
          </w:p>
        </w:tc>
      </w:tr>
      <w:tr>
        <w:trPr>
          <w:trHeight w:val="20"/>
        </w:trPr>
        <w:tc>
          <w:tcPr>
            <w:tcW w:w="8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-1745615</wp:posOffset>
            </wp:positionV>
            <wp:extent cx="6534150" cy="17653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2">
                      <a:extLst>
                        <a:ext uri="{28A0092B-C50C-407E-A947-70E740481C1C}"/>
                      </a:extLst>
                    </a:blip>
                    <a:srcRect/>
                    <a:stretch>
                      <a:fillRect/>
                    </a:stretch>
                  </pic:blipFill>
                  <pic:spPr bwMode="auto">
                    <a:xfrm>
                      <a:off x="0" y="0"/>
                      <a:ext cx="6534150" cy="1765300"/>
                    </a:xfrm>
                    <a:prstGeom prst="rect">
                      <a:avLst/>
                    </a:prstGeom>
                    <a:noFill/>
                  </pic:spPr>
                </pic:pic>
              </a:graphicData>
            </a:graphic>
          </wp:anchor>
        </w:drawing>
      </w:r>
    </w:p>
    <w:p>
      <w:pPr>
        <w:spacing w:after="0" w:line="219" w:lineRule="exact"/>
        <w:rPr>
          <w:sz w:val="20"/>
          <w:szCs w:val="20"/>
          <w:color w:val="auto"/>
        </w:rPr>
      </w:pPr>
    </w:p>
    <w:p>
      <w:pPr>
        <w:ind w:left="310"/>
        <w:spacing w:after="0"/>
        <w:rPr>
          <w:sz w:val="20"/>
          <w:szCs w:val="20"/>
          <w:color w:val="auto"/>
        </w:rPr>
      </w:pPr>
      <w:r>
        <w:rPr>
          <w:rFonts w:ascii="Times New Roman" w:cs="Times New Roman" w:eastAsia="Times New Roman" w:hAnsi="Times New Roman"/>
          <w:sz w:val="20"/>
          <w:szCs w:val="20"/>
          <w:b w:val="1"/>
          <w:bCs w:val="1"/>
          <w:i w:val="1"/>
          <w:iCs w:val="1"/>
          <w:color w:val="auto"/>
        </w:rPr>
        <w:t>Other Commitments and Contingencies</w:t>
      </w:r>
    </w:p>
    <w:p>
      <w:pPr>
        <w:spacing w:after="0" w:line="139" w:lineRule="exact"/>
        <w:rPr>
          <w:sz w:val="20"/>
          <w:szCs w:val="20"/>
          <w:color w:val="auto"/>
        </w:rPr>
      </w:pPr>
    </w:p>
    <w:p>
      <w:pPr>
        <w:ind w:left="10" w:right="20" w:firstLine="630"/>
        <w:spacing w:after="0" w:line="256" w:lineRule="auto"/>
        <w:rPr>
          <w:sz w:val="20"/>
          <w:szCs w:val="20"/>
          <w:color w:val="auto"/>
        </w:rPr>
      </w:pPr>
      <w:r>
        <w:rPr>
          <w:rFonts w:ascii="Times New Roman" w:cs="Times New Roman" w:eastAsia="Times New Roman" w:hAnsi="Times New Roman"/>
          <w:sz w:val="20"/>
          <w:szCs w:val="20"/>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w:t>
      </w:r>
    </w:p>
    <w:p>
      <w:pPr>
        <w:sectPr>
          <w:pgSz w:w="12240" w:h="15840" w:orient="portrait"/>
          <w:cols w:equalWidth="0" w:num="1">
            <w:col w:w="10270"/>
          </w:cols>
          <w:pgMar w:left="990" w:top="786"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270"/>
          </w:cols>
          <w:pgMar w:left="990" w:top="786" w:right="980" w:bottom="0" w:gutter="0" w:footer="0" w:header="0"/>
          <w:type w:val="continuous"/>
        </w:sectPr>
      </w:pPr>
    </w:p>
    <w:bookmarkStart w:id="92" w:name="page93"/>
    <w:bookmarkEnd w:id="92"/>
    <w:p>
      <w:pPr>
        <w:ind w:left="300"/>
        <w:spacing w:after="0"/>
        <w:rPr>
          <w:sz w:val="20"/>
          <w:szCs w:val="20"/>
          <w:color w:val="auto"/>
        </w:rPr>
      </w:pPr>
      <w:r>
        <w:rPr>
          <w:rFonts w:ascii="Times New Roman" w:cs="Times New Roman" w:eastAsia="Times New Roman" w:hAnsi="Times New Roman"/>
          <w:sz w:val="20"/>
          <w:szCs w:val="20"/>
          <w:b w:val="1"/>
          <w:bCs w:val="1"/>
          <w:i w:val="1"/>
          <w:iCs w:val="1"/>
          <w:color w:val="auto"/>
        </w:rPr>
        <w:t>Guarantees and Indemnifications</w:t>
      </w:r>
    </w:p>
    <w:p>
      <w:pPr>
        <w:spacing w:after="0" w:line="139" w:lineRule="exact"/>
        <w:rPr>
          <w:sz w:val="20"/>
          <w:szCs w:val="20"/>
          <w:color w:val="auto"/>
        </w:rPr>
      </w:pPr>
    </w:p>
    <w:p>
      <w:pPr>
        <w:ind w:right="160" w:firstLine="630"/>
        <w:spacing w:after="0" w:line="255" w:lineRule="auto"/>
        <w:rPr>
          <w:sz w:val="20"/>
          <w:szCs w:val="20"/>
          <w:color w:val="auto"/>
        </w:rPr>
      </w:pPr>
      <w:r>
        <w:rPr>
          <w:rFonts w:ascii="Times New Roman" w:cs="Times New Roman" w:eastAsia="Times New Roman" w:hAnsi="Times New Roman"/>
          <w:sz w:val="20"/>
          <w:szCs w:val="20"/>
          <w:color w:val="auto"/>
        </w:rPr>
        <w:t>We enter into standard indemnification arrangements in the ordinary course of business. Pursuant to certain of these arrangements, we indemnify, hold harmless, and agree to reimburse the indemnified parties for losses suffered or incurred by the indemnified party for third-party claims in connection with our breach of the agreement, our negligence or willful misconduct in connection with the agreement, or any trade secret, copyright, patent or other intellectual property infringement claim with respect to our technology. The term of these indemnification arrangements is generally perpetual. The maximum potential amount of future payments we could be required to make under these agreements is not determinable because it involves claims that may be made against us in the future, but have not yet been made.</w:t>
      </w:r>
    </w:p>
    <w:p>
      <w:pPr>
        <w:spacing w:after="0" w:line="90" w:lineRule="exact"/>
        <w:rPr>
          <w:sz w:val="20"/>
          <w:szCs w:val="20"/>
          <w:color w:val="auto"/>
        </w:rPr>
      </w:pPr>
    </w:p>
    <w:p>
      <w:pPr>
        <w:ind w:right="40" w:firstLine="630"/>
        <w:spacing w:after="0" w:line="258" w:lineRule="auto"/>
        <w:rPr>
          <w:sz w:val="20"/>
          <w:szCs w:val="20"/>
          <w:color w:val="auto"/>
        </w:rPr>
      </w:pPr>
      <w:r>
        <w:rPr>
          <w:rFonts w:ascii="Times New Roman" w:cs="Times New Roman" w:eastAsia="Times New Roman" w:hAnsi="Times New Roman"/>
          <w:sz w:val="20"/>
          <w:szCs w:val="20"/>
          <w:color w:val="auto"/>
        </w:rPr>
        <w:t>We indemnify our officers and directors for certain events or occurrences, subject to certain limits, while the officer or director is or was serving in such capacity, as permitted under Delaware law, in accordance with our certificate of incorporation and bylaws, and pursuant to agreements providing for indemnification entered into with our officers and directors. The term of the indemnification period lasts as long as an officer or director may be subject to any proceeding arising out of acts or omissions of such officer or director in such capacity.</w:t>
      </w:r>
    </w:p>
    <w:p>
      <w:pPr>
        <w:spacing w:after="0" w:line="84" w:lineRule="exact"/>
        <w:rPr>
          <w:sz w:val="20"/>
          <w:szCs w:val="20"/>
          <w:color w:val="auto"/>
        </w:rPr>
      </w:pPr>
    </w:p>
    <w:p>
      <w:pPr>
        <w:ind w:right="140" w:firstLine="630"/>
        <w:spacing w:after="0" w:line="266" w:lineRule="auto"/>
        <w:rPr>
          <w:sz w:val="20"/>
          <w:szCs w:val="20"/>
          <w:color w:val="auto"/>
        </w:rPr>
      </w:pPr>
      <w:r>
        <w:rPr>
          <w:rFonts w:ascii="Times New Roman" w:cs="Times New Roman" w:eastAsia="Times New Roman" w:hAnsi="Times New Roman"/>
          <w:sz w:val="20"/>
          <w:szCs w:val="20"/>
          <w:color w:val="auto"/>
        </w:rPr>
        <w:t>The maximum amount of potential future indemnification of directors and officers is unlimited; however, we currently hold director and officer liability insurance. This insurance allows the transfer of risk associated with our exposure and may enable us to recover a portion of any future amounts paid.</w:t>
      </w:r>
    </w:p>
    <w:p>
      <w:pPr>
        <w:spacing w:after="0" w:line="75" w:lineRule="exact"/>
        <w:rPr>
          <w:sz w:val="20"/>
          <w:szCs w:val="20"/>
          <w:color w:val="auto"/>
        </w:rPr>
      </w:pPr>
    </w:p>
    <w:p>
      <w:pPr>
        <w:ind w:firstLine="630"/>
        <w:spacing w:after="0" w:line="281" w:lineRule="auto"/>
        <w:rPr>
          <w:sz w:val="20"/>
          <w:szCs w:val="20"/>
          <w:color w:val="auto"/>
        </w:rPr>
      </w:pPr>
      <w:r>
        <w:rPr>
          <w:rFonts w:ascii="Times New Roman" w:cs="Times New Roman" w:eastAsia="Times New Roman" w:hAnsi="Times New Roman"/>
          <w:sz w:val="20"/>
          <w:szCs w:val="20"/>
          <w:color w:val="auto"/>
        </w:rPr>
        <w:t>We believe that the fair value of these indemnification obligations is minimal. Accordingly, we have not recognized any liabilities relating to these obligations for any period presented.</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11. Income Taxes</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components of loss before income tax provision consist of the following:</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20"/>
        </w:trPr>
        <w:tc>
          <w:tcPr>
            <w:tcW w:w="6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2"/>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U.S.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(163,580)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(128,650)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(57,741)</w:t>
            </w:r>
          </w:p>
        </w:tc>
      </w:tr>
      <w:tr>
        <w:trPr>
          <w:trHeight w:val="288"/>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4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net loss before income taxes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(163,623)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(128,700)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(57,796)</w:t>
            </w: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543675" cy="5937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3">
                      <a:extLst>
                        <a:ext uri="{28A0092B-C50C-407E-A947-70E740481C1C}"/>
                      </a:extLst>
                    </a:blip>
                    <a:srcRect/>
                    <a:stretch>
                      <a:fillRect/>
                    </a:stretch>
                  </pic:blipFill>
                  <pic:spPr bwMode="auto">
                    <a:xfrm>
                      <a:off x="0" y="0"/>
                      <a:ext cx="6543675" cy="593725"/>
                    </a:xfrm>
                    <a:prstGeom prst="rect">
                      <a:avLst/>
                    </a:prstGeom>
                    <a:noFill/>
                  </pic:spPr>
                </pic:pic>
              </a:graphicData>
            </a:graphic>
          </wp:anchor>
        </w:drawing>
      </w:r>
    </w:p>
    <w:p>
      <w:pPr>
        <w:spacing w:after="0" w:line="348" w:lineRule="exact"/>
        <w:rPr>
          <w:sz w:val="20"/>
          <w:szCs w:val="20"/>
          <w:color w:val="auto"/>
        </w:rPr>
      </w:pPr>
    </w:p>
    <w:p>
      <w:pPr>
        <w:jc w:val="both"/>
        <w:ind w:right="420" w:firstLine="630"/>
        <w:spacing w:after="0" w:line="266" w:lineRule="auto"/>
        <w:rPr>
          <w:sz w:val="20"/>
          <w:szCs w:val="20"/>
          <w:color w:val="auto"/>
        </w:rPr>
      </w:pPr>
      <w:r>
        <w:rPr>
          <w:rFonts w:ascii="Times New Roman" w:cs="Times New Roman" w:eastAsia="Times New Roman" w:hAnsi="Times New Roman"/>
          <w:sz w:val="20"/>
          <w:szCs w:val="20"/>
          <w:color w:val="auto"/>
        </w:rPr>
        <w:t>For the years ended December 31, 2023 and 2022, we recognized an income tax benefit of $4,000 and income tax provision of $24,000, respectively, related to state income taxes. For the year ended December 31, 2021, we recognized no benefit or provision for income taxes.</w:t>
      </w:r>
    </w:p>
    <w:p>
      <w:pPr>
        <w:sectPr>
          <w:pgSz w:w="12240" w:h="15840" w:orient="portrait"/>
          <w:cols w:equalWidth="0" w:num="1">
            <w:col w:w="10240"/>
          </w:cols>
          <w:pgMar w:left="1000" w:top="78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240"/>
          </w:cols>
          <w:pgMar w:left="1000" w:top="784" w:right="1000" w:bottom="0" w:gutter="0" w:footer="0" w:header="0"/>
          <w:type w:val="continuous"/>
        </w:sectPr>
      </w:pPr>
    </w:p>
    <w:bookmarkStart w:id="93" w:name="page94"/>
    <w:bookmarkEnd w:id="93"/>
    <w:p>
      <w:pPr>
        <w:ind w:left="620"/>
        <w:spacing w:after="0"/>
        <w:rPr>
          <w:sz w:val="20"/>
          <w:szCs w:val="20"/>
          <w:color w:val="auto"/>
        </w:rPr>
      </w:pPr>
      <w:r>
        <w:rPr>
          <w:rFonts w:ascii="Times New Roman" w:cs="Times New Roman" w:eastAsia="Times New Roman" w:hAnsi="Times New Roman"/>
          <w:sz w:val="20"/>
          <w:szCs w:val="20"/>
          <w:color w:val="auto"/>
        </w:rPr>
        <w:t>Significant components of our deferred tax assets and liabilities are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220"/>
        </w:trPr>
        <w:tc>
          <w:tcPr>
            <w:tcW w:w="7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1"/>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06"/>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72,777</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66,160</w:t>
            </w:r>
          </w:p>
        </w:tc>
      </w:tr>
      <w:tr>
        <w:trPr>
          <w:trHeight w:val="285"/>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174 Capitalized R&amp;D</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37,240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16,570</w:t>
            </w:r>
          </w:p>
        </w:tc>
      </w:tr>
      <w:tr>
        <w:trPr>
          <w:trHeight w:val="285"/>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19,058</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12,844</w:t>
            </w:r>
          </w:p>
        </w:tc>
      </w:tr>
      <w:tr>
        <w:trPr>
          <w:trHeight w:val="285"/>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Equity compensation</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10,533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10,021</w:t>
            </w:r>
          </w:p>
        </w:tc>
      </w:tr>
      <w:tr>
        <w:trPr>
          <w:trHeight w:val="285"/>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Deferred Zejula royalty revenue</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6,978</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7,371</w:t>
            </w:r>
          </w:p>
        </w:tc>
      </w:tr>
      <w:tr>
        <w:trPr>
          <w:trHeight w:val="285"/>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Lease liability</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4,194</w:t>
            </w:r>
          </w:p>
        </w:tc>
      </w:tr>
      <w:tr>
        <w:trPr>
          <w:trHeight w:val="288"/>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Other, net</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7,201</w:t>
            </w: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3,458</w:t>
            </w:r>
          </w:p>
        </w:tc>
      </w:tr>
      <w:tr>
        <w:trPr>
          <w:trHeight w:val="265"/>
        </w:trPr>
        <w:tc>
          <w:tcPr>
            <w:tcW w:w="710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Total deferred tax assets</w:t>
            </w: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157,699</w:t>
            </w:r>
          </w:p>
        </w:tc>
        <w:tc>
          <w:tcPr>
            <w:tcW w:w="8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120,618</w:t>
            </w:r>
          </w:p>
        </w:tc>
      </w:tr>
      <w:tr>
        <w:trPr>
          <w:trHeight w:val="241"/>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06"/>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ROU asset</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(3,859)</w:t>
            </w:r>
          </w:p>
        </w:tc>
      </w:tr>
      <w:tr>
        <w:trPr>
          <w:trHeight w:val="285"/>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Other, net</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(2,658)</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Fixed assets</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w:t>
            </w:r>
          </w:p>
        </w:tc>
      </w:tr>
      <w:tr>
        <w:trPr>
          <w:trHeight w:val="265"/>
        </w:trPr>
        <w:tc>
          <w:tcPr>
            <w:tcW w:w="710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(6,332)</w:t>
            </w:r>
          </w:p>
        </w:tc>
        <w:tc>
          <w:tcPr>
            <w:tcW w:w="8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(4,048)</w:t>
            </w:r>
          </w:p>
        </w:tc>
      </w:tr>
      <w:tr>
        <w:trPr>
          <w:trHeight w:val="262"/>
        </w:trPr>
        <w:tc>
          <w:tcPr>
            <w:tcW w:w="710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Net deferred tax assets</w:t>
            </w: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151,367</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116,570</w:t>
            </w:r>
          </w:p>
        </w:tc>
      </w:tr>
      <w:tr>
        <w:trPr>
          <w:trHeight w:val="288"/>
        </w:trPr>
        <w:tc>
          <w:tcPr>
            <w:tcW w:w="710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Less: valuation allowance</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(151,367)</w:t>
            </w: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(116,570)</w:t>
            </w:r>
          </w:p>
        </w:tc>
      </w:tr>
      <w:tr>
        <w:trPr>
          <w:trHeight w:val="245"/>
        </w:trPr>
        <w:tc>
          <w:tcPr>
            <w:tcW w:w="71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Deferred tax assets, net of valuation allowance</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7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-3107690</wp:posOffset>
            </wp:positionV>
            <wp:extent cx="6534150" cy="31273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4">
                      <a:extLst>
                        <a:ext uri="{28A0092B-C50C-407E-A947-70E740481C1C}"/>
                      </a:extLst>
                    </a:blip>
                    <a:srcRect/>
                    <a:stretch>
                      <a:fillRect/>
                    </a:stretch>
                  </pic:blipFill>
                  <pic:spPr bwMode="auto">
                    <a:xfrm>
                      <a:off x="0" y="0"/>
                      <a:ext cx="6534150" cy="3127375"/>
                    </a:xfrm>
                    <a:prstGeom prst="rect">
                      <a:avLst/>
                    </a:prstGeom>
                    <a:noFill/>
                  </pic:spPr>
                </pic:pic>
              </a:graphicData>
            </a:graphic>
          </wp:anchor>
        </w:drawing>
      </w:r>
    </w:p>
    <w:p>
      <w:pPr>
        <w:spacing w:after="0" w:line="268" w:lineRule="exact"/>
        <w:rPr>
          <w:sz w:val="20"/>
          <w:szCs w:val="20"/>
          <w:color w:val="auto"/>
        </w:rPr>
      </w:pPr>
    </w:p>
    <w:p>
      <w:pPr>
        <w:ind w:right="80" w:firstLine="630"/>
        <w:spacing w:after="0" w:line="266" w:lineRule="auto"/>
        <w:rPr>
          <w:sz w:val="20"/>
          <w:szCs w:val="20"/>
          <w:color w:val="auto"/>
        </w:rPr>
      </w:pPr>
      <w:r>
        <w:rPr>
          <w:rFonts w:ascii="Times New Roman" w:cs="Times New Roman" w:eastAsia="Times New Roman" w:hAnsi="Times New Roman"/>
          <w:sz w:val="20"/>
          <w:szCs w:val="20"/>
          <w:color w:val="auto"/>
        </w:rPr>
        <w:t>We have recorded a full valuation allowance against our net deferred tax assets due to the uncertainty surrounding the realization of such assets. Management has determined it more likely than not that the deferred tax assets are not realizable due to our historical loss position.</w:t>
      </w:r>
    </w:p>
    <w:p>
      <w:pPr>
        <w:spacing w:after="0" w:line="75" w:lineRule="exact"/>
        <w:rPr>
          <w:sz w:val="20"/>
          <w:szCs w:val="20"/>
          <w:color w:val="auto"/>
        </w:rPr>
      </w:pPr>
    </w:p>
    <w:p>
      <w:pPr>
        <w:ind w:right="40" w:firstLine="630"/>
        <w:spacing w:after="0" w:line="254" w:lineRule="auto"/>
        <w:rPr>
          <w:sz w:val="20"/>
          <w:szCs w:val="20"/>
          <w:color w:val="auto"/>
        </w:rPr>
      </w:pPr>
      <w:r>
        <w:rPr>
          <w:rFonts w:ascii="Times New Roman" w:cs="Times New Roman" w:eastAsia="Times New Roman" w:hAnsi="Times New Roman"/>
          <w:sz w:val="20"/>
          <w:szCs w:val="20"/>
          <w:color w:val="auto"/>
        </w:rPr>
        <w:t>As of December 31, 2023, we had federal and state net operating loss carryforwards (“NOLs”), of $313.8 million and $73.3 million, respectively. The federal and state NOLs generated prior to 2018 will begin to expire in 2030 and 2028, respectively, unless previously utilized. The federal NOL includes $261.7 million of net operating losses generated in 2018 and after. Federal net operating losses generated in 2018 and after carryover indefinitely and may generally be used to offset up to 80% of future taxable income. As of December 31, 2023, we had federal and state research tax credit carryforwards of approximately $12.1 million and $14.4 million, respectively. The federal research tax credit carryforwards will begin to expire in 2041 and the state research tax credits carryforward indefinitely. We also have foreign tax losses of $3.2 million, which will carry forward indefinitely, subject to a continuity of ownership test.</w:t>
      </w:r>
    </w:p>
    <w:p>
      <w:pPr>
        <w:spacing w:after="0" w:line="93" w:lineRule="exact"/>
        <w:rPr>
          <w:sz w:val="20"/>
          <w:szCs w:val="20"/>
          <w:color w:val="auto"/>
        </w:rPr>
      </w:pPr>
    </w:p>
    <w:p>
      <w:pPr>
        <w:ind w:firstLine="630"/>
        <w:spacing w:after="0" w:line="252" w:lineRule="auto"/>
        <w:rPr>
          <w:sz w:val="20"/>
          <w:szCs w:val="20"/>
          <w:color w:val="auto"/>
        </w:rPr>
      </w:pPr>
      <w:r>
        <w:rPr>
          <w:rFonts w:ascii="Times New Roman" w:cs="Times New Roman" w:eastAsia="Times New Roman" w:hAnsi="Times New Roman"/>
          <w:sz w:val="20"/>
          <w:szCs w:val="20"/>
          <w:color w:val="auto"/>
        </w:rPr>
        <w:t>The above NOL carryforward and the federal and state research tax credit carryforwards may be subject to an annual limitation under section 382 and 383 of the Internal Revenue Code of 1986, as amended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In September 2015, we completed a Section 382 analysis through December 31, 2014 and determined that there was an ownership change in 2007 that may limit the utilization of approximately $5.3 million and $5.4 million in federal and state NOLs, respectively, and $0.2 million in both federal and state research tax credits. We subsequently extended the analysis period of the study through December 31, 2022, noting ownership changes on January 31, 2017 and March 8, 2021. To reflect the impact of the January 31, 2017 and March 8, 2021 ownership changes, we reduced federal research credit carryforwards by approximately $15.0 million. Our use of federal and state NOLs and research credits could be limited further by the provisions of Section 382 of the U.S. Internal Revenue Code of 1986, as amended, depending upon the timing and amount of additional equity securities that we have issued or will issue. State NOL carryforwards may be similarly limited. If a change in ownership were to have occurred, NOL and tax credits carryforwards could be eliminated or restricted. If eliminated, the related asset would be removed from the deferred tax asset schedule with a corresponding reduction in the valuation allowance. Due to the existence of the valuation allowance, limitations created by ownership changes, if any, will not impact our effective tax rate.</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220"/>
          </w:cols>
          <w:pgMar w:left="1000" w:top="793" w:right="1020" w:bottom="0" w:gutter="0" w:footer="0" w:header="0"/>
          <w:type w:val="continuous"/>
        </w:sectPr>
      </w:pPr>
    </w:p>
    <w:bookmarkStart w:id="94" w:name="page95"/>
    <w:bookmarkEnd w:id="94"/>
    <w:p>
      <w:pPr>
        <w:ind w:right="680" w:firstLine="630"/>
        <w:spacing w:after="0" w:line="281" w:lineRule="auto"/>
        <w:rPr>
          <w:sz w:val="20"/>
          <w:szCs w:val="20"/>
          <w:color w:val="auto"/>
        </w:rPr>
      </w:pPr>
      <w:r>
        <w:rPr>
          <w:rFonts w:ascii="Times New Roman" w:cs="Times New Roman" w:eastAsia="Times New Roman" w:hAnsi="Times New Roman"/>
          <w:sz w:val="20"/>
          <w:szCs w:val="20"/>
          <w:color w:val="auto"/>
        </w:rPr>
        <w:t>The following is a reconciliation of the expected statutory federal income tax provision to our actual income tax provision:</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20"/>
        </w:trPr>
        <w:tc>
          <w:tcPr>
            <w:tcW w:w="6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Expected income tax benefit at federal statutory tax rate</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(34,361)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(27,026)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(12,138)</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State income taxes, net of federal benefit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Permanent items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Equity compensation</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Non-deductible compensation</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Research credits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8,087</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88"/>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Change in the valuation allowance</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35,784</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29,385</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4,842</w:t>
            </w:r>
          </w:p>
        </w:tc>
      </w:tr>
      <w:tr>
        <w:trPr>
          <w:trHeight w:val="245"/>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Income tax (benefit) expense</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-1669415</wp:posOffset>
            </wp:positionV>
            <wp:extent cx="6543675" cy="1689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5">
                      <a:extLst>
                        <a:ext uri="{28A0092B-C50C-407E-A947-70E740481C1C}"/>
                      </a:extLst>
                    </a:blip>
                    <a:srcRect/>
                    <a:stretch>
                      <a:fillRect/>
                    </a:stretch>
                  </pic:blipFill>
                  <pic:spPr bwMode="auto">
                    <a:xfrm>
                      <a:off x="0" y="0"/>
                      <a:ext cx="6543675" cy="1689100"/>
                    </a:xfrm>
                    <a:prstGeom prst="rect">
                      <a:avLst/>
                    </a:prstGeom>
                    <a:noFill/>
                  </pic:spPr>
                </pic:pic>
              </a:graphicData>
            </a:graphic>
          </wp:anchor>
        </w:drawing>
      </w:r>
    </w:p>
    <w:p>
      <w:pPr>
        <w:spacing w:after="0" w:line="228" w:lineRule="exact"/>
        <w:rPr>
          <w:sz w:val="20"/>
          <w:szCs w:val="20"/>
          <w:color w:val="auto"/>
        </w:rPr>
      </w:pPr>
    </w:p>
    <w:p>
      <w:pPr>
        <w:ind w:right="60" w:firstLine="630"/>
        <w:spacing w:after="0" w:line="256" w:lineRule="auto"/>
        <w:rPr>
          <w:sz w:val="20"/>
          <w:szCs w:val="20"/>
          <w:color w:val="auto"/>
        </w:rPr>
      </w:pPr>
      <w:r>
        <w:rPr>
          <w:rFonts w:ascii="Times New Roman" w:cs="Times New Roman" w:eastAsia="Times New Roman" w:hAnsi="Times New Roman"/>
          <w:sz w:val="20"/>
          <w:szCs w:val="20"/>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As of December 31, 2023 and 2022, we had no unrecognized tax benefits that, if recognized and realized, would affect the effective tax rate due to the valuation allowance against deferred tax assets. The following table summarizes the activity related to our unrecognized tax benefits: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54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0"/>
        </w:trPr>
        <w:tc>
          <w:tcPr>
            <w:tcW w:w="7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2"/>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Balance at the beginning of the year</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3,369</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2,473</w:t>
            </w:r>
          </w:p>
        </w:tc>
      </w:tr>
      <w:tr>
        <w:trPr>
          <w:trHeight w:val="285"/>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Increase related to prior year tax positions</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Increase related to current year tax positions</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1,494</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896</w:t>
            </w:r>
          </w:p>
        </w:tc>
      </w:tr>
      <w:tr>
        <w:trPr>
          <w:trHeight w:val="245"/>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Balance at the end of the year</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5,016</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3,369</w:t>
            </w:r>
          </w:p>
        </w:tc>
      </w:tr>
      <w:tr>
        <w:trPr>
          <w:trHeight w:val="20"/>
        </w:trPr>
        <w:tc>
          <w:tcPr>
            <w:tcW w:w="7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534150" cy="774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6">
                      <a:extLst>
                        <a:ext uri="{28A0092B-C50C-407E-A947-70E740481C1C}"/>
                      </a:extLst>
                    </a:blip>
                    <a:srcRect/>
                    <a:stretch>
                      <a:fillRect/>
                    </a:stretch>
                  </pic:blipFill>
                  <pic:spPr bwMode="auto">
                    <a:xfrm>
                      <a:off x="0" y="0"/>
                      <a:ext cx="6534150" cy="774700"/>
                    </a:xfrm>
                    <a:prstGeom prst="rect">
                      <a:avLst/>
                    </a:prstGeom>
                    <a:noFill/>
                  </pic:spPr>
                </pic:pic>
              </a:graphicData>
            </a:graphic>
          </wp:anchor>
        </w:drawing>
      </w:r>
    </w:p>
    <w:p>
      <w:pPr>
        <w:spacing w:after="0" w:line="348" w:lineRule="exact"/>
        <w:rPr>
          <w:sz w:val="20"/>
          <w:szCs w:val="20"/>
          <w:color w:val="auto"/>
        </w:rPr>
      </w:pPr>
    </w:p>
    <w:p>
      <w:pPr>
        <w:ind w:right="120" w:firstLine="630"/>
        <w:spacing w:after="0" w:line="266" w:lineRule="auto"/>
        <w:rPr>
          <w:sz w:val="20"/>
          <w:szCs w:val="20"/>
          <w:color w:val="auto"/>
        </w:rPr>
      </w:pPr>
      <w:r>
        <w:rPr>
          <w:rFonts w:ascii="Times New Roman" w:cs="Times New Roman" w:eastAsia="Times New Roman" w:hAnsi="Times New Roman"/>
          <w:sz w:val="20"/>
          <w:szCs w:val="20"/>
          <w:color w:val="auto"/>
        </w:rPr>
        <w:t>If recognized, these amounts would not affect our effective tax rate, since they would be offset by an equal corresponding adjustment in the deferred tax asset valuation allowance. We do not anticipate there will be a significant change in unrecognized tax benefits within the next 12 months.</w:t>
      </w:r>
    </w:p>
    <w:p>
      <w:pPr>
        <w:spacing w:after="0" w:line="75" w:lineRule="exact"/>
        <w:rPr>
          <w:sz w:val="20"/>
          <w:szCs w:val="20"/>
          <w:color w:val="auto"/>
        </w:rPr>
      </w:pPr>
    </w:p>
    <w:p>
      <w:pPr>
        <w:ind w:right="220" w:firstLine="630"/>
        <w:spacing w:after="0" w:line="281" w:lineRule="auto"/>
        <w:rPr>
          <w:sz w:val="20"/>
          <w:szCs w:val="20"/>
          <w:color w:val="auto"/>
        </w:rPr>
      </w:pPr>
      <w:r>
        <w:rPr>
          <w:rFonts w:ascii="Times New Roman" w:cs="Times New Roman" w:eastAsia="Times New Roman" w:hAnsi="Times New Roman"/>
          <w:sz w:val="20"/>
          <w:szCs w:val="20"/>
          <w:color w:val="auto"/>
        </w:rPr>
        <w:t>Our policy is to recognize interest and penalties related to income tax matters in the provision for income taxes. As of December 31, 2023 and 2022, there were no interest or penalties on uncertain tax benefits.</w:t>
      </w:r>
    </w:p>
    <w:p>
      <w:pPr>
        <w:spacing w:after="0" w:line="61" w:lineRule="exact"/>
        <w:rPr>
          <w:sz w:val="20"/>
          <w:szCs w:val="20"/>
          <w:color w:val="auto"/>
        </w:rPr>
      </w:pPr>
    </w:p>
    <w:p>
      <w:pPr>
        <w:ind w:right="340" w:firstLine="630"/>
        <w:spacing w:after="0" w:line="281" w:lineRule="auto"/>
        <w:rPr>
          <w:sz w:val="20"/>
          <w:szCs w:val="20"/>
          <w:color w:val="auto"/>
        </w:rPr>
      </w:pPr>
      <w:r>
        <w:rPr>
          <w:rFonts w:ascii="Times New Roman" w:cs="Times New Roman" w:eastAsia="Times New Roman" w:hAnsi="Times New Roman"/>
          <w:sz w:val="20"/>
          <w:szCs w:val="20"/>
          <w:color w:val="auto"/>
        </w:rPr>
        <w:t>We file income tax returns in the United States, California, various U.S. state jurisdictions and Australia. Due to our losses incurred, we are essentially subject to income tax examination by tax authorities from inception to date.</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240"/>
          </w:cols>
          <w:pgMar w:left="1000" w:top="793" w:right="1000"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37" w:lineRule="exact"/>
        <w:rPr>
          <w:sz w:val="20"/>
          <w:szCs w:val="20"/>
          <w:color w:val="auto"/>
        </w:rPr>
      </w:pPr>
    </w:p>
    <w:p>
      <w:pPr>
        <w:ind w:firstLine="630"/>
        <w:spacing w:after="0" w:line="254" w:lineRule="auto"/>
        <w:rPr>
          <w:sz w:val="20"/>
          <w:szCs w:val="20"/>
          <w:color w:val="auto"/>
        </w:rPr>
      </w:pPr>
      <w:r>
        <w:rPr>
          <w:rFonts w:ascii="Times New Roman" w:cs="Times New Roman" w:eastAsia="Times New Roman" w:hAnsi="Times New Roman"/>
          <w:sz w:val="20"/>
          <w:szCs w:val="20"/>
          <w:color w:val="auto"/>
        </w:rPr>
        <w:t>As of December 31, 2023, our management, with the participation of our principal executive officer and principal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disclosures. Based on this evaluation, our principal executive officer and principal financial officer concluded that, as of December 31, 2023, the design and operation of our disclosure controls and procedures were effective at a reasonable assurance level.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137" w:lineRule="exact"/>
        <w:rPr>
          <w:sz w:val="20"/>
          <w:szCs w:val="20"/>
          <w:color w:val="auto"/>
        </w:rPr>
      </w:pPr>
    </w:p>
    <w:p>
      <w:pPr>
        <w:ind w:right="260" w:firstLine="630"/>
        <w:spacing w:after="0" w:line="255"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 13a-15(f) of the Exchange Act. Management assessed the effectiveness of our internal control over financial reporting as of December 31, 2023. In making this assessment, management used the criteria set forth by the Committee of Sponsoring Organizations of the Treadway Commission (COSO) in Internal Control—Integrated Framework issued in 2013. Based upon the assessments, management has concluded that as of December 31, 2023 our internal control over financial reporting was effective to provide reasonable assurance regarding the reliability of financial reporting and the preparation of financial statements in accordance with GAAP.</w:t>
      </w:r>
    </w:p>
    <w:p>
      <w:pPr>
        <w:spacing w:after="0" w:line="90" w:lineRule="exact"/>
        <w:rPr>
          <w:sz w:val="20"/>
          <w:szCs w:val="20"/>
          <w:color w:val="auto"/>
        </w:rPr>
      </w:pPr>
    </w:p>
    <w:p>
      <w:pPr>
        <w:ind w:right="200" w:firstLine="630"/>
        <w:spacing w:after="0" w:line="260" w:lineRule="auto"/>
        <w:rPr>
          <w:sz w:val="20"/>
          <w:szCs w:val="20"/>
          <w:color w:val="auto"/>
        </w:rPr>
      </w:pPr>
      <w:r>
        <w:rPr>
          <w:rFonts w:ascii="Times New Roman" w:cs="Times New Roman" w:eastAsia="Times New Roman" w:hAnsi="Times New Roman"/>
          <w:sz w:val="20"/>
          <w:szCs w:val="20"/>
          <w:color w:val="auto"/>
        </w:rPr>
        <w:t>This Annual Report on Form 10-K does not include an attestation report on internal control over financial reporting issued by our independent registered accounting firm. Our auditors will not be required to formally opine on the effectiveness of our internal control over financial reporting pursuant to Section 404(b) of the Sarbanes-Oxley Act of 2002 until we are no longer a smaller reporting company.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37" w:lineRule="exact"/>
        <w:rPr>
          <w:sz w:val="20"/>
          <w:szCs w:val="20"/>
          <w:color w:val="auto"/>
        </w:rPr>
      </w:pPr>
    </w:p>
    <w:p>
      <w:pPr>
        <w:ind w:right="120" w:firstLine="630"/>
        <w:spacing w:after="0" w:line="266"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identified in connection with the evaluation required by Rule 13a-15(d) and 15d-15(d) of the Exchange Act that occurred during the quarter ended December 31, 2023 that have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Inherent Limitations on Effectiveness of Controls</w:t>
      </w:r>
    </w:p>
    <w:p>
      <w:pPr>
        <w:spacing w:after="0" w:line="137" w:lineRule="exact"/>
        <w:rPr>
          <w:sz w:val="20"/>
          <w:szCs w:val="20"/>
          <w:color w:val="auto"/>
        </w:rPr>
      </w:pPr>
    </w:p>
    <w:p>
      <w:pPr>
        <w:jc w:val="both"/>
        <w:ind w:firstLine="630"/>
        <w:spacing w:after="0" w:line="286" w:lineRule="auto"/>
        <w:rPr>
          <w:sz w:val="20"/>
          <w:szCs w:val="20"/>
          <w:color w:val="auto"/>
        </w:rPr>
      </w:pPr>
      <w:r>
        <w:rPr>
          <w:rFonts w:ascii="Times New Roman" w:cs="Times New Roman" w:eastAsia="Times New Roman" w:hAnsi="Times New Roman"/>
          <w:sz w:val="19"/>
          <w:szCs w:val="19"/>
          <w:color w:val="auto"/>
        </w:rPr>
        <w:t>Internal control over financial reporting may not prevent or detect all errors and all fraud. 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37" w:lineRule="exact"/>
        <w:rPr>
          <w:sz w:val="20"/>
          <w:szCs w:val="20"/>
          <w:color w:val="auto"/>
        </w:rPr>
      </w:pPr>
    </w:p>
    <w:p>
      <w:pPr>
        <w:ind w:right="260" w:firstLine="630"/>
        <w:spacing w:after="0" w:line="266" w:lineRule="auto"/>
        <w:rPr>
          <w:sz w:val="20"/>
          <w:szCs w:val="20"/>
          <w:color w:val="auto"/>
        </w:rPr>
      </w:pPr>
      <w:r>
        <w:rPr>
          <w:rFonts w:ascii="Times New Roman" w:cs="Times New Roman" w:eastAsia="Times New Roman" w:hAnsi="Times New Roman"/>
          <w:sz w:val="20"/>
          <w:szCs w:val="20"/>
          <w:color w:val="auto"/>
        </w:rPr>
        <w:t>During the quarter ended December 31, 2023, none of the Company’s directors or officers adopted or terminated any “Rule 10b5-1 trading arrangements” or any “non-Rule 10b5-1 trading arrangement,” as each term is defined in Item 408 of Regulation S-K.</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240"/>
          </w:cols>
          <w:pgMar w:left="1000" w:top="786" w:right="1000"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37" w:lineRule="exact"/>
        <w:rPr>
          <w:sz w:val="20"/>
          <w:szCs w:val="20"/>
          <w:color w:val="auto"/>
        </w:rPr>
      </w:pPr>
    </w:p>
    <w:p>
      <w:pPr>
        <w:ind w:right="180" w:firstLine="630"/>
        <w:spacing w:after="0" w:line="258" w:lineRule="auto"/>
        <w:rPr>
          <w:sz w:val="20"/>
          <w:szCs w:val="20"/>
          <w:color w:val="auto"/>
        </w:rPr>
      </w:pPr>
      <w:r>
        <w:rPr>
          <w:rFonts w:ascii="Times New Roman" w:cs="Times New Roman" w:eastAsia="Times New Roman" w:hAnsi="Times New Roman"/>
          <w:sz w:val="20"/>
          <w:szCs w:val="20"/>
          <w:color w:val="auto"/>
        </w:rPr>
        <w:t>Information required by this Item is incorporated herein by reference to the sections titled “Information about our Executive Officers,” “Election of Class I Directors,” “Corporate Governance Standards and Director Independence” and “Security Ownership of Certain Beneficial Owners and Management” in our Definitive Proxy Statement with respect to our 2024 Annual Meeting of Stockholders to be filed with the SEC within 120 days after the end of the fiscal year covered by this Annual Report on Form 10-K.</w:t>
      </w:r>
    </w:p>
    <w:p>
      <w:pPr>
        <w:spacing w:after="0" w:line="84"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With regard to the information required by this item regarding compliance with Section 16(a) of the Exchange Act, we will provide disclosure of delinquent Section 16(a) reports, if any, in our Proxy Statement related to the 2024 Annual Meeting of Stockholders, and such disclosure, if any, is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37" w:lineRule="exact"/>
        <w:rPr>
          <w:sz w:val="20"/>
          <w:szCs w:val="20"/>
          <w:color w:val="auto"/>
        </w:rPr>
      </w:pPr>
    </w:p>
    <w:p>
      <w:pPr>
        <w:ind w:right="220" w:firstLine="630"/>
        <w:spacing w:after="0" w:line="260" w:lineRule="auto"/>
        <w:rPr>
          <w:sz w:val="20"/>
          <w:szCs w:val="20"/>
          <w:color w:val="auto"/>
        </w:rPr>
      </w:pPr>
      <w:r>
        <w:rPr>
          <w:rFonts w:ascii="Times New Roman" w:cs="Times New Roman" w:eastAsia="Times New Roman" w:hAnsi="Times New Roman"/>
          <w:sz w:val="20"/>
          <w:szCs w:val="20"/>
          <w:color w:val="auto"/>
        </w:rPr>
        <w:t>Information required by this Item is incorporated herein by reference to the section titled “Executive Compensation,” “Election of Class I Directors,” and “Corporate Governance Standards and Director Independence” in our Definitive Proxy Statement with respect to our 2024 Annual Meeting of Stockholders to be filed with the SEC within 120 days after the end of the fiscal year covered by this Annual Report on Form 10-K.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37" w:lineRule="exact"/>
        <w:rPr>
          <w:sz w:val="20"/>
          <w:szCs w:val="20"/>
          <w:color w:val="auto"/>
        </w:rPr>
      </w:pPr>
    </w:p>
    <w:p>
      <w:pPr>
        <w:ind w:right="120" w:firstLine="630"/>
        <w:spacing w:after="0" w:line="260" w:lineRule="auto"/>
        <w:rPr>
          <w:sz w:val="20"/>
          <w:szCs w:val="20"/>
          <w:color w:val="auto"/>
        </w:rPr>
      </w:pPr>
      <w:r>
        <w:rPr>
          <w:rFonts w:ascii="Times New Roman" w:cs="Times New Roman" w:eastAsia="Times New Roman" w:hAnsi="Times New Roman"/>
          <w:sz w:val="20"/>
          <w:szCs w:val="20"/>
          <w:color w:val="auto"/>
        </w:rPr>
        <w:t>Information required by this Item is incorporated herein by reference to the section titled “Security Ownership of Certain Beneficial Owners and Management” and “Equity Compensation Plan Information” in our Definitive Proxy Statement with respect to our 2024 Annual Meeting of Stockholders to be filed with the SEC within 120 days after the end of the fiscal year covered by this Annual Report on Form 10-K.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37" w:lineRule="exact"/>
        <w:rPr>
          <w:sz w:val="20"/>
          <w:szCs w:val="20"/>
          <w:color w:val="auto"/>
        </w:rPr>
      </w:pPr>
    </w:p>
    <w:p>
      <w:pPr>
        <w:ind w:right="220" w:firstLine="630"/>
        <w:spacing w:after="0" w:line="260" w:lineRule="auto"/>
        <w:rPr>
          <w:sz w:val="20"/>
          <w:szCs w:val="20"/>
          <w:color w:val="auto"/>
        </w:rPr>
      </w:pPr>
      <w:r>
        <w:rPr>
          <w:rFonts w:ascii="Times New Roman" w:cs="Times New Roman" w:eastAsia="Times New Roman" w:hAnsi="Times New Roman"/>
          <w:sz w:val="20"/>
          <w:szCs w:val="20"/>
          <w:color w:val="auto"/>
        </w:rPr>
        <w:t>Information required by this Item is incorporated herein by reference to the section titled “Certain Relationships and Related Party Transactions” and “Corporate Governance Standards and Director Independence” in our Definitive Proxy Statement with respect to our 2024 Annual Meeting of Stockholders to be filed with the SEC within 120 days after the end of the fiscal year covered by this Annual Report on Form 10-K.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Our independent registered public accounting firm is KPMG LLP, San Diego, CA, Auditor Firm ID: 185.</w:t>
      </w:r>
    </w:p>
    <w:p>
      <w:pPr>
        <w:spacing w:after="0" w:line="130" w:lineRule="exact"/>
        <w:rPr>
          <w:sz w:val="20"/>
          <w:szCs w:val="20"/>
          <w:color w:val="auto"/>
        </w:rPr>
      </w:pPr>
    </w:p>
    <w:p>
      <w:pPr>
        <w:ind w:right="200" w:firstLine="630"/>
        <w:spacing w:after="0" w:line="260" w:lineRule="auto"/>
        <w:rPr>
          <w:sz w:val="20"/>
          <w:szCs w:val="20"/>
          <w:color w:val="auto"/>
        </w:rPr>
      </w:pPr>
      <w:r>
        <w:rPr>
          <w:rFonts w:ascii="Times New Roman" w:cs="Times New Roman" w:eastAsia="Times New Roman" w:hAnsi="Times New Roman"/>
          <w:sz w:val="20"/>
          <w:szCs w:val="20"/>
          <w:color w:val="auto"/>
        </w:rPr>
        <w:t>Information required by this Item is incorporated herein by reference to the section titled “Ratification of Independent Registered Public Accounting Firm” in our Definitive Proxy Statement with respect to our 2024 Annual Meeting of Stockholders to be filed with the SEC within 120 days after the end of the fiscal year covered by this Annual Report on Form 10-K.</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240"/>
          </w:cols>
          <w:pgMar w:left="1000" w:top="786" w:right="1000" w:bottom="0" w:gutter="0" w:footer="0" w:header="0"/>
          <w:type w:val="continuous"/>
        </w:sectPr>
      </w:pPr>
    </w:p>
    <w:bookmarkStart w:id="97" w:name="page98"/>
    <w:bookmarkEnd w:id="97"/>
    <w:p>
      <w:pPr>
        <w:ind w:left="473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15. Exhibits, Consolidated Financial Statement Schedules</w:t>
      </w:r>
    </w:p>
    <w:p>
      <w:pPr>
        <w:spacing w:after="0" w:line="137" w:lineRule="exact"/>
        <w:rPr>
          <w:sz w:val="20"/>
          <w:szCs w:val="20"/>
          <w:color w:val="auto"/>
        </w:rPr>
      </w:pPr>
    </w:p>
    <w:p>
      <w:pPr>
        <w:ind w:left="270" w:hanging="270"/>
        <w:spacing w:after="0"/>
        <w:tabs>
          <w:tab w:leader="none" w:pos="27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part of this report:</w:t>
      </w:r>
    </w:p>
    <w:p>
      <w:pPr>
        <w:spacing w:after="0" w:line="130" w:lineRule="exact"/>
        <w:rPr>
          <w:rFonts w:ascii="Times New Roman" w:cs="Times New Roman" w:eastAsia="Times New Roman" w:hAnsi="Times New Roman"/>
          <w:sz w:val="20"/>
          <w:szCs w:val="20"/>
          <w:color w:val="auto"/>
        </w:rPr>
      </w:pPr>
    </w:p>
    <w:p>
      <w:pPr>
        <w:ind w:left="830" w:hanging="200"/>
        <w:spacing w:after="0"/>
        <w:tabs>
          <w:tab w:leader="none" w:pos="83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Financial Statements</w:t>
      </w:r>
    </w:p>
    <w:p>
      <w:pPr>
        <w:spacing w:after="0" w:line="130" w:lineRule="exact"/>
        <w:rPr>
          <w:sz w:val="20"/>
          <w:szCs w:val="20"/>
          <w:color w:val="auto"/>
        </w:rPr>
      </w:pPr>
    </w:p>
    <w:p>
      <w:pPr>
        <w:ind w:left="1270"/>
        <w:spacing w:after="0"/>
        <w:rPr>
          <w:sz w:val="20"/>
          <w:szCs w:val="20"/>
          <w:color w:val="auto"/>
        </w:rPr>
      </w:pPr>
      <w:r>
        <w:rPr>
          <w:rFonts w:ascii="Times New Roman" w:cs="Times New Roman" w:eastAsia="Times New Roman" w:hAnsi="Times New Roman"/>
          <w:sz w:val="20"/>
          <w:szCs w:val="20"/>
          <w:color w:val="auto"/>
        </w:rPr>
        <w:t>See Index to Consolidated Financial Statements under Part II, Item 8 herein.</w:t>
      </w:r>
    </w:p>
    <w:p>
      <w:pPr>
        <w:spacing w:after="0" w:line="250" w:lineRule="exact"/>
        <w:rPr>
          <w:sz w:val="20"/>
          <w:szCs w:val="20"/>
          <w:color w:val="auto"/>
        </w:rPr>
      </w:pPr>
    </w:p>
    <w:p>
      <w:pPr>
        <w:ind w:left="630"/>
        <w:spacing w:after="0"/>
        <w:rPr>
          <w:sz w:val="20"/>
          <w:szCs w:val="20"/>
          <w:color w:val="auto"/>
        </w:rPr>
      </w:pPr>
      <w:r>
        <w:rPr>
          <w:rFonts w:ascii="Times New Roman" w:cs="Times New Roman" w:eastAsia="Times New Roman" w:hAnsi="Times New Roman"/>
          <w:sz w:val="20"/>
          <w:szCs w:val="20"/>
          <w:color w:val="auto"/>
        </w:rPr>
        <w:t>2. Consolidated Financial Statement Schedules</w:t>
      </w:r>
    </w:p>
    <w:p>
      <w:pPr>
        <w:spacing w:after="0" w:line="130" w:lineRule="exact"/>
        <w:rPr>
          <w:sz w:val="20"/>
          <w:szCs w:val="20"/>
          <w:color w:val="auto"/>
        </w:rPr>
      </w:pPr>
    </w:p>
    <w:p>
      <w:pPr>
        <w:ind w:left="10" w:right="60" w:firstLine="1260"/>
        <w:spacing w:after="0" w:line="281" w:lineRule="auto"/>
        <w:rPr>
          <w:sz w:val="20"/>
          <w:szCs w:val="20"/>
          <w:color w:val="auto"/>
        </w:rPr>
      </w:pPr>
      <w:r>
        <w:rPr>
          <w:rFonts w:ascii="Times New Roman" w:cs="Times New Roman" w:eastAsia="Times New Roman" w:hAnsi="Times New Roman"/>
          <w:sz w:val="20"/>
          <w:szCs w:val="20"/>
          <w:color w:val="auto"/>
        </w:rPr>
        <w:t>No consolidated financial statement schedules are provided because the information called for is not required or is shown either in the consolidated financial statements or notes thereto.</w:t>
      </w:r>
    </w:p>
    <w:p>
      <w:pPr>
        <w:spacing w:after="0" w:line="181" w:lineRule="exact"/>
        <w:rPr>
          <w:sz w:val="20"/>
          <w:szCs w:val="20"/>
          <w:color w:val="auto"/>
        </w:rPr>
      </w:pPr>
    </w:p>
    <w:p>
      <w:pPr>
        <w:ind w:left="630"/>
        <w:spacing w:after="0"/>
        <w:rPr>
          <w:sz w:val="20"/>
          <w:szCs w:val="20"/>
          <w:color w:val="auto"/>
        </w:rPr>
      </w:pPr>
      <w:r>
        <w:rPr>
          <w:rFonts w:ascii="Times New Roman" w:cs="Times New Roman" w:eastAsia="Times New Roman" w:hAnsi="Times New Roman"/>
          <w:sz w:val="20"/>
          <w:szCs w:val="20"/>
          <w:color w:val="auto"/>
        </w:rPr>
        <w:t>3. Exhibits</w:t>
      </w:r>
    </w:p>
    <w:p>
      <w:pPr>
        <w:spacing w:after="0" w:line="6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192" w:lineRule="exact"/>
        <w:rPr>
          <w:sz w:val="20"/>
          <w:szCs w:val="20"/>
          <w:color w:val="auto"/>
        </w:rPr>
      </w:pPr>
    </w:p>
    <w:p>
      <w:pPr>
        <w:ind w:left="629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3133725</wp:posOffset>
                </wp:positionH>
                <wp:positionV relativeFrom="paragraph">
                  <wp:posOffset>36195</wp:posOffset>
                </wp:positionV>
                <wp:extent cx="284797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479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6.75pt,2.85pt" to="471pt,2.85pt" o:allowincell="f" strokecolor="#000000" strokeweight="1pt"/>
            </w:pict>
          </mc:Fallback>
        </mc:AlternateContent>
      </w:r>
    </w:p>
    <w:p>
      <w:pPr>
        <w:sectPr>
          <w:pgSz w:w="12240" w:h="15840" w:orient="portrait"/>
          <w:cols w:equalWidth="0" w:num="1">
            <w:col w:w="10270"/>
          </w:cols>
          <w:pgMar w:left="990" w:top="786" w:right="980" w:bottom="0" w:gutter="0" w:footer="0" w:header="0"/>
        </w:sectPr>
      </w:pPr>
    </w:p>
    <w:p>
      <w:pPr>
        <w:spacing w:after="0" w:line="87" w:lineRule="exact"/>
        <w:rPr>
          <w:sz w:val="20"/>
          <w:szCs w:val="20"/>
          <w:color w:val="auto"/>
        </w:rPr>
      </w:pPr>
    </w:p>
    <w:p>
      <w:pPr>
        <w:ind w:left="210"/>
        <w:spacing w:after="0"/>
        <w:rPr>
          <w:sz w:val="20"/>
          <w:szCs w:val="20"/>
          <w:color w:val="auto"/>
        </w:rPr>
      </w:pPr>
      <w:r>
        <w:rPr>
          <w:rFonts w:ascii="Times New Roman" w:cs="Times New Roman" w:eastAsia="Times New Roman" w:hAnsi="Times New Roman"/>
          <w:sz w:val="16"/>
          <w:szCs w:val="16"/>
          <w:b w:val="1"/>
          <w:bCs w:val="1"/>
          <w:color w:val="auto"/>
        </w:rPr>
        <w:t>Exhibit</w:t>
      </w:r>
    </w:p>
    <w:p>
      <w:pPr>
        <w:jc w:val="right"/>
        <w:spacing w:after="0"/>
        <w:rPr>
          <w:sz w:val="20"/>
          <w:szCs w:val="20"/>
          <w:color w:val="auto"/>
        </w:rPr>
      </w:pPr>
      <w:r>
        <w:rPr>
          <w:rFonts w:ascii="Times New Roman" w:cs="Times New Roman" w:eastAsia="Times New Roman" w:hAnsi="Times New Roman"/>
          <w:sz w:val="16"/>
          <w:szCs w:val="16"/>
          <w:b w:val="1"/>
          <w:bCs w:val="1"/>
          <w:color w:val="auto"/>
        </w:rPr>
        <w:t>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13970</wp:posOffset>
                </wp:positionV>
                <wp:extent cx="60007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0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pt" to="47.25pt,1.1pt" o:allowincell="f" strokecolor="#000000" strokeweight="1pt"/>
            </w:pict>
          </mc:Fallback>
        </mc:AlternateContent>
      </w:r>
    </w:p>
    <w:p>
      <w:pPr>
        <w:ind w:left="50"/>
        <w:spacing w:after="0"/>
        <w:rPr>
          <w:sz w:val="20"/>
          <w:szCs w:val="20"/>
          <w:color w:val="auto"/>
        </w:rPr>
      </w:pPr>
      <w:r>
        <w:rPr>
          <w:rFonts w:ascii="Times New Roman" w:cs="Times New Roman" w:eastAsia="Times New Roman" w:hAnsi="Times New Roman"/>
          <w:sz w:val="20"/>
          <w:szCs w:val="20"/>
          <w:color w:val="auto"/>
        </w:rPr>
        <w:t>3.1</w:t>
      </w:r>
    </w:p>
    <w:p>
      <w:pPr>
        <w:spacing w:after="0" w:line="26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3.2</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4.1</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color w:val="auto"/>
        </w:rPr>
        <w:t>Description of Document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wp:posOffset>
                </wp:positionH>
                <wp:positionV relativeFrom="paragraph">
                  <wp:posOffset>26670</wp:posOffset>
                </wp:positionV>
                <wp:extent cx="24384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38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99pt,2.1pt" to="189.5pt,2.1pt" o:allowincell="f" strokecolor="#000000" strokeweight="1pt"/>
            </w:pict>
          </mc:Fallback>
        </mc:AlternateContent>
      </w:r>
    </w:p>
    <w:p>
      <w:pPr>
        <w:spacing w:after="0" w:line="29"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9"/>
          <w:szCs w:val="19"/>
          <w:u w:val="single" w:color="auto"/>
          <w:color w:val="0000FF"/>
        </w:rPr>
        <w:t>Amended and Restated Certificate of Incorporation, as currently in effect.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Restated Bylaws, as currently in effect.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Form of Common Stock Certificate.</w:t>
      </w:r>
    </w:p>
    <w:p>
      <w:pPr>
        <w:spacing w:after="0" w:line="3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9"/>
          <w:szCs w:val="19"/>
          <w:u w:val="single" w:color="auto"/>
          <w:color w:val="0000FF"/>
        </w:rPr>
        <w:t>Description of the Registrant’s Securities Registered Pursuant to Section 12 of the Securities Exchange Act of 1934</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80" w:type="dxa"/>
            <w:vAlign w:val="bottom"/>
          </w:tcPr>
          <w:p>
            <w:pPr>
              <w:spacing w:after="0"/>
              <w:rPr>
                <w:sz w:val="16"/>
                <w:szCs w:val="16"/>
                <w:color w:val="auto"/>
              </w:rPr>
            </w:pPr>
          </w:p>
        </w:tc>
        <w:tc>
          <w:tcPr>
            <w:tcW w:w="12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80" w:type="dxa"/>
            <w:vAlign w:val="bottom"/>
          </w:tcPr>
          <w:p>
            <w:pPr>
              <w:spacing w:after="0"/>
              <w:rPr>
                <w:sz w:val="16"/>
                <w:szCs w:val="16"/>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w:t>
            </w:r>
          </w:p>
        </w:tc>
        <w:tc>
          <w:tcPr>
            <w:tcW w:w="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214"/>
        </w:trPr>
        <w:tc>
          <w:tcPr>
            <w:tcW w:w="6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6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260"/>
        </w:trPr>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8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8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10.26</w:t>
            </w:r>
          </w:p>
        </w:tc>
        <w:tc>
          <w:tcPr>
            <w:tcW w:w="8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August 7, 2023</w:t>
            </w: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6"/>
        </w:trPr>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8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5"/>
              </w:rPr>
              <w:t>3.1</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10, 2023</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333-206849</w:t>
            </w:r>
          </w:p>
        </w:tc>
        <w:tc>
          <w:tcPr>
            <w:tcW w:w="8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5"/>
              </w:rPr>
              <w:t>4.1</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23, 2015</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8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5"/>
              </w:rPr>
              <w:t>4.3</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March 2, 2020</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04" w:lineRule="exact"/>
        <w:rPr>
          <w:sz w:val="20"/>
          <w:szCs w:val="20"/>
          <w:color w:val="auto"/>
        </w:rPr>
      </w:pPr>
    </w:p>
    <w:p>
      <w:pPr>
        <w:sectPr>
          <w:pgSz w:w="12240" w:h="15840" w:orient="portrait"/>
          <w:cols w:equalWidth="0" w:num="3">
            <w:col w:w="750" w:space="320"/>
            <w:col w:w="3300" w:space="560"/>
            <w:col w:w="5340"/>
          </w:cols>
          <w:pgMar w:left="990" w:top="786" w:right="980" w:bottom="0" w:gutter="0" w:footer="0" w:header="0"/>
          <w:type w:val="continuous"/>
        </w:sectPr>
      </w:pPr>
    </w:p>
    <w:tbl>
      <w:tblPr>
        <w:tblLayout w:type="fixed"/>
        <w:tblInd w:w="50" w:type="dxa"/>
        <w:tblCellMar>
          <w:top w:w="0" w:type="dxa"/>
          <w:left w:w="0" w:type="dxa"/>
          <w:bottom w:w="0" w:type="dxa"/>
          <w:right w:w="0" w:type="dxa"/>
        </w:tblCellMar>
      </w:tblPr>
      <w:tr>
        <w:trPr>
          <w:trHeight w:val="242"/>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25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Form of Indemnity Agreement.</w:t>
            </w:r>
          </w:p>
        </w:tc>
        <w:tc>
          <w:tcPr>
            <w:tcW w:w="122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315"/>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37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rPr>
              <w:t>Amended and Restated 2006 Equity Incentive</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2980" w:type="dxa"/>
            <w:vAlign w:val="bottom"/>
            <w:tcBorders>
              <w:bottom w:val="single" w:sz="8" w:color="0000FF"/>
            </w:tcBorders>
            <w:gridSpan w:val="7"/>
          </w:tcPr>
          <w:p>
            <w:pPr>
              <w:spacing w:after="0" w:line="180" w:lineRule="exact"/>
              <w:rPr>
                <w:sz w:val="20"/>
                <w:szCs w:val="20"/>
                <w:color w:val="auto"/>
              </w:rPr>
            </w:pPr>
            <w:r>
              <w:rPr>
                <w:rFonts w:ascii="Times New Roman" w:cs="Times New Roman" w:eastAsia="Times New Roman" w:hAnsi="Times New Roman"/>
                <w:sz w:val="20"/>
                <w:szCs w:val="20"/>
                <w:color w:val="0000FF"/>
                <w:w w:val="99"/>
              </w:rPr>
              <w:t>Plan and forms of award agreements.</w:t>
            </w:r>
          </w:p>
        </w:tc>
        <w:tc>
          <w:tcPr>
            <w:tcW w:w="76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335"/>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374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2017 Equity Incentive Plan, and forms of</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360" w:type="dxa"/>
            <w:vAlign w:val="bottom"/>
            <w:tcBorders>
              <w:top w:val="single" w:sz="8" w:color="0000FF"/>
            </w:tcBorders>
            <w:gridSpan w:val="11"/>
          </w:tcPr>
          <w:p>
            <w:pPr>
              <w:spacing w:after="0" w:line="180" w:lineRule="exact"/>
              <w:rPr>
                <w:sz w:val="20"/>
                <w:szCs w:val="20"/>
                <w:color w:val="auto"/>
              </w:rPr>
            </w:pPr>
            <w:r>
              <w:rPr>
                <w:rFonts w:ascii="Times New Roman" w:cs="Times New Roman" w:eastAsia="Times New Roman" w:hAnsi="Times New Roman"/>
                <w:sz w:val="20"/>
                <w:szCs w:val="20"/>
                <w:color w:val="0000FF"/>
              </w:rPr>
              <w:t>award agreements.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10.4*</w:t>
            </w:r>
          </w:p>
        </w:tc>
        <w:tc>
          <w:tcPr>
            <w:tcW w:w="15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020" w:type="dxa"/>
            <w:vAlign w:val="bottom"/>
            <w:vMerge w:val="continue"/>
          </w:tcPr>
          <w:p>
            <w:pPr>
              <w:spacing w:after="0"/>
              <w:rPr>
                <w:sz w:val="24"/>
                <w:szCs w:val="24"/>
                <w:color w:val="auto"/>
              </w:rPr>
            </w:pPr>
          </w:p>
        </w:tc>
        <w:tc>
          <w:tcPr>
            <w:tcW w:w="374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2017 Employee Stock Purchase Plan, and</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2240" w:type="dxa"/>
            <w:vAlign w:val="bottom"/>
            <w:tcBorders>
              <w:top w:val="single" w:sz="8" w:color="0000FF"/>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9"/>
              </w:rPr>
              <w:t>forms of award agreements.</w:t>
            </w:r>
          </w:p>
        </w:tc>
        <w:tc>
          <w:tcPr>
            <w:tcW w:w="116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374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Collaboration and Exclusive License</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000" w:type="dxa"/>
            <w:vAlign w:val="bottom"/>
            <w:tcBorders>
              <w:top w:val="single" w:sz="8" w:color="0000FF"/>
            </w:tcBorders>
            <w:gridSpan w:val="8"/>
          </w:tcPr>
          <w:p>
            <w:pPr>
              <w:spacing w:after="0" w:line="180" w:lineRule="exact"/>
              <w:rPr>
                <w:sz w:val="20"/>
                <w:szCs w:val="20"/>
                <w:color w:val="auto"/>
              </w:rPr>
            </w:pPr>
            <w:r>
              <w:rPr>
                <w:rFonts w:ascii="Times New Roman" w:cs="Times New Roman" w:eastAsia="Times New Roman" w:hAnsi="Times New Roman"/>
                <w:sz w:val="20"/>
                <w:szCs w:val="20"/>
                <w:color w:val="0000FF"/>
                <w:w w:val="97"/>
              </w:rPr>
              <w:t>Agreement, dated March 10, 2014, by</w:t>
            </w:r>
          </w:p>
        </w:tc>
        <w:tc>
          <w:tcPr>
            <w:tcW w:w="60" w:type="dxa"/>
            <w:vAlign w:val="bottom"/>
          </w:tcPr>
          <w:p>
            <w:pPr>
              <w:spacing w:after="0"/>
              <w:rPr>
                <w:sz w:val="15"/>
                <w:szCs w:val="15"/>
                <w:color w:val="auto"/>
              </w:rPr>
            </w:pPr>
          </w:p>
        </w:tc>
        <w:tc>
          <w:tcPr>
            <w:tcW w:w="680" w:type="dxa"/>
            <w:vAlign w:val="bottom"/>
            <w:gridSpan w:val="12"/>
          </w:tcPr>
          <w:p>
            <w:pPr>
              <w:ind w:left="40"/>
              <w:spacing w:after="0" w:line="180" w:lineRule="exact"/>
              <w:rPr>
                <w:sz w:val="20"/>
                <w:szCs w:val="20"/>
                <w:color w:val="auto"/>
              </w:rPr>
            </w:pPr>
            <w:r>
              <w:rPr>
                <w:rFonts w:ascii="Times New Roman" w:cs="Times New Roman" w:eastAsia="Times New Roman" w:hAnsi="Times New Roman"/>
                <w:sz w:val="20"/>
                <w:szCs w:val="20"/>
                <w:color w:val="0000FF"/>
              </w:rPr>
              <w:t>and</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440" w:type="dxa"/>
            <w:vAlign w:val="bottom"/>
            <w:tcBorders>
              <w:top w:val="single" w:sz="8" w:color="0000FF"/>
            </w:tcBorders>
            <w:gridSpan w:val="15"/>
          </w:tcPr>
          <w:p>
            <w:pPr>
              <w:spacing w:after="0" w:line="180" w:lineRule="exact"/>
              <w:rPr>
                <w:sz w:val="20"/>
                <w:szCs w:val="20"/>
                <w:color w:val="auto"/>
              </w:rPr>
            </w:pPr>
            <w:r>
              <w:rPr>
                <w:rFonts w:ascii="Times New Roman" w:cs="Times New Roman" w:eastAsia="Times New Roman" w:hAnsi="Times New Roman"/>
                <w:sz w:val="20"/>
                <w:szCs w:val="20"/>
                <w:color w:val="0000FF"/>
              </w:rPr>
              <w:t>among the Registrant, TESARO, Inc. and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380" w:type="dxa"/>
            <w:vAlign w:val="bottom"/>
            <w:tcBorders>
              <w:top w:val="single" w:sz="8" w:color="0000FF"/>
              <w:bottom w:val="single" w:sz="8" w:color="0000FF"/>
            </w:tcBorders>
            <w:gridSpan w:val="12"/>
          </w:tcPr>
          <w:p>
            <w:pPr>
              <w:spacing w:after="0" w:line="180" w:lineRule="exact"/>
              <w:rPr>
                <w:sz w:val="20"/>
                <w:szCs w:val="20"/>
                <w:color w:val="auto"/>
              </w:rPr>
            </w:pPr>
            <w:r>
              <w:rPr>
                <w:rFonts w:ascii="Times New Roman" w:cs="Times New Roman" w:eastAsia="Times New Roman" w:hAnsi="Times New Roman"/>
                <w:sz w:val="20"/>
                <w:szCs w:val="20"/>
                <w:color w:val="0000FF"/>
                <w:w w:val="98"/>
              </w:rPr>
              <w:t>TESARO Development, Ltd., as amended.</w:t>
            </w: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6"/>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0000FF"/>
                <w:w w:val="99"/>
              </w:rPr>
              <w:t>Wateridge Lease Agreement.</w:t>
            </w:r>
          </w:p>
        </w:tc>
        <w:tc>
          <w:tcPr>
            <w:tcW w:w="1400" w:type="dxa"/>
            <w:vAlign w:val="bottom"/>
            <w:gridSpan w:val="18"/>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1020" w:type="dxa"/>
            <w:vAlign w:val="bottom"/>
          </w:tcPr>
          <w:p>
            <w:pPr>
              <w:spacing w:after="0"/>
              <w:rPr>
                <w:sz w:val="2"/>
                <w:szCs w:val="2"/>
                <w:color w:val="auto"/>
              </w:rPr>
            </w:pPr>
          </w:p>
        </w:tc>
        <w:tc>
          <w:tcPr>
            <w:tcW w:w="2340" w:type="dxa"/>
            <w:vAlign w:val="bottom"/>
            <w:tcBorders>
              <w:bottom w:val="single" w:sz="8" w:color="0000FF"/>
            </w:tcBorders>
            <w:gridSpan w:val="3"/>
            <w:vMerge w:val="continue"/>
          </w:tcPr>
          <w:p>
            <w:pPr>
              <w:spacing w:after="0"/>
              <w:rPr>
                <w:sz w:val="2"/>
                <w:szCs w:val="2"/>
                <w:color w:val="auto"/>
              </w:rPr>
            </w:pPr>
          </w:p>
        </w:tc>
        <w:tc>
          <w:tcPr>
            <w:tcW w:w="1400" w:type="dxa"/>
            <w:vAlign w:val="bottom"/>
            <w:gridSpan w:val="18"/>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05"/>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29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Amended and Restated Employment</w:t>
            </w:r>
          </w:p>
        </w:tc>
        <w:tc>
          <w:tcPr>
            <w:tcW w:w="7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740" w:type="dxa"/>
            <w:vAlign w:val="bottom"/>
            <w:gridSpan w:val="21"/>
          </w:tcPr>
          <w:p>
            <w:pPr>
              <w:spacing w:after="0" w:line="180" w:lineRule="exact"/>
              <w:rPr>
                <w:sz w:val="20"/>
                <w:szCs w:val="20"/>
                <w:color w:val="auto"/>
              </w:rPr>
            </w:pPr>
            <w:r>
              <w:rPr>
                <w:rFonts w:ascii="Times New Roman" w:cs="Times New Roman" w:eastAsia="Times New Roman" w:hAnsi="Times New Roman"/>
                <w:sz w:val="20"/>
                <w:szCs w:val="20"/>
                <w:color w:val="0000FF"/>
              </w:rPr>
              <w:t>Agreement, effective May 8, 2023, by and</w:t>
            </w:r>
          </w:p>
        </w:tc>
        <w:tc>
          <w:tcPr>
            <w:tcW w:w="0" w:type="dxa"/>
            <w:vAlign w:val="bottom"/>
          </w:tcPr>
          <w:p>
            <w:pPr>
              <w:spacing w:after="0"/>
              <w:rPr>
                <w:sz w:val="1"/>
                <w:szCs w:val="1"/>
                <w:color w:val="auto"/>
              </w:rPr>
            </w:pPr>
          </w:p>
        </w:tc>
      </w:tr>
      <w:tr>
        <w:trPr>
          <w:trHeight w:val="180"/>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10.8*</w:t>
            </w:r>
          </w:p>
        </w:tc>
        <w:tc>
          <w:tcPr>
            <w:tcW w:w="3420" w:type="dxa"/>
            <w:vAlign w:val="bottom"/>
            <w:tcBorders>
              <w:top w:val="single" w:sz="8" w:color="0000FF"/>
              <w:bottom w:val="single" w:sz="8" w:color="0000FF"/>
            </w:tcBorders>
            <w:gridSpan w:val="14"/>
          </w:tcPr>
          <w:p>
            <w:pPr>
              <w:spacing w:after="0" w:line="180" w:lineRule="exact"/>
              <w:rPr>
                <w:sz w:val="20"/>
                <w:szCs w:val="20"/>
                <w:color w:val="auto"/>
              </w:rPr>
            </w:pPr>
            <w:r>
              <w:rPr>
                <w:rFonts w:ascii="Times New Roman" w:cs="Times New Roman" w:eastAsia="Times New Roman" w:hAnsi="Times New Roman"/>
                <w:sz w:val="20"/>
                <w:szCs w:val="20"/>
                <w:color w:val="0000FF"/>
              </w:rPr>
              <w:t>between the Registrant and Eric Loumeau</w:t>
            </w:r>
          </w:p>
        </w:tc>
        <w:tc>
          <w:tcPr>
            <w:tcW w:w="60" w:type="dxa"/>
            <w:vAlign w:val="bottom"/>
            <w:tcBorders>
              <w:top w:val="single" w:sz="8" w:color="0000FF"/>
            </w:tcBorders>
            <w:gridSpan w:val="3"/>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5"/>
        </w:trPr>
        <w:tc>
          <w:tcPr>
            <w:tcW w:w="1020" w:type="dxa"/>
            <w:vAlign w:val="bottom"/>
            <w:vMerge w:val="continue"/>
          </w:tcPr>
          <w:p>
            <w:pPr>
              <w:spacing w:after="0"/>
              <w:rPr>
                <w:sz w:val="24"/>
                <w:szCs w:val="24"/>
                <w:color w:val="auto"/>
              </w:rPr>
            </w:pPr>
          </w:p>
        </w:tc>
        <w:tc>
          <w:tcPr>
            <w:tcW w:w="374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Amended and Restated Employment</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2980" w:type="dxa"/>
            <w:vAlign w:val="bottom"/>
            <w:tcBorders>
              <w:top w:val="single" w:sz="8" w:color="0000FF"/>
            </w:tcBorders>
            <w:gridSpan w:val="7"/>
          </w:tcPr>
          <w:p>
            <w:pPr>
              <w:spacing w:after="0" w:line="180" w:lineRule="exact"/>
              <w:rPr>
                <w:sz w:val="20"/>
                <w:szCs w:val="20"/>
                <w:color w:val="auto"/>
              </w:rPr>
            </w:pPr>
            <w:r>
              <w:rPr>
                <w:rFonts w:ascii="Times New Roman" w:cs="Times New Roman" w:eastAsia="Times New Roman" w:hAnsi="Times New Roman"/>
                <w:sz w:val="20"/>
                <w:szCs w:val="20"/>
                <w:color w:val="0000FF"/>
                <w:w w:val="99"/>
              </w:rPr>
              <w:t>Agreement, effective April 25, 2022,</w:t>
            </w:r>
          </w:p>
        </w:tc>
        <w:tc>
          <w:tcPr>
            <w:tcW w:w="760" w:type="dxa"/>
            <w:vAlign w:val="bottom"/>
            <w:gridSpan w:val="14"/>
          </w:tcPr>
          <w:p>
            <w:pPr>
              <w:ind w:left="40"/>
              <w:spacing w:after="0" w:line="180" w:lineRule="exact"/>
              <w:rPr>
                <w:sz w:val="20"/>
                <w:szCs w:val="20"/>
                <w:color w:val="auto"/>
              </w:rPr>
            </w:pPr>
            <w:r>
              <w:rPr>
                <w:rFonts w:ascii="Times New Roman" w:cs="Times New Roman" w:eastAsia="Times New Roman" w:hAnsi="Times New Roman"/>
                <w:sz w:val="20"/>
                <w:szCs w:val="20"/>
                <w:color w:val="0000FF"/>
              </w:rPr>
              <w:t>by and</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460" w:type="dxa"/>
            <w:vAlign w:val="bottom"/>
            <w:tcBorders>
              <w:top w:val="single" w:sz="8" w:color="0000FF"/>
              <w:bottom w:val="single" w:sz="8" w:color="0000FF"/>
            </w:tcBorders>
            <w:gridSpan w:val="16"/>
          </w:tcPr>
          <w:p>
            <w:pPr>
              <w:spacing w:after="0" w:line="180" w:lineRule="exact"/>
              <w:rPr>
                <w:sz w:val="20"/>
                <w:szCs w:val="20"/>
                <w:color w:val="auto"/>
              </w:rPr>
            </w:pPr>
            <w:r>
              <w:rPr>
                <w:rFonts w:ascii="Times New Roman" w:cs="Times New Roman" w:eastAsia="Times New Roman" w:hAnsi="Times New Roman"/>
                <w:sz w:val="20"/>
                <w:szCs w:val="20"/>
                <w:color w:val="0000FF"/>
              </w:rPr>
              <w:t>between the Registrant and Dennis Mulroy</w:t>
            </w:r>
          </w:p>
        </w:tc>
        <w:tc>
          <w:tcPr>
            <w:tcW w:w="14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374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Amended and Restated Employment</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2980" w:type="dxa"/>
            <w:vAlign w:val="bottom"/>
            <w:tcBorders>
              <w:top w:val="single" w:sz="8" w:color="0000FF"/>
            </w:tcBorders>
            <w:gridSpan w:val="7"/>
          </w:tcPr>
          <w:p>
            <w:pPr>
              <w:spacing w:after="0" w:line="180" w:lineRule="exact"/>
              <w:rPr>
                <w:sz w:val="20"/>
                <w:szCs w:val="20"/>
                <w:color w:val="auto"/>
              </w:rPr>
            </w:pPr>
            <w:r>
              <w:rPr>
                <w:rFonts w:ascii="Times New Roman" w:cs="Times New Roman" w:eastAsia="Times New Roman" w:hAnsi="Times New Roman"/>
                <w:sz w:val="20"/>
                <w:szCs w:val="20"/>
                <w:color w:val="0000FF"/>
                <w:w w:val="99"/>
              </w:rPr>
              <w:t>Agreement, effective April 25, 2022,</w:t>
            </w:r>
          </w:p>
        </w:tc>
        <w:tc>
          <w:tcPr>
            <w:tcW w:w="760" w:type="dxa"/>
            <w:vAlign w:val="bottom"/>
            <w:gridSpan w:val="14"/>
          </w:tcPr>
          <w:p>
            <w:pPr>
              <w:ind w:left="40"/>
              <w:spacing w:after="0" w:line="180" w:lineRule="exact"/>
              <w:rPr>
                <w:sz w:val="20"/>
                <w:szCs w:val="20"/>
                <w:color w:val="auto"/>
              </w:rPr>
            </w:pPr>
            <w:r>
              <w:rPr>
                <w:rFonts w:ascii="Times New Roman" w:cs="Times New Roman" w:eastAsia="Times New Roman" w:hAnsi="Times New Roman"/>
                <w:sz w:val="20"/>
                <w:szCs w:val="20"/>
                <w:color w:val="0000FF"/>
              </w:rPr>
              <w:t>by and</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600" w:type="dxa"/>
            <w:vAlign w:val="bottom"/>
            <w:tcBorders>
              <w:top w:val="single" w:sz="8" w:color="0000FF"/>
            </w:tcBorders>
            <w:gridSpan w:val="19"/>
          </w:tcPr>
          <w:p>
            <w:pPr>
              <w:spacing w:after="0" w:line="180" w:lineRule="exact"/>
              <w:rPr>
                <w:sz w:val="20"/>
                <w:szCs w:val="20"/>
                <w:color w:val="auto"/>
              </w:rPr>
            </w:pPr>
            <w:r>
              <w:rPr>
                <w:rFonts w:ascii="Times New Roman" w:cs="Times New Roman" w:eastAsia="Times New Roman" w:hAnsi="Times New Roman"/>
                <w:sz w:val="20"/>
                <w:szCs w:val="20"/>
                <w:color w:val="0000FF"/>
              </w:rPr>
              <w:t>between Registrant and Paul Lizzul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10.10++</w:t>
            </w:r>
          </w:p>
        </w:tc>
        <w:tc>
          <w:tcPr>
            <w:tcW w:w="35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20"/>
                <w:szCs w:val="20"/>
                <w:color w:val="0000FF"/>
              </w:rPr>
              <w:t>Amendment No. 3 to the Collaboration and</w:t>
            </w:r>
          </w:p>
        </w:tc>
        <w:tc>
          <w:tcPr>
            <w:tcW w:w="1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1020" w:type="dxa"/>
            <w:vAlign w:val="bottom"/>
            <w:vMerge w:val="continue"/>
          </w:tcPr>
          <w:p>
            <w:pPr>
              <w:spacing w:after="0"/>
              <w:rPr>
                <w:sz w:val="4"/>
                <w:szCs w:val="4"/>
                <w:color w:val="auto"/>
              </w:rPr>
            </w:pPr>
          </w:p>
        </w:tc>
        <w:tc>
          <w:tcPr>
            <w:tcW w:w="2400" w:type="dxa"/>
            <w:vAlign w:val="bottom"/>
            <w:gridSpan w:val="4"/>
            <w:vMerge w:val="restart"/>
          </w:tcPr>
          <w:p>
            <w:pPr>
              <w:spacing w:after="0" w:line="180" w:lineRule="exact"/>
              <w:rPr>
                <w:sz w:val="20"/>
                <w:szCs w:val="20"/>
                <w:color w:val="auto"/>
              </w:rPr>
            </w:pPr>
            <w:r>
              <w:rPr>
                <w:rFonts w:ascii="Times New Roman" w:cs="Times New Roman" w:eastAsia="Times New Roman" w:hAnsi="Times New Roman"/>
                <w:sz w:val="20"/>
                <w:szCs w:val="20"/>
                <w:color w:val="0000FF"/>
                <w:w w:val="99"/>
              </w:rPr>
              <w:t>Exclusive License Agreement</w:t>
            </w:r>
          </w:p>
        </w:tc>
        <w:tc>
          <w:tcPr>
            <w:tcW w:w="1340" w:type="dxa"/>
            <w:vAlign w:val="bottom"/>
            <w:gridSpan w:val="17"/>
            <w:vMerge w:val="restart"/>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10.11++</w:t>
            </w:r>
          </w:p>
        </w:tc>
        <w:tc>
          <w:tcPr>
            <w:tcW w:w="2400" w:type="dxa"/>
            <w:vAlign w:val="bottom"/>
            <w:tcBorders>
              <w:bottom w:val="single" w:sz="8" w:color="0000FF"/>
            </w:tcBorders>
            <w:gridSpan w:val="4"/>
            <w:vMerge w:val="continue"/>
          </w:tcPr>
          <w:p>
            <w:pPr>
              <w:spacing w:after="0"/>
              <w:rPr>
                <w:sz w:val="11"/>
                <w:szCs w:val="11"/>
                <w:color w:val="auto"/>
              </w:rPr>
            </w:pPr>
          </w:p>
        </w:tc>
        <w:tc>
          <w:tcPr>
            <w:tcW w:w="1340" w:type="dxa"/>
            <w:vAlign w:val="bottom"/>
            <w:gridSpan w:val="1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020" w:type="dxa"/>
            <w:vAlign w:val="bottom"/>
            <w:vMerge w:val="continue"/>
          </w:tcPr>
          <w:p>
            <w:pPr>
              <w:spacing w:after="0"/>
              <w:rPr>
                <w:sz w:val="18"/>
                <w:szCs w:val="18"/>
                <w:color w:val="auto"/>
              </w:rPr>
            </w:pPr>
          </w:p>
        </w:tc>
        <w:tc>
          <w:tcPr>
            <w:tcW w:w="3420" w:type="dxa"/>
            <w:vAlign w:val="bottom"/>
            <w:tcBorders>
              <w:bottom w:val="single" w:sz="8" w:color="0000FF"/>
            </w:tcBorders>
            <w:gridSpan w:val="14"/>
          </w:tcPr>
          <w:p>
            <w:pPr>
              <w:spacing w:after="0" w:line="207" w:lineRule="exact"/>
              <w:rPr>
                <w:sz w:val="20"/>
                <w:szCs w:val="20"/>
                <w:color w:val="auto"/>
              </w:rPr>
            </w:pPr>
            <w:r>
              <w:rPr>
                <w:rFonts w:ascii="Times New Roman" w:cs="Times New Roman" w:eastAsia="Times New Roman" w:hAnsi="Times New Roman"/>
                <w:sz w:val="20"/>
                <w:szCs w:val="20"/>
                <w:color w:val="0000FF"/>
              </w:rPr>
              <w:t>Confidential Settlement and Modification</w:t>
            </w:r>
          </w:p>
        </w:tc>
        <w:tc>
          <w:tcPr>
            <w:tcW w:w="3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10.12</w:t>
            </w:r>
          </w:p>
        </w:tc>
        <w:tc>
          <w:tcPr>
            <w:tcW w:w="3740" w:type="dxa"/>
            <w:vAlign w:val="bottom"/>
            <w:gridSpan w:val="21"/>
          </w:tcPr>
          <w:p>
            <w:pPr>
              <w:spacing w:after="0" w:line="210" w:lineRule="exact"/>
              <w:rPr>
                <w:sz w:val="20"/>
                <w:szCs w:val="20"/>
                <w:color w:val="auto"/>
              </w:rPr>
            </w:pPr>
            <w:r>
              <w:rPr>
                <w:rFonts w:ascii="Times New Roman" w:cs="Times New Roman" w:eastAsia="Times New Roman" w:hAnsi="Times New Roman"/>
                <w:sz w:val="20"/>
                <w:szCs w:val="20"/>
                <w:color w:val="0000FF"/>
              </w:rPr>
              <w:t>Agreement dated as of October 23, 2020</w:t>
            </w:r>
          </w:p>
        </w:tc>
        <w:tc>
          <w:tcPr>
            <w:tcW w:w="0" w:type="dxa"/>
            <w:vAlign w:val="bottom"/>
          </w:tcPr>
          <w:p>
            <w:pPr>
              <w:spacing w:after="0"/>
              <w:rPr>
                <w:sz w:val="1"/>
                <w:szCs w:val="1"/>
                <w:color w:val="auto"/>
              </w:rPr>
            </w:pPr>
          </w:p>
        </w:tc>
      </w:tr>
      <w:tr>
        <w:trPr>
          <w:trHeight w:val="255"/>
        </w:trPr>
        <w:tc>
          <w:tcPr>
            <w:tcW w:w="1020" w:type="dxa"/>
            <w:vAlign w:val="bottom"/>
            <w:vMerge w:val="continue"/>
          </w:tcPr>
          <w:p>
            <w:pPr>
              <w:spacing w:after="0"/>
              <w:rPr>
                <w:sz w:val="22"/>
                <w:szCs w:val="22"/>
                <w:color w:val="auto"/>
              </w:rPr>
            </w:pPr>
          </w:p>
        </w:tc>
        <w:tc>
          <w:tcPr>
            <w:tcW w:w="32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rPr>
              <w:t>First Amendment to Lease Agreement</w:t>
            </w:r>
          </w:p>
        </w:tc>
        <w:tc>
          <w:tcPr>
            <w:tcW w:w="50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060" w:type="dxa"/>
            <w:vAlign w:val="bottom"/>
            <w:gridSpan w:val="9"/>
            <w:shd w:val="clear" w:color="auto" w:fill="0000FF"/>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374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Royalty Purchase Agreement, dated October</w:t>
            </w:r>
          </w:p>
        </w:tc>
        <w:tc>
          <w:tcPr>
            <w:tcW w:w="0" w:type="dxa"/>
            <w:vAlign w:val="bottom"/>
          </w:tcPr>
          <w:p>
            <w:pPr>
              <w:spacing w:after="0"/>
              <w:rPr>
                <w:sz w:val="1"/>
                <w:szCs w:val="1"/>
                <w:color w:val="auto"/>
              </w:rPr>
            </w:pPr>
          </w:p>
        </w:tc>
      </w:tr>
      <w:tr>
        <w:trPr>
          <w:trHeight w:val="185"/>
        </w:trPr>
        <w:tc>
          <w:tcPr>
            <w:tcW w:w="1020" w:type="dxa"/>
            <w:vAlign w:val="bottom"/>
          </w:tcPr>
          <w:p>
            <w:pPr>
              <w:spacing w:after="0"/>
              <w:rPr>
                <w:sz w:val="16"/>
                <w:szCs w:val="16"/>
                <w:color w:val="auto"/>
              </w:rPr>
            </w:pPr>
          </w:p>
        </w:tc>
        <w:tc>
          <w:tcPr>
            <w:tcW w:w="3620" w:type="dxa"/>
            <w:vAlign w:val="bottom"/>
            <w:tcBorders>
              <w:top w:val="single" w:sz="8" w:color="0000FF"/>
            </w:tcBorders>
            <w:gridSpan w:val="20"/>
          </w:tcPr>
          <w:p>
            <w:pPr>
              <w:spacing w:after="0" w:line="185" w:lineRule="exact"/>
              <w:rPr>
                <w:sz w:val="20"/>
                <w:szCs w:val="20"/>
                <w:color w:val="auto"/>
              </w:rPr>
            </w:pPr>
            <w:r>
              <w:rPr>
                <w:rFonts w:ascii="Times New Roman" w:cs="Times New Roman" w:eastAsia="Times New Roman" w:hAnsi="Times New Roman"/>
                <w:sz w:val="20"/>
                <w:szCs w:val="20"/>
                <w:u w:val="single" w:color="auto"/>
                <w:color w:val="0000FF"/>
              </w:rPr>
              <w:t>25, 2021, by and between the Registrant and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070"/>
        <w:spacing w:after="0"/>
        <w:rPr>
          <w:sz w:val="20"/>
          <w:szCs w:val="20"/>
          <w:color w:val="auto"/>
        </w:rPr>
      </w:pPr>
      <w:r>
        <w:rPr>
          <w:rFonts w:ascii="Times New Roman" w:cs="Times New Roman" w:eastAsia="Times New Roman" w:hAnsi="Times New Roman"/>
          <w:sz w:val="20"/>
          <w:szCs w:val="20"/>
          <w:u w:val="single" w:color="auto"/>
          <w:color w:val="0000FF"/>
        </w:rPr>
        <w:t>Sagard Healthcare Royalty Partners, LP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56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rPr>
              <w:t>S-1</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333-206849</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66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September 9, 2015</w:t>
            </w:r>
          </w:p>
        </w:tc>
      </w:tr>
      <w:tr>
        <w:trPr>
          <w:trHeight w:val="315"/>
        </w:trPr>
        <w:tc>
          <w:tcPr>
            <w:tcW w:w="56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rPr>
              <w:t>S-1</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333-206849</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16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9"/>
              </w:rPr>
              <w:t>January 17, 2017</w:t>
            </w:r>
          </w:p>
        </w:tc>
      </w:tr>
      <w:tr>
        <w:trPr>
          <w:trHeight w:val="555"/>
        </w:trPr>
        <w:tc>
          <w:tcPr>
            <w:tcW w:w="56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rPr>
              <w:t>S-1</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333-206849</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16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9"/>
              </w:rPr>
              <w:t>January 17, 2017</w:t>
            </w:r>
          </w:p>
        </w:tc>
      </w:tr>
      <w:tr>
        <w:trPr>
          <w:trHeight w:val="555"/>
        </w:trPr>
        <w:tc>
          <w:tcPr>
            <w:tcW w:w="56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rPr>
              <w:t>S-1</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333-206849</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10.4</w:t>
            </w:r>
          </w:p>
        </w:tc>
        <w:tc>
          <w:tcPr>
            <w:tcW w:w="16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9"/>
              </w:rPr>
              <w:t>January 17, 2017</w:t>
            </w:r>
          </w:p>
        </w:tc>
      </w:tr>
      <w:tr>
        <w:trPr>
          <w:trHeight w:val="555"/>
        </w:trPr>
        <w:tc>
          <w:tcPr>
            <w:tcW w:w="56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rPr>
              <w:t>S-1</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333-206849</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10.10</w:t>
            </w:r>
          </w:p>
        </w:tc>
        <w:tc>
          <w:tcPr>
            <w:tcW w:w="16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May 10, 2016</w:t>
            </w:r>
          </w:p>
        </w:tc>
      </w:tr>
      <w:tr>
        <w:trPr>
          <w:trHeight w:val="900"/>
        </w:trPr>
        <w:tc>
          <w:tcPr>
            <w:tcW w:w="56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10.16</w:t>
            </w:r>
          </w:p>
        </w:tc>
        <w:tc>
          <w:tcPr>
            <w:tcW w:w="166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May 6, 2020</w:t>
            </w:r>
          </w:p>
        </w:tc>
      </w:tr>
      <w:tr>
        <w:trPr>
          <w:trHeight w:val="405"/>
        </w:trPr>
        <w:tc>
          <w:tcPr>
            <w:tcW w:w="56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10.25</w:t>
            </w:r>
          </w:p>
        </w:tc>
        <w:tc>
          <w:tcPr>
            <w:tcW w:w="16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May 11, 2023</w:t>
            </w:r>
          </w:p>
        </w:tc>
      </w:tr>
      <w:tr>
        <w:trPr>
          <w:trHeight w:val="645"/>
        </w:trPr>
        <w:tc>
          <w:tcPr>
            <w:tcW w:w="56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16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8"/>
              </w:rPr>
              <w:t>April 29, 2022</w:t>
            </w:r>
          </w:p>
        </w:tc>
      </w:tr>
      <w:tr>
        <w:trPr>
          <w:trHeight w:val="825"/>
        </w:trPr>
        <w:tc>
          <w:tcPr>
            <w:tcW w:w="56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6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8"/>
              </w:rPr>
              <w:t>April 29, 2022</w:t>
            </w:r>
          </w:p>
        </w:tc>
      </w:tr>
      <w:tr>
        <w:trPr>
          <w:trHeight w:val="795"/>
        </w:trPr>
        <w:tc>
          <w:tcPr>
            <w:tcW w:w="56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10.16</w:t>
            </w:r>
          </w:p>
        </w:tc>
        <w:tc>
          <w:tcPr>
            <w:tcW w:w="16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February 25, 2021</w:t>
            </w:r>
          </w:p>
        </w:tc>
      </w:tr>
      <w:tr>
        <w:trPr>
          <w:trHeight w:val="405"/>
        </w:trPr>
        <w:tc>
          <w:tcPr>
            <w:tcW w:w="56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10.18</w:t>
            </w:r>
          </w:p>
        </w:tc>
        <w:tc>
          <w:tcPr>
            <w:tcW w:w="16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February 25, 2021</w:t>
            </w:r>
          </w:p>
        </w:tc>
      </w:tr>
      <w:tr>
        <w:trPr>
          <w:trHeight w:val="480"/>
        </w:trPr>
        <w:tc>
          <w:tcPr>
            <w:tcW w:w="56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10.19</w:t>
            </w:r>
          </w:p>
        </w:tc>
        <w:tc>
          <w:tcPr>
            <w:tcW w:w="16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August 9, 2021</w:t>
            </w:r>
          </w:p>
        </w:tc>
      </w:tr>
      <w:tr>
        <w:trPr>
          <w:trHeight w:val="300"/>
        </w:trPr>
        <w:tc>
          <w:tcPr>
            <w:tcW w:w="56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2.1</w:t>
            </w:r>
          </w:p>
        </w:tc>
        <w:tc>
          <w:tcPr>
            <w:tcW w:w="16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December 1, 2021</w:t>
            </w:r>
          </w:p>
        </w:tc>
      </w:tr>
    </w:tbl>
    <w:p>
      <w:pPr>
        <w:spacing w:after="0" w:line="582" w:lineRule="exact"/>
        <w:rPr>
          <w:sz w:val="20"/>
          <w:szCs w:val="20"/>
          <w:color w:val="auto"/>
        </w:rPr>
      </w:pPr>
    </w:p>
    <w:p>
      <w:pPr>
        <w:sectPr>
          <w:pgSz w:w="12240" w:h="15840" w:orient="portrait"/>
          <w:cols w:equalWidth="0" w:num="2">
            <w:col w:w="4810" w:space="220"/>
            <w:col w:w="5240"/>
          </w:cols>
          <w:pgMar w:left="990" w:top="786"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270"/>
          </w:cols>
          <w:pgMar w:left="990" w:top="786" w:right="980" w:bottom="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11"/>
        </w:trPr>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40" w:type="dxa"/>
            <w:vAlign w:val="bottom"/>
          </w:tcPr>
          <w:p>
            <w:pPr>
              <w:spacing w:after="0"/>
              <w:rPr>
                <w:sz w:val="16"/>
                <w:szCs w:val="16"/>
                <w:color w:val="auto"/>
              </w:rPr>
            </w:pPr>
          </w:p>
        </w:tc>
        <w:tc>
          <w:tcPr>
            <w:tcW w:w="3320" w:type="dxa"/>
            <w:vAlign w:val="bottom"/>
            <w:gridSpan w:val="7"/>
            <w:vMerge w:val="restart"/>
          </w:tcPr>
          <w:p>
            <w:pPr>
              <w:ind w:left="68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Form</w:t>
            </w:r>
          </w:p>
        </w:tc>
        <w:tc>
          <w:tcPr>
            <w:tcW w:w="80" w:type="dxa"/>
            <w:vAlign w:val="bottom"/>
          </w:tcPr>
          <w:p>
            <w:pPr>
              <w:spacing w:after="0"/>
              <w:rPr>
                <w:sz w:val="16"/>
                <w:szCs w:val="16"/>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 No.</w:t>
            </w:r>
          </w:p>
        </w:tc>
        <w:tc>
          <w:tcPr>
            <w:tcW w:w="8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w:t>
            </w:r>
          </w:p>
        </w:tc>
        <w:tc>
          <w:tcPr>
            <w:tcW w:w="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214"/>
        </w:trPr>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340" w:type="dxa"/>
            <w:vAlign w:val="bottom"/>
          </w:tcPr>
          <w:p>
            <w:pPr>
              <w:spacing w:after="0"/>
              <w:rPr>
                <w:sz w:val="18"/>
                <w:szCs w:val="18"/>
                <w:color w:val="auto"/>
              </w:rPr>
            </w:pPr>
          </w:p>
        </w:tc>
        <w:tc>
          <w:tcPr>
            <w:tcW w:w="3320" w:type="dxa"/>
            <w:vAlign w:val="bottom"/>
            <w:gridSpan w:val="7"/>
            <w:vMerge w:val="continue"/>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198"/>
        </w:trPr>
        <w:tc>
          <w:tcPr>
            <w:tcW w:w="940" w:type="dxa"/>
            <w:vAlign w:val="bottom"/>
            <w:tcBorders>
              <w:top w:val="single" w:sz="8" w:color="auto"/>
            </w:tcBorders>
          </w:tcPr>
          <w:p>
            <w:pPr>
              <w:ind w:left="40"/>
              <w:spacing w:after="0" w:line="198" w:lineRule="exact"/>
              <w:rPr>
                <w:sz w:val="20"/>
                <w:szCs w:val="20"/>
                <w:color w:val="auto"/>
              </w:rPr>
            </w:pPr>
            <w:r>
              <w:rPr>
                <w:rFonts w:ascii="Times New Roman" w:cs="Times New Roman" w:eastAsia="Times New Roman" w:hAnsi="Times New Roman"/>
                <w:sz w:val="20"/>
                <w:szCs w:val="20"/>
                <w:color w:val="auto"/>
              </w:rPr>
              <w:t>10.14</w:t>
            </w: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660" w:type="dxa"/>
            <w:vAlign w:val="bottom"/>
            <w:tcBorders>
              <w:top w:val="single" w:sz="8" w:color="auto"/>
            </w:tcBorders>
            <w:gridSpan w:val="8"/>
          </w:tcPr>
          <w:p>
            <w:pPr>
              <w:spacing w:after="0" w:line="198" w:lineRule="exact"/>
              <w:rPr>
                <w:sz w:val="20"/>
                <w:szCs w:val="20"/>
                <w:color w:val="auto"/>
              </w:rPr>
            </w:pPr>
            <w:r>
              <w:rPr>
                <w:rFonts w:ascii="Times New Roman" w:cs="Times New Roman" w:eastAsia="Times New Roman" w:hAnsi="Times New Roman"/>
                <w:sz w:val="20"/>
                <w:szCs w:val="20"/>
                <w:color w:val="0000FF"/>
              </w:rPr>
              <w:t>Amendment No. 4 to Tesaro AnaptysBio</w:t>
            </w:r>
          </w:p>
        </w:tc>
        <w:tc>
          <w:tcPr>
            <w:tcW w:w="1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top w:val="single" w:sz="8" w:color="auto"/>
            </w:tcBorders>
          </w:tcPr>
          <w:p>
            <w:pPr>
              <w:ind w:left="100"/>
              <w:spacing w:after="0" w:line="198" w:lineRule="exact"/>
              <w:rPr>
                <w:sz w:val="20"/>
                <w:szCs w:val="20"/>
                <w:color w:val="auto"/>
              </w:rPr>
            </w:pPr>
            <w:r>
              <w:rPr>
                <w:rFonts w:ascii="Times New Roman" w:cs="Times New Roman" w:eastAsia="Times New Roman" w:hAnsi="Times New Roman"/>
                <w:sz w:val="20"/>
                <w:szCs w:val="20"/>
                <w:color w:val="auto"/>
              </w:rPr>
              <w:t>10-K</w:t>
            </w:r>
          </w:p>
        </w:tc>
        <w:tc>
          <w:tcPr>
            <w:tcW w:w="80" w:type="dxa"/>
            <w:vAlign w:val="bottom"/>
          </w:tcPr>
          <w:p>
            <w:pPr>
              <w:spacing w:after="0"/>
              <w:rPr>
                <w:sz w:val="17"/>
                <w:szCs w:val="17"/>
                <w:color w:val="auto"/>
              </w:rPr>
            </w:pPr>
          </w:p>
        </w:tc>
        <w:tc>
          <w:tcPr>
            <w:tcW w:w="1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20"/>
                <w:szCs w:val="20"/>
                <w:color w:val="auto"/>
              </w:rPr>
              <w:t>001-37985</w:t>
            </w:r>
          </w:p>
        </w:tc>
        <w:tc>
          <w:tcPr>
            <w:tcW w:w="80" w:type="dxa"/>
            <w:vAlign w:val="bottom"/>
          </w:tcPr>
          <w:p>
            <w:pPr>
              <w:spacing w:after="0"/>
              <w:rPr>
                <w:sz w:val="17"/>
                <w:szCs w:val="17"/>
                <w:color w:val="auto"/>
              </w:rPr>
            </w:pPr>
          </w:p>
        </w:tc>
        <w:tc>
          <w:tcPr>
            <w:tcW w:w="7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20"/>
                <w:szCs w:val="20"/>
                <w:color w:val="auto"/>
                <w:w w:val="97"/>
              </w:rPr>
              <w:t>10.19</w:t>
            </w:r>
          </w:p>
        </w:tc>
        <w:tc>
          <w:tcPr>
            <w:tcW w:w="80" w:type="dxa"/>
            <w:vAlign w:val="bottom"/>
          </w:tcPr>
          <w:p>
            <w:pPr>
              <w:spacing w:after="0"/>
              <w:rPr>
                <w:sz w:val="17"/>
                <w:szCs w:val="17"/>
                <w:color w:val="auto"/>
              </w:rPr>
            </w:pPr>
          </w:p>
        </w:tc>
        <w:tc>
          <w:tcPr>
            <w:tcW w:w="17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20"/>
                <w:szCs w:val="20"/>
                <w:color w:val="auto"/>
                <w:w w:val="98"/>
              </w:rPr>
              <w:t>March 7, 2022</w:t>
            </w:r>
          </w:p>
        </w:tc>
        <w:tc>
          <w:tcPr>
            <w:tcW w:w="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40" w:type="dxa"/>
            <w:vAlign w:val="bottom"/>
            <w:tcBorders>
              <w:top w:val="single" w:sz="8" w:color="0000FF"/>
            </w:tcBorders>
            <w:gridSpan w:val="6"/>
          </w:tcPr>
          <w:p>
            <w:pPr>
              <w:spacing w:after="0" w:line="180" w:lineRule="exact"/>
              <w:rPr>
                <w:sz w:val="20"/>
                <w:szCs w:val="20"/>
                <w:color w:val="auto"/>
              </w:rPr>
            </w:pPr>
            <w:r>
              <w:rPr>
                <w:rFonts w:ascii="Times New Roman" w:cs="Times New Roman" w:eastAsia="Times New Roman" w:hAnsi="Times New Roman"/>
                <w:sz w:val="20"/>
                <w:szCs w:val="20"/>
                <w:color w:val="0000FF"/>
              </w:rPr>
              <w:t>Collaboration</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10.15*</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10-Q</w:t>
            </w: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800" w:type="dxa"/>
            <w:vAlign w:val="bottom"/>
            <w:gridSpan w:val="2"/>
            <w:vMerge w:val="restart"/>
          </w:tcPr>
          <w:p>
            <w:pPr>
              <w:jc w:val="center"/>
              <w:ind w:left="20"/>
              <w:spacing w:after="0"/>
              <w:rPr>
                <w:sz w:val="20"/>
                <w:szCs w:val="20"/>
                <w:color w:val="auto"/>
              </w:rPr>
            </w:pPr>
            <w:r>
              <w:rPr>
                <w:rFonts w:ascii="Times New Roman" w:cs="Times New Roman" w:eastAsia="Times New Roman" w:hAnsi="Times New Roman"/>
                <w:sz w:val="20"/>
                <w:szCs w:val="20"/>
                <w:color w:val="auto"/>
                <w:w w:val="97"/>
              </w:rPr>
              <w:t>10.27</w:t>
            </w:r>
          </w:p>
        </w:tc>
        <w:tc>
          <w:tcPr>
            <w:tcW w:w="80" w:type="dxa"/>
            <w:vAlign w:val="bottom"/>
          </w:tcPr>
          <w:p>
            <w:pPr>
              <w:spacing w:after="0" w:line="20" w:lineRule="exact"/>
              <w:rPr>
                <w:sz w:val="1"/>
                <w:szCs w:val="1"/>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November 2, 2023</w:t>
            </w: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Amended and Restated Employment</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80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0" w:type="dxa"/>
            <w:vAlign w:val="bottom"/>
            <w:tcBorders>
              <w:top w:val="single" w:sz="8" w:color="0000FF"/>
              <w:bottom w:val="single" w:sz="8" w:color="0000FF"/>
            </w:tcBorders>
            <w:gridSpan w:val="4"/>
          </w:tcPr>
          <w:p>
            <w:pPr>
              <w:spacing w:after="0" w:line="180" w:lineRule="exact"/>
              <w:rPr>
                <w:sz w:val="20"/>
                <w:szCs w:val="20"/>
                <w:color w:val="auto"/>
              </w:rPr>
            </w:pPr>
            <w:r>
              <w:rPr>
                <w:rFonts w:ascii="Times New Roman" w:cs="Times New Roman" w:eastAsia="Times New Roman" w:hAnsi="Times New Roman"/>
                <w:sz w:val="20"/>
                <w:szCs w:val="20"/>
                <w:color w:val="0000FF"/>
                <w:w w:val="98"/>
              </w:rPr>
              <w:t>Agreement, effective August 4, 2023,</w:t>
            </w:r>
          </w:p>
        </w:tc>
        <w:tc>
          <w:tcPr>
            <w:tcW w:w="660" w:type="dxa"/>
            <w:vAlign w:val="bottom"/>
            <w:tcBorders>
              <w:bottom w:val="single" w:sz="8" w:color="0000FF"/>
            </w:tcBorders>
            <w:gridSpan w:val="4"/>
          </w:tcPr>
          <w:p>
            <w:pPr>
              <w:ind w:left="60"/>
              <w:spacing w:after="0" w:line="180" w:lineRule="exact"/>
              <w:rPr>
                <w:sz w:val="20"/>
                <w:szCs w:val="20"/>
                <w:color w:val="auto"/>
              </w:rPr>
            </w:pPr>
            <w:r>
              <w:rPr>
                <w:rFonts w:ascii="Times New Roman" w:cs="Times New Roman" w:eastAsia="Times New Roman" w:hAnsi="Times New Roman"/>
                <w:sz w:val="20"/>
                <w:szCs w:val="20"/>
                <w:color w:val="0000FF"/>
              </w:rPr>
              <w:t>by and</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0" w:type="dxa"/>
            <w:vAlign w:val="bottom"/>
            <w:tcBorders>
              <w:bottom w:val="single" w:sz="8" w:color="0000FF"/>
            </w:tcBorders>
            <w:gridSpan w:val="5"/>
          </w:tcPr>
          <w:p>
            <w:pPr>
              <w:spacing w:after="0" w:line="180" w:lineRule="exact"/>
              <w:rPr>
                <w:sz w:val="20"/>
                <w:szCs w:val="20"/>
                <w:color w:val="auto"/>
              </w:rPr>
            </w:pPr>
            <w:r>
              <w:rPr>
                <w:rFonts w:ascii="Times New Roman" w:cs="Times New Roman" w:eastAsia="Times New Roman" w:hAnsi="Times New Roman"/>
                <w:sz w:val="20"/>
                <w:szCs w:val="20"/>
                <w:color w:val="0000FF"/>
                <w:w w:val="99"/>
              </w:rPr>
              <w:t>between the Registrant and Daniel Faga</w:t>
            </w:r>
          </w:p>
        </w:tc>
        <w:tc>
          <w:tcPr>
            <w:tcW w:w="460" w:type="dxa"/>
            <w:vAlign w:val="bottom"/>
            <w:gridSpan w:val="3"/>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10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10.16‡++</w:t>
            </w:r>
          </w:p>
        </w:tc>
        <w:tc>
          <w:tcPr>
            <w:tcW w:w="29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Purchase and Sale Agreement, dated</w:t>
            </w:r>
          </w:p>
        </w:tc>
        <w:tc>
          <w:tcPr>
            <w:tcW w:w="680" w:type="dxa"/>
            <w:vAlign w:val="bottom"/>
            <w:gridSpan w:val="5"/>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10-Q</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001-37985</w:t>
            </w:r>
          </w:p>
        </w:tc>
        <w:tc>
          <w:tcPr>
            <w:tcW w:w="8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7"/>
              </w:rPr>
              <w:t>10.23</w:t>
            </w:r>
          </w:p>
        </w:tc>
        <w:tc>
          <w:tcPr>
            <w:tcW w:w="8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November 8, 2022</w:t>
            </w: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0" w:type="dxa"/>
            <w:vAlign w:val="bottom"/>
            <w:tcBorders>
              <w:bottom w:val="single" w:sz="8" w:color="0000FF"/>
            </w:tcBorders>
            <w:gridSpan w:val="5"/>
          </w:tcPr>
          <w:p>
            <w:pPr>
              <w:spacing w:after="0" w:line="180" w:lineRule="exact"/>
              <w:rPr>
                <w:sz w:val="20"/>
                <w:szCs w:val="20"/>
                <w:color w:val="auto"/>
              </w:rPr>
            </w:pPr>
            <w:r>
              <w:rPr>
                <w:rFonts w:ascii="Times New Roman" w:cs="Times New Roman" w:eastAsia="Times New Roman" w:hAnsi="Times New Roman"/>
                <w:sz w:val="20"/>
                <w:szCs w:val="20"/>
                <w:color w:val="0000FF"/>
              </w:rPr>
              <w:t>September 9, 2022, by and between the</w:t>
            </w:r>
          </w:p>
        </w:tc>
        <w:tc>
          <w:tcPr>
            <w:tcW w:w="460" w:type="dxa"/>
            <w:vAlign w:val="bottom"/>
            <w:gridSpan w:val="3"/>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60" w:type="dxa"/>
            <w:vAlign w:val="bottom"/>
            <w:gridSpan w:val="8"/>
          </w:tcPr>
          <w:p>
            <w:pPr>
              <w:spacing w:after="0" w:line="180" w:lineRule="exact"/>
              <w:rPr>
                <w:sz w:val="20"/>
                <w:szCs w:val="20"/>
                <w:color w:val="auto"/>
              </w:rPr>
            </w:pPr>
            <w:r>
              <w:rPr>
                <w:rFonts w:ascii="Times New Roman" w:cs="Times New Roman" w:eastAsia="Times New Roman" w:hAnsi="Times New Roman"/>
                <w:sz w:val="20"/>
                <w:szCs w:val="20"/>
                <w:color w:val="0000FF"/>
              </w:rPr>
              <w:t>Registrant and DRI Healthcare Acquisitions</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5"/>
              </w:rPr>
              <w:t>L.P.</w:t>
            </w:r>
          </w:p>
        </w:tc>
        <w:tc>
          <w:tcPr>
            <w:tcW w:w="3240" w:type="dxa"/>
            <w:vAlign w:val="bottom"/>
            <w:tcBorders>
              <w:top w:val="single" w:sz="8" w:color="0000FF"/>
            </w:tcBorders>
            <w:gridSpan w:val="6"/>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2240" w:h="15840" w:orient="portrait"/>
          <w:cols w:equalWidth="0" w:num="1">
            <w:col w:w="10260"/>
          </w:cols>
          <w:pgMar w:left="1000" w:top="868" w:right="980" w:bottom="0" w:gutter="0" w:footer="0" w:header="0"/>
        </w:sectPr>
      </w:pPr>
    </w:p>
    <w:tbl>
      <w:tblPr>
        <w:tblLayout w:type="fixed"/>
        <w:tblInd w:w="4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35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Sales Agreement, dated November 8, 2022,</w:t>
            </w:r>
          </w:p>
        </w:tc>
        <w:tc>
          <w:tcPr>
            <w:tcW w:w="220" w:type="dxa"/>
            <w:vAlign w:val="bottom"/>
            <w:gridSpan w:val="2"/>
          </w:tcPr>
          <w:p>
            <w:pPr>
              <w:spacing w:after="0"/>
              <w:rPr>
                <w:sz w:val="19"/>
                <w:szCs w:val="19"/>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10-Q</w:t>
            </w:r>
          </w:p>
        </w:tc>
        <w:tc>
          <w:tcPr>
            <w:tcW w:w="12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001-37985</w:t>
            </w:r>
          </w:p>
        </w:tc>
        <w:tc>
          <w:tcPr>
            <w:tcW w:w="2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10.24   November 8, 2022</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760" w:type="dxa"/>
            <w:vAlign w:val="bottom"/>
            <w:tcBorders>
              <w:bottom w:val="single" w:sz="8" w:color="0000FF"/>
            </w:tcBorders>
            <w:gridSpan w:val="16"/>
          </w:tcPr>
          <w:p>
            <w:pPr>
              <w:spacing w:after="0" w:line="180" w:lineRule="exact"/>
              <w:rPr>
                <w:sz w:val="20"/>
                <w:szCs w:val="20"/>
                <w:color w:val="auto"/>
              </w:rPr>
            </w:pPr>
            <w:r>
              <w:rPr>
                <w:rFonts w:ascii="Times New Roman" w:cs="Times New Roman" w:eastAsia="Times New Roman" w:hAnsi="Times New Roman"/>
                <w:sz w:val="20"/>
                <w:szCs w:val="20"/>
                <w:color w:val="0000FF"/>
              </w:rPr>
              <w:t>by and between the Registrant and Cowen and</w:t>
            </w:r>
          </w:p>
        </w:tc>
        <w:tc>
          <w:tcPr>
            <w:tcW w:w="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260" w:type="dxa"/>
            <w:vAlign w:val="bottom"/>
            <w:tcBorders>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8"/>
              </w:rPr>
              <w:t>Company, LLC</w:t>
            </w:r>
          </w:p>
        </w:tc>
        <w:tc>
          <w:tcPr>
            <w:tcW w:w="2500" w:type="dxa"/>
            <w:vAlign w:val="bottom"/>
            <w:gridSpan w:val="14"/>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376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License Agreement, dated November 24,</w:t>
            </w:r>
          </w:p>
        </w:tc>
        <w:tc>
          <w:tcPr>
            <w:tcW w:w="7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360" w:type="dxa"/>
            <w:vAlign w:val="bottom"/>
            <w:tcBorders>
              <w:top w:val="single" w:sz="8" w:color="0000FF"/>
            </w:tcBorders>
            <w:gridSpan w:val="12"/>
          </w:tcPr>
          <w:p>
            <w:pPr>
              <w:spacing w:after="0" w:line="180" w:lineRule="exact"/>
              <w:rPr>
                <w:sz w:val="20"/>
                <w:szCs w:val="20"/>
                <w:color w:val="auto"/>
              </w:rPr>
            </w:pPr>
            <w:r>
              <w:rPr>
                <w:rFonts w:ascii="Times New Roman" w:cs="Times New Roman" w:eastAsia="Times New Roman" w:hAnsi="Times New Roman"/>
                <w:sz w:val="20"/>
                <w:szCs w:val="20"/>
                <w:color w:val="0000FF"/>
              </w:rPr>
              <w:t>2023, by and between the Registrant and</w:t>
            </w:r>
          </w:p>
        </w:tc>
        <w:tc>
          <w:tcPr>
            <w:tcW w:w="2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320" w:type="dxa"/>
            <w:vAlign w:val="bottom"/>
            <w:tcBorders>
              <w:top w:val="single" w:sz="8" w:color="0000FF"/>
            </w:tcBorders>
            <w:gridSpan w:val="10"/>
          </w:tcPr>
          <w:p>
            <w:pPr>
              <w:spacing w:after="0" w:line="180" w:lineRule="exact"/>
              <w:rPr>
                <w:sz w:val="20"/>
                <w:szCs w:val="20"/>
                <w:color w:val="auto"/>
              </w:rPr>
            </w:pPr>
            <w:r>
              <w:rPr>
                <w:rFonts w:ascii="Times New Roman" w:cs="Times New Roman" w:eastAsia="Times New Roman" w:hAnsi="Times New Roman"/>
                <w:sz w:val="20"/>
                <w:szCs w:val="20"/>
                <w:color w:val="0000FF"/>
              </w:rPr>
              <w:t>Centessa Pharmaceuticals (UK) Limited</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10.19‡++</w:t>
            </w:r>
          </w:p>
        </w:tc>
        <w:tc>
          <w:tcPr>
            <w:tcW w:w="1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vMerge w:val="continue"/>
          </w:tcPr>
          <w:p>
            <w:pPr>
              <w:spacing w:after="0"/>
              <w:rPr>
                <w:sz w:val="21"/>
                <w:szCs w:val="21"/>
                <w:color w:val="auto"/>
              </w:rPr>
            </w:pPr>
          </w:p>
        </w:tc>
        <w:tc>
          <w:tcPr>
            <w:tcW w:w="376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Amendment No. 5 to Tesaro AnaptysBio</w:t>
            </w:r>
          </w:p>
        </w:tc>
        <w:tc>
          <w:tcPr>
            <w:tcW w:w="7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380" w:type="dxa"/>
            <w:vAlign w:val="bottom"/>
            <w:tcBorders>
              <w:top w:val="single" w:sz="8" w:color="0000FF"/>
            </w:tcBorders>
            <w:gridSpan w:val="13"/>
          </w:tcPr>
          <w:p>
            <w:pPr>
              <w:spacing w:after="0" w:line="180" w:lineRule="exact"/>
              <w:rPr>
                <w:sz w:val="20"/>
                <w:szCs w:val="20"/>
                <w:color w:val="auto"/>
              </w:rPr>
            </w:pPr>
            <w:r>
              <w:rPr>
                <w:rFonts w:ascii="Times New Roman" w:cs="Times New Roman" w:eastAsia="Times New Roman" w:hAnsi="Times New Roman"/>
                <w:sz w:val="20"/>
                <w:szCs w:val="20"/>
                <w:color w:val="0000FF"/>
              </w:rPr>
              <w:t>Collaboration</w:t>
            </w:r>
          </w:p>
        </w:tc>
        <w:tc>
          <w:tcPr>
            <w:tcW w:w="20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21.1</w:t>
            </w:r>
          </w:p>
        </w:tc>
        <w:tc>
          <w:tcPr>
            <w:tcW w:w="11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1020" w:type="dxa"/>
            <w:vAlign w:val="bottom"/>
            <w:vMerge w:val="continue"/>
          </w:tcPr>
          <w:p>
            <w:pPr>
              <w:spacing w:after="0"/>
              <w:rPr>
                <w:sz w:val="22"/>
                <w:szCs w:val="22"/>
                <w:color w:val="auto"/>
              </w:rPr>
            </w:pPr>
          </w:p>
        </w:tc>
        <w:tc>
          <w:tcPr>
            <w:tcW w:w="24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Subsidiaries of the Registrant.</w:t>
            </w:r>
          </w:p>
        </w:tc>
        <w:tc>
          <w:tcPr>
            <w:tcW w:w="1340" w:type="dxa"/>
            <w:vAlign w:val="bottom"/>
            <w:gridSpan w:val="11"/>
          </w:tcPr>
          <w:p>
            <w:pPr>
              <w:spacing w:after="0"/>
              <w:rPr>
                <w:sz w:val="22"/>
                <w:szCs w:val="22"/>
                <w:color w:val="auto"/>
              </w:rPr>
            </w:pPr>
          </w:p>
        </w:tc>
        <w:tc>
          <w:tcPr>
            <w:tcW w:w="7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376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Consent of KPMG LLP, an independent</w:t>
            </w:r>
          </w:p>
        </w:tc>
        <w:tc>
          <w:tcPr>
            <w:tcW w:w="7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2720" w:type="dxa"/>
            <w:vAlign w:val="bottom"/>
            <w:tcBorders>
              <w:top w:val="single" w:sz="8" w:color="0000FF"/>
              <w:bottom w:val="single" w:sz="8" w:color="0000FF"/>
            </w:tcBorders>
            <w:gridSpan w:val="6"/>
          </w:tcPr>
          <w:p>
            <w:pPr>
              <w:spacing w:after="0" w:line="180" w:lineRule="exact"/>
              <w:rPr>
                <w:sz w:val="20"/>
                <w:szCs w:val="20"/>
                <w:color w:val="auto"/>
              </w:rPr>
            </w:pPr>
            <w:r>
              <w:rPr>
                <w:rFonts w:ascii="Times New Roman" w:cs="Times New Roman" w:eastAsia="Times New Roman" w:hAnsi="Times New Roman"/>
                <w:sz w:val="20"/>
                <w:szCs w:val="20"/>
                <w:color w:val="0000FF"/>
                <w:w w:val="99"/>
              </w:rPr>
              <w:t>registered public accounting firm.</w:t>
            </w:r>
          </w:p>
        </w:tc>
        <w:tc>
          <w:tcPr>
            <w:tcW w:w="560" w:type="dxa"/>
            <w:vAlign w:val="bottom"/>
            <w:tcBorders>
              <w:top w:val="single" w:sz="8" w:color="0000FF"/>
            </w:tcBorders>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240" w:type="dxa"/>
            <w:vAlign w:val="bottom"/>
            <w:gridSpan w:val="4"/>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24.1</w:t>
            </w:r>
          </w:p>
        </w:tc>
        <w:tc>
          <w:tcPr>
            <w:tcW w:w="1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9"/>
              </w:rPr>
              <w:t>Power of Attorney</w:t>
            </w:r>
          </w:p>
        </w:tc>
        <w:tc>
          <w:tcPr>
            <w:tcW w:w="2260" w:type="dxa"/>
            <w:vAlign w:val="bottom"/>
            <w:gridSpan w:val="13"/>
          </w:tcPr>
          <w:p>
            <w:pPr>
              <w:spacing w:after="0"/>
              <w:rPr>
                <w:sz w:val="22"/>
                <w:szCs w:val="22"/>
                <w:color w:val="auto"/>
              </w:rPr>
            </w:pPr>
          </w:p>
        </w:tc>
        <w:tc>
          <w:tcPr>
            <w:tcW w:w="7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376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Certification of Principal Executive Officer,</w:t>
            </w:r>
          </w:p>
        </w:tc>
        <w:tc>
          <w:tcPr>
            <w:tcW w:w="7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580" w:type="dxa"/>
            <w:vAlign w:val="bottom"/>
            <w:tcBorders>
              <w:top w:val="single" w:sz="8" w:color="0000FF"/>
            </w:tcBorders>
            <w:gridSpan w:val="15"/>
          </w:tcPr>
          <w:p>
            <w:pPr>
              <w:spacing w:after="0" w:line="180" w:lineRule="exact"/>
              <w:rPr>
                <w:sz w:val="20"/>
                <w:szCs w:val="20"/>
                <w:color w:val="auto"/>
              </w:rPr>
            </w:pPr>
            <w:r>
              <w:rPr>
                <w:rFonts w:ascii="Times New Roman" w:cs="Times New Roman" w:eastAsia="Times New Roman" w:hAnsi="Times New Roman"/>
                <w:sz w:val="20"/>
                <w:szCs w:val="20"/>
                <w:color w:val="0000FF"/>
              </w:rPr>
              <w:t>pursuant to Rule 13a-14(a)/15d-14(a), as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340" w:type="dxa"/>
            <w:vAlign w:val="bottom"/>
            <w:tcBorders>
              <w:top w:val="single" w:sz="8" w:color="0000FF"/>
            </w:tcBorders>
            <w:gridSpan w:val="11"/>
          </w:tcPr>
          <w:p>
            <w:pPr>
              <w:spacing w:after="0" w:line="180" w:lineRule="exact"/>
              <w:rPr>
                <w:sz w:val="20"/>
                <w:szCs w:val="20"/>
                <w:color w:val="auto"/>
              </w:rPr>
            </w:pPr>
            <w:r>
              <w:rPr>
                <w:rFonts w:ascii="Times New Roman" w:cs="Times New Roman" w:eastAsia="Times New Roman" w:hAnsi="Times New Roman"/>
                <w:sz w:val="20"/>
                <w:szCs w:val="20"/>
                <w:color w:val="0000FF"/>
              </w:rPr>
              <w:t>adopted pursuant to Section 302 of the</w:t>
            </w:r>
          </w:p>
        </w:tc>
        <w:tc>
          <w:tcPr>
            <w:tcW w:w="420" w:type="dxa"/>
            <w:vAlign w:val="bottom"/>
            <w:gridSpan w:val="5"/>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140" w:type="dxa"/>
            <w:vAlign w:val="bottom"/>
            <w:tcBorders>
              <w:top w:val="single" w:sz="8" w:color="0000FF"/>
            </w:tcBorders>
            <w:gridSpan w:val="7"/>
          </w:tcPr>
          <w:p>
            <w:pPr>
              <w:spacing w:after="0" w:line="180" w:lineRule="exact"/>
              <w:rPr>
                <w:sz w:val="20"/>
                <w:szCs w:val="20"/>
                <w:color w:val="auto"/>
              </w:rPr>
            </w:pPr>
            <w:r>
              <w:rPr>
                <w:rFonts w:ascii="Times New Roman" w:cs="Times New Roman" w:eastAsia="Times New Roman" w:hAnsi="Times New Roman"/>
                <w:sz w:val="20"/>
                <w:szCs w:val="20"/>
                <w:color w:val="0000FF"/>
              </w:rPr>
              <w:t>Sarbanes-Oxley Act of 2002</w:t>
            </w:r>
            <w:r>
              <w:rPr>
                <w:rFonts w:ascii="Times New Roman" w:cs="Times New Roman" w:eastAsia="Times New Roman" w:hAnsi="Times New Roman"/>
                <w:sz w:val="20"/>
                <w:szCs w:val="20"/>
                <w:color w:val="000000"/>
              </w:rPr>
              <w:t>.</w:t>
            </w:r>
          </w:p>
        </w:tc>
        <w:tc>
          <w:tcPr>
            <w:tcW w:w="620" w:type="dxa"/>
            <w:vAlign w:val="bottom"/>
            <w:gridSpan w:val="9"/>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681" w:lineRule="exact"/>
        <w:rPr>
          <w:sz w:val="20"/>
          <w:szCs w:val="20"/>
          <w:color w:val="auto"/>
        </w:rPr>
      </w:pPr>
    </w:p>
    <w:p>
      <w:pPr>
        <w:sectPr>
          <w:pgSz w:w="12240" w:h="15840" w:orient="portrait"/>
          <w:cols w:equalWidth="0" w:num="2">
            <w:col w:w="9300" w:space="500"/>
            <w:col w:w="460"/>
          </w:cols>
          <w:pgMar w:left="1000" w:top="868" w:right="980" w:bottom="0" w:gutter="0" w:footer="0" w:header="0"/>
          <w:type w:val="continuous"/>
        </w:sectPr>
      </w:pPr>
    </w:p>
    <w:tbl>
      <w:tblPr>
        <w:tblLayout w:type="fixed"/>
        <w:tblInd w:w="40" w:type="dxa"/>
        <w:tblCellMar>
          <w:top w:w="0" w:type="dxa"/>
          <w:left w:w="0" w:type="dxa"/>
          <w:bottom w:w="0" w:type="dxa"/>
          <w:right w:w="0" w:type="dxa"/>
        </w:tblCellMar>
      </w:tblPr>
      <w:tr>
        <w:trPr>
          <w:trHeight w:val="235"/>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35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Certification of Principal Financial Officer,</w:t>
            </w:r>
          </w:p>
        </w:tc>
        <w:tc>
          <w:tcPr>
            <w:tcW w:w="5360" w:type="dxa"/>
            <w:vAlign w:val="bottom"/>
          </w:tcPr>
          <w:p>
            <w:pPr>
              <w:ind w:left="522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520" w:type="dxa"/>
            <w:vAlign w:val="bottom"/>
            <w:gridSpan w:val="7"/>
          </w:tcPr>
          <w:p>
            <w:pPr>
              <w:spacing w:after="0" w:line="180" w:lineRule="exact"/>
              <w:rPr>
                <w:sz w:val="20"/>
                <w:szCs w:val="20"/>
                <w:color w:val="auto"/>
              </w:rPr>
            </w:pPr>
            <w:r>
              <w:rPr>
                <w:rFonts w:ascii="Times New Roman" w:cs="Times New Roman" w:eastAsia="Times New Roman" w:hAnsi="Times New Roman"/>
                <w:sz w:val="20"/>
                <w:szCs w:val="20"/>
                <w:color w:val="0000FF"/>
              </w:rPr>
              <w:t>pursuant to Rule 13a-14(a)/15d-14(a), as</w:t>
            </w:r>
          </w:p>
        </w:tc>
        <w:tc>
          <w:tcPr>
            <w:tcW w:w="5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320" w:type="dxa"/>
            <w:vAlign w:val="bottom"/>
            <w:tcBorders>
              <w:top w:val="single" w:sz="8" w:color="0000FF"/>
            </w:tcBorders>
            <w:gridSpan w:val="6"/>
          </w:tcPr>
          <w:p>
            <w:pPr>
              <w:spacing w:after="0" w:line="180" w:lineRule="exact"/>
              <w:rPr>
                <w:sz w:val="20"/>
                <w:szCs w:val="20"/>
                <w:color w:val="auto"/>
              </w:rPr>
            </w:pPr>
            <w:r>
              <w:rPr>
                <w:rFonts w:ascii="Times New Roman" w:cs="Times New Roman" w:eastAsia="Times New Roman" w:hAnsi="Times New Roman"/>
                <w:sz w:val="20"/>
                <w:szCs w:val="20"/>
                <w:color w:val="0000FF"/>
              </w:rPr>
              <w:t>adopted pursuant to Section 302 of the</w:t>
            </w:r>
          </w:p>
        </w:tc>
        <w:tc>
          <w:tcPr>
            <w:tcW w:w="20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140" w:type="dxa"/>
            <w:vAlign w:val="bottom"/>
            <w:tcBorders>
              <w:top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rPr>
              <w:t>Sarbanes-Oxley Act of 2002</w:t>
            </w:r>
            <w:r>
              <w:rPr>
                <w:rFonts w:ascii="Times New Roman" w:cs="Times New Roman" w:eastAsia="Times New Roman" w:hAnsi="Times New Roman"/>
                <w:sz w:val="20"/>
                <w:szCs w:val="20"/>
                <w:color w:val="000000"/>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5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32.1**</w:t>
            </w:r>
          </w:p>
        </w:tc>
        <w:tc>
          <w:tcPr>
            <w:tcW w:w="2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360" w:type="dxa"/>
            <w:vAlign w:val="bottom"/>
            <w:vMerge w:val="restart"/>
          </w:tcPr>
          <w:p>
            <w:pPr>
              <w:ind w:left="522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line="20" w:lineRule="exact"/>
              <w:rPr>
                <w:sz w:val="1"/>
                <w:szCs w:val="1"/>
                <w:color w:val="auto"/>
              </w:rPr>
            </w:pPr>
          </w:p>
        </w:tc>
      </w:tr>
      <w:tr>
        <w:trPr>
          <w:trHeight w:val="280"/>
        </w:trPr>
        <w:tc>
          <w:tcPr>
            <w:tcW w:w="1020" w:type="dxa"/>
            <w:vAlign w:val="bottom"/>
            <w:vMerge w:val="continue"/>
          </w:tcPr>
          <w:p>
            <w:pPr>
              <w:spacing w:after="0"/>
              <w:rPr>
                <w:sz w:val="24"/>
                <w:szCs w:val="24"/>
                <w:color w:val="auto"/>
              </w:rPr>
            </w:pPr>
          </w:p>
        </w:tc>
        <w:tc>
          <w:tcPr>
            <w:tcW w:w="352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Certification of Chief Executive Officer,</w:t>
            </w:r>
          </w:p>
        </w:tc>
        <w:tc>
          <w:tcPr>
            <w:tcW w:w="5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300" w:type="dxa"/>
            <w:vAlign w:val="bottom"/>
            <w:tcBorders>
              <w:top w:val="single" w:sz="8" w:color="0000FF"/>
            </w:tcBorders>
            <w:gridSpan w:val="5"/>
          </w:tcPr>
          <w:p>
            <w:pPr>
              <w:spacing w:after="0" w:line="180" w:lineRule="exact"/>
              <w:rPr>
                <w:sz w:val="20"/>
                <w:szCs w:val="20"/>
                <w:color w:val="auto"/>
              </w:rPr>
            </w:pPr>
            <w:r>
              <w:rPr>
                <w:rFonts w:ascii="Times New Roman" w:cs="Times New Roman" w:eastAsia="Times New Roman" w:hAnsi="Times New Roman"/>
                <w:sz w:val="20"/>
                <w:szCs w:val="20"/>
                <w:color w:val="0000FF"/>
              </w:rPr>
              <w:t>pursuant to 18 U.S.C. Section 1350, as</w:t>
            </w:r>
          </w:p>
        </w:tc>
        <w:tc>
          <w:tcPr>
            <w:tcW w:w="220" w:type="dxa"/>
            <w:vAlign w:val="bottom"/>
            <w:gridSpan w:val="2"/>
          </w:tcPr>
          <w:p>
            <w:pPr>
              <w:spacing w:after="0"/>
              <w:rPr>
                <w:sz w:val="15"/>
                <w:szCs w:val="15"/>
                <w:color w:val="auto"/>
              </w:rPr>
            </w:pPr>
          </w:p>
        </w:tc>
        <w:tc>
          <w:tcPr>
            <w:tcW w:w="5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160" w:type="dxa"/>
            <w:vAlign w:val="bottom"/>
            <w:tcBorders>
              <w:top w:val="single" w:sz="8" w:color="0000FF"/>
            </w:tcBorders>
            <w:gridSpan w:val="4"/>
          </w:tcPr>
          <w:p>
            <w:pPr>
              <w:spacing w:after="0" w:line="180" w:lineRule="exact"/>
              <w:rPr>
                <w:sz w:val="20"/>
                <w:szCs w:val="20"/>
                <w:color w:val="auto"/>
              </w:rPr>
            </w:pPr>
            <w:r>
              <w:rPr>
                <w:rFonts w:ascii="Times New Roman" w:cs="Times New Roman" w:eastAsia="Times New Roman" w:hAnsi="Times New Roman"/>
                <w:sz w:val="20"/>
                <w:szCs w:val="20"/>
                <w:color w:val="0000FF"/>
              </w:rPr>
              <w:t>adopted pursuant to Section 906 of the</w:t>
            </w:r>
          </w:p>
        </w:tc>
        <w:tc>
          <w:tcPr>
            <w:tcW w:w="360" w:type="dxa"/>
            <w:vAlign w:val="bottom"/>
            <w:gridSpan w:val="3"/>
          </w:tcPr>
          <w:p>
            <w:pPr>
              <w:spacing w:after="0"/>
              <w:rPr>
                <w:sz w:val="15"/>
                <w:szCs w:val="15"/>
                <w:color w:val="auto"/>
              </w:rPr>
            </w:pPr>
          </w:p>
        </w:tc>
        <w:tc>
          <w:tcPr>
            <w:tcW w:w="5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2340" w:type="dxa"/>
            <w:vAlign w:val="bottom"/>
            <w:tcBorders>
              <w:top w:val="single" w:sz="8" w:color="0000FF"/>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9"/>
              </w:rPr>
              <w:t>Sarbanes-Oxley Act of 2002.</w:t>
            </w:r>
          </w:p>
        </w:tc>
        <w:tc>
          <w:tcPr>
            <w:tcW w:w="800" w:type="dxa"/>
            <w:vAlign w:val="bottom"/>
            <w:tcBorders>
              <w:top w:val="single" w:sz="8" w:color="0000FF"/>
            </w:tcBorders>
          </w:tcPr>
          <w:p>
            <w:pPr>
              <w:spacing w:after="0"/>
              <w:rPr>
                <w:sz w:val="15"/>
                <w:szCs w:val="15"/>
                <w:color w:val="auto"/>
              </w:rPr>
            </w:pPr>
          </w:p>
        </w:tc>
        <w:tc>
          <w:tcPr>
            <w:tcW w:w="380" w:type="dxa"/>
            <w:vAlign w:val="bottom"/>
            <w:gridSpan w:val="4"/>
          </w:tcPr>
          <w:p>
            <w:pPr>
              <w:spacing w:after="0"/>
              <w:rPr>
                <w:sz w:val="15"/>
                <w:szCs w:val="15"/>
                <w:color w:val="auto"/>
              </w:rPr>
            </w:pPr>
          </w:p>
        </w:tc>
        <w:tc>
          <w:tcPr>
            <w:tcW w:w="5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sectPr>
          <w:pgSz w:w="12240" w:h="15840" w:orient="portrait"/>
          <w:cols w:equalWidth="0" w:num="1">
            <w:col w:w="10260"/>
          </w:cols>
          <w:pgMar w:left="1000" w:top="868" w:right="980" w:bottom="0" w:gutter="0" w:footer="0" w:header="0"/>
          <w:type w:val="continuous"/>
        </w:sectPr>
      </w:pPr>
    </w:p>
    <w:tbl>
      <w:tblPr>
        <w:tblLayout w:type="fixed"/>
        <w:tblInd w:w="40" w:type="dxa"/>
        <w:tblCellMar>
          <w:top w:w="0" w:type="dxa"/>
          <w:left w:w="0" w:type="dxa"/>
          <w:bottom w:w="0" w:type="dxa"/>
          <w:right w:w="0" w:type="dxa"/>
        </w:tblCellMar>
      </w:tblPr>
      <w:tr>
        <w:trPr>
          <w:trHeight w:val="235"/>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372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Certification of Chief Financial Officer,</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240" w:type="dxa"/>
            <w:vAlign w:val="bottom"/>
            <w:tcBorders>
              <w:top w:val="single" w:sz="8" w:color="0000FF"/>
            </w:tcBorders>
            <w:gridSpan w:val="5"/>
          </w:tcPr>
          <w:p>
            <w:pPr>
              <w:spacing w:after="0" w:line="180" w:lineRule="exact"/>
              <w:rPr>
                <w:sz w:val="20"/>
                <w:szCs w:val="20"/>
                <w:color w:val="auto"/>
              </w:rPr>
            </w:pPr>
            <w:r>
              <w:rPr>
                <w:rFonts w:ascii="Times New Roman" w:cs="Times New Roman" w:eastAsia="Times New Roman" w:hAnsi="Times New Roman"/>
                <w:sz w:val="20"/>
                <w:szCs w:val="20"/>
                <w:color w:val="0000FF"/>
              </w:rPr>
              <w:t>pursuant to 18 U.S.C. Section 1350, as</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160" w:type="dxa"/>
            <w:vAlign w:val="bottom"/>
            <w:tcBorders>
              <w:top w:val="single" w:sz="8" w:color="0000FF"/>
            </w:tcBorders>
            <w:gridSpan w:val="4"/>
          </w:tcPr>
          <w:p>
            <w:pPr>
              <w:spacing w:after="0" w:line="180" w:lineRule="exact"/>
              <w:rPr>
                <w:sz w:val="20"/>
                <w:szCs w:val="20"/>
                <w:color w:val="auto"/>
              </w:rPr>
            </w:pPr>
            <w:r>
              <w:rPr>
                <w:rFonts w:ascii="Times New Roman" w:cs="Times New Roman" w:eastAsia="Times New Roman" w:hAnsi="Times New Roman"/>
                <w:sz w:val="20"/>
                <w:szCs w:val="20"/>
                <w:color w:val="0000FF"/>
              </w:rPr>
              <w:t>adopted pursuant to Section 906 of the</w:t>
            </w:r>
          </w:p>
        </w:tc>
        <w:tc>
          <w:tcPr>
            <w:tcW w:w="40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140" w:type="dxa"/>
            <w:vAlign w:val="bottom"/>
            <w:tcBorders>
              <w:top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rPr>
              <w:t>Sarbanes-Oxley Act of 2002</w:t>
            </w:r>
            <w:r>
              <w:rPr>
                <w:rFonts w:ascii="Times New Roman" w:cs="Times New Roman" w:eastAsia="Times New Roman" w:hAnsi="Times New Roman"/>
                <w:sz w:val="20"/>
                <w:szCs w:val="20"/>
                <w:color w:val="000000"/>
              </w:rPr>
              <w:t>.</w:t>
            </w:r>
          </w:p>
        </w:tc>
        <w:tc>
          <w:tcPr>
            <w:tcW w:w="420" w:type="dxa"/>
            <w:vAlign w:val="bottom"/>
            <w:gridSpan w:val="3"/>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97</w:t>
            </w:r>
          </w:p>
        </w:tc>
        <w:tc>
          <w:tcPr>
            <w:tcW w:w="372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Policy Relating to Recovery of Erroneously</w:t>
            </w:r>
          </w:p>
        </w:tc>
        <w:tc>
          <w:tcPr>
            <w:tcW w:w="0" w:type="dxa"/>
            <w:vAlign w:val="bottom"/>
          </w:tcPr>
          <w:p>
            <w:pPr>
              <w:spacing w:after="0"/>
              <w:rPr>
                <w:sz w:val="1"/>
                <w:szCs w:val="1"/>
                <w:color w:val="auto"/>
              </w:rPr>
            </w:pPr>
          </w:p>
        </w:tc>
      </w:tr>
      <w:tr>
        <w:trPr>
          <w:trHeight w:val="180"/>
        </w:trPr>
        <w:tc>
          <w:tcPr>
            <w:tcW w:w="1020" w:type="dxa"/>
            <w:vAlign w:val="bottom"/>
            <w:vMerge w:val="continue"/>
          </w:tcPr>
          <w:p>
            <w:pPr>
              <w:spacing w:after="0"/>
              <w:rPr>
                <w:sz w:val="15"/>
                <w:szCs w:val="15"/>
                <w:color w:val="auto"/>
              </w:rPr>
            </w:pPr>
          </w:p>
        </w:tc>
        <w:tc>
          <w:tcPr>
            <w:tcW w:w="3560" w:type="dxa"/>
            <w:vAlign w:val="bottom"/>
            <w:tcBorders>
              <w:top w:val="single" w:sz="8" w:color="0000FF"/>
            </w:tcBorders>
            <w:gridSpan w:val="6"/>
          </w:tcPr>
          <w:p>
            <w:pPr>
              <w:spacing w:after="0" w:line="180" w:lineRule="exact"/>
              <w:rPr>
                <w:sz w:val="20"/>
                <w:szCs w:val="20"/>
                <w:color w:val="auto"/>
              </w:rPr>
            </w:pPr>
            <w:r>
              <w:rPr>
                <w:rFonts w:ascii="Times New Roman" w:cs="Times New Roman" w:eastAsia="Times New Roman" w:hAnsi="Times New Roman"/>
                <w:sz w:val="20"/>
                <w:szCs w:val="20"/>
                <w:color w:val="0000FF"/>
              </w:rPr>
              <w:t>Awarded Compensation</w:t>
            </w:r>
            <w:r>
              <w:rPr>
                <w:rFonts w:ascii="Times New Roman" w:cs="Times New Roman" w:eastAsia="Times New Roman" w:hAnsi="Times New Roman"/>
                <w:sz w:val="20"/>
                <w:szCs w:val="20"/>
                <w:color w:val="000000"/>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020" w:type="dxa"/>
            <w:vAlign w:val="bottom"/>
          </w:tcPr>
          <w:p>
            <w:pPr>
              <w:spacing w:after="0"/>
              <w:rPr>
                <w:sz w:val="20"/>
                <w:szCs w:val="20"/>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Report Instance Document - The instance</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720" w:type="dxa"/>
            <w:vAlign w:val="bottom"/>
            <w:gridSpan w:val="7"/>
          </w:tcPr>
          <w:p>
            <w:pPr>
              <w:spacing w:after="0" w:line="180" w:lineRule="exact"/>
              <w:rPr>
                <w:sz w:val="20"/>
                <w:szCs w:val="20"/>
                <w:color w:val="auto"/>
              </w:rPr>
            </w:pPr>
            <w:r>
              <w:rPr>
                <w:rFonts w:ascii="Times New Roman" w:cs="Times New Roman" w:eastAsia="Times New Roman" w:hAnsi="Times New Roman"/>
                <w:sz w:val="18"/>
                <w:szCs w:val="18"/>
                <w:color w:val="auto"/>
              </w:rPr>
              <w:t>document does not appear in the Interactive Data</w:t>
            </w:r>
          </w:p>
        </w:tc>
        <w:tc>
          <w:tcPr>
            <w:tcW w:w="0" w:type="dxa"/>
            <w:vAlign w:val="bottom"/>
          </w:tcPr>
          <w:p>
            <w:pPr>
              <w:spacing w:after="0"/>
              <w:rPr>
                <w:sz w:val="1"/>
                <w:szCs w:val="1"/>
                <w:color w:val="auto"/>
              </w:rPr>
            </w:pPr>
          </w:p>
        </w:tc>
      </w:tr>
      <w:tr>
        <w:trPr>
          <w:trHeight w:val="18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3720" w:type="dxa"/>
            <w:vAlign w:val="bottom"/>
            <w:gridSpan w:val="7"/>
          </w:tcPr>
          <w:p>
            <w:pPr>
              <w:spacing w:after="0" w:line="180" w:lineRule="exact"/>
              <w:rPr>
                <w:sz w:val="20"/>
                <w:szCs w:val="20"/>
                <w:color w:val="auto"/>
              </w:rPr>
            </w:pPr>
            <w:r>
              <w:rPr>
                <w:rFonts w:ascii="Times New Roman" w:cs="Times New Roman" w:eastAsia="Times New Roman" w:hAnsi="Times New Roman"/>
                <w:sz w:val="18"/>
                <w:szCs w:val="18"/>
                <w:color w:val="auto"/>
              </w:rPr>
              <w:t>File because its XBRL tags are embedded within</w:t>
            </w:r>
          </w:p>
        </w:tc>
        <w:tc>
          <w:tcPr>
            <w:tcW w:w="0" w:type="dxa"/>
            <w:vAlign w:val="bottom"/>
          </w:tcPr>
          <w:p>
            <w:pPr>
              <w:spacing w:after="0"/>
              <w:rPr>
                <w:sz w:val="1"/>
                <w:szCs w:val="1"/>
                <w:color w:val="auto"/>
              </w:rPr>
            </w:pPr>
          </w:p>
        </w:tc>
      </w:tr>
      <w:tr>
        <w:trPr>
          <w:trHeight w:val="234"/>
        </w:trPr>
        <w:tc>
          <w:tcPr>
            <w:tcW w:w="1020" w:type="dxa"/>
            <w:vAlign w:val="bottom"/>
            <w:vMerge w:val="continue"/>
          </w:tcPr>
          <w:p>
            <w:pPr>
              <w:spacing w:after="0"/>
              <w:rPr>
                <w:sz w:val="20"/>
                <w:szCs w:val="20"/>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186"/>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101.SCH</w:t>
            </w:r>
          </w:p>
        </w:tc>
        <w:tc>
          <w:tcPr>
            <w:tcW w:w="3720" w:type="dxa"/>
            <w:vAlign w:val="bottom"/>
            <w:gridSpan w:val="7"/>
          </w:tcPr>
          <w:p>
            <w:pPr>
              <w:spacing w:after="0" w:line="186" w:lineRule="exact"/>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234"/>
        </w:trPr>
        <w:tc>
          <w:tcPr>
            <w:tcW w:w="1020" w:type="dxa"/>
            <w:vAlign w:val="bottom"/>
            <w:vMerge w:val="continue"/>
          </w:tcPr>
          <w:p>
            <w:pPr>
              <w:spacing w:after="0"/>
              <w:rPr>
                <w:sz w:val="20"/>
                <w:szCs w:val="20"/>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186"/>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101.CAL</w:t>
            </w:r>
          </w:p>
        </w:tc>
        <w:tc>
          <w:tcPr>
            <w:tcW w:w="3720" w:type="dxa"/>
            <w:vAlign w:val="bottom"/>
            <w:gridSpan w:val="7"/>
          </w:tcPr>
          <w:p>
            <w:pPr>
              <w:spacing w:after="0" w:line="186" w:lineRule="exact"/>
              <w:rPr>
                <w:sz w:val="20"/>
                <w:szCs w:val="20"/>
                <w:color w:val="auto"/>
              </w:rPr>
            </w:pPr>
            <w:r>
              <w:rPr>
                <w:rFonts w:ascii="Times New Roman" w:cs="Times New Roman" w:eastAsia="Times New Roman" w:hAnsi="Times New Roman"/>
                <w:sz w:val="18"/>
                <w:szCs w:val="18"/>
                <w:color w:val="auto"/>
              </w:rPr>
              <w:t>Inline XBRL Taxonomy Calculation Linkbase</w:t>
            </w:r>
          </w:p>
        </w:tc>
        <w:tc>
          <w:tcPr>
            <w:tcW w:w="0" w:type="dxa"/>
            <w:vAlign w:val="bottom"/>
          </w:tcPr>
          <w:p>
            <w:pPr>
              <w:spacing w:after="0"/>
              <w:rPr>
                <w:sz w:val="1"/>
                <w:szCs w:val="1"/>
                <w:color w:val="auto"/>
              </w:rPr>
            </w:pPr>
          </w:p>
        </w:tc>
      </w:tr>
      <w:tr>
        <w:trPr>
          <w:trHeight w:val="234"/>
        </w:trPr>
        <w:tc>
          <w:tcPr>
            <w:tcW w:w="1020" w:type="dxa"/>
            <w:vAlign w:val="bottom"/>
            <w:vMerge w:val="continue"/>
          </w:tcPr>
          <w:p>
            <w:pPr>
              <w:spacing w:after="0"/>
              <w:rPr>
                <w:sz w:val="20"/>
                <w:szCs w:val="20"/>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42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7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Inline XBRL Taxonomy Label Linkbase Document</w:t>
            </w:r>
          </w:p>
        </w:tc>
        <w:tc>
          <w:tcPr>
            <w:tcW w:w="0" w:type="dxa"/>
            <w:vAlign w:val="bottom"/>
          </w:tcPr>
          <w:p>
            <w:pPr>
              <w:spacing w:after="0"/>
              <w:rPr>
                <w:sz w:val="1"/>
                <w:szCs w:val="1"/>
                <w:color w:val="auto"/>
              </w:rPr>
            </w:pPr>
          </w:p>
        </w:tc>
      </w:tr>
      <w:tr>
        <w:trPr>
          <w:trHeight w:val="30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c>
          <w:tcPr>
            <w:tcW w:w="0" w:type="dxa"/>
            <w:vAlign w:val="bottom"/>
          </w:tcPr>
          <w:p>
            <w:pPr>
              <w:spacing w:after="0"/>
              <w:rPr>
                <w:sz w:val="1"/>
                <w:szCs w:val="1"/>
                <w:color w:val="auto"/>
              </w:rPr>
            </w:pPr>
          </w:p>
        </w:tc>
      </w:tr>
      <w:tr>
        <w:trPr>
          <w:trHeight w:val="197"/>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101.DEF</w:t>
            </w:r>
          </w:p>
        </w:tc>
        <w:tc>
          <w:tcPr>
            <w:tcW w:w="37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Inline XBRL Taxonomy Extension Definition</w:t>
            </w:r>
          </w:p>
        </w:tc>
        <w:tc>
          <w:tcPr>
            <w:tcW w:w="0" w:type="dxa"/>
            <w:vAlign w:val="bottom"/>
          </w:tcPr>
          <w:p>
            <w:pPr>
              <w:spacing w:after="0"/>
              <w:rPr>
                <w:sz w:val="1"/>
                <w:szCs w:val="1"/>
                <w:color w:val="auto"/>
              </w:rPr>
            </w:pPr>
          </w:p>
        </w:tc>
      </w:tr>
      <w:tr>
        <w:trPr>
          <w:trHeight w:val="238"/>
        </w:trPr>
        <w:tc>
          <w:tcPr>
            <w:tcW w:w="1020" w:type="dxa"/>
            <w:vAlign w:val="bottom"/>
            <w:vMerge w:val="continue"/>
          </w:tcPr>
          <w:p>
            <w:pPr>
              <w:spacing w:after="0"/>
              <w:rPr>
                <w:sz w:val="20"/>
                <w:szCs w:val="20"/>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X</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3104" w:lineRule="exact"/>
        <w:rPr>
          <w:sz w:val="20"/>
          <w:szCs w:val="20"/>
          <w:color w:val="auto"/>
        </w:rPr>
      </w:pPr>
    </w:p>
    <w:p>
      <w:pPr>
        <w:sectPr>
          <w:pgSz w:w="12240" w:h="15840" w:orient="portrait"/>
          <w:cols w:equalWidth="0" w:num="2">
            <w:col w:w="9080" w:space="720"/>
            <w:col w:w="460"/>
          </w:cols>
          <w:pgMar w:left="1000" w:top="868" w:right="980" w:bottom="0" w:gutter="0" w:footer="0" w:header="0"/>
          <w:type w:val="continuous"/>
        </w:sectPr>
      </w:pPr>
    </w:p>
    <w:p>
      <w:pPr>
        <w:jc w:val="right"/>
        <w:ind w:right="5460"/>
        <w:spacing w:after="0"/>
        <w:rPr>
          <w:sz w:val="20"/>
          <w:szCs w:val="20"/>
          <w:color w:val="auto"/>
        </w:rPr>
      </w:pPr>
      <w:r>
        <w:rPr>
          <w:rFonts w:ascii="Times New Roman" w:cs="Times New Roman" w:eastAsia="Times New Roman" w:hAnsi="Times New Roman"/>
          <w:sz w:val="20"/>
          <w:szCs w:val="20"/>
          <w:color w:val="auto"/>
        </w:rPr>
        <w:t>Cover Page Interactive Data File (formatted as</w:t>
      </w:r>
    </w:p>
    <w:p>
      <w:pPr>
        <w:ind w:left="1060" w:hanging="1017"/>
        <w:spacing w:after="0"/>
        <w:tabs>
          <w:tab w:leader="none" w:pos="10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inline XBRL and contained in Exhibit 101)</w:t>
      </w:r>
    </w:p>
    <w:p>
      <w:pPr>
        <w:spacing w:after="0" w:line="29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Executive compensation plan or agreement.</w:t>
      </w:r>
    </w:p>
    <w:p>
      <w:pPr>
        <w:sectPr>
          <w:pgSz w:w="12240" w:h="15840" w:orient="portrait"/>
          <w:cols w:equalWidth="0" w:num="1">
            <w:col w:w="10260"/>
          </w:cols>
          <w:pgMar w:left="1000" w:top="868"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260"/>
          </w:cols>
          <w:pgMar w:left="1000" w:top="868" w:right="980" w:bottom="0" w:gutter="0" w:footer="0" w:header="0"/>
          <w:type w:val="continuous"/>
        </w:sectPr>
      </w:pPr>
    </w:p>
    <w:bookmarkStart w:id="99" w:name="page100"/>
    <w:bookmarkEnd w:id="99"/>
    <w:p>
      <w:pPr>
        <w:ind w:left="730" w:hanging="730"/>
        <w:spacing w:after="0" w:line="257" w:lineRule="auto"/>
        <w:tabs>
          <w:tab w:leader="none" w:pos="73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 w:lineRule="exact"/>
        <w:rPr>
          <w:sz w:val="20"/>
          <w:szCs w:val="20"/>
          <w:color w:val="auto"/>
        </w:rPr>
      </w:pPr>
    </w:p>
    <w:p>
      <w:pPr>
        <w:ind w:left="730" w:right="280" w:hanging="730"/>
        <w:spacing w:after="0" w:line="250" w:lineRule="auto"/>
        <w:tabs>
          <w:tab w:leader="none" w:pos="73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Registrant has omitted and filed separately with the SEC portions of the exhibit pursuant to a confidential treatment request under Rule 406 promulgated under the Securities Act.</w:t>
      </w:r>
    </w:p>
    <w:p>
      <w:pPr>
        <w:spacing w:after="0" w:line="1" w:lineRule="exact"/>
        <w:rPr>
          <w:sz w:val="20"/>
          <w:szCs w:val="20"/>
          <w:color w:val="auto"/>
        </w:rPr>
      </w:pPr>
    </w:p>
    <w:p>
      <w:pPr>
        <w:ind w:left="730" w:right="360" w:hanging="730"/>
        <w:spacing w:after="0" w:line="250" w:lineRule="auto"/>
        <w:tabs>
          <w:tab w:leader="none" w:pos="73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portions of this exhibit have been omitted by means of marking such portions with asterisks because the Registrant has determined that the information is not material and is the type that the Registrant treats as private or confidential.</w:t>
      </w:r>
    </w:p>
    <w:p>
      <w:pPr>
        <w:spacing w:after="0" w:line="1" w:lineRule="exact"/>
        <w:rPr>
          <w:sz w:val="20"/>
          <w:szCs w:val="20"/>
          <w:color w:val="auto"/>
        </w:rPr>
      </w:pPr>
    </w:p>
    <w:p>
      <w:pPr>
        <w:ind w:left="730" w:right="500" w:hanging="730"/>
        <w:spacing w:after="0" w:line="244" w:lineRule="auto"/>
        <w:tabs>
          <w:tab w:leader="none" w:pos="73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and schedules to this agreement have been omitted pursuant to the rules of the SEC. The Registrant will submit copies of such exhibits and schedules to the SEC upon request.</w:t>
      </w:r>
    </w:p>
    <w:p>
      <w:pPr>
        <w:sectPr>
          <w:pgSz w:w="12240" w:h="15840" w:orient="portrait"/>
          <w:cols w:equalWidth="0" w:num="1">
            <w:col w:w="10230"/>
          </w:cols>
          <w:pgMar w:left="99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230"/>
          </w:cols>
          <w:pgMar w:left="990" w:top="793" w:right="102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9"/>
          <w:szCs w:val="19"/>
          <w:b w:val="1"/>
          <w:bCs w:val="1"/>
          <w:color w:val="auto"/>
        </w:rPr>
        <w:t>Item 16. Form 10-K Summary</w:t>
      </w:r>
    </w:p>
    <w:p>
      <w:pPr>
        <w:sectPr>
          <w:pgSz w:w="12240" w:h="15840" w:orient="portrait"/>
          <w:cols w:equalWidth="0" w:num="1">
            <w:col w:w="9800"/>
          </w:cols>
          <w:pgMar w:left="1000" w:top="786" w:right="1440" w:bottom="0" w:gutter="0" w:footer="0" w:header="0"/>
        </w:sectPr>
      </w:pP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None.</w:t>
      </w:r>
    </w:p>
    <w:p>
      <w:pPr>
        <w:sectPr>
          <w:pgSz w:w="12240" w:h="15840" w:orient="portrait"/>
          <w:cols w:equalWidth="0" w:num="1">
            <w:col w:w="9800"/>
          </w:cols>
          <w:pgMar w:left="1000" w:top="78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9800"/>
          </w:cols>
          <w:pgMar w:left="1000" w:top="786" w:right="1440" w:bottom="0"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24"/>
          <w:szCs w:val="24"/>
          <w:b w:val="1"/>
          <w:bCs w:val="1"/>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11, 2024</w:t>
      </w:r>
    </w:p>
    <w:p>
      <w:pPr>
        <w:spacing w:after="0" w:line="15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347" w:lineRule="exact"/>
        <w:rPr>
          <w:sz w:val="20"/>
          <w:szCs w:val="20"/>
          <w:color w:val="auto"/>
        </w:rPr>
      </w:pPr>
    </w:p>
    <w:p>
      <w:pPr>
        <w:ind w:left="5760"/>
        <w:spacing w:after="0"/>
        <w:tabs>
          <w:tab w:leader="none" w:pos="6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Daniel Faga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3937000</wp:posOffset>
                </wp:positionH>
                <wp:positionV relativeFrom="paragraph">
                  <wp:posOffset>40640</wp:posOffset>
                </wp:positionV>
                <wp:extent cx="255270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527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0pt,3.2pt" to="511pt,3.2pt" o:allowincell="f" strokecolor="#000000" strokeweight="1pt"/>
            </w:pict>
          </mc:Fallback>
        </mc:AlternateContent>
      </w:r>
    </w:p>
    <w:p>
      <w:pPr>
        <w:spacing w:after="0" w:line="35"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20"/>
          <w:szCs w:val="20"/>
          <w:color w:val="auto"/>
        </w:rPr>
        <w:t>Daniel Faga</w:t>
      </w:r>
    </w:p>
    <w:p>
      <w:pPr>
        <w:spacing w:after="0" w:line="132"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b w:val="1"/>
          <w:bCs w:val="1"/>
          <w:i w:val="1"/>
          <w:iCs w:val="1"/>
          <w:color w:val="auto"/>
        </w:rPr>
        <w:t>President and Chief Executive Officer</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Each person whose individual signature appears below hereby authorizes and appoints Daniel Faga and Eric Loumeau,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13"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below by the following persons on behalf of the Registrant in the capacities and on the dates indicated.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280" w:type="dxa"/>
            <w:vAlign w:val="bottom"/>
          </w:tcPr>
          <w:p>
            <w:pPr>
              <w:spacing w:after="0"/>
              <w:rPr>
                <w:sz w:val="18"/>
                <w:szCs w:val="18"/>
                <w:color w:val="auto"/>
              </w:rPr>
            </w:pP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280" w:type="dxa"/>
            <w:vAlign w:val="bottom"/>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460"/>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Daniel Faga</w:t>
            </w:r>
          </w:p>
        </w:tc>
        <w:tc>
          <w:tcPr>
            <w:tcW w:w="2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President, Chief Executive Officer and Director</w:t>
            </w: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62"/>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Daniel Faga</w:t>
            </w:r>
          </w:p>
        </w:tc>
        <w:tc>
          <w:tcPr>
            <w:tcW w:w="280" w:type="dxa"/>
            <w:vAlign w:val="bottom"/>
          </w:tcPr>
          <w:p>
            <w:pPr>
              <w:spacing w:after="0"/>
              <w:rPr>
                <w:sz w:val="22"/>
                <w:szCs w:val="22"/>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6"/>
              </w:rPr>
              <w:t>(Principal Executive Officer)</w:t>
            </w:r>
          </w:p>
        </w:tc>
        <w:tc>
          <w:tcPr>
            <w:tcW w:w="280" w:type="dxa"/>
            <w:vAlign w:val="bottom"/>
          </w:tcPr>
          <w:p>
            <w:pPr>
              <w:spacing w:after="0"/>
              <w:rPr>
                <w:sz w:val="22"/>
                <w:szCs w:val="22"/>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11, 2024</w:t>
            </w:r>
          </w:p>
        </w:tc>
      </w:tr>
      <w:tr>
        <w:trPr>
          <w:trHeight w:val="528"/>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Dennis Mulroy</w:t>
            </w:r>
          </w:p>
        </w:tc>
        <w:tc>
          <w:tcPr>
            <w:tcW w:w="2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w:t>
            </w: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62"/>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Dennis Mulroy</w:t>
            </w:r>
          </w:p>
        </w:tc>
        <w:tc>
          <w:tcPr>
            <w:tcW w:w="280" w:type="dxa"/>
            <w:vAlign w:val="bottom"/>
          </w:tcPr>
          <w:p>
            <w:pPr>
              <w:spacing w:after="0"/>
              <w:rPr>
                <w:sz w:val="22"/>
                <w:szCs w:val="22"/>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6"/>
              </w:rPr>
              <w:t>(Principal Accounting and Financial Officer)</w:t>
            </w:r>
          </w:p>
        </w:tc>
        <w:tc>
          <w:tcPr>
            <w:tcW w:w="280" w:type="dxa"/>
            <w:vAlign w:val="bottom"/>
          </w:tcPr>
          <w:p>
            <w:pPr>
              <w:spacing w:after="0"/>
              <w:rPr>
                <w:sz w:val="22"/>
                <w:szCs w:val="22"/>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11, 2024</w:t>
            </w:r>
          </w:p>
        </w:tc>
      </w:tr>
      <w:tr>
        <w:trPr>
          <w:trHeight w:val="528"/>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Dennis Fenton</w:t>
            </w:r>
          </w:p>
        </w:tc>
        <w:tc>
          <w:tcPr>
            <w:tcW w:w="2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11, 2024</w:t>
            </w:r>
          </w:p>
        </w:tc>
      </w:tr>
      <w:tr>
        <w:trPr>
          <w:trHeight w:val="260"/>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Dennis Fenton, Ph.D.</w:t>
            </w:r>
          </w:p>
        </w:tc>
        <w:tc>
          <w:tcPr>
            <w:tcW w:w="2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90"/>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Rita Jain</w:t>
            </w:r>
          </w:p>
        </w:tc>
        <w:tc>
          <w:tcPr>
            <w:tcW w:w="2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11, 2024</w:t>
            </w:r>
          </w:p>
        </w:tc>
      </w:tr>
      <w:tr>
        <w:trPr>
          <w:trHeight w:val="262"/>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Rita Jain, M.D</w:t>
            </w:r>
          </w:p>
        </w:tc>
        <w:tc>
          <w:tcPr>
            <w:tcW w:w="2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88"/>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Magda Marquet</w:t>
            </w:r>
          </w:p>
        </w:tc>
        <w:tc>
          <w:tcPr>
            <w:tcW w:w="2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11, 2024</w:t>
            </w:r>
          </w:p>
        </w:tc>
      </w:tr>
      <w:tr>
        <w:trPr>
          <w:trHeight w:val="262"/>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Magda Marquet, Ph.D.</w:t>
            </w:r>
          </w:p>
        </w:tc>
        <w:tc>
          <w:tcPr>
            <w:tcW w:w="2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88"/>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Oleg Nodelman</w:t>
            </w:r>
          </w:p>
        </w:tc>
        <w:tc>
          <w:tcPr>
            <w:tcW w:w="2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11, 2024</w:t>
            </w:r>
          </w:p>
        </w:tc>
      </w:tr>
      <w:tr>
        <w:trPr>
          <w:trHeight w:val="262"/>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Oleg Nodelman</w:t>
            </w:r>
          </w:p>
        </w:tc>
        <w:tc>
          <w:tcPr>
            <w:tcW w:w="2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88"/>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/s/John Orwin</w:t>
            </w:r>
          </w:p>
        </w:tc>
        <w:tc>
          <w:tcPr>
            <w:tcW w:w="2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11, 2024</w:t>
            </w:r>
          </w:p>
        </w:tc>
      </w:tr>
      <w:tr>
        <w:trPr>
          <w:trHeight w:val="262"/>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John Orwin</w:t>
            </w:r>
          </w:p>
        </w:tc>
        <w:tc>
          <w:tcPr>
            <w:tcW w:w="2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88"/>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Hollings Renton</w:t>
            </w:r>
          </w:p>
        </w:tc>
        <w:tc>
          <w:tcPr>
            <w:tcW w:w="2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11, 2024</w:t>
            </w:r>
          </w:p>
        </w:tc>
      </w:tr>
      <w:tr>
        <w:trPr>
          <w:trHeight w:val="260"/>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Hollings Renton</w:t>
            </w:r>
          </w:p>
        </w:tc>
        <w:tc>
          <w:tcPr>
            <w:tcW w:w="2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90"/>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John Schmid</w:t>
            </w:r>
          </w:p>
        </w:tc>
        <w:tc>
          <w:tcPr>
            <w:tcW w:w="2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11, 2024</w:t>
            </w:r>
          </w:p>
        </w:tc>
      </w:tr>
      <w:tr>
        <w:trPr>
          <w:trHeight w:val="260"/>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John Schmid</w:t>
            </w:r>
          </w:p>
        </w:tc>
        <w:tc>
          <w:tcPr>
            <w:tcW w:w="2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90"/>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 Anthony Ware</w:t>
            </w:r>
          </w:p>
        </w:tc>
        <w:tc>
          <w:tcPr>
            <w:tcW w:w="2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11, 2024</w:t>
            </w:r>
          </w:p>
        </w:tc>
      </w:tr>
      <w:tr>
        <w:trPr>
          <w:trHeight w:val="262"/>
        </w:trPr>
        <w:tc>
          <w:tcPr>
            <w:tcW w:w="3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 Anthony Ware, M.D.</w:t>
            </w:r>
          </w:p>
        </w:tc>
        <w:tc>
          <w:tcPr>
            <w:tcW w:w="2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8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sectPr>
      <w:pgSz w:w="12240" w:h="15840" w:orient="portrait"/>
      <w:cols w:equalWidth="0" w:num="1">
        <w:col w:w="10240"/>
      </w:cols>
      <w:pgMar w:left="1000" w:top="786" w:right="100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1)"/>
      <w:numFmt w:val="lowerRoman"/>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
      <w:numFmt w:val="bullet"/>
      <w:start w:val="1"/>
    </w:lvl>
    <w:lvl w:ilvl="1">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1."/>
      <w:numFmt w:val="decimal"/>
      <w:start w:val="2"/>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1."/>
      <w:numFmt w:val="decimal"/>
      <w:start w:val="4"/>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4"/>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4"/>
    </w:lvl>
  </w:abstractNum>
  <w:abstractNum w:abstractNumId="40">
    <w:nsid w:val="57E4CCAF"/>
    <w:multiLevelType w:val="hybridMultilevel"/>
    <w:lvl w:ilvl="0">
      <w:lvlJc w:val="left"/>
      <w:lvlText w:val="%1."/>
      <w:numFmt w:val="decimal"/>
      <w:start w:val="7"/>
    </w:lvl>
  </w:abstractNum>
  <w:abstractNum w:abstractNumId="41">
    <w:nsid w:val="7A6D8D3C"/>
    <w:multiLevelType w:val="hybridMultilevel"/>
    <w:lvl w:ilvl="0">
      <w:lvlJc w:val="left"/>
      <w:lvlText w:val="%1."/>
      <w:numFmt w:val="decimal"/>
      <w:start w:val="8"/>
    </w:lvl>
  </w:abstractNum>
  <w:abstractNum w:abstractNumId="42">
    <w:nsid w:val="4B588F54"/>
    <w:multiLevelType w:val="hybridMultilevel"/>
    <w:lvl w:ilvl="0">
      <w:lvlJc w:val="left"/>
      <w:lvlText w:val="%1."/>
      <w:numFmt w:val="decimal"/>
      <w:start w:val="10"/>
    </w:lvl>
  </w:abstractNum>
  <w:abstractNum w:abstractNumId="43">
    <w:nsid w:val="542289EC"/>
    <w:multiLevelType w:val="hybridMultilevel"/>
    <w:lvl w:ilvl="0">
      <w:lvlJc w:val="left"/>
      <w:lvlText w:val="(%1)"/>
      <w:numFmt w:val="lowerLetter"/>
      <w:start w:val="1"/>
    </w:lvl>
    <w:lvl w:ilvl="1">
      <w:lvlJc w:val="left"/>
      <w:lvlText w:val="%2."/>
      <w:numFmt w:val="decimal"/>
      <w:start w:val="1"/>
    </w:lvl>
  </w:abstractNum>
  <w:abstractNum w:abstractNumId="44">
    <w:nsid w:val="6DE91B18"/>
    <w:multiLevelType w:val="hybridMultilevel"/>
    <w:lvl w:ilvl="0">
      <w:lvlJc w:val="left"/>
      <w:lvlText w:val="*"/>
      <w:numFmt w:val="bullet"/>
      <w:start w:val="1"/>
    </w:lvl>
    <w:lvl w:ilvl="1">
      <w:lvlJc w:val="left"/>
      <w:lvlText w:val="%2"/>
      <w:numFmt w:val="decimal"/>
      <w:start w:val="104"/>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2024-04-25T11:29:55Z</dcterms:created>
  <dcterms:modified xsi:type="dcterms:W3CDTF">2024-04-25T11:29:55Z</dcterms:modified>
</cp:coreProperties>
</file>