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Marquet Magda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ANAPTYSBIO,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01/15/2026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ANAPTYSBIO,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10770 WATERIDGE CIRCLE, SUITE 210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8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6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69"/>
              <w:spacing w:after="0"/>
              <w:rPr>
                <w:sz w:val="20"/>
                <w:szCs w:val="20"/>
                <w:color w:val="auto"/>
              </w:rPr>
            </w:pPr>
            <w:r>
              <w:rPr>
                <w:rFonts w:ascii="Times New Roman" w:cs="Times New Roman" w:eastAsia="Times New Roman" w:hAnsi="Times New Roman"/>
                <w:sz w:val="17"/>
                <w:szCs w:val="17"/>
                <w:color w:val="0000FF"/>
              </w:rPr>
              <w:t>01/15/2026</w:t>
            </w:r>
          </w:p>
        </w:tc>
        <w:tc>
          <w:tcPr>
            <w:tcW w:w="11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11,000</w:t>
            </w: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26.11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20,930</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rPr>
              <w:t>01/15/2026</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9,290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48.1162</w:t>
            </w:r>
            <w:r>
              <w:rPr>
                <w:rFonts w:ascii="Times New Roman" w:cs="Times New Roman" w:eastAsia="Times New Roman" w:hAnsi="Times New Roman"/>
                <w:sz w:val="21"/>
                <w:szCs w:val="21"/>
                <w:color w:val="008000"/>
                <w:w w:val="93"/>
                <w:vertAlign w:val="superscript"/>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11,640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rPr>
              <w:t>01/15/2026</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1,710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48.849</w:t>
            </w:r>
            <w:r>
              <w:rPr>
                <w:rFonts w:ascii="Times New Roman" w:cs="Times New Roman" w:eastAsia="Times New Roman" w:hAnsi="Times New Roman"/>
                <w:sz w:val="21"/>
                <w:szCs w:val="21"/>
                <w:color w:val="008000"/>
                <w:w w:val="93"/>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9,930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26.11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01/15/2026</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11,000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01/17/2031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80"/>
              <w:spacing w:after="0" w:line="193" w:lineRule="exact"/>
              <w:rPr>
                <w:sz w:val="20"/>
                <w:szCs w:val="20"/>
                <w:color w:val="auto"/>
              </w:rPr>
            </w:pPr>
            <w:r>
              <w:rPr>
                <w:rFonts w:ascii="Times New Roman" w:cs="Times New Roman" w:eastAsia="Times New Roman" w:hAnsi="Times New Roman"/>
                <w:sz w:val="22"/>
                <w:szCs w:val="22"/>
                <w:color w:val="0000FF"/>
                <w:vertAlign w:val="subscript"/>
              </w:rPr>
              <w:t>0</w:t>
            </w:r>
            <w:r>
              <w:rPr>
                <w:rFonts w:ascii="Times New Roman" w:cs="Times New Roman" w:eastAsia="Times New Roman" w:hAnsi="Times New Roman"/>
                <w:sz w:val="10"/>
                <w:szCs w:val="10"/>
                <w:color w:val="008000"/>
              </w:rPr>
              <w:t>(4)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$47.595 to $48.54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$48.625 to $48.88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w:t>
      </w:r>
    </w:p>
    <w:p>
      <w:pPr>
        <w:spacing w:after="0" w:line="43" w:lineRule="exact"/>
        <w:rPr>
          <w:rFonts w:ascii="Times New Roman" w:cs="Times New Roman" w:eastAsia="Times New Roman" w:hAnsi="Times New Roman"/>
          <w:sz w:val="13"/>
          <w:szCs w:val="13"/>
          <w:color w:val="008000"/>
        </w:rPr>
      </w:pPr>
    </w:p>
    <w:p>
      <w:pPr>
        <w:ind w:left="40" w:right="4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options to purchase shares of common stock as set forth in Table II, the Reporting Person also holds additional options to purchase up to an aggregate of 70,104 shares of common stock, which options vest according to their terms.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Eric Loumeau, Attorney-in-  </w:t>
      </w:r>
      <w:r>
        <w:rPr>
          <w:rFonts w:ascii="Times New Roman" w:cs="Times New Roman" w:eastAsia="Times New Roman" w:hAnsi="Times New Roman"/>
          <w:sz w:val="32"/>
          <w:szCs w:val="32"/>
          <w:color w:val="0000FF"/>
          <w:vertAlign w:val="subscript"/>
        </w:rPr>
        <w:t>01/16/2026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1486"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2026-01-16T12:06:41Z</dcterms:created>
  <dcterms:modified xsi:type="dcterms:W3CDTF">2026-01-16T12:06:41Z</dcterms:modified>
</cp:coreProperties>
</file>