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2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8-K</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CURRENT REPORT PURSUANT TO</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October 14, 2025</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(Date of earliest event reported)</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ANAPTYSBIO,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Charter)</w:t>
      </w:r>
    </w:p>
    <w:p>
      <w:pPr>
        <w:sectPr>
          <w:pgSz w:w="11900" w:h="16838" w:orient="portrait"/>
          <w:cols w:equalWidth="0" w:num="1">
            <w:col w:w="11300"/>
          </w:cols>
          <w:pgMar w:left="300" w:top="1059" w:right="299" w:bottom="1440" w:gutter="0" w:footer="0" w:header="0"/>
        </w:sectPr>
      </w:pPr>
    </w:p>
    <w:p>
      <w:pPr>
        <w:spacing w:after="0" w:line="186"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2"/>
          <w:szCs w:val="12"/>
          <w:b w:val="1"/>
          <w:bCs w:val="1"/>
          <w:color w:val="auto"/>
        </w:rPr>
        <w:t>001-37985</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20-3828755</w:t>
      </w:r>
    </w:p>
    <w:p>
      <w:pPr>
        <w:spacing w:after="0" w:line="24" w:lineRule="exact"/>
        <w:rPr>
          <w:sz w:val="24"/>
          <w:szCs w:val="24"/>
          <w:color w:val="auto"/>
        </w:rPr>
      </w:pPr>
    </w:p>
    <w:p>
      <w:pPr>
        <w:sectPr>
          <w:pgSz w:w="11900" w:h="16838" w:orient="portrait"/>
          <w:cols w:equalWidth="0" w:num="3">
            <w:col w:w="4680" w:space="720"/>
            <w:col w:w="2920" w:space="720"/>
            <w:col w:w="2260"/>
          </w:cols>
          <w:pgMar w:left="300" w:top="1059" w:right="29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40" w:space="720"/>
            <w:col w:w="2760" w:space="720"/>
            <w:col w:w="2860"/>
          </w:cols>
          <w:pgMar w:left="300" w:top="1059" w:right="299" w:bottom="1440" w:gutter="0" w:footer="0" w:header="0"/>
          <w:type w:val="continuous"/>
        </w:sectPr>
      </w:pPr>
    </w:p>
    <w:p>
      <w:pPr>
        <w:spacing w:after="0" w:line="2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3"/>
          <w:szCs w:val="13"/>
          <w:b w:val="1"/>
          <w:bCs w:val="1"/>
          <w:color w:val="auto"/>
        </w:rPr>
        <w:t>10770 Wateridge Circle, Suite 210,</w:t>
      </w:r>
    </w:p>
    <w:p>
      <w:pPr>
        <w:spacing w:after="0" w:line="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3"/>
          <w:szCs w:val="13"/>
          <w:b w:val="1"/>
          <w:bCs w:val="1"/>
          <w:color w:val="auto"/>
        </w:rPr>
        <w:t>San Diego, CA 92121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(Address of Principal Executive Offices, and Zip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(858) 362-6295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(Registrant’s Telephone Number, Including Area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color w:val="auto"/>
        </w:rPr>
        <w:t>(Former name or former address, if changed since last report.)</w:t>
      </w:r>
    </w:p>
    <w:p>
      <w:pPr>
        <w:sectPr>
          <w:pgSz w:w="11900" w:h="16838" w:orient="portrait"/>
          <w:cols w:equalWidth="0" w:num="1">
            <w:col w:w="11300"/>
          </w:cols>
          <w:pgMar w:left="300" w:top="1059" w:right="299" w:bottom="1440" w:gutter="0" w:footer="0" w:header="0"/>
          <w:type w:val="continuous"/>
        </w:sectPr>
      </w:pP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4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Written communication pursuant to Rule 425 under the Securities Act (17 CFR 230.425)</w:t>
      </w:r>
    </w:p>
    <w:p>
      <w:pPr>
        <w:spacing w:after="0" w:line="46"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Soliciting material pursuant to Rule 14a-12 under the Exchange Act (17 CFR 240.14a-12)</w:t>
      </w:r>
    </w:p>
    <w:p>
      <w:pPr>
        <w:spacing w:after="0" w:line="2"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Pre-commencement communication pursuant to Rule 14d-2(b) under the Exchange Act (17 CFR 240.14d-2(b))</w:t>
      </w:r>
    </w:p>
    <w:p>
      <w:pPr>
        <w:spacing w:after="0" w:line="1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Pre-commencement communication pursuant to Rule 13e-4(c) under the Exchange Act (17 CFR 240.13e-4(c))</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78" w:lineRule="exact"/>
        <w:rPr>
          <w:sz w:val="24"/>
          <w:szCs w:val="24"/>
          <w:color w:val="auto"/>
        </w:rPr>
      </w:pPr>
    </w:p>
    <w:tbl>
      <w:tblPr>
        <w:tblLayout w:type="fixed"/>
        <w:tblInd w:w="190" w:type="dxa"/>
        <w:tblCellMar>
          <w:top w:w="0" w:type="dxa"/>
          <w:left w:w="0" w:type="dxa"/>
          <w:bottom w:w="0" w:type="dxa"/>
          <w:right w:w="0" w:type="dxa"/>
        </w:tblCellMar>
      </w:tblPr>
      <w:tr>
        <w:trPr>
          <w:trHeight w:val="164"/>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5"/>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144"/>
        </w:trPr>
        <w:tc>
          <w:tcPr>
            <w:tcW w:w="4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ANAB</w:t>
            </w:r>
          </w:p>
        </w:tc>
        <w:tc>
          <w:tcPr>
            <w:tcW w:w="4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25"/>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bl>
    <w:p>
      <w:pPr>
        <w:spacing w:after="0" w:line="196" w:lineRule="exact"/>
        <w:rPr>
          <w:sz w:val="24"/>
          <w:szCs w:val="24"/>
          <w:color w:val="auto"/>
        </w:rPr>
      </w:pPr>
    </w:p>
    <w:p>
      <w:pPr>
        <w:ind w:right="2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9" w:lineRule="exact"/>
        <w:rPr>
          <w:sz w:val="24"/>
          <w:szCs w:val="24"/>
          <w:color w:val="auto"/>
        </w:rPr>
      </w:pPr>
    </w:p>
    <w:p>
      <w:pPr>
        <w:ind w:left="984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208"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570865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9" w:right="299"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7.01.</w:t>
        <w:tab/>
        <w:t>Regulation FD.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October 14, 2025, AnaptysBio, Inc. (“AnaptysBio”) will host a conference call to discuss ANB033 and use a slide presentation in conjunction with the call. A copy of the presentation is filed herewith as Exhibit 99.1.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October 14, 2025, AnaptysBio updated its corporate investor presentation, a full copy of which is attached hereto as Exhibit 99.2.</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information in this Item 7.01, including Exhibits 99.1 and 99.2,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10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9.01.</w:t>
        <w:tab/>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960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Exhibit Title or Description</w:t>
            </w:r>
          </w:p>
        </w:tc>
      </w:tr>
      <w:tr>
        <w:trPr>
          <w:trHeight w:val="149"/>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1480" w:type="dxa"/>
            <w:vAlign w:val="bottom"/>
          </w:tcPr>
          <w:p>
            <w:pPr>
              <w:spacing w:after="0"/>
              <w:rPr>
                <w:sz w:val="12"/>
                <w:szCs w:val="12"/>
                <w:color w:val="auto"/>
              </w:rPr>
            </w:pPr>
          </w:p>
        </w:tc>
        <w:tc>
          <w:tcPr>
            <w:tcW w:w="960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AnaptysBio, Inc. Investor Presentation, dated October 14, 2025.</w:t>
            </w:r>
          </w:p>
        </w:tc>
      </w:tr>
      <w:tr>
        <w:trPr>
          <w:trHeight w:val="151"/>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1480" w:type="dxa"/>
            <w:vAlign w:val="bottom"/>
          </w:tcPr>
          <w:p>
            <w:pPr>
              <w:spacing w:after="0"/>
              <w:rPr>
                <w:sz w:val="13"/>
                <w:szCs w:val="13"/>
                <w:color w:val="auto"/>
              </w:rPr>
            </w:pPr>
          </w:p>
        </w:tc>
        <w:tc>
          <w:tcPr>
            <w:tcW w:w="960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Anaptys Corporate Presentation October 2025.</w:t>
            </w:r>
          </w:p>
        </w:tc>
      </w:tr>
      <w:tr>
        <w:trPr>
          <w:trHeight w:val="178"/>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480" w:type="dxa"/>
            <w:vAlign w:val="bottom"/>
          </w:tcPr>
          <w:p>
            <w:pPr>
              <w:spacing w:after="0"/>
              <w:rPr>
                <w:sz w:val="15"/>
                <w:szCs w:val="15"/>
                <w:color w:val="auto"/>
              </w:rPr>
            </w:pPr>
          </w:p>
        </w:tc>
        <w:tc>
          <w:tcPr>
            <w:tcW w:w="960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Cover Page Interactive Data File (the cover page XBRL tags are embedded within the inline XBRL document).</w:t>
            </w:r>
          </w:p>
        </w:tc>
      </w:tr>
      <w:tr>
        <w:trPr>
          <w:trHeight w:val="576"/>
        </w:trPr>
        <w:tc>
          <w:tcPr>
            <w:tcW w:w="2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0"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2"/>
          <w:szCs w:val="12"/>
          <w:color w:val="auto"/>
        </w:rPr>
        <w:t>AnaptysBio, Inc.</w:t>
      </w:r>
    </w:p>
    <w:p>
      <w:pPr>
        <w:spacing w:after="0" w:line="17" w:lineRule="exact"/>
        <w:rPr>
          <w:sz w:val="20"/>
          <w:szCs w:val="20"/>
          <w:color w:val="auto"/>
        </w:rPr>
      </w:pPr>
    </w:p>
    <w:p>
      <w:pPr>
        <w:spacing w:after="0"/>
        <w:tabs>
          <w:tab w:leader="none" w:pos="4220" w:val="left"/>
          <w:tab w:leader="none" w:pos="4780" w:val="left"/>
        </w:tabs>
        <w:rPr>
          <w:sz w:val="20"/>
          <w:szCs w:val="20"/>
          <w:color w:val="auto"/>
        </w:rPr>
      </w:pPr>
      <w:r>
        <w:rPr>
          <w:rFonts w:ascii="Times New Roman" w:cs="Times New Roman" w:eastAsia="Times New Roman" w:hAnsi="Times New Roman"/>
          <w:sz w:val="12"/>
          <w:szCs w:val="12"/>
          <w:color w:val="auto"/>
        </w:rPr>
        <w:t>Date: October 14,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9525</wp:posOffset>
            </wp:positionV>
            <wp:extent cx="41376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37660" cy="5715"/>
                    </a:xfrm>
                    <a:prstGeom prst="rect">
                      <a:avLst/>
                    </a:prstGeom>
                    <a:noFill/>
                  </pic:spPr>
                </pic:pic>
              </a:graphicData>
            </a:graphic>
          </wp:anchor>
        </w:drawing>
      </w:r>
    </w:p>
    <w:p>
      <w:pPr>
        <w:spacing w:after="0" w:line="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color w:val="auto"/>
        </w:rPr>
        <w:t>Name: Dennis Mulroy</w:t>
      </w:r>
    </w:p>
    <w:p>
      <w:pPr>
        <w:spacing w:after="0" w:line="3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0159"/>
          </w:cols>
          <w:pgMar w:left="300" w:top="989"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2025-10-14T16:45:11Z</dcterms:created>
  <dcterms:modified xsi:type="dcterms:W3CDTF">2025-10-14T16:45:11Z</dcterms:modified>
</cp:coreProperties>
</file>