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180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08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04/30/2021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tcPr>
          <w:p>
            <w:pPr>
              <w:spacing w:after="0"/>
              <w:rPr>
                <w:sz w:val="18"/>
                <w:szCs w:val="18"/>
                <w:color w:val="auto"/>
              </w:rPr>
            </w:pPr>
          </w:p>
        </w:tc>
        <w:tc>
          <w:tcPr>
            <w:tcW w:w="540" w:type="dxa"/>
            <w:vAlign w:val="bottom"/>
            <w:tcBorders>
              <w:bottom w:val="single" w:sz="8" w:color="2C2C2C"/>
            </w:tcBorders>
            <w:gridSpan w:val="2"/>
          </w:tcPr>
          <w:p>
            <w:pPr>
              <w:spacing w:after="0"/>
              <w:rPr>
                <w:sz w:val="18"/>
                <w:szCs w:val="18"/>
                <w:color w:val="auto"/>
              </w:rPr>
            </w:pPr>
          </w:p>
        </w:tc>
        <w:tc>
          <w:tcPr>
            <w:tcW w:w="1580" w:type="dxa"/>
            <w:vAlign w:val="bottom"/>
            <w:tcBorders>
              <w:bottom w:val="single" w:sz="8" w:color="2C2C2C"/>
            </w:tcBorders>
            <w:gridSpan w:val="3"/>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4"/>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2"/>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04/30/2021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5"/>
              </w:rPr>
              <w:t>35,700</w:t>
            </w:r>
            <w:r>
              <w:rPr>
                <w:rFonts w:ascii="Arial" w:cs="Arial" w:eastAsia="Arial" w:hAnsi="Arial"/>
                <w:sz w:val="22"/>
                <w:szCs w:val="22"/>
                <w:color w:val="008000"/>
                <w:w w:val="85"/>
                <w:vertAlign w:val="superscript"/>
              </w:rPr>
              <w:t>(2)</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23.1601</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7,334,624</w:t>
            </w:r>
            <w:r>
              <w:rPr>
                <w:rFonts w:ascii="Arial" w:cs="Arial" w:eastAsia="Arial" w:hAnsi="Arial"/>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05/03/2021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5"/>
              </w:rPr>
              <w:t>20,800</w:t>
            </w:r>
            <w:r>
              <w:rPr>
                <w:rFonts w:ascii="Arial" w:cs="Arial" w:eastAsia="Arial" w:hAnsi="Arial"/>
                <w:sz w:val="22"/>
                <w:szCs w:val="22"/>
                <w:color w:val="008000"/>
                <w:w w:val="85"/>
                <w:vertAlign w:val="superscript"/>
              </w:rPr>
              <w:t>(3)</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23.3112</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7,355,424</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05/04/2021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8"/>
              </w:rPr>
              <w:t>165,000</w:t>
            </w:r>
            <w:r>
              <w:rPr>
                <w:rFonts w:ascii="Arial" w:cs="Arial" w:eastAsia="Arial" w:hAnsi="Arial"/>
                <w:sz w:val="22"/>
                <w:szCs w:val="22"/>
                <w:color w:val="008000"/>
                <w:w w:val="88"/>
                <w:vertAlign w:val="superscript"/>
              </w:rPr>
              <w:t>(4)</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23.247</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7,520,424</w:t>
            </w:r>
            <w:r>
              <w:rPr>
                <w:rFonts w:ascii="Arial" w:cs="Arial" w:eastAsia="Arial" w:hAnsi="Arial"/>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EcoR1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NODELMAN OLEG</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68"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persons (the "Filers") are EcoR1 Capital, LLC ("EcoR1"), Oleg Nodelman and EcoR1 Capital Fund Qualified, L.P. ("Qualified Fund"). EcoR1 is the investment adviser and general partner of private funds, including Qualified Fund (collectively, the "Funds"). Mr. Nodelman is the manager and controlling owner of EcoR1 and a director of the Issuer. EcoR1 is filing this Form 4 for itself and Qualified Fund.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indirectly beneficially owns them as the investment adviser to the Funds, and Mr. Nodelman indirectly beneficially owns them as the control person of EcoR1. The Filers disclaim beneficial ownership of such securities except to the extent of their pecuniary interest therein.</w:t>
      </w:r>
    </w:p>
    <w:p>
      <w:pPr>
        <w:spacing w:after="0" w:line="15"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all of the securities in this transaction. After the transaction, Qualified Fund held 6,188,266 shares of the Issuer's Common Stock.</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all of the securities in this transaction. After the transaction, Qualified Fund held 6,209,066 shares of the Issuer's Common Stock.</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all of the securities in this transaction. After the transaction, Qualified Fund held 6,374,066 shares of the Issuer's Common Stock.</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Oleg Nodelman,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and as Manager of EcoR1</w:t>
      </w:r>
      <w:r>
        <w:rPr>
          <w:sz w:val="20"/>
          <w:szCs w:val="20"/>
          <w:color w:val="auto"/>
        </w:rPr>
        <w:tab/>
      </w:r>
      <w:r>
        <w:rPr>
          <w:rFonts w:ascii="Arial" w:cs="Arial" w:eastAsia="Arial" w:hAnsi="Arial"/>
          <w:sz w:val="15"/>
          <w:szCs w:val="15"/>
          <w:color w:val="0000FF"/>
        </w:rPr>
        <w:t>05/04/2021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80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587114" TargetMode="External"/><Relationship Id="rId13" Type="http://schemas.openxmlformats.org/officeDocument/2006/relationships/hyperlink" Target="http://www.sec.gov/cgi-bin/browse-edgar?action=getcompany&amp;CIK=0001370053" TargetMode="External"/><Relationship Id="rId14" Type="http://schemas.openxmlformats.org/officeDocument/2006/relationships/hyperlink" Target="http://www.sec.gov/cgi-bin/browse-edgar?action=getcompany&amp;CIK=00014543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2021-05-04T15:54:57Z</dcterms:created>
  <dcterms:modified xsi:type="dcterms:W3CDTF">2021-05-04T15:54:57Z</dcterms:modified>
</cp:coreProperties>
</file>