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13D</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3)*</w:t>
      </w:r>
    </w:p>
    <w:p>
      <w:pPr>
        <w:spacing w:after="0" w:line="200" w:lineRule="exact"/>
        <w:rPr>
          <w:sz w:val="24"/>
          <w:szCs w:val="24"/>
          <w:color w:val="auto"/>
        </w:rPr>
      </w:pPr>
    </w:p>
    <w:p>
      <w:pPr>
        <w:spacing w:after="0" w:line="219"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0"/>
          <w:szCs w:val="20"/>
          <w:color w:val="auto"/>
        </w:rPr>
        <w:t>(Name of Issuer)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 $0.001 par value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032724106</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(CUSIP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James J. Frolik, Esq.</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Anthony J. Caldwell, Esq.</w:t>
      </w:r>
    </w:p>
    <w:p>
      <w:pPr>
        <w:jc w:val="center"/>
        <w:spacing w:after="0"/>
        <w:rPr>
          <w:sz w:val="20"/>
          <w:szCs w:val="20"/>
          <w:color w:val="auto"/>
        </w:rPr>
      </w:pPr>
      <w:r>
        <w:rPr>
          <w:rFonts w:ascii="Times New Roman" w:cs="Times New Roman" w:eastAsia="Times New Roman" w:hAnsi="Times New Roman"/>
          <w:sz w:val="20"/>
          <w:szCs w:val="20"/>
          <w:b w:val="1"/>
          <w:bCs w:val="1"/>
          <w:color w:val="auto"/>
        </w:rPr>
        <w:t>Shartsis Friese LLP</w:t>
      </w:r>
    </w:p>
    <w:p>
      <w:pPr>
        <w:jc w:val="center"/>
        <w:spacing w:after="0"/>
        <w:rPr>
          <w:sz w:val="20"/>
          <w:szCs w:val="20"/>
          <w:color w:val="auto"/>
        </w:rPr>
      </w:pPr>
      <w:r>
        <w:rPr>
          <w:rFonts w:ascii="Times New Roman" w:cs="Times New Roman" w:eastAsia="Times New Roman" w:hAnsi="Times New Roman"/>
          <w:sz w:val="20"/>
          <w:szCs w:val="20"/>
          <w:b w:val="1"/>
          <w:bCs w:val="1"/>
          <w:color w:val="auto"/>
        </w:rPr>
        <w:t>425 Market Street, 11th Floor</w:t>
      </w:r>
    </w:p>
    <w:p>
      <w:pPr>
        <w:jc w:val="center"/>
        <w:spacing w:after="0"/>
        <w:rPr>
          <w:sz w:val="20"/>
          <w:szCs w:val="20"/>
          <w:color w:val="auto"/>
        </w:rPr>
      </w:pPr>
      <w:r>
        <w:rPr>
          <w:rFonts w:ascii="Times New Roman" w:cs="Times New Roman" w:eastAsia="Times New Roman" w:hAnsi="Times New Roman"/>
          <w:sz w:val="20"/>
          <w:szCs w:val="20"/>
          <w:b w:val="1"/>
          <w:bCs w:val="1"/>
          <w:color w:val="auto"/>
        </w:rPr>
        <w:t>San Francisco, CA 94105</w:t>
      </w:r>
    </w:p>
    <w:p>
      <w:pPr>
        <w:jc w:val="center"/>
        <w:spacing w:after="0"/>
        <w:rPr>
          <w:sz w:val="20"/>
          <w:szCs w:val="20"/>
          <w:color w:val="auto"/>
        </w:rPr>
      </w:pPr>
      <w:r>
        <w:rPr>
          <w:rFonts w:ascii="Times New Roman" w:cs="Times New Roman" w:eastAsia="Times New Roman" w:hAnsi="Times New Roman"/>
          <w:sz w:val="20"/>
          <w:szCs w:val="20"/>
          <w:color w:val="auto"/>
        </w:rPr>
        <w:t>(Name, Address and Telephone Number of Person</w:t>
      </w:r>
    </w:p>
    <w:p>
      <w:pPr>
        <w:jc w:val="center"/>
        <w:spacing w:after="0"/>
        <w:rPr>
          <w:sz w:val="20"/>
          <w:szCs w:val="20"/>
          <w:color w:val="auto"/>
        </w:rPr>
      </w:pPr>
      <w:r>
        <w:rPr>
          <w:rFonts w:ascii="Times New Roman" w:cs="Times New Roman" w:eastAsia="Times New Roman" w:hAnsi="Times New Roman"/>
          <w:sz w:val="20"/>
          <w:szCs w:val="20"/>
          <w:color w:val="auto"/>
        </w:rPr>
        <w:t>Authorized to Receive Notices and Communications)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August 14, 2024</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7" w:lineRule="exact"/>
        <w:rPr>
          <w:sz w:val="24"/>
          <w:szCs w:val="24"/>
          <w:color w:val="auto"/>
        </w:rPr>
      </w:pPr>
    </w:p>
    <w:p>
      <w:pPr>
        <w:ind w:left="400" w:right="720"/>
        <w:spacing w:after="0" w:line="295" w:lineRule="auto"/>
        <w:rPr>
          <w:sz w:val="20"/>
          <w:szCs w:val="20"/>
          <w:color w:val="auto"/>
        </w:rPr>
      </w:pPr>
      <w:r>
        <w:rPr>
          <w:rFonts w:ascii="Times New Roman" w:cs="Times New Roman" w:eastAsia="Times New Roman" w:hAnsi="Times New Roman"/>
          <w:sz w:val="19"/>
          <w:szCs w:val="19"/>
          <w:color w:val="auto"/>
        </w:rPr>
        <w:t>If the filing person has previously filed a statement on Schedule 13G to report the acquisition that is the subject of this Schedule 13D, and is filing this schedule because of sections 240.13d-1(e), 240.13d-1(f) or 140.13d-1(g), check the following box. [ ]</w:t>
      </w:r>
    </w:p>
    <w:p>
      <w:pPr>
        <w:spacing w:after="0" w:line="26" w:lineRule="exact"/>
        <w:rPr>
          <w:sz w:val="24"/>
          <w:szCs w:val="24"/>
          <w:color w:val="auto"/>
        </w:rPr>
      </w:pPr>
    </w:p>
    <w:p>
      <w:pPr>
        <w:ind w:left="400" w:right="78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Note: </w:t>
      </w:r>
      <w:r>
        <w:rPr>
          <w:rFonts w:ascii="Times New Roman" w:cs="Times New Roman" w:eastAsia="Times New Roman" w:hAnsi="Times New Roman"/>
          <w:sz w:val="20"/>
          <w:szCs w:val="20"/>
          <w:color w:val="auto"/>
        </w:rPr>
        <w:t>Schedules filed in paper format shall include a signed original and five copies of the schedule, including all exhibits. See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240.13d-7 for other parties to whom copies are to be sent.</w:t>
      </w:r>
    </w:p>
    <w:p>
      <w:pPr>
        <w:spacing w:after="0" w:line="48" w:lineRule="exact"/>
        <w:rPr>
          <w:sz w:val="24"/>
          <w:szCs w:val="24"/>
          <w:color w:val="auto"/>
        </w:rPr>
      </w:pPr>
    </w:p>
    <w:p>
      <w:pPr>
        <w:ind w:left="400" w:right="460" w:hanging="3"/>
        <w:spacing w:after="0" w:line="254" w:lineRule="auto"/>
        <w:tabs>
          <w:tab w:leader="none" w:pos="5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6" w:lineRule="exact"/>
        <w:rPr>
          <w:sz w:val="24"/>
          <w:szCs w:val="24"/>
          <w:color w:val="auto"/>
        </w:rPr>
      </w:pPr>
    </w:p>
    <w:p>
      <w:pPr>
        <w:ind w:left="400" w:right="520"/>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62" w:lineRule="exact"/>
        <w:rPr>
          <w:sz w:val="24"/>
          <w:szCs w:val="24"/>
          <w:color w:val="auto"/>
        </w:rPr>
      </w:pPr>
    </w:p>
    <w:p>
      <w:pPr>
        <w:ind w:left="400" w:right="80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277" w:lineRule="exact"/>
        <w:rPr>
          <w:sz w:val="24"/>
          <w:szCs w:val="24"/>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LLC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1"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0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Source of Funds (See Instructions) </w:t>
      </w:r>
      <w:r>
        <w:rPr>
          <w:rFonts w:ascii="Times New Roman" w:cs="Times New Roman" w:eastAsia="Times New Roman" w:hAnsi="Times New Roman"/>
          <w:sz w:val="20"/>
          <w:szCs w:val="20"/>
          <w:b w:val="1"/>
          <w:bCs w:val="1"/>
          <w:color w:val="auto"/>
        </w:rPr>
        <w:t>AF</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 ____</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w w:val="93"/>
              </w:rPr>
              <w:t>7.</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ind w:left="100"/>
              <w:spacing w:after="0" w:line="186" w:lineRule="exact"/>
              <w:rPr>
                <w:sz w:val="20"/>
                <w:szCs w:val="20"/>
                <w:color w:val="auto"/>
              </w:rPr>
            </w:pPr>
            <w:r>
              <w:rPr>
                <w:rFonts w:ascii="Times New Roman" w:cs="Times New Roman" w:eastAsia="Times New Roman" w:hAnsi="Times New Roman"/>
                <w:sz w:val="20"/>
                <w:szCs w:val="20"/>
                <w:color w:val="auto"/>
                <w:w w:val="93"/>
              </w:rPr>
              <w:t>8.</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7,794,996</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ind w:left="100"/>
              <w:spacing w:after="0" w:line="173" w:lineRule="exact"/>
              <w:rPr>
                <w:sz w:val="20"/>
                <w:szCs w:val="20"/>
                <w:color w:val="auto"/>
              </w:rPr>
            </w:pPr>
            <w:r>
              <w:rPr>
                <w:rFonts w:ascii="Times New Roman" w:cs="Times New Roman" w:eastAsia="Times New Roman" w:hAnsi="Times New Roman"/>
                <w:sz w:val="20"/>
                <w:szCs w:val="20"/>
                <w:color w:val="auto"/>
                <w:w w:val="93"/>
              </w:rPr>
              <w:t>9.</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9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Times New Roman" w:cs="Times New Roman" w:eastAsia="Times New Roman" w:hAnsi="Times New Roman"/>
                <w:sz w:val="20"/>
                <w:szCs w:val="20"/>
                <w:color w:val="auto"/>
              </w:rPr>
              <w:t xml:space="preserve">10. Shared Dispositive Power </w:t>
            </w:r>
            <w:r>
              <w:rPr>
                <w:rFonts w:ascii="Times New Roman" w:cs="Times New Roman" w:eastAsia="Times New Roman" w:hAnsi="Times New Roman"/>
                <w:sz w:val="20"/>
                <w:szCs w:val="20"/>
                <w:b w:val="1"/>
                <w:bCs w:val="1"/>
                <w:color w:val="auto"/>
              </w:rPr>
              <w:t>7,794,996</w:t>
            </w:r>
          </w:p>
        </w:tc>
        <w:tc>
          <w:tcPr>
            <w:tcW w:w="0" w:type="dxa"/>
            <w:vAlign w:val="bottom"/>
          </w:tcPr>
          <w:p>
            <w:pPr>
              <w:spacing w:after="0"/>
              <w:rPr>
                <w:sz w:val="1"/>
                <w:szCs w:val="1"/>
                <w:color w:val="auto"/>
              </w:rPr>
            </w:pPr>
          </w:p>
        </w:tc>
      </w:tr>
    </w:tbl>
    <w:p>
      <w:pPr>
        <w:spacing w:after="0" w:line="203" w:lineRule="exact"/>
        <w:rPr>
          <w:sz w:val="24"/>
          <w:szCs w:val="24"/>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7,794,996</w:t>
      </w:r>
    </w:p>
    <w:p>
      <w:pPr>
        <w:sectPr>
          <w:pgSz w:w="11900" w:h="16838" w:orient="portrait"/>
          <w:cols w:equalWidth="0" w:num="1">
            <w:col w:w="11240"/>
          </w:cols>
          <w:pgMar w:left="320" w:top="221" w:right="339" w:bottom="0" w:gutter="0" w:footer="0" w:header="0"/>
        </w:sectPr>
      </w:pPr>
    </w:p>
    <w:bookmarkStart w:id="1" w:name="page2"/>
    <w:bookmarkEnd w:id="1"/>
    <w:p>
      <w:pPr>
        <w:ind w:left="644" w:right="2919" w:hanging="644"/>
        <w:spacing w:after="0" w:line="268" w:lineRule="auto"/>
        <w:tabs>
          <w:tab w:leader="none" w:pos="64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(11) Excludes Certain Shares (See Instructions) ______</w:t>
      </w:r>
    </w:p>
    <w:p>
      <w:pPr>
        <w:spacing w:after="0" w:line="170"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(11) </w:t>
      </w:r>
      <w:r>
        <w:rPr>
          <w:rFonts w:ascii="Times New Roman" w:cs="Times New Roman" w:eastAsia="Times New Roman" w:hAnsi="Times New Roman"/>
          <w:sz w:val="20"/>
          <w:szCs w:val="20"/>
          <w:b w:val="1"/>
          <w:bCs w:val="1"/>
          <w:color w:val="auto"/>
        </w:rPr>
        <w:t>25.8%</w:t>
      </w:r>
    </w:p>
    <w:p>
      <w:pPr>
        <w:spacing w:after="0" w:line="22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OO</w:t>
      </w:r>
    </w:p>
    <w:p>
      <w:pPr>
        <w:spacing w:after="0" w:line="238" w:lineRule="exact"/>
        <w:rPr>
          <w:sz w:val="20"/>
          <w:szCs w:val="20"/>
          <w:color w:val="auto"/>
        </w:rPr>
      </w:pPr>
    </w:p>
    <w:p>
      <w:pPr>
        <w:jc w:val="center"/>
        <w:ind w:right="-464"/>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483"/>
          </w:cols>
          <w:pgMar w:left="976" w:top="11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032724106</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Oleg Nodelman</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1"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ind w:left="1580" w:hanging="276"/>
        <w:spacing w:after="0"/>
        <w:tabs>
          <w:tab w:leader="none" w:pos="15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0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Source of Funds (See Instructions) </w:t>
      </w:r>
      <w:r>
        <w:rPr>
          <w:rFonts w:ascii="Times New Roman" w:cs="Times New Roman" w:eastAsia="Times New Roman" w:hAnsi="Times New Roman"/>
          <w:sz w:val="20"/>
          <w:szCs w:val="20"/>
          <w:b w:val="1"/>
          <w:bCs w:val="1"/>
          <w:color w:val="auto"/>
        </w:rPr>
        <w:t>AF</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 ____</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w w:val="93"/>
              </w:rPr>
              <w:t>7.</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ind w:left="100"/>
              <w:spacing w:after="0" w:line="186" w:lineRule="exact"/>
              <w:rPr>
                <w:sz w:val="20"/>
                <w:szCs w:val="20"/>
                <w:color w:val="auto"/>
              </w:rPr>
            </w:pPr>
            <w:r>
              <w:rPr>
                <w:rFonts w:ascii="Times New Roman" w:cs="Times New Roman" w:eastAsia="Times New Roman" w:hAnsi="Times New Roman"/>
                <w:sz w:val="20"/>
                <w:szCs w:val="20"/>
                <w:color w:val="auto"/>
                <w:w w:val="93"/>
              </w:rPr>
              <w:t>8.</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7,794,996</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ind w:left="100"/>
              <w:spacing w:after="0" w:line="173" w:lineRule="exact"/>
              <w:rPr>
                <w:sz w:val="20"/>
                <w:szCs w:val="20"/>
                <w:color w:val="auto"/>
              </w:rPr>
            </w:pPr>
            <w:r>
              <w:rPr>
                <w:rFonts w:ascii="Times New Roman" w:cs="Times New Roman" w:eastAsia="Times New Roman" w:hAnsi="Times New Roman"/>
                <w:sz w:val="20"/>
                <w:szCs w:val="20"/>
                <w:color w:val="auto"/>
                <w:w w:val="93"/>
              </w:rPr>
              <w:t>9.</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9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Times New Roman" w:cs="Times New Roman" w:eastAsia="Times New Roman" w:hAnsi="Times New Roman"/>
                <w:sz w:val="20"/>
                <w:szCs w:val="20"/>
                <w:color w:val="auto"/>
              </w:rPr>
              <w:t xml:space="preserve">10. Shared Dispositive Power </w:t>
            </w:r>
            <w:r>
              <w:rPr>
                <w:rFonts w:ascii="Times New Roman" w:cs="Times New Roman" w:eastAsia="Times New Roman" w:hAnsi="Times New Roman"/>
                <w:sz w:val="20"/>
                <w:szCs w:val="20"/>
                <w:b w:val="1"/>
                <w:bCs w:val="1"/>
                <w:color w:val="auto"/>
              </w:rPr>
              <w:t>7,794,996</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7,794,996</w:t>
      </w:r>
    </w:p>
    <w:p>
      <w:pPr>
        <w:spacing w:after="0" w:line="233" w:lineRule="exact"/>
        <w:rPr>
          <w:rFonts w:ascii="Times New Roman" w:cs="Times New Roman" w:eastAsia="Times New Roman" w:hAnsi="Times New Roman"/>
          <w:sz w:val="20"/>
          <w:szCs w:val="20"/>
          <w:color w:val="auto"/>
        </w:rPr>
      </w:pPr>
    </w:p>
    <w:p>
      <w:pPr>
        <w:ind w:left="1300" w:right="4020" w:hanging="644"/>
        <w:spacing w:after="0" w:line="269" w:lineRule="auto"/>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(11) Excludes Certain Shares (See Instructions) 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(11) </w:t>
      </w:r>
      <w:r>
        <w:rPr>
          <w:rFonts w:ascii="Times New Roman" w:cs="Times New Roman" w:eastAsia="Times New Roman" w:hAnsi="Times New Roman"/>
          <w:sz w:val="20"/>
          <w:szCs w:val="20"/>
          <w:b w:val="1"/>
          <w:bCs w:val="1"/>
          <w:color w:val="auto"/>
        </w:rPr>
        <w:t>25.8%</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032724106</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1"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ind w:left="1580" w:hanging="276"/>
        <w:spacing w:after="0"/>
        <w:tabs>
          <w:tab w:leader="none" w:pos="158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0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Source of Funds (See Instructions) </w:t>
      </w:r>
      <w:r>
        <w:rPr>
          <w:rFonts w:ascii="Times New Roman" w:cs="Times New Roman" w:eastAsia="Times New Roman" w:hAnsi="Times New Roman"/>
          <w:sz w:val="20"/>
          <w:szCs w:val="20"/>
          <w:b w:val="1"/>
          <w:bCs w:val="1"/>
          <w:color w:val="auto"/>
        </w:rPr>
        <w:t>WC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 ____</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w w:val="93"/>
              </w:rPr>
              <w:t>7.</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ind w:left="100"/>
              <w:spacing w:after="0" w:line="186" w:lineRule="exact"/>
              <w:rPr>
                <w:sz w:val="20"/>
                <w:szCs w:val="20"/>
                <w:color w:val="auto"/>
              </w:rPr>
            </w:pPr>
            <w:r>
              <w:rPr>
                <w:rFonts w:ascii="Times New Roman" w:cs="Times New Roman" w:eastAsia="Times New Roman" w:hAnsi="Times New Roman"/>
                <w:sz w:val="20"/>
                <w:szCs w:val="20"/>
                <w:color w:val="auto"/>
                <w:w w:val="93"/>
              </w:rPr>
              <w:t>8.</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7,316,874</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ind w:left="100"/>
              <w:spacing w:after="0" w:line="173" w:lineRule="exact"/>
              <w:rPr>
                <w:sz w:val="20"/>
                <w:szCs w:val="20"/>
                <w:color w:val="auto"/>
              </w:rPr>
            </w:pPr>
            <w:r>
              <w:rPr>
                <w:rFonts w:ascii="Times New Roman" w:cs="Times New Roman" w:eastAsia="Times New Roman" w:hAnsi="Times New Roman"/>
                <w:sz w:val="20"/>
                <w:szCs w:val="20"/>
                <w:color w:val="auto"/>
                <w:w w:val="93"/>
              </w:rPr>
              <w:t>9.</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9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Times New Roman" w:cs="Times New Roman" w:eastAsia="Times New Roman" w:hAnsi="Times New Roman"/>
                <w:sz w:val="20"/>
                <w:szCs w:val="20"/>
                <w:color w:val="auto"/>
              </w:rPr>
              <w:t xml:space="preserve">10. Shared Dispositive Power </w:t>
            </w:r>
            <w:r>
              <w:rPr>
                <w:rFonts w:ascii="Times New Roman" w:cs="Times New Roman" w:eastAsia="Times New Roman" w:hAnsi="Times New Roman"/>
                <w:sz w:val="20"/>
                <w:szCs w:val="20"/>
                <w:b w:val="1"/>
                <w:bCs w:val="1"/>
                <w:color w:val="auto"/>
              </w:rPr>
              <w:t>7,316,874</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7,316,874</w:t>
      </w:r>
    </w:p>
    <w:p>
      <w:pPr>
        <w:spacing w:after="0" w:line="233" w:lineRule="exact"/>
        <w:rPr>
          <w:rFonts w:ascii="Times New Roman" w:cs="Times New Roman" w:eastAsia="Times New Roman" w:hAnsi="Times New Roman"/>
          <w:sz w:val="20"/>
          <w:szCs w:val="20"/>
          <w:color w:val="auto"/>
        </w:rPr>
      </w:pPr>
    </w:p>
    <w:p>
      <w:pPr>
        <w:ind w:left="1300" w:right="4020" w:hanging="644"/>
        <w:spacing w:after="0" w:line="269"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(11) Excludes Certain Shares (See Instructions) 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(11) </w:t>
      </w:r>
      <w:r>
        <w:rPr>
          <w:rFonts w:ascii="Times New Roman" w:cs="Times New Roman" w:eastAsia="Times New Roman" w:hAnsi="Times New Roman"/>
          <w:sz w:val="20"/>
          <w:szCs w:val="20"/>
          <w:b w:val="1"/>
          <w:bCs w:val="1"/>
          <w:color w:val="auto"/>
        </w:rPr>
        <w:t>24.2%</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032724106</w:t>
      </w:r>
    </w:p>
    <w:p>
      <w:pPr>
        <w:spacing w:after="0" w:line="23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19"/>
          <w:szCs w:val="19"/>
          <w:color w:val="auto"/>
        </w:rPr>
        <w:t>Security and Issuer</w:t>
      </w:r>
    </w:p>
    <w:p>
      <w:pPr>
        <w:spacing w:after="0" w:line="22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 xml:space="preserve">This statement relates to shares of Common Stock, $0.001 par value (the “Stock”), of </w:t>
      </w:r>
      <w:r>
        <w:rPr>
          <w:rFonts w:ascii="Times New Roman" w:cs="Times New Roman" w:eastAsia="Times New Roman" w:hAnsi="Times New Roman"/>
          <w:sz w:val="20"/>
          <w:szCs w:val="20"/>
          <w:b w:val="1"/>
          <w:bCs w:val="1"/>
          <w:color w:val="auto"/>
        </w:rPr>
        <w:t>AnaptysBio, Inc.</w:t>
      </w:r>
      <w:r>
        <w:rPr>
          <w:rFonts w:ascii="Times New Roman" w:cs="Times New Roman" w:eastAsia="Times New Roman" w:hAnsi="Times New Roman"/>
          <w:sz w:val="20"/>
          <w:szCs w:val="20"/>
          <w:color w:val="auto"/>
        </w:rPr>
        <w:t xml:space="preserve"> (the “Issuer”). The principal executive office of the Issuer is located at </w:t>
      </w:r>
      <w:r>
        <w:rPr>
          <w:rFonts w:ascii="Times New Roman" w:cs="Times New Roman" w:eastAsia="Times New Roman" w:hAnsi="Times New Roman"/>
          <w:sz w:val="20"/>
          <w:szCs w:val="20"/>
          <w:b w:val="1"/>
          <w:bCs w:val="1"/>
          <w:color w:val="auto"/>
        </w:rPr>
        <w:t>10770 Wateridge Circle, Suite 210, San Diego, CA 92121</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Identity and Background</w:t>
      </w:r>
    </w:p>
    <w:p>
      <w:pPr>
        <w:spacing w:after="0" w:line="220"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9"/>
          <w:szCs w:val="19"/>
          <w:color w:val="auto"/>
        </w:rPr>
        <w:t>The persons filing this statement and the persons enumerated in Instruction C of Schedule 13D and, where applicable, their respective places of organization, general partners, directors, executive officers and controlling persons, and the information regarding them, are as follows:</w:t>
      </w:r>
    </w:p>
    <w:p>
      <w:pPr>
        <w:spacing w:after="0" w:line="134" w:lineRule="exact"/>
        <w:rPr>
          <w:sz w:val="20"/>
          <w:szCs w:val="20"/>
          <w:color w:val="auto"/>
        </w:rPr>
      </w:pPr>
    </w:p>
    <w:p>
      <w:pPr>
        <w:ind w:left="1300" w:right="720" w:hanging="644"/>
        <w:spacing w:after="0" w:line="273"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Fund Qualified, L.P. (“Qualified Fund”); EcoR1 Capital, LLC (“EcoR1”) and Oleg Nodelman (“Nodelman”) (collectively, the “Filers”).</w:t>
      </w:r>
    </w:p>
    <w:p>
      <w:pPr>
        <w:spacing w:after="0" w:line="165" w:lineRule="exact"/>
        <w:rPr>
          <w:rFonts w:ascii="Times New Roman" w:cs="Times New Roman" w:eastAsia="Times New Roman" w:hAnsi="Times New Roman"/>
          <w:sz w:val="20"/>
          <w:szCs w:val="20"/>
          <w:color w:val="auto"/>
        </w:rPr>
      </w:pPr>
    </w:p>
    <w:p>
      <w:pPr>
        <w:ind w:left="1300" w:right="20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Qualified Fund is filing this statement jointly with the other Filers, but not as a member of a group and it expressly disclaims membership in a group. In addition, filing this Schedule 13D on behalf of Qualified Fund should not be construed as an admission that it is, and it disclaims that it is, a beneficial owner, as defined in Rule 13d-3 under the Act, of any of the Stock covered by this Schedule 13D.</w:t>
      </w:r>
    </w:p>
    <w:p>
      <w:pPr>
        <w:spacing w:after="0" w:line="189" w:lineRule="exact"/>
        <w:rPr>
          <w:rFonts w:ascii="Times New Roman" w:cs="Times New Roman" w:eastAsia="Times New Roman" w:hAnsi="Times New Roman"/>
          <w:sz w:val="20"/>
          <w:szCs w:val="20"/>
          <w:color w:val="auto"/>
        </w:rPr>
      </w:pPr>
    </w:p>
    <w:p>
      <w:pPr>
        <w:ind w:left="1300" w:right="38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Each Filer also disclaims beneficial ownership of the Stock except to the extent of that person’s pecuniary interest therein.</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address of the Filers is</w:t>
      </w:r>
    </w:p>
    <w:p>
      <w:pPr>
        <w:spacing w:after="0" w:line="2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357 Tehama Street #3, San Francisco, CA 94103</w:t>
      </w:r>
    </w:p>
    <w:p>
      <w:pPr>
        <w:spacing w:after="0" w:line="207" w:lineRule="exact"/>
        <w:rPr>
          <w:rFonts w:ascii="Times New Roman" w:cs="Times New Roman" w:eastAsia="Times New Roman" w:hAnsi="Times New Roman"/>
          <w:sz w:val="20"/>
          <w:szCs w:val="20"/>
          <w:color w:val="auto"/>
        </w:rPr>
      </w:pPr>
    </w:p>
    <w:p>
      <w:pPr>
        <w:ind w:left="1300" w:right="100" w:hanging="644"/>
        <w:spacing w:after="0" w:line="250"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 principal occupation or employment of the Filers and the name, principal business and address of any corporation or other organization in which such employment is conducted:</w:t>
      </w:r>
    </w:p>
    <w:p>
      <w:pPr>
        <w:spacing w:after="0" w:line="1" w:lineRule="exact"/>
        <w:rPr>
          <w:rFonts w:ascii="Times New Roman" w:cs="Times New Roman" w:eastAsia="Times New Roman" w:hAnsi="Times New Roman"/>
          <w:sz w:val="20"/>
          <w:szCs w:val="20"/>
          <w:color w:val="auto"/>
        </w:rPr>
      </w:pPr>
    </w:p>
    <w:p>
      <w:pPr>
        <w:ind w:left="1300" w:right="70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is an investment adviser to investment funds, including Qualified Fund (collectively, the “Funds”). Mr. Nodelman is the manager and control person of EcoR1.</w:t>
      </w:r>
    </w:p>
    <w:p>
      <w:pPr>
        <w:spacing w:after="0" w:line="195" w:lineRule="exact"/>
        <w:rPr>
          <w:rFonts w:ascii="Times New Roman" w:cs="Times New Roman" w:eastAsia="Times New Roman" w:hAnsi="Times New Roman"/>
          <w:sz w:val="20"/>
          <w:szCs w:val="20"/>
          <w:color w:val="auto"/>
        </w:rPr>
      </w:pPr>
    </w:p>
    <w:p>
      <w:pPr>
        <w:ind w:left="1300" w:right="440" w:hanging="644"/>
        <w:spacing w:after="0" w:line="269"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last five years, none of the Filers has been convicted in a criminal proceeding (excluding traffic violations or similar misdemeanors).</w:t>
      </w:r>
    </w:p>
    <w:p>
      <w:pPr>
        <w:spacing w:after="0" w:line="159" w:lineRule="exact"/>
        <w:rPr>
          <w:rFonts w:ascii="Times New Roman" w:cs="Times New Roman" w:eastAsia="Times New Roman" w:hAnsi="Times New Roman"/>
          <w:sz w:val="20"/>
          <w:szCs w:val="20"/>
          <w:color w:val="auto"/>
        </w:rPr>
      </w:pPr>
    </w:p>
    <w:p>
      <w:pPr>
        <w:ind w:left="1300" w:right="140" w:hanging="644"/>
        <w:spacing w:after="0" w:line="249"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last five years, none of the Filers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9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the Filers, see Item 6 of each Filer’s cover page.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032724106</w:t>
      </w:r>
    </w:p>
    <w:p>
      <w:pPr>
        <w:spacing w:after="0" w:line="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Source and Amount of Funds or Other Consideration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source and amount of funds used in purchasing the Stock were as follows:</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2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Purchaser</w:t>
            </w:r>
          </w:p>
        </w:tc>
        <w:tc>
          <w:tcPr>
            <w:tcW w:w="4060" w:type="dxa"/>
            <w:vAlign w:val="bottom"/>
          </w:tcPr>
          <w:p>
            <w:pPr>
              <w:ind w:left="1480"/>
              <w:spacing w:after="0"/>
              <w:rPr>
                <w:sz w:val="20"/>
                <w:szCs w:val="20"/>
                <w:color w:val="auto"/>
              </w:rPr>
            </w:pPr>
            <w:r>
              <w:rPr>
                <w:rFonts w:ascii="Times New Roman" w:cs="Times New Roman" w:eastAsia="Times New Roman" w:hAnsi="Times New Roman"/>
                <w:sz w:val="20"/>
                <w:szCs w:val="20"/>
                <w:b w:val="1"/>
                <w:bCs w:val="1"/>
                <w:color w:val="auto"/>
              </w:rPr>
              <w:t>Source of Funds</w:t>
            </w:r>
          </w:p>
        </w:tc>
        <w:tc>
          <w:tcPr>
            <w:tcW w:w="2300" w:type="dxa"/>
            <w:vAlign w:val="bottom"/>
          </w:tcPr>
          <w:p>
            <w:pPr>
              <w:ind w:left="114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642"/>
        </w:trPr>
        <w:tc>
          <w:tcPr>
            <w:tcW w:w="2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the Funds</w:t>
            </w:r>
          </w:p>
        </w:tc>
        <w:tc>
          <w:tcPr>
            <w:tcW w:w="4060" w:type="dxa"/>
            <w:vAlign w:val="bottom"/>
          </w:tcPr>
          <w:p>
            <w:pPr>
              <w:ind w:left="1480"/>
              <w:spacing w:after="0"/>
              <w:rPr>
                <w:sz w:val="20"/>
                <w:szCs w:val="20"/>
                <w:color w:val="auto"/>
              </w:rPr>
            </w:pPr>
            <w:r>
              <w:rPr>
                <w:rFonts w:ascii="Times New Roman" w:cs="Times New Roman" w:eastAsia="Times New Roman" w:hAnsi="Times New Roman"/>
                <w:sz w:val="20"/>
                <w:szCs w:val="20"/>
                <w:b w:val="1"/>
                <w:bCs w:val="1"/>
                <w:color w:val="auto"/>
              </w:rPr>
              <w:t>Working Capital</w:t>
            </w:r>
          </w:p>
        </w:tc>
        <w:tc>
          <w:tcPr>
            <w:tcW w:w="2300" w:type="dxa"/>
            <w:vAlign w:val="bottom"/>
          </w:tcPr>
          <w:p>
            <w:pPr>
              <w:ind w:left="1140"/>
              <w:spacing w:after="0"/>
              <w:rPr>
                <w:sz w:val="20"/>
                <w:szCs w:val="20"/>
                <w:color w:val="auto"/>
              </w:rPr>
            </w:pPr>
            <w:r>
              <w:rPr>
                <w:rFonts w:ascii="Times New Roman" w:cs="Times New Roman" w:eastAsia="Times New Roman" w:hAnsi="Times New Roman"/>
                <w:sz w:val="20"/>
                <w:szCs w:val="20"/>
                <w:b w:val="1"/>
                <w:bCs w:val="1"/>
                <w:color w:val="auto"/>
                <w:w w:val="94"/>
              </w:rPr>
              <w:t>$136,419,590</w:t>
            </w:r>
            <w:r>
              <w:rPr>
                <w:rFonts w:ascii="Times New Roman" w:cs="Times New Roman" w:eastAsia="Times New Roman" w:hAnsi="Times New Roman"/>
                <w:sz w:val="32"/>
                <w:szCs w:val="32"/>
                <w:b w:val="1"/>
                <w:bCs w:val="1"/>
                <w:color w:val="auto"/>
                <w:w w:val="94"/>
                <w:vertAlign w:val="superscript"/>
              </w:rPr>
              <w:t>1</w:t>
            </w:r>
          </w:p>
        </w:tc>
      </w:tr>
    </w:tbl>
    <w:p>
      <w:pPr>
        <w:spacing w:after="0" w:line="4" w:lineRule="exact"/>
        <w:rPr>
          <w:sz w:val="20"/>
          <w:szCs w:val="20"/>
          <w:color w:val="auto"/>
        </w:rPr>
      </w:pPr>
    </w:p>
    <w:p>
      <w:pPr>
        <w:ind w:left="140" w:hanging="132"/>
        <w:spacing w:after="0"/>
        <w:tabs>
          <w:tab w:leader="none" w:pos="140" w:val="left"/>
        </w:tabs>
        <w:numPr>
          <w:ilvl w:val="0"/>
          <w:numId w:val="10"/>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Includes $130,611,192 paid by Qualified Fund.</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Purpose of Transaction</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Filers acquired the Stock for investment purposes based on their belief that the Stock, when purchased, was undervalued and represented an attractive investment opportunity. On April 8, 2021, the Issuer’s Board of Directors appointed Mr. Nodelman to serve as a director of the Issuer. Going forward, the Filers will routinely monitor the Issuer regarding a wide variety of factors that affect their investment considerations, including, current and anticipated future trading prices of the Stock and other securities, the Issuer’s operations, assets, prospects, financial position, and business development, Issuer’s management, Issuer-related competitive and strategic matters, general economic, financial market and industry conditions, and other investment considerations. Depending on their evaluation of various factors, the Filers may take such actions regarding their holdings of the Issuer’s securities as they deem appropriate in light of circumstances existing from time to time. Such actions may include purchasing additional Stock in the open market, through privately negotiated transactions with third parties or otherwise, and selling at any time, in the open market, through privately negotiated transactions with third parties or otherwise, all or part of the Stock that they now own or hereafter acquire. The Filers also may from time to time enter into or unwind hedging or other derivative transactions with respect to the Stock or pledge their interests in the Stock to obtain liquidity. In addition, from time to time the Filers and their representatives and advisers may communicate with other stockholders, industry participants and other interested parties about the Issuer.</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Filers have no present plan or proposal that relates to or would result in any of the actions specified in clauses (a) through (j) of Item 4 of Schedule 13D. However, the Filers may recommend action to the Issuer’s management, board of directors and stockholders. Any such actions could involve one or more of the events referred to in clauses (a) through (j) of Item 4 of Schedule 13D, including, potentially, one or more mergers, consolidations, sales or acquisitions of assets, changes in control, issuances, purchases, dispositions or pledges of securities or other changes in capitalization.</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Interest in Securities of the Issuer</w:t>
      </w:r>
    </w:p>
    <w:p>
      <w:pPr>
        <w:spacing w:after="0" w:line="220"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The beneficial ownership of the Stock by each Filer on the date hereof is reflected on that Filer’s cover page. The Filers engaged in the following transactions in the Issuer’s Stock in the 60 days preceding the date of this Schedule 13D:</w:t>
      </w:r>
    </w:p>
    <w:p>
      <w:pPr>
        <w:sectPr>
          <w:pgSz w:w="11900" w:h="16838" w:orient="portrait"/>
          <w:cols w:equalWidth="0" w:num="1">
            <w:col w:w="11240"/>
          </w:cols>
          <w:pgMar w:left="320" w:top="229" w:right="339" w:bottom="0" w:gutter="0" w:footer="0" w:header="0"/>
        </w:sectPr>
      </w:pPr>
    </w:p>
    <w:p>
      <w:pPr>
        <w:spacing w:after="0" w:line="1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Name</w:t>
      </w: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Qualified Fund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Purchase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w:t>
      </w:r>
    </w:p>
    <w:p>
      <w:pPr>
        <w:spacing w:after="0"/>
        <w:rPr>
          <w:sz w:val="20"/>
          <w:szCs w:val="20"/>
          <w:color w:val="auto"/>
        </w:rPr>
      </w:pPr>
      <w:r>
        <w:rPr>
          <w:rFonts w:ascii="Times New Roman" w:cs="Times New Roman" w:eastAsia="Times New Roman" w:hAnsi="Times New Roman"/>
          <w:sz w:val="19"/>
          <w:szCs w:val="19"/>
          <w:color w:val="auto"/>
        </w:rPr>
        <w:t>Purchase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8/14/2024</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374" w:lineRule="auto"/>
        <w:rPr>
          <w:sz w:val="20"/>
          <w:szCs w:val="20"/>
          <w:color w:val="auto"/>
        </w:rPr>
      </w:pPr>
      <w:r>
        <w:rPr>
          <w:rFonts w:ascii="Times New Roman" w:cs="Times New Roman" w:eastAsia="Times New Roman" w:hAnsi="Times New Roman"/>
          <w:sz w:val="20"/>
          <w:szCs w:val="20"/>
          <w:color w:val="auto"/>
        </w:rPr>
        <w:t>Manner Effected Public Offering by Issuer</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508" w:lineRule="auto"/>
        <w:rPr>
          <w:sz w:val="20"/>
          <w:szCs w:val="20"/>
          <w:color w:val="auto"/>
        </w:rPr>
      </w:pPr>
      <w:r>
        <w:rPr>
          <w:rFonts w:ascii="Times New Roman" w:cs="Times New Roman" w:eastAsia="Times New Roman" w:hAnsi="Times New Roman"/>
          <w:sz w:val="20"/>
          <w:szCs w:val="20"/>
          <w:color w:val="auto"/>
        </w:rPr>
        <w:t>Number of Shares 273,972</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700"/>
        <w:spacing w:after="0" w:line="508" w:lineRule="auto"/>
        <w:rPr>
          <w:sz w:val="20"/>
          <w:szCs w:val="20"/>
          <w:color w:val="auto"/>
        </w:rPr>
      </w:pPr>
      <w:r>
        <w:rPr>
          <w:rFonts w:ascii="Times New Roman" w:cs="Times New Roman" w:eastAsia="Times New Roman" w:hAnsi="Times New Roman"/>
          <w:sz w:val="20"/>
          <w:szCs w:val="20"/>
          <w:color w:val="auto"/>
        </w:rPr>
        <w:t>Price Per Share $36.50</w:t>
      </w:r>
    </w:p>
    <w:p>
      <w:pPr>
        <w:spacing w:after="0" w:line="301" w:lineRule="exact"/>
        <w:rPr>
          <w:sz w:val="20"/>
          <w:szCs w:val="20"/>
          <w:color w:val="auto"/>
        </w:rPr>
      </w:pPr>
    </w:p>
    <w:p>
      <w:pPr>
        <w:sectPr>
          <w:pgSz w:w="11900" w:h="16838" w:orient="portrait"/>
          <w:cols w:equalWidth="0" w:num="7">
            <w:col w:w="1740" w:space="720"/>
            <w:col w:w="720" w:space="260"/>
            <w:col w:w="180" w:space="200"/>
            <w:col w:w="960" w:space="720"/>
            <w:col w:w="1480" w:space="560"/>
            <w:col w:w="1420" w:space="360"/>
            <w:col w:w="1920"/>
          </w:cols>
          <w:pgMar w:left="320" w:top="229" w:right="339" w:bottom="0" w:gutter="0" w:footer="0" w:header="0"/>
          <w:type w:val="continuous"/>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Contracts, Arrangement, Understandings or Relationships with Respect to Securities of the Issuer</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EcoR1 is the investment adviser to its clients pursuant to investment management agreements or limited partnership agreements providing to EcoR1 the authority, among other things, to invest the funds of such clients in Stock, to vote and dispose of Stock and to file this statement on behalf of such clients. Pursuant to such limited partnership agreements, EcoR1 is entitled to allocations based on assets under management and realized and unrealized gains. Pursuant to such investment management agreements, EcoR1 is entitled to fees based on assets under management and realized and unrealized gains.</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Material to Be Filed as Exhibits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Agreement Regarding Joint Filing of Statement on Schedule 13D or 13G.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w:t>
      </w:r>
    </w:p>
    <w:p>
      <w:pPr>
        <w:spacing w:after="0" w:line="229"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I certify that the information set forth in this statement is true, complete and correct.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Dated: August 15, 2024</w:t>
            </w:r>
          </w:p>
        </w:tc>
        <w:tc>
          <w:tcPr>
            <w:tcW w:w="2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459"/>
        </w:trPr>
        <w:tc>
          <w:tcPr>
            <w:tcW w:w="3900" w:type="dxa"/>
            <w:vAlign w:val="bottom"/>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LLC</w:t>
            </w:r>
          </w:p>
        </w:tc>
        <w:tc>
          <w:tcPr>
            <w:tcW w:w="5500" w:type="dxa"/>
            <w:vAlign w:val="bottom"/>
            <w:gridSpan w:val="3"/>
          </w:tcPr>
          <w:p>
            <w:pPr>
              <w:ind w:left="1820"/>
              <w:spacing w:after="0"/>
              <w:rPr>
                <w:sz w:val="20"/>
                <w:szCs w:val="20"/>
                <w:color w:val="auto"/>
              </w:rPr>
            </w:pPr>
            <w:r>
              <w:rPr>
                <w:rFonts w:ascii="Times New Roman" w:cs="Times New Roman" w:eastAsia="Times New Roman" w:hAnsi="Times New Roman"/>
                <w:sz w:val="20"/>
                <w:szCs w:val="20"/>
                <w:b w:val="1"/>
                <w:bCs w:val="1"/>
                <w:color w:val="auto"/>
                <w:w w:val="97"/>
              </w:rPr>
              <w:t>EcoR1 CAPITAL FUND QUALIFIED, L.P.</w:t>
            </w:r>
          </w:p>
        </w:tc>
      </w:tr>
      <w:tr>
        <w:trPr>
          <w:trHeight w:val="459"/>
        </w:trPr>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500" w:type="dxa"/>
            <w:vAlign w:val="bottom"/>
            <w:gridSpan w:val="3"/>
          </w:tcPr>
          <w:p>
            <w:pPr>
              <w:ind w:left="1820"/>
              <w:spacing w:after="0"/>
              <w:rPr>
                <w:sz w:val="20"/>
                <w:szCs w:val="20"/>
                <w:color w:val="auto"/>
              </w:rPr>
            </w:pPr>
            <w:r>
              <w:rPr>
                <w:rFonts w:ascii="Times New Roman" w:cs="Times New Roman" w:eastAsia="Times New Roman" w:hAnsi="Times New Roman"/>
                <w:sz w:val="20"/>
                <w:szCs w:val="20"/>
                <w:color w:val="auto"/>
              </w:rPr>
              <w:t>By: EcoR1 Capital, LLC, General Partner</w:t>
            </w:r>
          </w:p>
        </w:tc>
      </w:tr>
      <w:tr>
        <w:trPr>
          <w:trHeight w:val="642"/>
        </w:trPr>
        <w:tc>
          <w:tcPr>
            <w:tcW w:w="39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Oleg Nodelman</w:t>
            </w:r>
          </w:p>
        </w:tc>
        <w:tc>
          <w:tcPr>
            <w:tcW w:w="5500" w:type="dxa"/>
            <w:vAlign w:val="bottom"/>
            <w:gridSpan w:val="3"/>
          </w:tcPr>
          <w:p>
            <w:pPr>
              <w:ind w:left="182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Oleg Nodelman</w:t>
            </w:r>
          </w:p>
        </w:tc>
      </w:tr>
      <w:tr>
        <w:trPr>
          <w:trHeight w:val="20"/>
        </w:trPr>
        <w:tc>
          <w:tcPr>
            <w:tcW w:w="4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27"/>
        </w:trPr>
        <w:tc>
          <w:tcPr>
            <w:tcW w:w="3900" w:type="dxa"/>
            <w:vAlign w:val="bottom"/>
            <w:gridSpan w:val="3"/>
          </w:tcPr>
          <w:p>
            <w:pPr>
              <w:ind w:left="100"/>
              <w:spacing w:after="0" w:line="228" w:lineRule="exact"/>
              <w:rPr>
                <w:sz w:val="20"/>
                <w:szCs w:val="20"/>
                <w:color w:val="auto"/>
              </w:rPr>
            </w:pPr>
            <w:r>
              <w:rPr>
                <w:rFonts w:ascii="Times New Roman" w:cs="Times New Roman" w:eastAsia="Times New Roman" w:hAnsi="Times New Roman"/>
                <w:sz w:val="20"/>
                <w:szCs w:val="20"/>
                <w:color w:val="auto"/>
              </w:rPr>
              <w:t>Oleg Nodelman</w:t>
            </w:r>
          </w:p>
        </w:tc>
        <w:tc>
          <w:tcPr>
            <w:tcW w:w="5500" w:type="dxa"/>
            <w:vAlign w:val="bottom"/>
            <w:gridSpan w:val="3"/>
          </w:tcPr>
          <w:p>
            <w:pPr>
              <w:ind w:left="1820"/>
              <w:spacing w:after="0" w:line="228" w:lineRule="exact"/>
              <w:rPr>
                <w:sz w:val="20"/>
                <w:szCs w:val="20"/>
                <w:color w:val="auto"/>
              </w:rPr>
            </w:pPr>
            <w:r>
              <w:rPr>
                <w:rFonts w:ascii="Times New Roman" w:cs="Times New Roman" w:eastAsia="Times New Roman" w:hAnsi="Times New Roman"/>
                <w:sz w:val="20"/>
                <w:szCs w:val="20"/>
                <w:color w:val="auto"/>
              </w:rPr>
              <w:t>Oleg Nodelman</w:t>
            </w:r>
          </w:p>
        </w:tc>
      </w:tr>
      <w:tr>
        <w:trPr>
          <w:trHeight w:val="258"/>
        </w:trPr>
        <w:tc>
          <w:tcPr>
            <w:tcW w:w="39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Manager</w:t>
            </w:r>
          </w:p>
        </w:tc>
        <w:tc>
          <w:tcPr>
            <w:tcW w:w="5500" w:type="dxa"/>
            <w:vAlign w:val="bottom"/>
            <w:gridSpan w:val="3"/>
          </w:tcPr>
          <w:p>
            <w:pPr>
              <w:ind w:left="1820"/>
              <w:spacing w:after="0"/>
              <w:rPr>
                <w:sz w:val="20"/>
                <w:szCs w:val="20"/>
                <w:color w:val="auto"/>
              </w:rPr>
            </w:pPr>
            <w:r>
              <w:rPr>
                <w:rFonts w:ascii="Times New Roman" w:cs="Times New Roman" w:eastAsia="Times New Roman" w:hAnsi="Times New Roman"/>
                <w:sz w:val="20"/>
                <w:szCs w:val="20"/>
                <w:color w:val="auto"/>
              </w:rPr>
              <w:t>Manager</w:t>
            </w:r>
          </w:p>
        </w:tc>
      </w:tr>
    </w:tbl>
    <w:p>
      <w:pPr>
        <w:sectPr>
          <w:pgSz w:w="11900" w:h="16838" w:orient="portrait"/>
          <w:cols w:equalWidth="0" w:num="1">
            <w:col w:w="11240"/>
          </w:cols>
          <w:pgMar w:left="320" w:top="229" w:right="33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Oleg Nodelman</w:t>
      </w:r>
    </w:p>
    <w:p>
      <w:pPr>
        <w:spacing w:after="0" w:line="212"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39"/>
          </w:cols>
          <w:pgMar w:left="420" w:top="342"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032724106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Act, in connection with said purchases, and to do and perform every act necessary and proper to be done incident to the exercise of the foregoing power, as fully as the undersigned might or could do if personally present.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9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Dated: August 15, 2024</w:t>
            </w:r>
          </w:p>
        </w:tc>
        <w:tc>
          <w:tcPr>
            <w:tcW w:w="2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459"/>
        </w:trPr>
        <w:tc>
          <w:tcPr>
            <w:tcW w:w="100" w:type="dxa"/>
            <w:vAlign w:val="bottom"/>
          </w:tcPr>
          <w:p>
            <w:pPr>
              <w:spacing w:after="0"/>
              <w:rPr>
                <w:sz w:val="24"/>
                <w:szCs w:val="24"/>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EcoR1 CAPITAL, LLC</w:t>
            </w:r>
          </w:p>
        </w:tc>
        <w:tc>
          <w:tcPr>
            <w:tcW w:w="5500" w:type="dxa"/>
            <w:vAlign w:val="bottom"/>
            <w:gridSpan w:val="3"/>
          </w:tcPr>
          <w:p>
            <w:pPr>
              <w:ind w:left="1820"/>
              <w:spacing w:after="0"/>
              <w:rPr>
                <w:sz w:val="20"/>
                <w:szCs w:val="20"/>
                <w:color w:val="auto"/>
              </w:rPr>
            </w:pPr>
            <w:r>
              <w:rPr>
                <w:rFonts w:ascii="Times New Roman" w:cs="Times New Roman" w:eastAsia="Times New Roman" w:hAnsi="Times New Roman"/>
                <w:sz w:val="20"/>
                <w:szCs w:val="20"/>
                <w:b w:val="1"/>
                <w:bCs w:val="1"/>
                <w:color w:val="auto"/>
                <w:w w:val="97"/>
              </w:rPr>
              <w:t>EcoR1 CAPITAL FUND QUALIFIED, L.P.</w:t>
            </w:r>
          </w:p>
        </w:tc>
      </w:tr>
      <w:tr>
        <w:trPr>
          <w:trHeight w:val="459"/>
        </w:trPr>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500" w:type="dxa"/>
            <w:vAlign w:val="bottom"/>
            <w:gridSpan w:val="3"/>
          </w:tcPr>
          <w:p>
            <w:pPr>
              <w:ind w:left="1820"/>
              <w:spacing w:after="0"/>
              <w:rPr>
                <w:sz w:val="20"/>
                <w:szCs w:val="20"/>
                <w:color w:val="auto"/>
              </w:rPr>
            </w:pPr>
            <w:r>
              <w:rPr>
                <w:rFonts w:ascii="Times New Roman" w:cs="Times New Roman" w:eastAsia="Times New Roman" w:hAnsi="Times New Roman"/>
                <w:sz w:val="20"/>
                <w:szCs w:val="20"/>
                <w:color w:val="auto"/>
              </w:rPr>
              <w:t>By: EcoR1 Capital, LLC, General Partner</w:t>
            </w:r>
          </w:p>
        </w:tc>
      </w:tr>
      <w:tr>
        <w:trPr>
          <w:trHeight w:val="642"/>
        </w:trPr>
        <w:tc>
          <w:tcPr>
            <w:tcW w:w="100" w:type="dxa"/>
            <w:vAlign w:val="bottom"/>
          </w:tcPr>
          <w:p>
            <w:pPr>
              <w:spacing w:after="0"/>
              <w:rPr>
                <w:sz w:val="24"/>
                <w:szCs w:val="24"/>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Oleg Nodelman</w:t>
            </w:r>
          </w:p>
        </w:tc>
        <w:tc>
          <w:tcPr>
            <w:tcW w:w="5500" w:type="dxa"/>
            <w:vAlign w:val="bottom"/>
            <w:gridSpan w:val="3"/>
          </w:tcPr>
          <w:p>
            <w:pPr>
              <w:ind w:left="182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Oleg Nodelman</w:t>
            </w:r>
          </w:p>
        </w:tc>
      </w:tr>
      <w:tr>
        <w:trPr>
          <w:trHeight w:val="20"/>
        </w:trPr>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27"/>
        </w:trPr>
        <w:tc>
          <w:tcPr>
            <w:tcW w:w="100" w:type="dxa"/>
            <w:vAlign w:val="bottom"/>
          </w:tcPr>
          <w:p>
            <w:pPr>
              <w:spacing w:after="0"/>
              <w:rPr>
                <w:sz w:val="19"/>
                <w:szCs w:val="19"/>
                <w:color w:val="auto"/>
              </w:rPr>
            </w:pPr>
          </w:p>
        </w:tc>
        <w:tc>
          <w:tcPr>
            <w:tcW w:w="3800" w:type="dxa"/>
            <w:vAlign w:val="bottom"/>
            <w:gridSpan w:val="4"/>
          </w:tcPr>
          <w:p>
            <w:pPr>
              <w:spacing w:after="0" w:line="228" w:lineRule="exact"/>
              <w:rPr>
                <w:sz w:val="20"/>
                <w:szCs w:val="20"/>
                <w:color w:val="auto"/>
              </w:rPr>
            </w:pPr>
            <w:r>
              <w:rPr>
                <w:rFonts w:ascii="Times New Roman" w:cs="Times New Roman" w:eastAsia="Times New Roman" w:hAnsi="Times New Roman"/>
                <w:sz w:val="20"/>
                <w:szCs w:val="20"/>
                <w:color w:val="auto"/>
              </w:rPr>
              <w:t>Oleg Nodelman</w:t>
            </w:r>
          </w:p>
        </w:tc>
        <w:tc>
          <w:tcPr>
            <w:tcW w:w="5500" w:type="dxa"/>
            <w:vAlign w:val="bottom"/>
            <w:gridSpan w:val="3"/>
          </w:tcPr>
          <w:p>
            <w:pPr>
              <w:ind w:left="1820"/>
              <w:spacing w:after="0" w:line="228" w:lineRule="exact"/>
              <w:rPr>
                <w:sz w:val="20"/>
                <w:szCs w:val="20"/>
                <w:color w:val="auto"/>
              </w:rPr>
            </w:pPr>
            <w:r>
              <w:rPr>
                <w:rFonts w:ascii="Times New Roman" w:cs="Times New Roman" w:eastAsia="Times New Roman" w:hAnsi="Times New Roman"/>
                <w:sz w:val="20"/>
                <w:szCs w:val="20"/>
                <w:color w:val="auto"/>
              </w:rPr>
              <w:t>Oleg Nodelman</w:t>
            </w:r>
          </w:p>
        </w:tc>
      </w:tr>
      <w:tr>
        <w:trPr>
          <w:trHeight w:val="258"/>
        </w:trPr>
        <w:tc>
          <w:tcPr>
            <w:tcW w:w="100" w:type="dxa"/>
            <w:vAlign w:val="bottom"/>
          </w:tcPr>
          <w:p>
            <w:pPr>
              <w:spacing w:after="0"/>
              <w:rPr>
                <w:sz w:val="22"/>
                <w:szCs w:val="22"/>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Manager</w:t>
            </w:r>
          </w:p>
        </w:tc>
        <w:tc>
          <w:tcPr>
            <w:tcW w:w="5500" w:type="dxa"/>
            <w:vAlign w:val="bottom"/>
            <w:gridSpan w:val="3"/>
          </w:tcPr>
          <w:p>
            <w:pPr>
              <w:ind w:left="1820"/>
              <w:spacing w:after="0"/>
              <w:rPr>
                <w:sz w:val="20"/>
                <w:szCs w:val="20"/>
                <w:color w:val="auto"/>
              </w:rPr>
            </w:pPr>
            <w:r>
              <w:rPr>
                <w:rFonts w:ascii="Times New Roman" w:cs="Times New Roman" w:eastAsia="Times New Roman" w:hAnsi="Times New Roman"/>
                <w:sz w:val="20"/>
                <w:szCs w:val="20"/>
                <w:color w:val="auto"/>
              </w:rPr>
              <w:t>Manager</w:t>
            </w:r>
          </w:p>
        </w:tc>
      </w:tr>
      <w:tr>
        <w:trPr>
          <w:trHeight w:val="871"/>
        </w:trPr>
        <w:tc>
          <w:tcPr>
            <w:tcW w:w="100" w:type="dxa"/>
            <w:vAlign w:val="bottom"/>
          </w:tcPr>
          <w:p>
            <w:pPr>
              <w:spacing w:after="0"/>
              <w:rPr>
                <w:sz w:val="24"/>
                <w:szCs w:val="24"/>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Oleg Nodelman</w:t>
            </w:r>
          </w:p>
        </w:tc>
        <w:tc>
          <w:tcPr>
            <w:tcW w:w="2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6"/>
        </w:trPr>
        <w:tc>
          <w:tcPr>
            <w:tcW w:w="100" w:type="dxa"/>
            <w:vAlign w:val="bottom"/>
          </w:tcPr>
          <w:p>
            <w:pPr>
              <w:spacing w:after="0"/>
              <w:rPr>
                <w:sz w:val="22"/>
                <w:szCs w:val="22"/>
                <w:color w:val="auto"/>
              </w:rPr>
            </w:pPr>
          </w:p>
        </w:tc>
        <w:tc>
          <w:tcPr>
            <w:tcW w:w="1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Oleg Nodelman</w:t>
            </w:r>
          </w:p>
        </w:tc>
        <w:tc>
          <w:tcPr>
            <w:tcW w:w="2320" w:type="dxa"/>
            <w:vAlign w:val="bottom"/>
            <w:gridSpan w:val="2"/>
          </w:tcPr>
          <w:p>
            <w:pPr>
              <w:spacing w:after="0"/>
              <w:rPr>
                <w:sz w:val="22"/>
                <w:szCs w:val="22"/>
                <w:color w:val="auto"/>
              </w:rPr>
            </w:pPr>
          </w:p>
        </w:tc>
        <w:tc>
          <w:tcPr>
            <w:tcW w:w="2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11"/>
    </w:lvl>
  </w:abstractNum>
  <w:abstractNum w:abstractNumId="3">
    <w:nsid w:val="41B71EFB"/>
    <w:multiLevelType w:val="hybridMultilevel"/>
    <w:lvl w:ilvl="0">
      <w:lvlJc w:val="left"/>
      <w:lvlText w:val="%1."/>
      <w:numFmt w:val="decimal"/>
      <w:start w:val="12"/>
    </w:lvl>
  </w:abstractNum>
  <w:abstractNum w:abstractNumId="4">
    <w:nsid w:val="79E2A9E3"/>
    <w:multiLevelType w:val="hybridMultilevel"/>
    <w:lvl w:ilvl="0">
      <w:lvlJc w:val="left"/>
      <w:lvlText w:val="%1."/>
      <w:numFmt w:val="decimal"/>
      <w:start w:val="1"/>
    </w:lvl>
    <w:lvl w:ilvl="1">
      <w:lvlJc w:val="left"/>
      <w:lvlText w:val="(%2)"/>
      <w:numFmt w:val="lowerLetter"/>
      <w:start w:val="1"/>
    </w:lvl>
  </w:abstractNum>
  <w:abstractNum w:abstractNumId="5">
    <w:nsid w:val="7545E146"/>
    <w:multiLevelType w:val="hybridMultilevel"/>
    <w:lvl w:ilvl="0">
      <w:lvlJc w:val="left"/>
      <w:lvlText w:val="%1."/>
      <w:numFmt w:val="decimal"/>
      <w:start w:val="1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2024-08-16T11:09:17Z</dcterms:created>
  <dcterms:modified xsi:type="dcterms:W3CDTF">2024-08-16T11:09:17Z</dcterms:modified>
</cp:coreProperties>
</file>