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980" w:firstLine="8"/>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00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86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auto"/>
              <w:right w:val="single" w:sz="8" w:color="auto"/>
            </w:tcBorders>
          </w:tcPr>
          <w:p>
            <w:pPr>
              <w:spacing w:after="0"/>
              <w:rPr>
                <w:sz w:val="19"/>
                <w:szCs w:val="19"/>
                <w:color w:val="auto"/>
              </w:rPr>
            </w:pPr>
          </w:p>
        </w:tc>
        <w:tc>
          <w:tcPr>
            <w:tcW w:w="862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80" w:type="dxa"/>
            <w:vAlign w:val="bottom"/>
            <w:tcBorders>
              <w:right w:val="single" w:sz="8" w:color="auto"/>
            </w:tcBorders>
            <w:vMerge w:val="continue"/>
          </w:tcPr>
          <w:p>
            <w:pPr>
              <w:spacing w:after="0"/>
              <w:rPr>
                <w:sz w:val="8"/>
                <w:szCs w:val="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73,947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6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8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80" w:type="dxa"/>
            <w:vAlign w:val="bottom"/>
            <w:tcBorders>
              <w:bottom w:val="single" w:sz="8" w:color="auto"/>
              <w:right w:val="single" w:sz="8" w:color="auto"/>
            </w:tcBorders>
          </w:tcPr>
          <w:p>
            <w:pPr>
              <w:spacing w:after="0"/>
              <w:rPr>
                <w:sz w:val="12"/>
                <w:szCs w:val="12"/>
                <w:color w:val="auto"/>
              </w:rPr>
            </w:pPr>
          </w:p>
        </w:tc>
        <w:tc>
          <w:tcPr>
            <w:tcW w:w="862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8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73,947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2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73,947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0.3%</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622,969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622,969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622,969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622,969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622,969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622,969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2.3%</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420"/>
          </w:cols>
          <w:pgMar w:left="240" w:top="5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696,916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696,916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696,916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696,916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696,916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696,916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696,916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696,916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696,916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54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3560" w:type="dxa"/>
            <w:vAlign w:val="bottom"/>
          </w:tcPr>
          <w:p>
            <w:pPr>
              <w:ind w:left="224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580" w:hanging="465"/>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AnaptysBio, Inc., a Delaware corporation (the "Issuer").</w:t>
      </w:r>
    </w:p>
    <w:p>
      <w:pPr>
        <w:spacing w:after="0" w:line="231" w:lineRule="exact"/>
        <w:rPr>
          <w:rFonts w:ascii="Arial" w:cs="Arial" w:eastAsia="Arial" w:hAnsi="Arial"/>
          <w:sz w:val="18"/>
          <w:szCs w:val="18"/>
          <w:color w:val="auto"/>
        </w:rPr>
      </w:pPr>
    </w:p>
    <w:p>
      <w:pPr>
        <w:ind w:left="1580" w:hanging="465"/>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San Diego, California 92121</w:t>
      </w:r>
    </w:p>
    <w:p>
      <w:pPr>
        <w:spacing w:after="0" w:line="217" w:lineRule="exact"/>
        <w:rPr>
          <w:sz w:val="20"/>
          <w:szCs w:val="20"/>
          <w:color w:val="auto"/>
        </w:rPr>
      </w:pPr>
    </w:p>
    <w:p>
      <w:pPr>
        <w:spacing w:after="0"/>
        <w:tabs>
          <w:tab w:leader="none" w:pos="1100" w:val="left"/>
          <w:tab w:leader="none" w:pos="156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80" w:hanging="46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80" w:hanging="46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80" w:right="382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580" w:right="318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ICS Opportunities II LLC</w:t>
      </w:r>
    </w:p>
    <w:p>
      <w:pPr>
        <w:spacing w:after="0" w:line="15" w:lineRule="exact"/>
        <w:rPr>
          <w:rFonts w:ascii="Arial" w:cs="Arial" w:eastAsia="Arial" w:hAnsi="Arial"/>
          <w:sz w:val="18"/>
          <w:szCs w:val="18"/>
          <w:color w:val="auto"/>
        </w:rPr>
      </w:pPr>
    </w:p>
    <w:p>
      <w:pPr>
        <w:ind w:left="1580" w:right="318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580" w:right="344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right="42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right="376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80" w:right="39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580" w:right="440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580" w:hanging="465"/>
        <w:spacing w:after="0"/>
        <w:tabs>
          <w:tab w:leader="none" w:pos="1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6"/>
          <w:szCs w:val="16"/>
          <w:color w:val="auto"/>
        </w:rPr>
        <w:t>common stock, par value $0.001 per share ("Common Stock")</w:t>
      </w:r>
    </w:p>
    <w:p>
      <w:pPr>
        <w:spacing w:after="0" w:line="275" w:lineRule="exact"/>
        <w:rPr>
          <w:rFonts w:ascii="Arial" w:cs="Arial" w:eastAsia="Arial" w:hAnsi="Arial"/>
          <w:sz w:val="18"/>
          <w:szCs w:val="18"/>
          <w:color w:val="auto"/>
        </w:rPr>
      </w:pPr>
    </w:p>
    <w:p>
      <w:pPr>
        <w:ind w:left="1580" w:right="5240" w:hanging="465"/>
        <w:spacing w:after="0" w:line="613"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032724106</w:t>
      </w:r>
    </w:p>
    <w:p>
      <w:pPr>
        <w:spacing w:after="0" w:line="20" w:lineRule="exact"/>
        <w:rPr>
          <w:sz w:val="20"/>
          <w:szCs w:val="20"/>
          <w:color w:val="auto"/>
        </w:rPr>
      </w:pPr>
      <w:r>
        <w:rPr>
          <w:sz w:val="20"/>
          <w:szCs w:val="20"/>
          <w:color w:val="auto"/>
        </w:rPr>
        <w:br w:type="column"/>
      </w:r>
    </w:p>
    <w:p>
      <w:pPr>
        <w:spacing w:after="0"/>
        <w:tabs>
          <w:tab w:leader="none" w:pos="840" w:val="left"/>
          <w:tab w:leader="none" w:pos="1460" w:val="left"/>
          <w:tab w:leader="none" w:pos="214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-127635</wp:posOffset>
            </wp:positionV>
            <wp:extent cx="142748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7480" cy="158750"/>
                    </a:xfrm>
                    <a:prstGeom prst="rect">
                      <a:avLst/>
                    </a:prstGeom>
                    <a:noFill/>
                  </pic:spPr>
                </pic:pic>
              </a:graphicData>
            </a:graphic>
          </wp:anchor>
        </w:drawing>
      </w:r>
    </w:p>
    <w:p>
      <w:pPr>
        <w:sectPr>
          <w:pgSz w:w="11900" w:h="16838" w:orient="portrait"/>
          <w:cols w:equalWidth="0" w:num="2">
            <w:col w:w="8000" w:space="720"/>
            <w:col w:w="2340"/>
          </w:cols>
          <w:pgMar w:left="240" w:top="332" w:right="5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420"/>
          </w:cols>
          <w:pgMar w:left="240" w:top="54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4" w:lineRule="exact"/>
        <w:rPr>
          <w:sz w:val="20"/>
          <w:szCs w:val="20"/>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80" w:right="140" w:hanging="899"/>
        <w:spacing w:after="0" w:line="268"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close of business on December 31, 2019:</w:t>
      </w:r>
    </w:p>
    <w:p>
      <w:pPr>
        <w:spacing w:after="0" w:line="185" w:lineRule="exact"/>
        <w:rPr>
          <w:sz w:val="20"/>
          <w:szCs w:val="20"/>
          <w:color w:val="auto"/>
        </w:rPr>
      </w:pPr>
    </w:p>
    <w:p>
      <w:pPr>
        <w:ind w:firstLine="168"/>
        <w:spacing w:after="0" w:line="332" w:lineRule="auto"/>
        <w:tabs>
          <w:tab w:leader="none" w:pos="3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Integrated Core Strategies (US) LLC, a Delaware limited liability company ("Integrated Core Strategies"), beneficially owned 73,947 shares of the Issuer’s Common Stock (consisting of 1,047 shares of the Issuer’s Common Stock and listed options to purchase 72,900 shares of the Issuer’s Common Stock);</w:t>
      </w:r>
    </w:p>
    <w:p>
      <w:pPr>
        <w:spacing w:after="0" w:line="98" w:lineRule="exact"/>
        <w:rPr>
          <w:rFonts w:ascii="Arial" w:cs="Arial" w:eastAsia="Arial" w:hAnsi="Arial"/>
          <w:sz w:val="16"/>
          <w:szCs w:val="16"/>
          <w:color w:val="auto"/>
        </w:rPr>
      </w:pPr>
    </w:p>
    <w:p>
      <w:pPr>
        <w:jc w:val="both"/>
        <w:ind w:firstLine="168"/>
        <w:spacing w:after="0" w:line="259" w:lineRule="auto"/>
        <w:tabs>
          <w:tab w:leader="none" w:pos="3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Integrated Assets II LLC, a Cayman Islands limited liability company ("Integrated Assets II"), beneficially owned 622,969 shares of the Issuer’s Common Stock, which together with the shares of the Issuer’s Common Stock beneficially owned by Integrated Core Strategies represented 696,916 shares of the Issuer’s Common Stock or 2.6% of the Issuer’s Common Stock outstanding; and</w:t>
      </w:r>
    </w:p>
    <w:p>
      <w:pPr>
        <w:spacing w:after="0" w:line="153" w:lineRule="exact"/>
        <w:rPr>
          <w:rFonts w:ascii="Arial" w:cs="Arial" w:eastAsia="Arial" w:hAnsi="Arial"/>
          <w:sz w:val="18"/>
          <w:szCs w:val="18"/>
          <w:color w:val="auto"/>
        </w:rPr>
      </w:pPr>
    </w:p>
    <w:p>
      <w:pPr>
        <w:ind w:left="380" w:hanging="240"/>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ICS Opportunities II LLC, a Cayman Islands limited liability company, no longer beneficially owned any shares of the Issuer’s Common Stock.</w:t>
      </w:r>
    </w:p>
    <w:p>
      <w:pPr>
        <w:spacing w:after="0" w:line="208" w:lineRule="exact"/>
        <w:rPr>
          <w:sz w:val="20"/>
          <w:szCs w:val="20"/>
          <w:color w:val="auto"/>
        </w:rPr>
      </w:pPr>
    </w:p>
    <w:p>
      <w:pPr>
        <w:jc w:val="both"/>
        <w:ind w:firstLine="157"/>
        <w:spacing w:after="0" w:line="332" w:lineRule="auto"/>
        <w:rPr>
          <w:sz w:val="20"/>
          <w:szCs w:val="20"/>
          <w:color w:val="auto"/>
        </w:rPr>
      </w:pPr>
      <w:r>
        <w:rPr>
          <w:rFonts w:ascii="Arial" w:cs="Arial" w:eastAsia="Arial" w:hAnsi="Arial"/>
          <w:sz w:val="16"/>
          <w:szCs w:val="16"/>
          <w:color w:val="auto"/>
        </w:rPr>
        <w:t>Millennium International Management LP, a Delaware limited partnership ("Millennium International Management"), is the investment manager to Integrated Assets II and may be deemed to have shared voting control and investment discretion over securities owned by Integrated Assets II.</w:t>
      </w:r>
    </w:p>
    <w:p>
      <w:pPr>
        <w:spacing w:after="0" w:line="99" w:lineRule="exact"/>
        <w:rPr>
          <w:sz w:val="20"/>
          <w:szCs w:val="20"/>
          <w:color w:val="auto"/>
        </w:rPr>
      </w:pPr>
    </w:p>
    <w:p>
      <w:pPr>
        <w:jc w:val="both"/>
        <w:ind w:firstLine="132"/>
        <w:spacing w:after="0" w:line="256" w:lineRule="auto"/>
        <w:rPr>
          <w:sz w:val="20"/>
          <w:szCs w:val="20"/>
          <w:color w:val="auto"/>
        </w:rPr>
      </w:pPr>
      <w:r>
        <w:rPr>
          <w:rFonts w:ascii="Arial" w:cs="Arial" w:eastAsia="Arial" w:hAnsi="Arial"/>
          <w:sz w:val="18"/>
          <w:szCs w:val="18"/>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Integrated Assets II and may also be deemed to have shared voting control and investment discretion over securities owned by Integrated Assets II.</w:t>
      </w:r>
    </w:p>
    <w:p>
      <w:pPr>
        <w:spacing w:after="0" w:line="157" w:lineRule="exact"/>
        <w:rPr>
          <w:sz w:val="20"/>
          <w:szCs w:val="20"/>
          <w:color w:val="auto"/>
        </w:rPr>
      </w:pPr>
    </w:p>
    <w:p>
      <w:pPr>
        <w:jc w:val="both"/>
        <w:ind w:firstLine="199"/>
        <w:spacing w:after="0" w:line="256"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Integrated Assets II.</w:t>
      </w:r>
    </w:p>
    <w:p>
      <w:pPr>
        <w:spacing w:after="0" w:line="157"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and Integrated Assets II.</w:t>
      </w:r>
    </w:p>
    <w:p>
      <w:pPr>
        <w:spacing w:after="0" w:line="154" w:lineRule="exact"/>
        <w:rPr>
          <w:sz w:val="20"/>
          <w:szCs w:val="20"/>
          <w:color w:val="auto"/>
        </w:rPr>
      </w:pPr>
    </w:p>
    <w:p>
      <w:pPr>
        <w:jc w:val="both"/>
        <w:ind w:firstLine="137"/>
        <w:spacing w:after="0" w:line="332" w:lineRule="auto"/>
        <w:rPr>
          <w:sz w:val="20"/>
          <w:szCs w:val="20"/>
          <w:color w:val="auto"/>
        </w:rPr>
      </w:pPr>
      <w:r>
        <w:rPr>
          <w:rFonts w:ascii="Arial" w:cs="Arial" w:eastAsia="Arial" w:hAnsi="Arial"/>
          <w:sz w:val="16"/>
          <w:szCs w:val="16"/>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or Integrated Assets II, as the case may be.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77"/>
        <w:spacing w:after="0" w:line="256" w:lineRule="auto"/>
        <w:rPr>
          <w:sz w:val="20"/>
          <w:szCs w:val="20"/>
          <w:color w:val="auto"/>
        </w:rPr>
      </w:pPr>
      <w:r>
        <w:rPr>
          <w:rFonts w:ascii="Arial" w:cs="Arial" w:eastAsia="Arial" w:hAnsi="Arial"/>
          <w:sz w:val="18"/>
          <w:szCs w:val="18"/>
          <w:color w:val="auto"/>
        </w:rPr>
        <w:t>As of the close of business on December 31, 2019, Millennium Management, Millennium Group Management and Mr. Englander may be deemed to have beneficially owned 696,916 shares of the Issuer’s Common Stock or 2.6% of the Issuer’s Common Stock outstanding (see Item 4(a) above), which percentage was calculated based on 27,133,459 shares of the Issuer’s Common Stock outstanding as of November 5, 2019, as per the Issuer’s Form 10-Q dated November 8, 2019.</w:t>
      </w:r>
    </w:p>
    <w:p>
      <w:pPr>
        <w:sectPr>
          <w:pgSz w:w="11900" w:h="16838" w:orient="portrait"/>
          <w:cols w:equalWidth="0" w:num="1">
            <w:col w:w="11420"/>
          </w:cols>
          <w:pgMar w:left="240" w:top="33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920" w:hanging="132"/>
        <w:spacing w:after="0" w:line="454" w:lineRule="auto"/>
        <w:tabs>
          <w:tab w:leader="none" w:pos="7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680" w:right="7700" w:hanging="132"/>
        <w:spacing w:after="0" w:line="454" w:lineRule="auto"/>
        <w:tabs>
          <w:tab w:leader="none" w:pos="8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696,916 (See Item 4(b))</w:t>
      </w:r>
    </w:p>
    <w:p>
      <w:pPr>
        <w:ind w:left="900" w:hanging="308"/>
        <w:spacing w:after="0"/>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5" w:lineRule="exact"/>
        <w:rPr>
          <w:sz w:val="20"/>
          <w:szCs w:val="20"/>
          <w:color w:val="auto"/>
        </w:rPr>
      </w:pPr>
    </w:p>
    <w:p>
      <w:pPr>
        <w:ind w:left="680" w:right="6780" w:hanging="132"/>
        <w:spacing w:after="0" w:line="454" w:lineRule="auto"/>
        <w:tabs>
          <w:tab w:leader="none" w:pos="8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696,916 (See Item 4(b))</w:t>
      </w: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39"/>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firstLine="157"/>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3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I: Joint Filing Agreement, dated as of January 24, 2020 by and among Integrated Core Strategies (US) LLC, Integrated Assets II LLC, ICS Opportunities II LLC, Millennium International Management LP, Millennium Management LLC, Millennium Group Management LLC and Israel A. Englander.</w:t>
      </w:r>
    </w:p>
    <w:p>
      <w:pPr>
        <w:sectPr>
          <w:pgSz w:w="11900" w:h="16838" w:orient="portrait"/>
          <w:cols w:equalWidth="0" w:num="1">
            <w:col w:w="11420"/>
          </w:cols>
          <w:pgMar w:left="240" w:top="33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24, 2020</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032724106</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AnaptysBio,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24, 2020</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420"/>
      </w:cols>
      <w:pgMar w:left="240" w:top="332" w:right="239" w:bottom="5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7"/>
    </w:lvl>
  </w:abstractNum>
  <w:abstractNum w:abstractNumId="19">
    <w:nsid w:val="333AB105"/>
    <w:multiLevelType w:val="hybridMultilevel"/>
    <w:lvl w:ilvl="0">
      <w:lvlJc w:val="left"/>
      <w:lvlText w:val="%1"/>
      <w:numFmt w:val="lowerRoman"/>
      <w:start w:val="1"/>
    </w:lvl>
    <w:lvl w:ilvl="1">
      <w:lvlJc w:val="left"/>
      <w:lvlText w:val="%2)"/>
      <w:numFmt w:val="lowerRoman"/>
      <w:start w:val="1"/>
    </w:lvl>
  </w:abstractNum>
  <w:abstractNum w:abstractNumId="20">
    <w:nsid w:val="721DA317"/>
    <w:multiLevelType w:val="hybridMultilevel"/>
    <w:lvl w:ilvl="0">
      <w:lvlJc w:val="left"/>
      <w:lvlText w:val="%1)"/>
      <w:numFmt w:val="lowerRoman"/>
      <w:start w:val="3"/>
    </w:lvl>
    <w:lvl w:ilvl="1">
      <w:lvlJc w:val="left"/>
      <w:lvlText w:val="%2"/>
      <w:numFmt w:val="lowerRoman"/>
      <w:start w:val="1"/>
    </w:lvl>
  </w:abstractNum>
  <w:abstractNum w:abstractNumId="21">
    <w:nsid w:val="2443A85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2020-01-27T15:43:17Z</dcterms:created>
  <dcterms:modified xsi:type="dcterms:W3CDTF">2020-01-27T15:43:17Z</dcterms:modified>
</cp:coreProperties>
</file>