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Arial" w:cs="Arial" w:eastAsia="Arial" w:hAnsi="Arial"/>
          <w:sz w:val="20"/>
          <w:szCs w:val="20"/>
          <w:b w:val="1"/>
          <w:bCs w:val="1"/>
          <w:color w:val="auto"/>
        </w:rPr>
        <w:t>UNITED STATES</w:t>
      </w:r>
    </w:p>
    <w:p>
      <w:pPr>
        <w:spacing w:after="0" w:line="19" w:lineRule="exact"/>
        <w:rPr>
          <w:sz w:val="24"/>
          <w:szCs w:val="24"/>
          <w:color w:val="auto"/>
        </w:rPr>
      </w:pPr>
    </w:p>
    <w:p>
      <w:pPr>
        <w:jc w:val="center"/>
        <w:ind w:right="-16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60"/>
        <w:spacing w:after="0"/>
        <w:rPr>
          <w:sz w:val="20"/>
          <w:szCs w:val="20"/>
          <w:color w:val="auto"/>
        </w:rPr>
      </w:pPr>
      <w:r>
        <w:rPr>
          <w:rFonts w:ascii="Arial" w:cs="Arial" w:eastAsia="Arial" w:hAnsi="Arial"/>
          <w:sz w:val="17"/>
          <w:szCs w:val="17"/>
          <w:b w:val="1"/>
          <w:bCs w:val="1"/>
          <w:color w:val="auto"/>
        </w:rPr>
        <w:t>Washington, D.C. 20549</w:t>
      </w:r>
    </w:p>
    <w:p>
      <w:pPr>
        <w:spacing w:after="0" w:line="186" w:lineRule="exact"/>
        <w:rPr>
          <w:sz w:val="24"/>
          <w:szCs w:val="24"/>
          <w:color w:val="auto"/>
        </w:rPr>
      </w:pPr>
    </w:p>
    <w:p>
      <w:pPr>
        <w:jc w:val="center"/>
        <w:ind w:right="-160"/>
        <w:spacing w:after="0"/>
        <w:rPr>
          <w:sz w:val="20"/>
          <w:szCs w:val="20"/>
          <w:color w:val="auto"/>
        </w:rPr>
      </w:pPr>
      <w:r>
        <w:rPr>
          <w:rFonts w:ascii="Arial" w:cs="Arial" w:eastAsia="Arial" w:hAnsi="Arial"/>
          <w:sz w:val="17"/>
          <w:szCs w:val="17"/>
          <w:b w:val="1"/>
          <w:bCs w:val="1"/>
          <w:color w:val="auto"/>
        </w:rPr>
        <w:t>SCHEDULE 13G</w:t>
      </w:r>
    </w:p>
    <w:p>
      <w:pPr>
        <w:spacing w:after="0" w:line="18"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(Rule 13d-102)</w:t>
      </w:r>
    </w:p>
    <w:p>
      <w:pPr>
        <w:spacing w:after="0" w:line="190"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INFORMATION TO BE INCLUDED IN STATEMENTS FILED PURSUANT</w:t>
      </w:r>
    </w:p>
    <w:p>
      <w:pPr>
        <w:spacing w:after="0" w:line="14"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TO RULES 13d-1(b), (c), AND (d) AND AMENDMENTS THERETO FILED</w:t>
      </w:r>
    </w:p>
    <w:p>
      <w:pPr>
        <w:spacing w:after="0" w:line="3"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PURSUANT TO RULE 13d-2(b)</w:t>
      </w:r>
    </w:p>
    <w:p>
      <w:pPr>
        <w:spacing w:after="0" w:line="192"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(Amendment No. 1)</w:t>
      </w:r>
      <w:r>
        <w:rPr>
          <w:rFonts w:ascii="Arial" w:cs="Arial" w:eastAsia="Arial" w:hAnsi="Arial"/>
          <w:sz w:val="27"/>
          <w:szCs w:val="27"/>
          <w:color w:val="auto"/>
          <w:vertAlign w:val="superscript"/>
        </w:rPr>
        <w:t>1</w:t>
      </w:r>
    </w:p>
    <w:p>
      <w:pPr>
        <w:spacing w:after="0" w:line="200" w:lineRule="exact"/>
        <w:rPr>
          <w:sz w:val="24"/>
          <w:szCs w:val="24"/>
          <w:color w:val="auto"/>
        </w:rPr>
      </w:pPr>
    </w:p>
    <w:p>
      <w:pPr>
        <w:spacing w:after="0" w:line="342" w:lineRule="exact"/>
        <w:rPr>
          <w:sz w:val="24"/>
          <w:szCs w:val="24"/>
          <w:color w:val="auto"/>
        </w:rPr>
      </w:pPr>
    </w:p>
    <w:p>
      <w:pPr>
        <w:ind w:left="5161"/>
        <w:spacing w:after="0"/>
        <w:rPr>
          <w:sz w:val="20"/>
          <w:szCs w:val="20"/>
          <w:color w:val="auto"/>
        </w:rPr>
      </w:pPr>
      <w:r>
        <w:rPr>
          <w:rFonts w:ascii="Arial" w:cs="Arial" w:eastAsia="Arial" w:hAnsi="Arial"/>
          <w:sz w:val="17"/>
          <w:szCs w:val="17"/>
          <w:color w:val="auto"/>
        </w:rPr>
        <w:t>AnaptysBio, Inc.</w:t>
      </w:r>
    </w:p>
    <w:p>
      <w:pPr>
        <w:spacing w:after="0" w:line="15" w:lineRule="exact"/>
        <w:rPr>
          <w:sz w:val="24"/>
          <w:szCs w:val="24"/>
          <w:color w:val="auto"/>
        </w:rPr>
      </w:pPr>
    </w:p>
    <w:p>
      <w:pPr>
        <w:ind w:left="5181"/>
        <w:spacing w:after="0"/>
        <w:rPr>
          <w:sz w:val="20"/>
          <w:szCs w:val="20"/>
          <w:color w:val="auto"/>
        </w:rPr>
      </w:pPr>
      <w:r>
        <w:rPr>
          <w:rFonts w:ascii="Arial" w:cs="Arial" w:eastAsia="Arial" w:hAnsi="Arial"/>
          <w:sz w:val="17"/>
          <w:szCs w:val="17"/>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580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81"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Common stock, par value $0.001 per share</w:t>
      </w:r>
    </w:p>
    <w:p>
      <w:pPr>
        <w:spacing w:after="0" w:line="15" w:lineRule="exact"/>
        <w:rPr>
          <w:sz w:val="24"/>
          <w:szCs w:val="24"/>
          <w:color w:val="auto"/>
        </w:rPr>
      </w:pPr>
    </w:p>
    <w:p>
      <w:pPr>
        <w:jc w:val="center"/>
        <w:ind w:right="-200"/>
        <w:spacing w:after="0"/>
        <w:rPr>
          <w:sz w:val="20"/>
          <w:szCs w:val="20"/>
          <w:color w:val="auto"/>
        </w:rPr>
      </w:pPr>
      <w:r>
        <w:rPr>
          <w:rFonts w:ascii="Arial" w:cs="Arial" w:eastAsia="Arial" w:hAnsi="Arial"/>
          <w:sz w:val="17"/>
          <w:szCs w:val="17"/>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580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81" w:lineRule="exact"/>
        <w:rPr>
          <w:sz w:val="24"/>
          <w:szCs w:val="24"/>
          <w:color w:val="auto"/>
        </w:rPr>
      </w:pPr>
    </w:p>
    <w:p>
      <w:pPr>
        <w:ind w:left="5341"/>
        <w:spacing w:after="0"/>
        <w:rPr>
          <w:sz w:val="20"/>
          <w:szCs w:val="20"/>
          <w:color w:val="auto"/>
        </w:rPr>
      </w:pPr>
      <w:r>
        <w:rPr>
          <w:rFonts w:ascii="Arial" w:cs="Arial" w:eastAsia="Arial" w:hAnsi="Arial"/>
          <w:sz w:val="17"/>
          <w:szCs w:val="17"/>
          <w:color w:val="auto"/>
        </w:rPr>
        <w:t>032724106</w:t>
      </w:r>
    </w:p>
    <w:p>
      <w:pPr>
        <w:spacing w:after="0" w:line="15" w:lineRule="exact"/>
        <w:rPr>
          <w:sz w:val="24"/>
          <w:szCs w:val="24"/>
          <w:color w:val="auto"/>
        </w:rPr>
      </w:pPr>
    </w:p>
    <w:p>
      <w:pPr>
        <w:ind w:left="5161"/>
        <w:spacing w:after="0"/>
        <w:rPr>
          <w:sz w:val="20"/>
          <w:szCs w:val="20"/>
          <w:color w:val="auto"/>
        </w:rPr>
      </w:pPr>
      <w:r>
        <w:rPr>
          <w:rFonts w:ascii="Arial" w:cs="Arial" w:eastAsia="Arial" w:hAnsi="Arial"/>
          <w:sz w:val="17"/>
          <w:szCs w:val="17"/>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580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81"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December 31, 2017</w:t>
      </w:r>
    </w:p>
    <w:p>
      <w:pPr>
        <w:spacing w:after="0" w:line="15" w:lineRule="exact"/>
        <w:rPr>
          <w:sz w:val="24"/>
          <w:szCs w:val="24"/>
          <w:color w:val="auto"/>
        </w:rPr>
      </w:pPr>
    </w:p>
    <w:p>
      <w:pPr>
        <w:jc w:val="center"/>
        <w:ind w:right="-200"/>
        <w:spacing w:after="0"/>
        <w:rPr>
          <w:sz w:val="20"/>
          <w:szCs w:val="20"/>
          <w:color w:val="auto"/>
        </w:rPr>
      </w:pPr>
      <w:r>
        <w:rPr>
          <w:rFonts w:ascii="Arial" w:cs="Arial" w:eastAsia="Arial" w:hAnsi="Arial"/>
          <w:sz w:val="17"/>
          <w:szCs w:val="17"/>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580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1"/>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64" w:lineRule="exact"/>
        <w:rPr>
          <w:sz w:val="24"/>
          <w:szCs w:val="24"/>
          <w:color w:val="auto"/>
        </w:rPr>
      </w:pPr>
    </w:p>
    <w:p>
      <w:pPr>
        <w:ind w:left="961" w:hanging="338"/>
        <w:spacing w:after="0"/>
        <w:tabs>
          <w:tab w:leader="none" w:pos="96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201" w:lineRule="exact"/>
        <w:rPr>
          <w:sz w:val="24"/>
          <w:szCs w:val="24"/>
          <w:color w:val="auto"/>
        </w:rPr>
      </w:pPr>
    </w:p>
    <w:p>
      <w:pPr>
        <w:ind w:left="961" w:hanging="338"/>
        <w:spacing w:after="0"/>
        <w:tabs>
          <w:tab w:leader="none" w:pos="961"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201" w:lineRule="exact"/>
        <w:rPr>
          <w:sz w:val="24"/>
          <w:szCs w:val="24"/>
          <w:color w:val="auto"/>
        </w:rPr>
      </w:pPr>
    </w:p>
    <w:p>
      <w:pPr>
        <w:ind w:left="961" w:hanging="338"/>
        <w:spacing w:after="0"/>
        <w:tabs>
          <w:tab w:leader="none" w:pos="961"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669925</wp:posOffset>
            </wp:positionV>
            <wp:extent cx="18167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673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left="1" w:hanging="1"/>
        <w:spacing w:after="0" w:line="308" w:lineRule="auto"/>
        <w:tabs>
          <w:tab w:leader="none" w:pos="749" w:val="left"/>
        </w:tabs>
        <w:numPr>
          <w:ilvl w:val="0"/>
          <w:numId w:val="4"/>
        </w:numPr>
        <w:rPr>
          <w:rFonts w:ascii="Arial" w:cs="Arial" w:eastAsia="Arial" w:hAnsi="Arial"/>
          <w:sz w:val="10"/>
          <w:szCs w:val="1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left="1" w:right="180" w:firstLine="594"/>
        <w:spacing w:after="0" w:line="326" w:lineRule="auto"/>
        <w:rPr>
          <w:sz w:val="20"/>
          <w:szCs w:val="20"/>
          <w:color w:val="auto"/>
        </w:rPr>
      </w:pPr>
      <w:r>
        <w:rPr>
          <w:rFonts w:ascii="Arial" w:cs="Arial" w:eastAsia="Arial" w:hAnsi="Arial"/>
          <w:sz w:val="15"/>
          <w:szCs w:val="15"/>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5"/>
          <w:szCs w:val="15"/>
          <w:i w:val="1"/>
          <w:iCs w:val="1"/>
          <w:color w:val="auto"/>
        </w:rPr>
        <w:t>see</w:t>
      </w:r>
      <w:r>
        <w:rPr>
          <w:rFonts w:ascii="Arial" w:cs="Arial" w:eastAsia="Arial" w:hAnsi="Arial"/>
          <w:sz w:val="15"/>
          <w:szCs w:val="15"/>
          <w:color w:val="auto"/>
        </w:rPr>
        <w:t xml:space="preserve"> the </w:t>
      </w:r>
      <w:r>
        <w:rPr>
          <w:rFonts w:ascii="Arial" w:cs="Arial" w:eastAsia="Arial" w:hAnsi="Arial"/>
          <w:sz w:val="15"/>
          <w:szCs w:val="15"/>
          <w:i w:val="1"/>
          <w:iCs w:val="1"/>
          <w:color w:val="auto"/>
        </w:rPr>
        <w:t>Notes</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198120</wp:posOffset>
            </wp:positionV>
            <wp:extent cx="72580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261"/>
          </w:cols>
          <w:pgMar w:left="239" w:top="213" w:right="39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CUSIP No. 032724106</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7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586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right w:val="single" w:sz="8" w:color="auto"/>
            </w:tcBorders>
          </w:tcPr>
          <w:p>
            <w:pPr>
              <w:spacing w:after="0"/>
              <w:rPr>
                <w:sz w:val="3"/>
                <w:szCs w:val="3"/>
                <w:color w:val="auto"/>
              </w:rPr>
            </w:pPr>
          </w:p>
        </w:tc>
      </w:tr>
      <w:tr>
        <w:trPr>
          <w:trHeight w:val="186"/>
        </w:trPr>
        <w:tc>
          <w:tcPr>
            <w:tcW w:w="1760" w:type="dxa"/>
            <w:vAlign w:val="bottom"/>
            <w:tcBorders>
              <w:left w:val="single" w:sz="8" w:color="auto"/>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1</w:t>
            </w:r>
          </w:p>
        </w:tc>
        <w:tc>
          <w:tcPr>
            <w:tcW w:w="756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NAME OF REPORTING PERSON</w:t>
            </w:r>
          </w:p>
        </w:tc>
        <w:tc>
          <w:tcPr>
            <w:tcW w:w="2100" w:type="dxa"/>
            <w:vAlign w:val="bottom"/>
            <w:tcBorders>
              <w:right w:val="single" w:sz="8" w:color="auto"/>
            </w:tcBorders>
          </w:tcPr>
          <w:p>
            <w:pPr>
              <w:spacing w:after="0"/>
              <w:rPr>
                <w:sz w:val="16"/>
                <w:szCs w:val="16"/>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Biotechnology Value Fund, L.P.</w:t>
            </w:r>
          </w:p>
        </w:tc>
        <w:tc>
          <w:tcPr>
            <w:tcW w:w="2100" w:type="dxa"/>
            <w:vAlign w:val="bottom"/>
            <w:tcBorders>
              <w:bottom w:val="single" w:sz="8" w:color="auto"/>
              <w:right w:val="single" w:sz="8" w:color="auto"/>
            </w:tcBorders>
          </w:tcPr>
          <w:p>
            <w:pPr>
              <w:spacing w:after="0"/>
              <w:rPr>
                <w:sz w:val="24"/>
                <w:szCs w:val="24"/>
                <w:color w:val="auto"/>
              </w:rPr>
            </w:pPr>
          </w:p>
        </w:tc>
      </w:tr>
      <w:tr>
        <w:trPr>
          <w:trHeight w:val="149"/>
        </w:trPr>
        <w:tc>
          <w:tcPr>
            <w:tcW w:w="17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84"/>
              </w:rPr>
              <w:t>2</w:t>
            </w:r>
          </w:p>
        </w:tc>
        <w:tc>
          <w:tcPr>
            <w:tcW w:w="7560" w:type="dxa"/>
            <w:vAlign w:val="bottom"/>
            <w:gridSpan w:val="2"/>
          </w:tcPr>
          <w:p>
            <w:pPr>
              <w:ind w:left="10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Borders>
              <w:right w:val="single" w:sz="8" w:color="auto"/>
            </w:tcBorders>
          </w:tcPr>
          <w:p>
            <w:pPr>
              <w:ind w:left="96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60" w:type="dxa"/>
            <w:vAlign w:val="bottom"/>
            <w:tcBorders>
              <w:left w:val="single" w:sz="8" w:color="auto"/>
              <w:right w:val="single" w:sz="8" w:color="auto"/>
            </w:tcBorders>
          </w:tcPr>
          <w:p>
            <w:pPr>
              <w:spacing w:after="0"/>
              <w:rPr>
                <w:sz w:val="22"/>
                <w:szCs w:val="22"/>
                <w:color w:val="auto"/>
              </w:rPr>
            </w:pPr>
          </w:p>
        </w:tc>
        <w:tc>
          <w:tcPr>
            <w:tcW w:w="170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2100" w:type="dxa"/>
            <w:vAlign w:val="bottom"/>
            <w:tcBorders>
              <w:right w:val="single" w:sz="8" w:color="auto"/>
            </w:tcBorders>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6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spacing w:after="0"/>
              <w:rPr>
                <w:sz w:val="15"/>
                <w:szCs w:val="15"/>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w:t>
            </w:r>
          </w:p>
        </w:tc>
        <w:tc>
          <w:tcPr>
            <w:tcW w:w="170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4</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Delaware</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179"/>
        </w:trPr>
        <w:tc>
          <w:tcPr>
            <w:tcW w:w="1760" w:type="dxa"/>
            <w:vAlign w:val="bottom"/>
            <w:tcBorders>
              <w:left w:val="single" w:sz="8" w:color="auto"/>
              <w:right w:val="single" w:sz="8" w:color="auto"/>
            </w:tcBorders>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00" w:type="dxa"/>
            <w:vAlign w:val="bottom"/>
            <w:tcBorders>
              <w:right w:val="single" w:sz="8" w:color="auto"/>
            </w:tcBorders>
          </w:tcPr>
          <w:p>
            <w:pPr>
              <w:ind w:left="800"/>
              <w:spacing w:after="0" w:line="179" w:lineRule="exact"/>
              <w:rPr>
                <w:sz w:val="20"/>
                <w:szCs w:val="20"/>
                <w:color w:val="auto"/>
              </w:rPr>
            </w:pPr>
            <w:r>
              <w:rPr>
                <w:rFonts w:ascii="Arial" w:cs="Arial" w:eastAsia="Arial" w:hAnsi="Arial"/>
                <w:sz w:val="17"/>
                <w:szCs w:val="17"/>
                <w:color w:val="auto"/>
              </w:rPr>
              <w:t>5</w:t>
            </w:r>
          </w:p>
        </w:tc>
        <w:tc>
          <w:tcPr>
            <w:tcW w:w="5860" w:type="dxa"/>
            <w:vAlign w:val="bottom"/>
          </w:tcPr>
          <w:p>
            <w:pPr>
              <w:ind w:left="10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SHARES</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BENEFICIALLY</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18"/>
                <w:szCs w:val="18"/>
                <w:color w:val="auto"/>
              </w:rPr>
            </w:pPr>
          </w:p>
        </w:tc>
      </w:tr>
      <w:tr>
        <w:trPr>
          <w:trHeight w:val="180"/>
        </w:trPr>
        <w:tc>
          <w:tcPr>
            <w:tcW w:w="176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00" w:type="dxa"/>
            <w:vAlign w:val="bottom"/>
            <w:tcBorders>
              <w:right w:val="single" w:sz="8" w:color="auto"/>
            </w:tcBorders>
          </w:tcPr>
          <w:p>
            <w:pPr>
              <w:ind w:left="800"/>
              <w:spacing w:after="0" w:line="180" w:lineRule="exact"/>
              <w:rPr>
                <w:sz w:val="20"/>
                <w:szCs w:val="20"/>
                <w:color w:val="auto"/>
              </w:rPr>
            </w:pPr>
            <w:r>
              <w:rPr>
                <w:rFonts w:ascii="Arial" w:cs="Arial" w:eastAsia="Arial" w:hAnsi="Arial"/>
                <w:sz w:val="17"/>
                <w:szCs w:val="17"/>
                <w:color w:val="auto"/>
              </w:rPr>
              <w:t>6</w:t>
            </w:r>
          </w:p>
        </w:tc>
        <w:tc>
          <w:tcPr>
            <w:tcW w:w="5860" w:type="dxa"/>
            <w:vAlign w:val="bottom"/>
          </w:tcPr>
          <w:p>
            <w:pPr>
              <w:ind w:left="10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EACH</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REPORTING</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278,511</w:t>
            </w:r>
          </w:p>
        </w:tc>
        <w:tc>
          <w:tcPr>
            <w:tcW w:w="2100" w:type="dxa"/>
            <w:vAlign w:val="bottom"/>
            <w:tcBorders>
              <w:bottom w:val="single" w:sz="8" w:color="auto"/>
              <w:right w:val="single" w:sz="8" w:color="auto"/>
            </w:tcBorders>
          </w:tcPr>
          <w:p>
            <w:pPr>
              <w:spacing w:after="0"/>
              <w:rPr>
                <w:sz w:val="18"/>
                <w:szCs w:val="18"/>
                <w:color w:val="auto"/>
              </w:rPr>
            </w:pPr>
          </w:p>
        </w:tc>
      </w:tr>
      <w:tr>
        <w:trPr>
          <w:trHeight w:val="203"/>
        </w:trPr>
        <w:tc>
          <w:tcPr>
            <w:tcW w:w="17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7</w:t>
            </w:r>
          </w:p>
        </w:tc>
        <w:tc>
          <w:tcPr>
            <w:tcW w:w="586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8</w:t>
            </w:r>
          </w:p>
        </w:tc>
        <w:tc>
          <w:tcPr>
            <w:tcW w:w="586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278,511</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9</w:t>
            </w:r>
          </w:p>
        </w:tc>
        <w:tc>
          <w:tcPr>
            <w:tcW w:w="1700" w:type="dxa"/>
            <w:vAlign w:val="bottom"/>
          </w:tcPr>
          <w:p>
            <w:pPr>
              <w:ind w:left="100"/>
              <w:spacing w:after="0"/>
              <w:rPr>
                <w:sz w:val="20"/>
                <w:szCs w:val="20"/>
                <w:color w:val="auto"/>
              </w:rPr>
            </w:pPr>
            <w:r>
              <w:rPr>
                <w:rFonts w:ascii="Arial" w:cs="Arial" w:eastAsia="Arial" w:hAnsi="Arial"/>
                <w:sz w:val="17"/>
                <w:szCs w:val="17"/>
                <w:color w:val="auto"/>
                <w:w w:val="83"/>
              </w:rPr>
              <w:t>AGGREGATE AMOUNT</w:t>
            </w:r>
          </w:p>
        </w:tc>
        <w:tc>
          <w:tcPr>
            <w:tcW w:w="5860" w:type="dxa"/>
            <w:vAlign w:val="bottom"/>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278,511</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5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Borders>
              <w:right w:val="single" w:sz="8" w:color="auto"/>
            </w:tcBorders>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11</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1.2%</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PN</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497"/>
        </w:trPr>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2220"/>
              <w:spacing w:after="0"/>
              <w:rPr>
                <w:sz w:val="20"/>
                <w:szCs w:val="20"/>
                <w:color w:val="auto"/>
              </w:rPr>
            </w:pPr>
            <w:r>
              <w:rPr>
                <w:rFonts w:ascii="Arial" w:cs="Arial" w:eastAsia="Arial" w:hAnsi="Arial"/>
                <w:sz w:val="17"/>
                <w:szCs w:val="17"/>
                <w:color w:val="auto"/>
              </w:rPr>
              <w:t>2</w:t>
            </w: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9"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CUSIP No. 032724106</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7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586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right w:val="single" w:sz="8" w:color="auto"/>
            </w:tcBorders>
          </w:tcPr>
          <w:p>
            <w:pPr>
              <w:spacing w:after="0"/>
              <w:rPr>
                <w:sz w:val="3"/>
                <w:szCs w:val="3"/>
                <w:color w:val="auto"/>
              </w:rPr>
            </w:pPr>
          </w:p>
        </w:tc>
      </w:tr>
      <w:tr>
        <w:trPr>
          <w:trHeight w:val="186"/>
        </w:trPr>
        <w:tc>
          <w:tcPr>
            <w:tcW w:w="1760" w:type="dxa"/>
            <w:vAlign w:val="bottom"/>
            <w:tcBorders>
              <w:left w:val="single" w:sz="8" w:color="auto"/>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1</w:t>
            </w:r>
          </w:p>
        </w:tc>
        <w:tc>
          <w:tcPr>
            <w:tcW w:w="756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NAME OF REPORTING PERSON</w:t>
            </w:r>
          </w:p>
        </w:tc>
        <w:tc>
          <w:tcPr>
            <w:tcW w:w="2100" w:type="dxa"/>
            <w:vAlign w:val="bottom"/>
            <w:tcBorders>
              <w:right w:val="single" w:sz="8" w:color="auto"/>
            </w:tcBorders>
          </w:tcPr>
          <w:p>
            <w:pPr>
              <w:spacing w:after="0"/>
              <w:rPr>
                <w:sz w:val="16"/>
                <w:szCs w:val="16"/>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Biotechnology Value Fund II, L.P.</w:t>
            </w:r>
          </w:p>
        </w:tc>
        <w:tc>
          <w:tcPr>
            <w:tcW w:w="2100" w:type="dxa"/>
            <w:vAlign w:val="bottom"/>
            <w:tcBorders>
              <w:bottom w:val="single" w:sz="8" w:color="auto"/>
              <w:right w:val="single" w:sz="8" w:color="auto"/>
            </w:tcBorders>
          </w:tcPr>
          <w:p>
            <w:pPr>
              <w:spacing w:after="0"/>
              <w:rPr>
                <w:sz w:val="24"/>
                <w:szCs w:val="24"/>
                <w:color w:val="auto"/>
              </w:rPr>
            </w:pPr>
          </w:p>
        </w:tc>
      </w:tr>
      <w:tr>
        <w:trPr>
          <w:trHeight w:val="149"/>
        </w:trPr>
        <w:tc>
          <w:tcPr>
            <w:tcW w:w="17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84"/>
              </w:rPr>
              <w:t>2</w:t>
            </w:r>
          </w:p>
        </w:tc>
        <w:tc>
          <w:tcPr>
            <w:tcW w:w="7560" w:type="dxa"/>
            <w:vAlign w:val="bottom"/>
            <w:gridSpan w:val="2"/>
          </w:tcPr>
          <w:p>
            <w:pPr>
              <w:ind w:left="10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Borders>
              <w:right w:val="single" w:sz="8" w:color="auto"/>
            </w:tcBorders>
          </w:tcPr>
          <w:p>
            <w:pPr>
              <w:ind w:left="96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60" w:type="dxa"/>
            <w:vAlign w:val="bottom"/>
            <w:tcBorders>
              <w:left w:val="single" w:sz="8" w:color="auto"/>
              <w:right w:val="single" w:sz="8" w:color="auto"/>
            </w:tcBorders>
          </w:tcPr>
          <w:p>
            <w:pPr>
              <w:spacing w:after="0"/>
              <w:rPr>
                <w:sz w:val="22"/>
                <w:szCs w:val="22"/>
                <w:color w:val="auto"/>
              </w:rPr>
            </w:pPr>
          </w:p>
        </w:tc>
        <w:tc>
          <w:tcPr>
            <w:tcW w:w="170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2100" w:type="dxa"/>
            <w:vAlign w:val="bottom"/>
            <w:tcBorders>
              <w:right w:val="single" w:sz="8" w:color="auto"/>
            </w:tcBorders>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6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spacing w:after="0"/>
              <w:rPr>
                <w:sz w:val="15"/>
                <w:szCs w:val="15"/>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w:t>
            </w:r>
          </w:p>
        </w:tc>
        <w:tc>
          <w:tcPr>
            <w:tcW w:w="170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4</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Delaware</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179"/>
        </w:trPr>
        <w:tc>
          <w:tcPr>
            <w:tcW w:w="1760" w:type="dxa"/>
            <w:vAlign w:val="bottom"/>
            <w:tcBorders>
              <w:left w:val="single" w:sz="8" w:color="auto"/>
              <w:right w:val="single" w:sz="8" w:color="auto"/>
            </w:tcBorders>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00" w:type="dxa"/>
            <w:vAlign w:val="bottom"/>
            <w:tcBorders>
              <w:right w:val="single" w:sz="8" w:color="auto"/>
            </w:tcBorders>
          </w:tcPr>
          <w:p>
            <w:pPr>
              <w:ind w:left="800"/>
              <w:spacing w:after="0" w:line="179" w:lineRule="exact"/>
              <w:rPr>
                <w:sz w:val="20"/>
                <w:szCs w:val="20"/>
                <w:color w:val="auto"/>
              </w:rPr>
            </w:pPr>
            <w:r>
              <w:rPr>
                <w:rFonts w:ascii="Arial" w:cs="Arial" w:eastAsia="Arial" w:hAnsi="Arial"/>
                <w:sz w:val="17"/>
                <w:szCs w:val="17"/>
                <w:color w:val="auto"/>
              </w:rPr>
              <w:t>5</w:t>
            </w:r>
          </w:p>
        </w:tc>
        <w:tc>
          <w:tcPr>
            <w:tcW w:w="5860" w:type="dxa"/>
            <w:vAlign w:val="bottom"/>
          </w:tcPr>
          <w:p>
            <w:pPr>
              <w:ind w:left="10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SHARES</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BENEFICIALLY</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18"/>
                <w:szCs w:val="18"/>
                <w:color w:val="auto"/>
              </w:rPr>
            </w:pPr>
          </w:p>
        </w:tc>
      </w:tr>
      <w:tr>
        <w:trPr>
          <w:trHeight w:val="180"/>
        </w:trPr>
        <w:tc>
          <w:tcPr>
            <w:tcW w:w="176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00" w:type="dxa"/>
            <w:vAlign w:val="bottom"/>
            <w:tcBorders>
              <w:right w:val="single" w:sz="8" w:color="auto"/>
            </w:tcBorders>
          </w:tcPr>
          <w:p>
            <w:pPr>
              <w:ind w:left="800"/>
              <w:spacing w:after="0" w:line="180" w:lineRule="exact"/>
              <w:rPr>
                <w:sz w:val="20"/>
                <w:szCs w:val="20"/>
                <w:color w:val="auto"/>
              </w:rPr>
            </w:pPr>
            <w:r>
              <w:rPr>
                <w:rFonts w:ascii="Arial" w:cs="Arial" w:eastAsia="Arial" w:hAnsi="Arial"/>
                <w:sz w:val="17"/>
                <w:szCs w:val="17"/>
                <w:color w:val="auto"/>
              </w:rPr>
              <w:t>6</w:t>
            </w:r>
          </w:p>
        </w:tc>
        <w:tc>
          <w:tcPr>
            <w:tcW w:w="5860" w:type="dxa"/>
            <w:vAlign w:val="bottom"/>
          </w:tcPr>
          <w:p>
            <w:pPr>
              <w:ind w:left="10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EACH</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REPORTING</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180,043</w:t>
            </w:r>
          </w:p>
        </w:tc>
        <w:tc>
          <w:tcPr>
            <w:tcW w:w="2100" w:type="dxa"/>
            <w:vAlign w:val="bottom"/>
            <w:tcBorders>
              <w:bottom w:val="single" w:sz="8" w:color="auto"/>
              <w:right w:val="single" w:sz="8" w:color="auto"/>
            </w:tcBorders>
          </w:tcPr>
          <w:p>
            <w:pPr>
              <w:spacing w:after="0"/>
              <w:rPr>
                <w:sz w:val="18"/>
                <w:szCs w:val="18"/>
                <w:color w:val="auto"/>
              </w:rPr>
            </w:pPr>
          </w:p>
        </w:tc>
      </w:tr>
      <w:tr>
        <w:trPr>
          <w:trHeight w:val="203"/>
        </w:trPr>
        <w:tc>
          <w:tcPr>
            <w:tcW w:w="17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7</w:t>
            </w:r>
          </w:p>
        </w:tc>
        <w:tc>
          <w:tcPr>
            <w:tcW w:w="586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8</w:t>
            </w:r>
          </w:p>
        </w:tc>
        <w:tc>
          <w:tcPr>
            <w:tcW w:w="586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180,043</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9</w:t>
            </w:r>
          </w:p>
        </w:tc>
        <w:tc>
          <w:tcPr>
            <w:tcW w:w="1700" w:type="dxa"/>
            <w:vAlign w:val="bottom"/>
          </w:tcPr>
          <w:p>
            <w:pPr>
              <w:ind w:left="100"/>
              <w:spacing w:after="0"/>
              <w:rPr>
                <w:sz w:val="20"/>
                <w:szCs w:val="20"/>
                <w:color w:val="auto"/>
              </w:rPr>
            </w:pPr>
            <w:r>
              <w:rPr>
                <w:rFonts w:ascii="Arial" w:cs="Arial" w:eastAsia="Arial" w:hAnsi="Arial"/>
                <w:sz w:val="17"/>
                <w:szCs w:val="17"/>
                <w:color w:val="auto"/>
                <w:w w:val="83"/>
              </w:rPr>
              <w:t>AGGREGATE AMOUNT</w:t>
            </w:r>
          </w:p>
        </w:tc>
        <w:tc>
          <w:tcPr>
            <w:tcW w:w="5860" w:type="dxa"/>
            <w:vAlign w:val="bottom"/>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180,043</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5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Borders>
              <w:right w:val="single" w:sz="8" w:color="auto"/>
            </w:tcBorders>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11</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Less than 1%</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PN</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497"/>
        </w:trPr>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2220"/>
              <w:spacing w:after="0"/>
              <w:rPr>
                <w:sz w:val="20"/>
                <w:szCs w:val="20"/>
                <w:color w:val="auto"/>
              </w:rPr>
            </w:pPr>
            <w:r>
              <w:rPr>
                <w:rFonts w:ascii="Arial" w:cs="Arial" w:eastAsia="Arial" w:hAnsi="Arial"/>
                <w:sz w:val="17"/>
                <w:szCs w:val="17"/>
                <w:color w:val="auto"/>
              </w:rPr>
              <w:t>3</w:t>
            </w: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9"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CUSIP No. 032724106</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7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586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right w:val="single" w:sz="8" w:color="auto"/>
            </w:tcBorders>
          </w:tcPr>
          <w:p>
            <w:pPr>
              <w:spacing w:after="0"/>
              <w:rPr>
                <w:sz w:val="3"/>
                <w:szCs w:val="3"/>
                <w:color w:val="auto"/>
              </w:rPr>
            </w:pPr>
          </w:p>
        </w:tc>
      </w:tr>
      <w:tr>
        <w:trPr>
          <w:trHeight w:val="186"/>
        </w:trPr>
        <w:tc>
          <w:tcPr>
            <w:tcW w:w="1760" w:type="dxa"/>
            <w:vAlign w:val="bottom"/>
            <w:tcBorders>
              <w:left w:val="single" w:sz="8" w:color="auto"/>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1</w:t>
            </w:r>
          </w:p>
        </w:tc>
        <w:tc>
          <w:tcPr>
            <w:tcW w:w="756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NAME OF REPORTING PERSON</w:t>
            </w:r>
          </w:p>
        </w:tc>
        <w:tc>
          <w:tcPr>
            <w:tcW w:w="2100" w:type="dxa"/>
            <w:vAlign w:val="bottom"/>
            <w:tcBorders>
              <w:right w:val="single" w:sz="8" w:color="auto"/>
            </w:tcBorders>
          </w:tcPr>
          <w:p>
            <w:pPr>
              <w:spacing w:after="0"/>
              <w:rPr>
                <w:sz w:val="16"/>
                <w:szCs w:val="16"/>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Biotechnology Value Trading Fund OS LP</w:t>
            </w:r>
          </w:p>
        </w:tc>
        <w:tc>
          <w:tcPr>
            <w:tcW w:w="2100" w:type="dxa"/>
            <w:vAlign w:val="bottom"/>
            <w:tcBorders>
              <w:bottom w:val="single" w:sz="8" w:color="auto"/>
              <w:right w:val="single" w:sz="8" w:color="auto"/>
            </w:tcBorders>
          </w:tcPr>
          <w:p>
            <w:pPr>
              <w:spacing w:after="0"/>
              <w:rPr>
                <w:sz w:val="24"/>
                <w:szCs w:val="24"/>
                <w:color w:val="auto"/>
              </w:rPr>
            </w:pPr>
          </w:p>
        </w:tc>
      </w:tr>
      <w:tr>
        <w:trPr>
          <w:trHeight w:val="149"/>
        </w:trPr>
        <w:tc>
          <w:tcPr>
            <w:tcW w:w="17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84"/>
              </w:rPr>
              <w:t>2</w:t>
            </w:r>
          </w:p>
        </w:tc>
        <w:tc>
          <w:tcPr>
            <w:tcW w:w="7560" w:type="dxa"/>
            <w:vAlign w:val="bottom"/>
            <w:gridSpan w:val="2"/>
          </w:tcPr>
          <w:p>
            <w:pPr>
              <w:ind w:left="10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Borders>
              <w:right w:val="single" w:sz="8" w:color="auto"/>
            </w:tcBorders>
          </w:tcPr>
          <w:p>
            <w:pPr>
              <w:ind w:left="96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60" w:type="dxa"/>
            <w:vAlign w:val="bottom"/>
            <w:tcBorders>
              <w:left w:val="single" w:sz="8" w:color="auto"/>
              <w:right w:val="single" w:sz="8" w:color="auto"/>
            </w:tcBorders>
          </w:tcPr>
          <w:p>
            <w:pPr>
              <w:spacing w:after="0"/>
              <w:rPr>
                <w:sz w:val="22"/>
                <w:szCs w:val="22"/>
                <w:color w:val="auto"/>
              </w:rPr>
            </w:pPr>
          </w:p>
        </w:tc>
        <w:tc>
          <w:tcPr>
            <w:tcW w:w="170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2100" w:type="dxa"/>
            <w:vAlign w:val="bottom"/>
            <w:tcBorders>
              <w:right w:val="single" w:sz="8" w:color="auto"/>
            </w:tcBorders>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6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spacing w:after="0"/>
              <w:rPr>
                <w:sz w:val="15"/>
                <w:szCs w:val="15"/>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w:t>
            </w:r>
          </w:p>
        </w:tc>
        <w:tc>
          <w:tcPr>
            <w:tcW w:w="170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4</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w w:val="90"/>
              </w:rPr>
              <w:t>Cayman Islands</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179"/>
        </w:trPr>
        <w:tc>
          <w:tcPr>
            <w:tcW w:w="1760" w:type="dxa"/>
            <w:vAlign w:val="bottom"/>
            <w:tcBorders>
              <w:left w:val="single" w:sz="8" w:color="auto"/>
              <w:right w:val="single" w:sz="8" w:color="auto"/>
            </w:tcBorders>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00" w:type="dxa"/>
            <w:vAlign w:val="bottom"/>
            <w:tcBorders>
              <w:right w:val="single" w:sz="8" w:color="auto"/>
            </w:tcBorders>
          </w:tcPr>
          <w:p>
            <w:pPr>
              <w:ind w:left="800"/>
              <w:spacing w:after="0" w:line="179" w:lineRule="exact"/>
              <w:rPr>
                <w:sz w:val="20"/>
                <w:szCs w:val="20"/>
                <w:color w:val="auto"/>
              </w:rPr>
            </w:pPr>
            <w:r>
              <w:rPr>
                <w:rFonts w:ascii="Arial" w:cs="Arial" w:eastAsia="Arial" w:hAnsi="Arial"/>
                <w:sz w:val="17"/>
                <w:szCs w:val="17"/>
                <w:color w:val="auto"/>
              </w:rPr>
              <w:t>5</w:t>
            </w:r>
          </w:p>
        </w:tc>
        <w:tc>
          <w:tcPr>
            <w:tcW w:w="5860" w:type="dxa"/>
            <w:vAlign w:val="bottom"/>
          </w:tcPr>
          <w:p>
            <w:pPr>
              <w:ind w:left="10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SHARES</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BENEFICIALLY</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18"/>
                <w:szCs w:val="18"/>
                <w:color w:val="auto"/>
              </w:rPr>
            </w:pPr>
          </w:p>
        </w:tc>
      </w:tr>
      <w:tr>
        <w:trPr>
          <w:trHeight w:val="180"/>
        </w:trPr>
        <w:tc>
          <w:tcPr>
            <w:tcW w:w="176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00" w:type="dxa"/>
            <w:vAlign w:val="bottom"/>
            <w:tcBorders>
              <w:right w:val="single" w:sz="8" w:color="auto"/>
            </w:tcBorders>
          </w:tcPr>
          <w:p>
            <w:pPr>
              <w:ind w:left="800"/>
              <w:spacing w:after="0" w:line="180" w:lineRule="exact"/>
              <w:rPr>
                <w:sz w:val="20"/>
                <w:szCs w:val="20"/>
                <w:color w:val="auto"/>
              </w:rPr>
            </w:pPr>
            <w:r>
              <w:rPr>
                <w:rFonts w:ascii="Arial" w:cs="Arial" w:eastAsia="Arial" w:hAnsi="Arial"/>
                <w:sz w:val="17"/>
                <w:szCs w:val="17"/>
                <w:color w:val="auto"/>
              </w:rPr>
              <w:t>6</w:t>
            </w:r>
          </w:p>
        </w:tc>
        <w:tc>
          <w:tcPr>
            <w:tcW w:w="5860" w:type="dxa"/>
            <w:vAlign w:val="bottom"/>
          </w:tcPr>
          <w:p>
            <w:pPr>
              <w:ind w:left="10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EACH</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REPORTING</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49,182</w:t>
            </w:r>
          </w:p>
        </w:tc>
        <w:tc>
          <w:tcPr>
            <w:tcW w:w="2100" w:type="dxa"/>
            <w:vAlign w:val="bottom"/>
            <w:tcBorders>
              <w:bottom w:val="single" w:sz="8" w:color="auto"/>
              <w:right w:val="single" w:sz="8" w:color="auto"/>
            </w:tcBorders>
          </w:tcPr>
          <w:p>
            <w:pPr>
              <w:spacing w:after="0"/>
              <w:rPr>
                <w:sz w:val="18"/>
                <w:szCs w:val="18"/>
                <w:color w:val="auto"/>
              </w:rPr>
            </w:pPr>
          </w:p>
        </w:tc>
      </w:tr>
      <w:tr>
        <w:trPr>
          <w:trHeight w:val="203"/>
        </w:trPr>
        <w:tc>
          <w:tcPr>
            <w:tcW w:w="17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7</w:t>
            </w:r>
          </w:p>
        </w:tc>
        <w:tc>
          <w:tcPr>
            <w:tcW w:w="586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8</w:t>
            </w:r>
          </w:p>
        </w:tc>
        <w:tc>
          <w:tcPr>
            <w:tcW w:w="586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49,182</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9</w:t>
            </w:r>
          </w:p>
        </w:tc>
        <w:tc>
          <w:tcPr>
            <w:tcW w:w="1700" w:type="dxa"/>
            <w:vAlign w:val="bottom"/>
          </w:tcPr>
          <w:p>
            <w:pPr>
              <w:ind w:left="100"/>
              <w:spacing w:after="0"/>
              <w:rPr>
                <w:sz w:val="20"/>
                <w:szCs w:val="20"/>
                <w:color w:val="auto"/>
              </w:rPr>
            </w:pPr>
            <w:r>
              <w:rPr>
                <w:rFonts w:ascii="Arial" w:cs="Arial" w:eastAsia="Arial" w:hAnsi="Arial"/>
                <w:sz w:val="17"/>
                <w:szCs w:val="17"/>
                <w:color w:val="auto"/>
                <w:w w:val="83"/>
              </w:rPr>
              <w:t>AGGREGATE AMOUNT</w:t>
            </w:r>
          </w:p>
        </w:tc>
        <w:tc>
          <w:tcPr>
            <w:tcW w:w="5860" w:type="dxa"/>
            <w:vAlign w:val="bottom"/>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49,182</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5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Borders>
              <w:right w:val="single" w:sz="8" w:color="auto"/>
            </w:tcBorders>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11</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Less than 1%</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PN</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497"/>
        </w:trPr>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2220"/>
              <w:spacing w:after="0"/>
              <w:rPr>
                <w:sz w:val="20"/>
                <w:szCs w:val="20"/>
                <w:color w:val="auto"/>
              </w:rPr>
            </w:pPr>
            <w:r>
              <w:rPr>
                <w:rFonts w:ascii="Arial" w:cs="Arial" w:eastAsia="Arial" w:hAnsi="Arial"/>
                <w:sz w:val="17"/>
                <w:szCs w:val="17"/>
                <w:color w:val="auto"/>
              </w:rPr>
              <w:t>4</w:t>
            </w: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9"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212090</wp:posOffset>
            </wp:positionV>
            <wp:extent cx="3619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339" w:lineRule="exact"/>
        <w:rPr>
          <w:sz w:val="20"/>
          <w:szCs w:val="20"/>
          <w:color w:val="auto"/>
        </w:rPr>
      </w:pPr>
    </w:p>
    <w:p>
      <w:pPr>
        <w:ind w:left="1860" w:hanging="1029"/>
        <w:spacing w:after="0"/>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0" w:lineRule="exact"/>
        <w:rPr>
          <w:rFonts w:ascii="Arial" w:cs="Arial" w:eastAsia="Arial" w:hAnsi="Arial"/>
          <w:sz w:val="17"/>
          <w:szCs w:val="17"/>
          <w:color w:val="auto"/>
        </w:rPr>
      </w:pPr>
    </w:p>
    <w:p>
      <w:pPr>
        <w:ind w:left="2320"/>
        <w:spacing w:after="0"/>
        <w:rPr>
          <w:rFonts w:ascii="Arial" w:cs="Arial" w:eastAsia="Arial" w:hAnsi="Arial"/>
          <w:sz w:val="17"/>
          <w:szCs w:val="17"/>
          <w:color w:val="auto"/>
        </w:rPr>
      </w:pPr>
      <w:r>
        <w:rPr>
          <w:rFonts w:ascii="Arial" w:cs="Arial" w:eastAsia="Arial" w:hAnsi="Arial"/>
          <w:sz w:val="17"/>
          <w:szCs w:val="17"/>
          <w:color w:val="auto"/>
        </w:rPr>
        <w:t>BVF Partners OS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-375285</wp:posOffset>
            </wp:positionV>
            <wp:extent cx="3619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174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7"/>
                <w:szCs w:val="17"/>
                <w:color w:val="auto"/>
                <w:w w:val="84"/>
              </w:rPr>
              <w:t>2</w:t>
            </w:r>
          </w:p>
        </w:tc>
        <w:tc>
          <w:tcPr>
            <w:tcW w:w="7580" w:type="dxa"/>
            <w:vAlign w:val="bottom"/>
            <w:tcBorders>
              <w:top w:val="single" w:sz="8" w:color="auto"/>
            </w:tcBorders>
            <w:gridSpan w:val="2"/>
          </w:tcPr>
          <w:p>
            <w:pPr>
              <w:ind w:left="120"/>
              <w:spacing w:after="0" w:line="150"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Borders>
              <w:top w:val="single" w:sz="8" w:color="auto"/>
            </w:tcBorders>
          </w:tcPr>
          <w:p>
            <w:pPr>
              <w:ind w:left="960"/>
              <w:spacing w:after="0" w:line="150"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2100" w:type="dxa"/>
            <w:vAlign w:val="bottom"/>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720" w:type="dxa"/>
            <w:vAlign w:val="bottom"/>
          </w:tcPr>
          <w:p>
            <w:pPr>
              <w:ind w:left="120"/>
              <w:spacing w:after="0"/>
              <w:rPr>
                <w:sz w:val="20"/>
                <w:szCs w:val="20"/>
                <w:color w:val="auto"/>
              </w:rPr>
            </w:pPr>
            <w:r>
              <w:rPr>
                <w:rFonts w:ascii="Arial" w:cs="Arial" w:eastAsia="Arial" w:hAnsi="Arial"/>
                <w:sz w:val="17"/>
                <w:szCs w:val="17"/>
                <w:color w:val="auto"/>
              </w:rPr>
              <w:t>SEC USE ONLY</w:t>
            </w:r>
          </w:p>
        </w:tc>
        <w:tc>
          <w:tcPr>
            <w:tcW w:w="58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7580" w:type="dxa"/>
            <w:vAlign w:val="bottom"/>
            <w:gridSpan w:val="2"/>
          </w:tcPr>
          <w:p>
            <w:pPr>
              <w:ind w:left="12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w w:val="90"/>
              </w:rPr>
              <w:t>Cayman Islands</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179"/>
        </w:trPr>
        <w:tc>
          <w:tcPr>
            <w:tcW w:w="1740" w:type="dxa"/>
            <w:vAlign w:val="bottom"/>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20" w:type="dxa"/>
            <w:vAlign w:val="bottom"/>
            <w:tcBorders>
              <w:right w:val="single" w:sz="8" w:color="auto"/>
            </w:tcBorders>
          </w:tcPr>
          <w:p>
            <w:pPr>
              <w:ind w:left="820"/>
              <w:spacing w:after="0" w:line="179" w:lineRule="exact"/>
              <w:rPr>
                <w:sz w:val="20"/>
                <w:szCs w:val="20"/>
                <w:color w:val="auto"/>
              </w:rPr>
            </w:pPr>
            <w:r>
              <w:rPr>
                <w:rFonts w:ascii="Arial" w:cs="Arial" w:eastAsia="Arial" w:hAnsi="Arial"/>
                <w:sz w:val="17"/>
                <w:szCs w:val="17"/>
                <w:color w:val="auto"/>
              </w:rPr>
              <w:t>5</w:t>
            </w:r>
          </w:p>
        </w:tc>
        <w:tc>
          <w:tcPr>
            <w:tcW w:w="5860" w:type="dxa"/>
            <w:vAlign w:val="bottom"/>
          </w:tcPr>
          <w:p>
            <w:pPr>
              <w:ind w:left="10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88"/>
              </w:rPr>
              <w:t>SHARES</w:t>
            </w:r>
          </w:p>
        </w:tc>
        <w:tc>
          <w:tcPr>
            <w:tcW w:w="172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98"/>
              </w:rPr>
              <w:t>BENEFICIALLY</w:t>
            </w:r>
          </w:p>
        </w:tc>
        <w:tc>
          <w:tcPr>
            <w:tcW w:w="172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tcBorders>
          </w:tcPr>
          <w:p>
            <w:pPr>
              <w:spacing w:after="0"/>
              <w:rPr>
                <w:sz w:val="18"/>
                <w:szCs w:val="18"/>
                <w:color w:val="auto"/>
              </w:rPr>
            </w:pPr>
          </w:p>
        </w:tc>
      </w:tr>
      <w:tr>
        <w:trPr>
          <w:trHeight w:val="180"/>
        </w:trPr>
        <w:tc>
          <w:tcPr>
            <w:tcW w:w="1740" w:type="dxa"/>
            <w:vAlign w:val="bottom"/>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20" w:type="dxa"/>
            <w:vAlign w:val="bottom"/>
            <w:tcBorders>
              <w:right w:val="single" w:sz="8" w:color="auto"/>
            </w:tcBorders>
          </w:tcPr>
          <w:p>
            <w:pPr>
              <w:ind w:left="820"/>
              <w:spacing w:after="0" w:line="180" w:lineRule="exact"/>
              <w:rPr>
                <w:sz w:val="20"/>
                <w:szCs w:val="20"/>
                <w:color w:val="auto"/>
              </w:rPr>
            </w:pPr>
            <w:r>
              <w:rPr>
                <w:rFonts w:ascii="Arial" w:cs="Arial" w:eastAsia="Arial" w:hAnsi="Arial"/>
                <w:sz w:val="17"/>
                <w:szCs w:val="17"/>
                <w:color w:val="auto"/>
              </w:rPr>
              <w:t>6</w:t>
            </w:r>
          </w:p>
        </w:tc>
        <w:tc>
          <w:tcPr>
            <w:tcW w:w="5860" w:type="dxa"/>
            <w:vAlign w:val="bottom"/>
          </w:tcPr>
          <w:p>
            <w:pPr>
              <w:ind w:left="10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97"/>
              </w:rPr>
              <w:t>EACH</w:t>
            </w:r>
          </w:p>
        </w:tc>
        <w:tc>
          <w:tcPr>
            <w:tcW w:w="172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89"/>
              </w:rPr>
              <w:t>REPORTING</w:t>
            </w:r>
          </w:p>
        </w:tc>
        <w:tc>
          <w:tcPr>
            <w:tcW w:w="172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49,182</w:t>
            </w:r>
          </w:p>
        </w:tc>
        <w:tc>
          <w:tcPr>
            <w:tcW w:w="2100" w:type="dxa"/>
            <w:vAlign w:val="bottom"/>
            <w:tcBorders>
              <w:bottom w:val="single" w:sz="8" w:color="auto"/>
            </w:tcBorders>
          </w:tcPr>
          <w:p>
            <w:pPr>
              <w:spacing w:after="0"/>
              <w:rPr>
                <w:sz w:val="18"/>
                <w:szCs w:val="18"/>
                <w:color w:val="auto"/>
              </w:rPr>
            </w:pPr>
          </w:p>
        </w:tc>
      </w:tr>
      <w:tr>
        <w:trPr>
          <w:trHeight w:val="203"/>
        </w:trPr>
        <w:tc>
          <w:tcPr>
            <w:tcW w:w="1740" w:type="dxa"/>
            <w:vAlign w:val="bottom"/>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7"/>
                <w:szCs w:val="17"/>
                <w:color w:val="auto"/>
              </w:rPr>
              <w:t>7</w:t>
            </w:r>
          </w:p>
        </w:tc>
        <w:tc>
          <w:tcPr>
            <w:tcW w:w="586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2100" w:type="dxa"/>
            <w:vAlign w:val="bottom"/>
          </w:tcPr>
          <w:p>
            <w:pPr>
              <w:spacing w:after="0"/>
              <w:rPr>
                <w:sz w:val="17"/>
                <w:szCs w:val="17"/>
                <w:color w:val="auto"/>
              </w:rPr>
            </w:pPr>
          </w:p>
        </w:tc>
      </w:tr>
      <w:tr>
        <w:trPr>
          <w:trHeight w:val="385"/>
        </w:trPr>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spacing w:after="0"/>
              <w:rPr>
                <w:sz w:val="17"/>
                <w:szCs w:val="17"/>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7"/>
                <w:szCs w:val="17"/>
                <w:color w:val="auto"/>
              </w:rPr>
              <w:t>8</w:t>
            </w:r>
          </w:p>
        </w:tc>
        <w:tc>
          <w:tcPr>
            <w:tcW w:w="586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49,182</w:t>
            </w:r>
          </w:p>
        </w:tc>
        <w:tc>
          <w:tcPr>
            <w:tcW w:w="210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1720" w:type="dxa"/>
            <w:vAlign w:val="bottom"/>
          </w:tcPr>
          <w:p>
            <w:pPr>
              <w:ind w:left="120"/>
              <w:spacing w:after="0"/>
              <w:rPr>
                <w:sz w:val="20"/>
                <w:szCs w:val="20"/>
                <w:color w:val="auto"/>
              </w:rPr>
            </w:pPr>
            <w:r>
              <w:rPr>
                <w:rFonts w:ascii="Arial" w:cs="Arial" w:eastAsia="Arial" w:hAnsi="Arial"/>
                <w:sz w:val="17"/>
                <w:szCs w:val="17"/>
                <w:color w:val="auto"/>
                <w:w w:val="83"/>
              </w:rPr>
              <w:t>AGGREGATE AMOUNT</w:t>
            </w:r>
          </w:p>
        </w:tc>
        <w:tc>
          <w:tcPr>
            <w:tcW w:w="5860" w:type="dxa"/>
            <w:vAlign w:val="bottom"/>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49,182</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52"/>
        </w:trPr>
        <w:tc>
          <w:tcPr>
            <w:tcW w:w="174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7580" w:type="dxa"/>
            <w:vAlign w:val="bottom"/>
            <w:gridSpan w:val="2"/>
          </w:tcPr>
          <w:p>
            <w:pPr>
              <w:ind w:left="12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11</w:t>
            </w:r>
          </w:p>
        </w:tc>
        <w:tc>
          <w:tcPr>
            <w:tcW w:w="7580" w:type="dxa"/>
            <w:vAlign w:val="bottom"/>
            <w:gridSpan w:val="2"/>
          </w:tcPr>
          <w:p>
            <w:pPr>
              <w:ind w:left="12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Less than 1%</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7580" w:type="dxa"/>
            <w:vAlign w:val="bottom"/>
            <w:gridSpan w:val="2"/>
          </w:tcPr>
          <w:p>
            <w:pPr>
              <w:ind w:left="120"/>
              <w:spacing w:after="0"/>
              <w:rPr>
                <w:sz w:val="20"/>
                <w:szCs w:val="20"/>
                <w:color w:val="auto"/>
              </w:rPr>
            </w:pPr>
            <w:r>
              <w:rPr>
                <w:rFonts w:ascii="Arial" w:cs="Arial" w:eastAsia="Arial" w:hAnsi="Arial"/>
                <w:sz w:val="17"/>
                <w:szCs w:val="17"/>
                <w:color w:val="auto"/>
              </w:rPr>
              <w:t>TYPE OF REPORTING PERSON</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CO</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497"/>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2220"/>
              <w:spacing w:after="0"/>
              <w:rPr>
                <w:sz w:val="20"/>
                <w:szCs w:val="20"/>
                <w:color w:val="auto"/>
              </w:rPr>
            </w:pPr>
            <w:r>
              <w:rPr>
                <w:rFonts w:ascii="Arial" w:cs="Arial" w:eastAsia="Arial" w:hAnsi="Arial"/>
                <w:sz w:val="17"/>
                <w:szCs w:val="17"/>
                <w:color w:val="auto"/>
              </w:rPr>
              <w:t>5</w:t>
            </w:r>
          </w:p>
        </w:tc>
        <w:tc>
          <w:tcPr>
            <w:tcW w:w="2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-487045</wp:posOffset>
            </wp:positionV>
            <wp:extent cx="7620" cy="149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-487045</wp:posOffset>
            </wp:positionV>
            <wp:extent cx="7620" cy="149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1108075</wp:posOffset>
            </wp:positionH>
            <wp:positionV relativeFrom="paragraph">
              <wp:posOffset>-487045</wp:posOffset>
            </wp:positionV>
            <wp:extent cx="7620" cy="149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7233920</wp:posOffset>
            </wp:positionH>
            <wp:positionV relativeFrom="paragraph">
              <wp:posOffset>-487045</wp:posOffset>
            </wp:positionV>
            <wp:extent cx="7620" cy="149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7249795</wp:posOffset>
            </wp:positionH>
            <wp:positionV relativeFrom="paragraph">
              <wp:posOffset>-487045</wp:posOffset>
            </wp:positionV>
            <wp:extent cx="7620" cy="149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0" cy="149225"/>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212090</wp:posOffset>
            </wp:positionV>
            <wp:extent cx="3619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7580" w:type="dxa"/>
            <w:vAlign w:val="bottom"/>
            <w:gridSpan w:val="3"/>
          </w:tcPr>
          <w:p>
            <w:pPr>
              <w:ind w:left="120"/>
              <w:spacing w:after="0"/>
              <w:rPr>
                <w:sz w:val="20"/>
                <w:szCs w:val="20"/>
                <w:color w:val="auto"/>
              </w:rPr>
            </w:pPr>
            <w:r>
              <w:rPr>
                <w:rFonts w:ascii="Arial" w:cs="Arial" w:eastAsia="Arial" w:hAnsi="Arial"/>
                <w:sz w:val="17"/>
                <w:szCs w:val="17"/>
                <w:color w:val="auto"/>
              </w:rPr>
              <w:t>NAME OF REPORTING PERSON</w:t>
            </w:r>
          </w:p>
        </w:tc>
        <w:tc>
          <w:tcPr>
            <w:tcW w:w="2100" w:type="dxa"/>
            <w:vAlign w:val="bottom"/>
          </w:tcPr>
          <w:p>
            <w:pPr>
              <w:spacing w:after="0"/>
              <w:rPr>
                <w:sz w:val="18"/>
                <w:szCs w:val="18"/>
                <w:color w:val="auto"/>
              </w:rPr>
            </w:pPr>
          </w:p>
        </w:tc>
      </w:tr>
      <w:tr>
        <w:trPr>
          <w:trHeight w:val="397"/>
        </w:trPr>
        <w:tc>
          <w:tcPr>
            <w:tcW w:w="1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80"/>
              <w:spacing w:after="0"/>
              <w:rPr>
                <w:sz w:val="20"/>
                <w:szCs w:val="20"/>
                <w:color w:val="auto"/>
              </w:rPr>
            </w:pPr>
            <w:r>
              <w:rPr>
                <w:rFonts w:ascii="Arial" w:cs="Arial" w:eastAsia="Arial" w:hAnsi="Arial"/>
                <w:sz w:val="17"/>
                <w:szCs w:val="17"/>
                <w:color w:val="auto"/>
                <w:w w:val="87"/>
              </w:rPr>
              <w:t>BVF Partners L.P.</w:t>
            </w:r>
          </w:p>
        </w:tc>
        <w:tc>
          <w:tcPr>
            <w:tcW w:w="5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149"/>
        </w:trPr>
        <w:tc>
          <w:tcPr>
            <w:tcW w:w="1740" w:type="dxa"/>
            <w:vAlign w:val="bottom"/>
          </w:tcPr>
          <w:p>
            <w:pPr>
              <w:jc w:val="center"/>
              <w:spacing w:after="0" w:line="149" w:lineRule="exact"/>
              <w:rPr>
                <w:sz w:val="20"/>
                <w:szCs w:val="20"/>
                <w:color w:val="auto"/>
              </w:rPr>
            </w:pPr>
            <w:r>
              <w:rPr>
                <w:rFonts w:ascii="Arial" w:cs="Arial" w:eastAsia="Arial" w:hAnsi="Arial"/>
                <w:sz w:val="17"/>
                <w:szCs w:val="17"/>
                <w:color w:val="auto"/>
                <w:w w:val="84"/>
              </w:rPr>
              <w:t>2</w:t>
            </w:r>
          </w:p>
        </w:tc>
        <w:tc>
          <w:tcPr>
            <w:tcW w:w="7580" w:type="dxa"/>
            <w:vAlign w:val="bottom"/>
            <w:gridSpan w:val="3"/>
          </w:tcPr>
          <w:p>
            <w:pPr>
              <w:ind w:left="12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Pr>
          <w:p>
            <w:pPr>
              <w:ind w:left="96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780" w:type="dxa"/>
            <w:vAlign w:val="bottom"/>
          </w:tcPr>
          <w:p>
            <w:pPr>
              <w:spacing w:after="0"/>
              <w:rPr>
                <w:sz w:val="22"/>
                <w:szCs w:val="22"/>
                <w:color w:val="auto"/>
              </w:rPr>
            </w:pPr>
          </w:p>
        </w:tc>
        <w:tc>
          <w:tcPr>
            <w:tcW w:w="2100" w:type="dxa"/>
            <w:vAlign w:val="bottom"/>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800" w:type="dxa"/>
            <w:vAlign w:val="bottom"/>
            <w:gridSpan w:val="2"/>
          </w:tcPr>
          <w:p>
            <w:pPr>
              <w:ind w:left="120"/>
              <w:spacing w:after="0"/>
              <w:rPr>
                <w:sz w:val="20"/>
                <w:szCs w:val="20"/>
                <w:color w:val="auto"/>
              </w:rPr>
            </w:pPr>
            <w:r>
              <w:rPr>
                <w:rFonts w:ascii="Arial" w:cs="Arial" w:eastAsia="Arial" w:hAnsi="Arial"/>
                <w:sz w:val="17"/>
                <w:szCs w:val="17"/>
                <w:color w:val="auto"/>
              </w:rPr>
              <w:t>SEC USE ONLY</w:t>
            </w:r>
          </w:p>
        </w:tc>
        <w:tc>
          <w:tcPr>
            <w:tcW w:w="57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7580" w:type="dxa"/>
            <w:vAlign w:val="bottom"/>
            <w:gridSpan w:val="3"/>
          </w:tcPr>
          <w:p>
            <w:pPr>
              <w:ind w:left="12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80"/>
              <w:spacing w:after="0"/>
              <w:rPr>
                <w:sz w:val="20"/>
                <w:szCs w:val="20"/>
                <w:color w:val="auto"/>
              </w:rPr>
            </w:pPr>
            <w:r>
              <w:rPr>
                <w:rFonts w:ascii="Arial" w:cs="Arial" w:eastAsia="Arial" w:hAnsi="Arial"/>
                <w:sz w:val="17"/>
                <w:szCs w:val="17"/>
                <w:color w:val="auto"/>
              </w:rPr>
              <w:t>Delaware</w:t>
            </w:r>
          </w:p>
        </w:tc>
        <w:tc>
          <w:tcPr>
            <w:tcW w:w="5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179"/>
        </w:trPr>
        <w:tc>
          <w:tcPr>
            <w:tcW w:w="1740" w:type="dxa"/>
            <w:vAlign w:val="bottom"/>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7"/>
                <w:szCs w:val="17"/>
                <w:color w:val="auto"/>
                <w:w w:val="84"/>
              </w:rPr>
              <w:t>5</w:t>
            </w:r>
          </w:p>
        </w:tc>
        <w:tc>
          <w:tcPr>
            <w:tcW w:w="80" w:type="dxa"/>
            <w:vAlign w:val="bottom"/>
          </w:tcPr>
          <w:p>
            <w:pPr>
              <w:spacing w:after="0"/>
              <w:rPr>
                <w:sz w:val="15"/>
                <w:szCs w:val="15"/>
                <w:color w:val="auto"/>
              </w:rPr>
            </w:pPr>
          </w:p>
        </w:tc>
        <w:tc>
          <w:tcPr>
            <w:tcW w:w="5780" w:type="dxa"/>
            <w:vAlign w:val="bottom"/>
          </w:tcPr>
          <w:p>
            <w:pPr>
              <w:ind w:left="2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88"/>
              </w:rPr>
              <w:t>SHARES</w:t>
            </w: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98"/>
              </w:rPr>
              <w:t>BENEFICIALLY</w:t>
            </w:r>
          </w:p>
        </w:tc>
        <w:tc>
          <w:tcPr>
            <w:tcW w:w="17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tcBorders>
          </w:tcPr>
          <w:p>
            <w:pPr>
              <w:spacing w:after="0"/>
              <w:rPr>
                <w:sz w:val="18"/>
                <w:szCs w:val="18"/>
                <w:color w:val="auto"/>
              </w:rPr>
            </w:pPr>
          </w:p>
        </w:tc>
      </w:tr>
      <w:tr>
        <w:trPr>
          <w:trHeight w:val="180"/>
        </w:trPr>
        <w:tc>
          <w:tcPr>
            <w:tcW w:w="1740" w:type="dxa"/>
            <w:vAlign w:val="bottom"/>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84"/>
              </w:rPr>
              <w:t>6</w:t>
            </w:r>
          </w:p>
        </w:tc>
        <w:tc>
          <w:tcPr>
            <w:tcW w:w="80" w:type="dxa"/>
            <w:vAlign w:val="bottom"/>
          </w:tcPr>
          <w:p>
            <w:pPr>
              <w:spacing w:after="0"/>
              <w:rPr>
                <w:sz w:val="15"/>
                <w:szCs w:val="15"/>
                <w:color w:val="auto"/>
              </w:rPr>
            </w:pPr>
          </w:p>
        </w:tc>
        <w:tc>
          <w:tcPr>
            <w:tcW w:w="5780" w:type="dxa"/>
            <w:vAlign w:val="bottom"/>
          </w:tcPr>
          <w:p>
            <w:pPr>
              <w:ind w:left="2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97"/>
              </w:rPr>
              <w:t>EACH</w:t>
            </w: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89"/>
              </w:rPr>
              <w:t>REPORTING</w:t>
            </w:r>
          </w:p>
        </w:tc>
        <w:tc>
          <w:tcPr>
            <w:tcW w:w="17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594,397</w:t>
            </w:r>
          </w:p>
        </w:tc>
        <w:tc>
          <w:tcPr>
            <w:tcW w:w="2100" w:type="dxa"/>
            <w:vAlign w:val="bottom"/>
            <w:tcBorders>
              <w:bottom w:val="single" w:sz="8" w:color="auto"/>
            </w:tcBorders>
          </w:tcPr>
          <w:p>
            <w:pPr>
              <w:spacing w:after="0"/>
              <w:rPr>
                <w:sz w:val="18"/>
                <w:szCs w:val="18"/>
                <w:color w:val="auto"/>
              </w:rPr>
            </w:pPr>
          </w:p>
        </w:tc>
      </w:tr>
      <w:tr>
        <w:trPr>
          <w:trHeight w:val="203"/>
        </w:trPr>
        <w:tc>
          <w:tcPr>
            <w:tcW w:w="1740" w:type="dxa"/>
            <w:vAlign w:val="bottom"/>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7</w:t>
            </w:r>
          </w:p>
        </w:tc>
        <w:tc>
          <w:tcPr>
            <w:tcW w:w="80" w:type="dxa"/>
            <w:vAlign w:val="bottom"/>
          </w:tcPr>
          <w:p>
            <w:pPr>
              <w:spacing w:after="0"/>
              <w:rPr>
                <w:sz w:val="17"/>
                <w:szCs w:val="17"/>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SOLE DISPOSITIVE POWER</w:t>
            </w:r>
          </w:p>
        </w:tc>
        <w:tc>
          <w:tcPr>
            <w:tcW w:w="2100" w:type="dxa"/>
            <w:vAlign w:val="bottom"/>
          </w:tcPr>
          <w:p>
            <w:pPr>
              <w:spacing w:after="0"/>
              <w:rPr>
                <w:sz w:val="17"/>
                <w:szCs w:val="17"/>
                <w:color w:val="auto"/>
              </w:rPr>
            </w:pPr>
          </w:p>
        </w:tc>
      </w:tr>
      <w:tr>
        <w:trPr>
          <w:trHeight w:val="385"/>
        </w:trPr>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spacing w:after="0"/>
              <w:rPr>
                <w:sz w:val="17"/>
                <w:szCs w:val="17"/>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8</w:t>
            </w:r>
          </w:p>
        </w:tc>
        <w:tc>
          <w:tcPr>
            <w:tcW w:w="80" w:type="dxa"/>
            <w:vAlign w:val="bottom"/>
          </w:tcPr>
          <w:p>
            <w:pPr>
              <w:spacing w:after="0"/>
              <w:rPr>
                <w:sz w:val="17"/>
                <w:szCs w:val="17"/>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SHARED DISPOSITIVE POWER</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594,397</w:t>
            </w:r>
          </w:p>
        </w:tc>
        <w:tc>
          <w:tcPr>
            <w:tcW w:w="210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1720" w:type="dxa"/>
            <w:vAlign w:val="bottom"/>
          </w:tcPr>
          <w:p>
            <w:pPr>
              <w:ind w:left="120"/>
              <w:spacing w:after="0"/>
              <w:rPr>
                <w:sz w:val="20"/>
                <w:szCs w:val="20"/>
                <w:color w:val="auto"/>
              </w:rPr>
            </w:pPr>
            <w:r>
              <w:rPr>
                <w:rFonts w:ascii="Arial" w:cs="Arial" w:eastAsia="Arial" w:hAnsi="Arial"/>
                <w:sz w:val="17"/>
                <w:szCs w:val="17"/>
                <w:color w:val="auto"/>
                <w:w w:val="83"/>
              </w:rPr>
              <w:t>AGGREGATE AMOUNT</w:t>
            </w: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594,397</w:t>
            </w:r>
          </w:p>
        </w:tc>
        <w:tc>
          <w:tcPr>
            <w:tcW w:w="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52"/>
        </w:trPr>
        <w:tc>
          <w:tcPr>
            <w:tcW w:w="174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7580" w:type="dxa"/>
            <w:vAlign w:val="bottom"/>
            <w:gridSpan w:val="3"/>
          </w:tcPr>
          <w:p>
            <w:pPr>
              <w:ind w:left="12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3"/>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11</w:t>
            </w:r>
          </w:p>
        </w:tc>
        <w:tc>
          <w:tcPr>
            <w:tcW w:w="7580" w:type="dxa"/>
            <w:vAlign w:val="bottom"/>
            <w:gridSpan w:val="3"/>
          </w:tcPr>
          <w:p>
            <w:pPr>
              <w:ind w:left="12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-3992880</wp:posOffset>
            </wp:positionV>
            <wp:extent cx="3619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155"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2.5%</w:t>
      </w:r>
    </w:p>
    <w:p>
      <w:pPr>
        <w:spacing w:after="0" w:line="15" w:lineRule="exact"/>
        <w:rPr>
          <w:sz w:val="20"/>
          <w:szCs w:val="20"/>
          <w:color w:val="auto"/>
        </w:rPr>
      </w:pPr>
    </w:p>
    <w:p>
      <w:pPr>
        <w:ind w:left="2320" w:right="7260" w:hanging="1531"/>
        <w:spacing w:after="0" w:line="503" w:lineRule="auto"/>
        <w:tabs>
          <w:tab w:leader="none" w:pos="1866"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-519430</wp:posOffset>
            </wp:positionV>
            <wp:extent cx="3619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9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wp:posOffset>
            </wp:positionV>
            <wp:extent cx="7620" cy="149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-260350</wp:posOffset>
            </wp:positionV>
            <wp:extent cx="7620" cy="149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1108075</wp:posOffset>
            </wp:positionH>
            <wp:positionV relativeFrom="paragraph">
              <wp:posOffset>-260350</wp:posOffset>
            </wp:positionV>
            <wp:extent cx="7620" cy="149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6895465</wp:posOffset>
            </wp:positionH>
            <wp:positionV relativeFrom="paragraph">
              <wp:posOffset>-260350</wp:posOffset>
            </wp:positionV>
            <wp:extent cx="361950" cy="149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950" cy="14922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580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212090</wp:posOffset>
            </wp:positionV>
            <wp:extent cx="3619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339" w:lineRule="exact"/>
        <w:rPr>
          <w:sz w:val="20"/>
          <w:szCs w:val="20"/>
          <w:color w:val="auto"/>
        </w:rPr>
      </w:pPr>
    </w:p>
    <w:p>
      <w:pPr>
        <w:ind w:left="1860" w:hanging="1029"/>
        <w:spacing w:after="0"/>
        <w:tabs>
          <w:tab w:leader="none" w:pos="1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-123190</wp:posOffset>
            </wp:positionV>
            <wp:extent cx="3619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Borders>
              <w:bottom w:val="single" w:sz="8" w:color="auto"/>
            </w:tcBorders>
          </w:tcPr>
          <w:p>
            <w:pPr>
              <w:spacing w:after="0"/>
              <w:rPr>
                <w:sz w:val="18"/>
                <w:szCs w:val="18"/>
                <w:color w:val="auto"/>
              </w:rPr>
            </w:pPr>
          </w:p>
        </w:tc>
        <w:tc>
          <w:tcPr>
            <w:tcW w:w="69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BVF Inc.</w:t>
            </w:r>
          </w:p>
        </w:tc>
        <w:tc>
          <w:tcPr>
            <w:tcW w:w="3060" w:type="dxa"/>
            <w:vAlign w:val="bottom"/>
            <w:tcBorders>
              <w:bottom w:val="single" w:sz="8" w:color="auto"/>
            </w:tcBorders>
          </w:tcPr>
          <w:p>
            <w:pPr>
              <w:spacing w:after="0"/>
              <w:rPr>
                <w:sz w:val="18"/>
                <w:szCs w:val="18"/>
                <w:color w:val="auto"/>
              </w:rPr>
            </w:pPr>
          </w:p>
        </w:tc>
      </w:tr>
      <w:tr>
        <w:trPr>
          <w:trHeight w:val="149"/>
        </w:trPr>
        <w:tc>
          <w:tcPr>
            <w:tcW w:w="1380" w:type="dxa"/>
            <w:vAlign w:val="bottom"/>
          </w:tcPr>
          <w:p>
            <w:pPr>
              <w:jc w:val="right"/>
              <w:ind w:right="377"/>
              <w:spacing w:after="0" w:line="149" w:lineRule="exact"/>
              <w:rPr>
                <w:sz w:val="20"/>
                <w:szCs w:val="20"/>
                <w:color w:val="auto"/>
              </w:rPr>
            </w:pPr>
            <w:r>
              <w:rPr>
                <w:rFonts w:ascii="Arial" w:cs="Arial" w:eastAsia="Arial" w:hAnsi="Arial"/>
                <w:sz w:val="17"/>
                <w:szCs w:val="17"/>
                <w:color w:val="auto"/>
              </w:rPr>
              <w:t>2</w:t>
            </w:r>
          </w:p>
        </w:tc>
        <w:tc>
          <w:tcPr>
            <w:tcW w:w="6980" w:type="dxa"/>
            <w:vAlign w:val="bottom"/>
          </w:tcPr>
          <w:p>
            <w:pPr>
              <w:ind w:left="48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3060" w:type="dxa"/>
            <w:vAlign w:val="bottom"/>
          </w:tcPr>
          <w:p>
            <w:pPr>
              <w:ind w:left="192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38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3060" w:type="dxa"/>
            <w:vAlign w:val="bottom"/>
          </w:tcPr>
          <w:p>
            <w:pPr>
              <w:ind w:left="192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bl>
    <w:p>
      <w:pPr>
        <w:spacing w:after="0" w:line="180" w:lineRule="exact"/>
        <w:rPr>
          <w:sz w:val="20"/>
          <w:szCs w:val="20"/>
          <w:color w:val="auto"/>
        </w:rPr>
      </w:pPr>
    </w:p>
    <w:p>
      <w:pPr>
        <w:ind w:left="1860" w:hanging="1029"/>
        <w:spacing w:after="0"/>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-123190</wp:posOffset>
            </wp:positionV>
            <wp:extent cx="3619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391" w:lineRule="exact"/>
        <w:rPr>
          <w:sz w:val="20"/>
          <w:szCs w:val="20"/>
          <w:color w:val="auto"/>
        </w:rPr>
      </w:pPr>
    </w:p>
    <w:p>
      <w:pPr>
        <w:ind w:left="1860" w:hanging="1029"/>
        <w:spacing w:after="0"/>
        <w:tabs>
          <w:tab w:leader="none" w:pos="1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-123190</wp:posOffset>
            </wp:positionV>
            <wp:extent cx="36195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Delaware</w:t>
            </w:r>
          </w:p>
        </w:tc>
        <w:tc>
          <w:tcPr>
            <w:tcW w:w="59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r>
      <w:tr>
        <w:trPr>
          <w:trHeight w:val="179"/>
        </w:trPr>
        <w:tc>
          <w:tcPr>
            <w:tcW w:w="1740" w:type="dxa"/>
            <w:vAlign w:val="bottom"/>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7"/>
                <w:szCs w:val="17"/>
                <w:color w:val="auto"/>
                <w:w w:val="84"/>
              </w:rPr>
              <w:t>5</w:t>
            </w:r>
          </w:p>
        </w:tc>
        <w:tc>
          <w:tcPr>
            <w:tcW w:w="5940" w:type="dxa"/>
            <w:vAlign w:val="bottom"/>
          </w:tcPr>
          <w:p>
            <w:pPr>
              <w:ind w:left="100"/>
              <w:spacing w:after="0" w:line="179" w:lineRule="exact"/>
              <w:rPr>
                <w:sz w:val="20"/>
                <w:szCs w:val="20"/>
                <w:color w:val="auto"/>
              </w:rPr>
            </w:pPr>
            <w:r>
              <w:rPr>
                <w:rFonts w:ascii="Arial" w:cs="Arial" w:eastAsia="Arial" w:hAnsi="Arial"/>
                <w:sz w:val="17"/>
                <w:szCs w:val="17"/>
                <w:color w:val="auto"/>
              </w:rPr>
              <w:t>SOLE VOTING POWER</w:t>
            </w:r>
          </w:p>
        </w:tc>
        <w:tc>
          <w:tcPr>
            <w:tcW w:w="202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88"/>
              </w:rPr>
              <w:t>SHARES</w:t>
            </w:r>
          </w:p>
        </w:tc>
        <w:tc>
          <w:tcPr>
            <w:tcW w:w="1720" w:type="dxa"/>
            <w:vAlign w:val="bottom"/>
            <w:tcBorders>
              <w:right w:val="single" w:sz="8" w:color="auto"/>
            </w:tcBorders>
          </w:tcPr>
          <w:p>
            <w:pPr>
              <w:spacing w:after="0"/>
              <w:rPr>
                <w:sz w:val="17"/>
                <w:szCs w:val="17"/>
                <w:color w:val="auto"/>
              </w:rPr>
            </w:pPr>
          </w:p>
        </w:tc>
        <w:tc>
          <w:tcPr>
            <w:tcW w:w="59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98"/>
              </w:rPr>
              <w:t>BENEFICIALLY</w:t>
            </w:r>
          </w:p>
        </w:tc>
        <w:tc>
          <w:tcPr>
            <w:tcW w:w="1720" w:type="dxa"/>
            <w:vAlign w:val="bottom"/>
            <w:tcBorders>
              <w:bottom w:val="single" w:sz="8" w:color="auto"/>
              <w:right w:val="single" w:sz="8" w:color="auto"/>
            </w:tcBorders>
          </w:tcPr>
          <w:p>
            <w:pPr>
              <w:spacing w:after="0"/>
              <w:rPr>
                <w:sz w:val="18"/>
                <w:szCs w:val="18"/>
                <w:color w:val="auto"/>
              </w:rPr>
            </w:pPr>
          </w:p>
        </w:tc>
        <w:tc>
          <w:tcPr>
            <w:tcW w:w="59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020" w:type="dxa"/>
            <w:vAlign w:val="bottom"/>
            <w:tcBorders>
              <w:bottom w:val="single" w:sz="8" w:color="auto"/>
            </w:tcBorders>
          </w:tcPr>
          <w:p>
            <w:pPr>
              <w:spacing w:after="0"/>
              <w:rPr>
                <w:sz w:val="18"/>
                <w:szCs w:val="18"/>
                <w:color w:val="auto"/>
              </w:rPr>
            </w:pPr>
          </w:p>
        </w:tc>
      </w:tr>
      <w:tr>
        <w:trPr>
          <w:trHeight w:val="180"/>
        </w:trPr>
        <w:tc>
          <w:tcPr>
            <w:tcW w:w="1740" w:type="dxa"/>
            <w:vAlign w:val="bottom"/>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84"/>
              </w:rPr>
              <w:t>6</w:t>
            </w:r>
          </w:p>
        </w:tc>
        <w:tc>
          <w:tcPr>
            <w:tcW w:w="5940" w:type="dxa"/>
            <w:vAlign w:val="bottom"/>
          </w:tcPr>
          <w:p>
            <w:pPr>
              <w:ind w:left="100"/>
              <w:spacing w:after="0" w:line="180" w:lineRule="exact"/>
              <w:rPr>
                <w:sz w:val="20"/>
                <w:szCs w:val="20"/>
                <w:color w:val="auto"/>
              </w:rPr>
            </w:pPr>
            <w:r>
              <w:rPr>
                <w:rFonts w:ascii="Arial" w:cs="Arial" w:eastAsia="Arial" w:hAnsi="Arial"/>
                <w:sz w:val="17"/>
                <w:szCs w:val="17"/>
                <w:color w:val="auto"/>
              </w:rPr>
              <w:t>SHARED VOTING POWER</w:t>
            </w:r>
          </w:p>
        </w:tc>
        <w:tc>
          <w:tcPr>
            <w:tcW w:w="202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97"/>
              </w:rPr>
              <w:t>EACH</w:t>
            </w:r>
          </w:p>
        </w:tc>
        <w:tc>
          <w:tcPr>
            <w:tcW w:w="1720" w:type="dxa"/>
            <w:vAlign w:val="bottom"/>
            <w:tcBorders>
              <w:right w:val="single" w:sz="8" w:color="auto"/>
            </w:tcBorders>
          </w:tcPr>
          <w:p>
            <w:pPr>
              <w:spacing w:after="0"/>
              <w:rPr>
                <w:sz w:val="17"/>
                <w:szCs w:val="17"/>
                <w:color w:val="auto"/>
              </w:rPr>
            </w:pPr>
          </w:p>
        </w:tc>
        <w:tc>
          <w:tcPr>
            <w:tcW w:w="59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89"/>
              </w:rPr>
              <w:t>REPORTING</w:t>
            </w:r>
          </w:p>
        </w:tc>
        <w:tc>
          <w:tcPr>
            <w:tcW w:w="1720" w:type="dxa"/>
            <w:vAlign w:val="bottom"/>
            <w:tcBorders>
              <w:bottom w:val="single" w:sz="8" w:color="auto"/>
              <w:right w:val="single" w:sz="8" w:color="auto"/>
            </w:tcBorders>
          </w:tcPr>
          <w:p>
            <w:pPr>
              <w:spacing w:after="0"/>
              <w:rPr>
                <w:sz w:val="18"/>
                <w:szCs w:val="18"/>
                <w:color w:val="auto"/>
              </w:rPr>
            </w:pPr>
          </w:p>
        </w:tc>
        <w:tc>
          <w:tcPr>
            <w:tcW w:w="59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594,397</w:t>
            </w:r>
          </w:p>
        </w:tc>
        <w:tc>
          <w:tcPr>
            <w:tcW w:w="2020" w:type="dxa"/>
            <w:vAlign w:val="bottom"/>
            <w:tcBorders>
              <w:bottom w:val="single" w:sz="8" w:color="auto"/>
            </w:tcBorders>
          </w:tcPr>
          <w:p>
            <w:pPr>
              <w:spacing w:after="0"/>
              <w:rPr>
                <w:sz w:val="18"/>
                <w:szCs w:val="18"/>
                <w:color w:val="auto"/>
              </w:rPr>
            </w:pPr>
          </w:p>
        </w:tc>
      </w:tr>
      <w:tr>
        <w:trPr>
          <w:trHeight w:val="203"/>
        </w:trPr>
        <w:tc>
          <w:tcPr>
            <w:tcW w:w="1740" w:type="dxa"/>
            <w:vAlign w:val="bottom"/>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7</w:t>
            </w:r>
          </w:p>
        </w:tc>
        <w:tc>
          <w:tcPr>
            <w:tcW w:w="594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2020" w:type="dxa"/>
            <w:vAlign w:val="bottom"/>
          </w:tcPr>
          <w:p>
            <w:pPr>
              <w:spacing w:after="0"/>
              <w:rPr>
                <w:sz w:val="17"/>
                <w:szCs w:val="17"/>
                <w:color w:val="auto"/>
              </w:rPr>
            </w:pPr>
          </w:p>
        </w:tc>
      </w:tr>
      <w:tr>
        <w:trPr>
          <w:trHeight w:val="385"/>
        </w:trPr>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02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spacing w:after="0"/>
              <w:rPr>
                <w:sz w:val="17"/>
                <w:szCs w:val="17"/>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8</w:t>
            </w:r>
          </w:p>
        </w:tc>
        <w:tc>
          <w:tcPr>
            <w:tcW w:w="594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202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594,397</w:t>
            </w:r>
          </w:p>
        </w:tc>
        <w:tc>
          <w:tcPr>
            <w:tcW w:w="202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1720" w:type="dxa"/>
            <w:vAlign w:val="bottom"/>
          </w:tcPr>
          <w:p>
            <w:pPr>
              <w:ind w:left="120"/>
              <w:spacing w:after="0"/>
              <w:rPr>
                <w:sz w:val="20"/>
                <w:szCs w:val="20"/>
                <w:color w:val="auto"/>
              </w:rPr>
            </w:pPr>
            <w:r>
              <w:rPr>
                <w:rFonts w:ascii="Arial" w:cs="Arial" w:eastAsia="Arial" w:hAnsi="Arial"/>
                <w:sz w:val="17"/>
                <w:szCs w:val="17"/>
                <w:color w:val="auto"/>
                <w:w w:val="83"/>
              </w:rPr>
              <w:t>AGGREGATE AMOUNT</w:t>
            </w:r>
          </w:p>
        </w:tc>
        <w:tc>
          <w:tcPr>
            <w:tcW w:w="5940" w:type="dxa"/>
            <w:vAlign w:val="bottom"/>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02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594,397</w:t>
            </w:r>
          </w:p>
        </w:tc>
        <w:tc>
          <w:tcPr>
            <w:tcW w:w="5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52"/>
        </w:trPr>
        <w:tc>
          <w:tcPr>
            <w:tcW w:w="174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020" w:type="dxa"/>
            <w:vAlign w:val="bottom"/>
          </w:tcPr>
          <w:p>
            <w:pPr>
              <w:ind w:left="106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gridSpan w:val="2"/>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11</w:t>
            </w: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PERCENT OF CLASS REPRESENTED BY AMOUNT IN ROW (9)</w:t>
            </w:r>
          </w:p>
        </w:tc>
        <w:tc>
          <w:tcPr>
            <w:tcW w:w="2020" w:type="dxa"/>
            <w:vAlign w:val="bottom"/>
          </w:tcPr>
          <w:p>
            <w:pPr>
              <w:spacing w:after="0"/>
              <w:rPr>
                <w:sz w:val="17"/>
                <w:szCs w:val="17"/>
                <w:color w:val="auto"/>
              </w:rPr>
            </w:pPr>
          </w:p>
        </w:tc>
      </w:tr>
    </w:tbl>
    <w:p>
      <w:pPr>
        <w:spacing w:after="0" w:line="175"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2.5%</w:t>
      </w:r>
    </w:p>
    <w:p>
      <w:pPr>
        <w:spacing w:after="0" w:line="15" w:lineRule="exact"/>
        <w:rPr>
          <w:sz w:val="20"/>
          <w:szCs w:val="20"/>
          <w:color w:val="auto"/>
        </w:rPr>
      </w:pPr>
    </w:p>
    <w:p>
      <w:pPr>
        <w:ind w:left="2320" w:right="7260" w:hanging="1531"/>
        <w:spacing w:after="0" w:line="503" w:lineRule="auto"/>
        <w:tabs>
          <w:tab w:leader="none" w:pos="186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-519430</wp:posOffset>
            </wp:positionV>
            <wp:extent cx="3619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9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wp:posOffset>
            </wp:positionV>
            <wp:extent cx="7620" cy="149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-260350</wp:posOffset>
            </wp:positionV>
            <wp:extent cx="7620" cy="149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1108075</wp:posOffset>
            </wp:positionH>
            <wp:positionV relativeFrom="paragraph">
              <wp:posOffset>-260350</wp:posOffset>
            </wp:positionV>
            <wp:extent cx="7620" cy="149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6895465</wp:posOffset>
            </wp:positionH>
            <wp:positionV relativeFrom="paragraph">
              <wp:posOffset>-260350</wp:posOffset>
            </wp:positionV>
            <wp:extent cx="361950" cy="149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950" cy="14922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580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CUSIP No. 032724106</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7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580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right w:val="single" w:sz="8" w:color="auto"/>
            </w:tcBorders>
          </w:tcPr>
          <w:p>
            <w:pPr>
              <w:spacing w:after="0"/>
              <w:rPr>
                <w:sz w:val="3"/>
                <w:szCs w:val="3"/>
                <w:color w:val="auto"/>
              </w:rPr>
            </w:pPr>
          </w:p>
        </w:tc>
      </w:tr>
      <w:tr>
        <w:trPr>
          <w:trHeight w:val="186"/>
        </w:trPr>
        <w:tc>
          <w:tcPr>
            <w:tcW w:w="1760" w:type="dxa"/>
            <w:vAlign w:val="bottom"/>
            <w:tcBorders>
              <w:left w:val="single" w:sz="8" w:color="auto"/>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1</w:t>
            </w:r>
          </w:p>
        </w:tc>
        <w:tc>
          <w:tcPr>
            <w:tcW w:w="7560" w:type="dxa"/>
            <w:vAlign w:val="bottom"/>
            <w:gridSpan w:val="3"/>
          </w:tcPr>
          <w:p>
            <w:pPr>
              <w:ind w:left="100"/>
              <w:spacing w:after="0" w:line="186" w:lineRule="exact"/>
              <w:rPr>
                <w:sz w:val="20"/>
                <w:szCs w:val="20"/>
                <w:color w:val="auto"/>
              </w:rPr>
            </w:pPr>
            <w:r>
              <w:rPr>
                <w:rFonts w:ascii="Arial" w:cs="Arial" w:eastAsia="Arial" w:hAnsi="Arial"/>
                <w:sz w:val="17"/>
                <w:szCs w:val="17"/>
                <w:color w:val="auto"/>
              </w:rPr>
              <w:t>NAME OF REPORTING PERSON</w:t>
            </w:r>
          </w:p>
        </w:tc>
        <w:tc>
          <w:tcPr>
            <w:tcW w:w="2100" w:type="dxa"/>
            <w:vAlign w:val="bottom"/>
            <w:tcBorders>
              <w:right w:val="single" w:sz="8" w:color="auto"/>
            </w:tcBorders>
          </w:tcPr>
          <w:p>
            <w:pPr>
              <w:spacing w:after="0"/>
              <w:rPr>
                <w:sz w:val="16"/>
                <w:szCs w:val="16"/>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w w:val="93"/>
              </w:rPr>
              <w:t>Mark N. Lampert</w:t>
            </w:r>
          </w:p>
        </w:tc>
        <w:tc>
          <w:tcPr>
            <w:tcW w:w="58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149"/>
        </w:trPr>
        <w:tc>
          <w:tcPr>
            <w:tcW w:w="17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84"/>
              </w:rPr>
              <w:t>2</w:t>
            </w:r>
          </w:p>
        </w:tc>
        <w:tc>
          <w:tcPr>
            <w:tcW w:w="7560" w:type="dxa"/>
            <w:vAlign w:val="bottom"/>
            <w:gridSpan w:val="3"/>
          </w:tcPr>
          <w:p>
            <w:pPr>
              <w:ind w:left="10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Borders>
              <w:right w:val="single" w:sz="8" w:color="auto"/>
            </w:tcBorders>
          </w:tcPr>
          <w:p>
            <w:pPr>
              <w:ind w:left="96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60" w:type="dxa"/>
            <w:vAlign w:val="bottom"/>
            <w:tcBorders>
              <w:left w:val="single" w:sz="8" w:color="auto"/>
              <w:right w:val="single" w:sz="8" w:color="auto"/>
            </w:tcBorders>
          </w:tcPr>
          <w:p>
            <w:pPr>
              <w:spacing w:after="0"/>
              <w:rPr>
                <w:sz w:val="22"/>
                <w:szCs w:val="22"/>
                <w:color w:val="auto"/>
              </w:rPr>
            </w:pPr>
          </w:p>
        </w:tc>
        <w:tc>
          <w:tcPr>
            <w:tcW w:w="1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2100" w:type="dxa"/>
            <w:vAlign w:val="bottom"/>
            <w:tcBorders>
              <w:right w:val="single" w:sz="8" w:color="auto"/>
            </w:tcBorders>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6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spacing w:after="0"/>
              <w:rPr>
                <w:sz w:val="15"/>
                <w:szCs w:val="15"/>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w:t>
            </w:r>
          </w:p>
        </w:tc>
        <w:tc>
          <w:tcPr>
            <w:tcW w:w="1760" w:type="dxa"/>
            <w:vAlign w:val="bottom"/>
            <w:gridSpan w:val="2"/>
          </w:tcPr>
          <w:p>
            <w:pPr>
              <w:ind w:left="100"/>
              <w:spacing w:after="0"/>
              <w:rPr>
                <w:sz w:val="20"/>
                <w:szCs w:val="20"/>
                <w:color w:val="auto"/>
              </w:rPr>
            </w:pPr>
            <w:r>
              <w:rPr>
                <w:rFonts w:ascii="Arial" w:cs="Arial" w:eastAsia="Arial" w:hAnsi="Arial"/>
                <w:sz w:val="17"/>
                <w:szCs w:val="17"/>
                <w:color w:val="auto"/>
              </w:rPr>
              <w:t>SEC USE ONLY</w:t>
            </w:r>
          </w:p>
        </w:tc>
        <w:tc>
          <w:tcPr>
            <w:tcW w:w="58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4</w:t>
            </w:r>
          </w:p>
        </w:tc>
        <w:tc>
          <w:tcPr>
            <w:tcW w:w="7560" w:type="dxa"/>
            <w:vAlign w:val="bottom"/>
            <w:gridSpan w:val="3"/>
          </w:tcPr>
          <w:p>
            <w:pPr>
              <w:ind w:left="10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United States</w:t>
            </w:r>
          </w:p>
        </w:tc>
        <w:tc>
          <w:tcPr>
            <w:tcW w:w="58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179"/>
        </w:trPr>
        <w:tc>
          <w:tcPr>
            <w:tcW w:w="1760" w:type="dxa"/>
            <w:vAlign w:val="bottom"/>
            <w:tcBorders>
              <w:left w:val="single" w:sz="8" w:color="auto"/>
              <w:right w:val="single" w:sz="8" w:color="auto"/>
            </w:tcBorders>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00" w:type="dxa"/>
            <w:vAlign w:val="bottom"/>
            <w:tcBorders>
              <w:right w:val="single" w:sz="8" w:color="auto"/>
            </w:tcBorders>
          </w:tcPr>
          <w:p>
            <w:pPr>
              <w:ind w:left="800"/>
              <w:spacing w:after="0" w:line="179" w:lineRule="exact"/>
              <w:rPr>
                <w:sz w:val="20"/>
                <w:szCs w:val="20"/>
                <w:color w:val="auto"/>
              </w:rPr>
            </w:pPr>
            <w:r>
              <w:rPr>
                <w:rFonts w:ascii="Arial" w:cs="Arial" w:eastAsia="Arial" w:hAnsi="Arial"/>
                <w:sz w:val="17"/>
                <w:szCs w:val="17"/>
                <w:color w:val="auto"/>
              </w:rPr>
              <w:t>5</w:t>
            </w:r>
          </w:p>
        </w:tc>
        <w:tc>
          <w:tcPr>
            <w:tcW w:w="60" w:type="dxa"/>
            <w:vAlign w:val="bottom"/>
          </w:tcPr>
          <w:p>
            <w:pPr>
              <w:spacing w:after="0"/>
              <w:rPr>
                <w:sz w:val="15"/>
                <w:szCs w:val="15"/>
                <w:color w:val="auto"/>
              </w:rPr>
            </w:pPr>
          </w:p>
        </w:tc>
        <w:tc>
          <w:tcPr>
            <w:tcW w:w="5800" w:type="dxa"/>
            <w:vAlign w:val="bottom"/>
          </w:tcPr>
          <w:p>
            <w:pPr>
              <w:ind w:left="4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SHARES</w:t>
            </w:r>
          </w:p>
        </w:tc>
        <w:tc>
          <w:tcPr>
            <w:tcW w:w="17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BENEFICIALLY</w:t>
            </w:r>
          </w:p>
        </w:tc>
        <w:tc>
          <w:tcPr>
            <w:tcW w:w="17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18"/>
                <w:szCs w:val="18"/>
                <w:color w:val="auto"/>
              </w:rPr>
            </w:pPr>
          </w:p>
        </w:tc>
      </w:tr>
      <w:tr>
        <w:trPr>
          <w:trHeight w:val="180"/>
        </w:trPr>
        <w:tc>
          <w:tcPr>
            <w:tcW w:w="176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00" w:type="dxa"/>
            <w:vAlign w:val="bottom"/>
            <w:tcBorders>
              <w:right w:val="single" w:sz="8" w:color="auto"/>
            </w:tcBorders>
          </w:tcPr>
          <w:p>
            <w:pPr>
              <w:ind w:left="800"/>
              <w:spacing w:after="0" w:line="180" w:lineRule="exact"/>
              <w:rPr>
                <w:sz w:val="20"/>
                <w:szCs w:val="20"/>
                <w:color w:val="auto"/>
              </w:rPr>
            </w:pPr>
            <w:r>
              <w:rPr>
                <w:rFonts w:ascii="Arial" w:cs="Arial" w:eastAsia="Arial" w:hAnsi="Arial"/>
                <w:sz w:val="17"/>
                <w:szCs w:val="17"/>
                <w:color w:val="auto"/>
              </w:rPr>
              <w:t>6</w:t>
            </w:r>
          </w:p>
        </w:tc>
        <w:tc>
          <w:tcPr>
            <w:tcW w:w="60" w:type="dxa"/>
            <w:vAlign w:val="bottom"/>
          </w:tcPr>
          <w:p>
            <w:pPr>
              <w:spacing w:after="0"/>
              <w:rPr>
                <w:sz w:val="15"/>
                <w:szCs w:val="15"/>
                <w:color w:val="auto"/>
              </w:rPr>
            </w:pPr>
          </w:p>
        </w:tc>
        <w:tc>
          <w:tcPr>
            <w:tcW w:w="5800" w:type="dxa"/>
            <w:vAlign w:val="bottom"/>
          </w:tcPr>
          <w:p>
            <w:pPr>
              <w:ind w:left="4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EACH</w:t>
            </w:r>
          </w:p>
        </w:tc>
        <w:tc>
          <w:tcPr>
            <w:tcW w:w="17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REPORTING</w:t>
            </w:r>
          </w:p>
        </w:tc>
        <w:tc>
          <w:tcPr>
            <w:tcW w:w="17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594,397</w:t>
            </w:r>
          </w:p>
        </w:tc>
        <w:tc>
          <w:tcPr>
            <w:tcW w:w="2100" w:type="dxa"/>
            <w:vAlign w:val="bottom"/>
            <w:tcBorders>
              <w:bottom w:val="single" w:sz="8" w:color="auto"/>
              <w:right w:val="single" w:sz="8" w:color="auto"/>
            </w:tcBorders>
          </w:tcPr>
          <w:p>
            <w:pPr>
              <w:spacing w:after="0"/>
              <w:rPr>
                <w:sz w:val="18"/>
                <w:szCs w:val="18"/>
                <w:color w:val="auto"/>
              </w:rPr>
            </w:pPr>
          </w:p>
        </w:tc>
      </w:tr>
      <w:tr>
        <w:trPr>
          <w:trHeight w:val="203"/>
        </w:trPr>
        <w:tc>
          <w:tcPr>
            <w:tcW w:w="17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7"/>
                <w:szCs w:val="17"/>
                <w:color w:val="auto"/>
              </w:rPr>
            </w:pPr>
          </w:p>
        </w:tc>
        <w:tc>
          <w:tcPr>
            <w:tcW w:w="5800" w:type="dxa"/>
            <w:vAlign w:val="bottom"/>
          </w:tcPr>
          <w:p>
            <w:pPr>
              <w:ind w:left="40"/>
              <w:spacing w:after="0"/>
              <w:rPr>
                <w:sz w:val="20"/>
                <w:szCs w:val="20"/>
                <w:color w:val="auto"/>
              </w:rPr>
            </w:pPr>
            <w:r>
              <w:rPr>
                <w:rFonts w:ascii="Arial" w:cs="Arial" w:eastAsia="Arial" w:hAnsi="Arial"/>
                <w:sz w:val="17"/>
                <w:szCs w:val="17"/>
                <w:color w:val="auto"/>
              </w:rPr>
              <w:t>SOLE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7"/>
                <w:szCs w:val="17"/>
                <w:color w:val="auto"/>
              </w:rPr>
            </w:pPr>
          </w:p>
        </w:tc>
        <w:tc>
          <w:tcPr>
            <w:tcW w:w="5800" w:type="dxa"/>
            <w:vAlign w:val="bottom"/>
          </w:tcPr>
          <w:p>
            <w:pPr>
              <w:ind w:left="40"/>
              <w:spacing w:after="0"/>
              <w:rPr>
                <w:sz w:val="20"/>
                <w:szCs w:val="20"/>
                <w:color w:val="auto"/>
              </w:rPr>
            </w:pPr>
            <w:r>
              <w:rPr>
                <w:rFonts w:ascii="Arial" w:cs="Arial" w:eastAsia="Arial" w:hAnsi="Arial"/>
                <w:sz w:val="17"/>
                <w:szCs w:val="17"/>
                <w:color w:val="auto"/>
              </w:rPr>
              <w:t>SHARED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594,397</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9</w:t>
            </w:r>
          </w:p>
        </w:tc>
        <w:tc>
          <w:tcPr>
            <w:tcW w:w="1700" w:type="dxa"/>
            <w:vAlign w:val="bottom"/>
          </w:tcPr>
          <w:p>
            <w:pPr>
              <w:ind w:left="100"/>
              <w:spacing w:after="0"/>
              <w:rPr>
                <w:sz w:val="20"/>
                <w:szCs w:val="20"/>
                <w:color w:val="auto"/>
              </w:rPr>
            </w:pPr>
            <w:r>
              <w:rPr>
                <w:rFonts w:ascii="Arial" w:cs="Arial" w:eastAsia="Arial" w:hAnsi="Arial"/>
                <w:sz w:val="17"/>
                <w:szCs w:val="17"/>
                <w:color w:val="auto"/>
                <w:w w:val="83"/>
              </w:rPr>
              <w:t>AGGREGATE AMOUNT</w:t>
            </w: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594,397</w:t>
            </w:r>
          </w:p>
        </w:tc>
        <w:tc>
          <w:tcPr>
            <w:tcW w:w="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5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7560" w:type="dxa"/>
            <w:vAlign w:val="bottom"/>
            <w:gridSpan w:val="3"/>
          </w:tcPr>
          <w:p>
            <w:pPr>
              <w:ind w:left="10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Borders>
              <w:right w:val="single" w:sz="8" w:color="auto"/>
            </w:tcBorders>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3"/>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11</w:t>
            </w:r>
          </w:p>
        </w:tc>
        <w:tc>
          <w:tcPr>
            <w:tcW w:w="7560" w:type="dxa"/>
            <w:vAlign w:val="bottom"/>
            <w:gridSpan w:val="3"/>
          </w:tcPr>
          <w:p>
            <w:pPr>
              <w:ind w:left="10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2.5%</w:t>
            </w:r>
          </w:p>
        </w:tc>
        <w:tc>
          <w:tcPr>
            <w:tcW w:w="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560" w:type="dxa"/>
            <w:vAlign w:val="bottom"/>
            <w:gridSpan w:val="3"/>
          </w:tcPr>
          <w:p>
            <w:pPr>
              <w:ind w:left="100"/>
              <w:spacing w:after="0"/>
              <w:rPr>
                <w:sz w:val="20"/>
                <w:szCs w:val="20"/>
                <w:color w:val="auto"/>
              </w:rPr>
            </w:pPr>
            <w:r>
              <w:rPr>
                <w:rFonts w:ascii="Arial" w:cs="Arial" w:eastAsia="Arial" w:hAnsi="Arial"/>
                <w:sz w:val="17"/>
                <w:szCs w:val="17"/>
                <w:color w:val="auto"/>
              </w:rPr>
              <w:t>TYPE OF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IN</w:t>
            </w:r>
          </w:p>
        </w:tc>
        <w:tc>
          <w:tcPr>
            <w:tcW w:w="58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497"/>
        </w:trPr>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ind w:left="2160"/>
              <w:spacing w:after="0"/>
              <w:rPr>
                <w:sz w:val="20"/>
                <w:szCs w:val="20"/>
                <w:color w:val="auto"/>
              </w:rPr>
            </w:pPr>
            <w:r>
              <w:rPr>
                <w:rFonts w:ascii="Arial" w:cs="Arial" w:eastAsia="Arial" w:hAnsi="Arial"/>
                <w:sz w:val="17"/>
                <w:szCs w:val="17"/>
                <w:color w:val="auto"/>
              </w:rPr>
              <w:t>8</w:t>
            </w: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9"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CUSIP No. 032724106</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0" w:type="dxa"/>
            <w:vAlign w:val="bottom"/>
          </w:tcPr>
          <w:p>
            <w:pPr>
              <w:spacing w:after="0"/>
              <w:rPr>
                <w:sz w:val="20"/>
                <w:szCs w:val="20"/>
                <w:color w:val="auto"/>
              </w:rPr>
            </w:pPr>
            <w:r>
              <w:rPr>
                <w:rFonts w:ascii="Arial" w:cs="Arial" w:eastAsia="Arial" w:hAnsi="Arial"/>
                <w:sz w:val="17"/>
                <w:szCs w:val="17"/>
                <w:color w:val="auto"/>
              </w:rPr>
              <w:t>Item 1(a).</w:t>
            </w:r>
          </w:p>
        </w:tc>
        <w:tc>
          <w:tcPr>
            <w:tcW w:w="10500" w:type="dxa"/>
            <w:vAlign w:val="bottom"/>
          </w:tcPr>
          <w:p>
            <w:pPr>
              <w:ind w:left="260"/>
              <w:spacing w:after="0"/>
              <w:rPr>
                <w:sz w:val="20"/>
                <w:szCs w:val="20"/>
                <w:color w:val="auto"/>
              </w:rPr>
            </w:pPr>
            <w:r>
              <w:rPr>
                <w:rFonts w:ascii="Arial" w:cs="Arial" w:eastAsia="Arial" w:hAnsi="Arial"/>
                <w:sz w:val="17"/>
                <w:szCs w:val="17"/>
                <w:color w:val="auto"/>
              </w:rPr>
              <w:t>Name of Issuer:</w:t>
            </w:r>
          </w:p>
        </w:tc>
      </w:tr>
      <w:tr>
        <w:trPr>
          <w:trHeight w:val="396"/>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AnaptysBio, Inc., a Delaware corporation (the “Issuer”).</w:t>
            </w:r>
          </w:p>
        </w:tc>
      </w:tr>
      <w:tr>
        <w:trPr>
          <w:trHeight w:val="396"/>
        </w:trPr>
        <w:tc>
          <w:tcPr>
            <w:tcW w:w="920" w:type="dxa"/>
            <w:vAlign w:val="bottom"/>
          </w:tcPr>
          <w:p>
            <w:pPr>
              <w:spacing w:after="0"/>
              <w:rPr>
                <w:sz w:val="20"/>
                <w:szCs w:val="20"/>
                <w:color w:val="auto"/>
              </w:rPr>
            </w:pPr>
            <w:r>
              <w:rPr>
                <w:rFonts w:ascii="Arial" w:cs="Arial" w:eastAsia="Arial" w:hAnsi="Arial"/>
                <w:sz w:val="17"/>
                <w:szCs w:val="17"/>
                <w:color w:val="auto"/>
              </w:rPr>
              <w:t>Item 1(b).</w:t>
            </w:r>
          </w:p>
        </w:tc>
        <w:tc>
          <w:tcPr>
            <w:tcW w:w="10500" w:type="dxa"/>
            <w:vAlign w:val="bottom"/>
          </w:tcPr>
          <w:p>
            <w:pPr>
              <w:ind w:left="260"/>
              <w:spacing w:after="0"/>
              <w:rPr>
                <w:sz w:val="20"/>
                <w:szCs w:val="20"/>
                <w:color w:val="auto"/>
              </w:rPr>
            </w:pPr>
            <w:r>
              <w:rPr>
                <w:rFonts w:ascii="Arial" w:cs="Arial" w:eastAsia="Arial" w:hAnsi="Arial"/>
                <w:sz w:val="17"/>
                <w:szCs w:val="17"/>
                <w:color w:val="auto"/>
              </w:rPr>
              <w:t>Address of Issuer's Principal Executive Offices:</w:t>
            </w:r>
          </w:p>
        </w:tc>
      </w:tr>
      <w:tr>
        <w:trPr>
          <w:trHeight w:val="385"/>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10421 Pacific Center Court, Suite 200</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San Diego, CA 92121</w:t>
            </w:r>
          </w:p>
        </w:tc>
      </w:tr>
      <w:tr>
        <w:trPr>
          <w:trHeight w:val="385"/>
        </w:trPr>
        <w:tc>
          <w:tcPr>
            <w:tcW w:w="920" w:type="dxa"/>
            <w:vAlign w:val="bottom"/>
          </w:tcPr>
          <w:p>
            <w:pPr>
              <w:spacing w:after="0"/>
              <w:rPr>
                <w:sz w:val="20"/>
                <w:szCs w:val="20"/>
                <w:color w:val="auto"/>
              </w:rPr>
            </w:pPr>
            <w:r>
              <w:rPr>
                <w:rFonts w:ascii="Arial" w:cs="Arial" w:eastAsia="Arial" w:hAnsi="Arial"/>
                <w:sz w:val="17"/>
                <w:szCs w:val="17"/>
                <w:color w:val="auto"/>
              </w:rPr>
              <w:t>Item 2(a).</w:t>
            </w:r>
          </w:p>
        </w:tc>
        <w:tc>
          <w:tcPr>
            <w:tcW w:w="10500" w:type="dxa"/>
            <w:vAlign w:val="bottom"/>
          </w:tcPr>
          <w:p>
            <w:pPr>
              <w:ind w:left="260"/>
              <w:spacing w:after="0"/>
              <w:rPr>
                <w:sz w:val="20"/>
                <w:szCs w:val="20"/>
                <w:color w:val="auto"/>
              </w:rPr>
            </w:pPr>
            <w:r>
              <w:rPr>
                <w:rFonts w:ascii="Arial" w:cs="Arial" w:eastAsia="Arial" w:hAnsi="Arial"/>
                <w:sz w:val="17"/>
                <w:szCs w:val="17"/>
                <w:color w:val="auto"/>
              </w:rPr>
              <w:t>Name of Person Filing</w:t>
            </w:r>
          </w:p>
        </w:tc>
      </w:tr>
      <w:tr>
        <w:trPr>
          <w:trHeight w:val="198"/>
        </w:trPr>
        <w:tc>
          <w:tcPr>
            <w:tcW w:w="920" w:type="dxa"/>
            <w:vAlign w:val="bottom"/>
          </w:tcPr>
          <w:p>
            <w:pPr>
              <w:spacing w:after="0"/>
              <w:rPr>
                <w:sz w:val="20"/>
                <w:szCs w:val="20"/>
                <w:color w:val="auto"/>
              </w:rPr>
            </w:pPr>
            <w:r>
              <w:rPr>
                <w:rFonts w:ascii="Arial" w:cs="Arial" w:eastAsia="Arial" w:hAnsi="Arial"/>
                <w:sz w:val="17"/>
                <w:szCs w:val="17"/>
                <w:color w:val="auto"/>
              </w:rPr>
              <w:t>Item 2(b).</w:t>
            </w:r>
          </w:p>
        </w:tc>
        <w:tc>
          <w:tcPr>
            <w:tcW w:w="10500" w:type="dxa"/>
            <w:vAlign w:val="bottom"/>
          </w:tcPr>
          <w:p>
            <w:pPr>
              <w:ind w:left="260"/>
              <w:spacing w:after="0"/>
              <w:rPr>
                <w:sz w:val="20"/>
                <w:szCs w:val="20"/>
                <w:color w:val="auto"/>
              </w:rPr>
            </w:pPr>
            <w:r>
              <w:rPr>
                <w:rFonts w:ascii="Arial" w:cs="Arial" w:eastAsia="Arial" w:hAnsi="Arial"/>
                <w:sz w:val="17"/>
                <w:szCs w:val="17"/>
                <w:color w:val="auto"/>
              </w:rPr>
              <w:t>Address of Principal Business Office or, if None, Residence</w:t>
            </w:r>
          </w:p>
        </w:tc>
      </w:tr>
      <w:tr>
        <w:trPr>
          <w:trHeight w:val="209"/>
        </w:trPr>
        <w:tc>
          <w:tcPr>
            <w:tcW w:w="920" w:type="dxa"/>
            <w:vAlign w:val="bottom"/>
          </w:tcPr>
          <w:p>
            <w:pPr>
              <w:spacing w:after="0"/>
              <w:rPr>
                <w:sz w:val="20"/>
                <w:szCs w:val="20"/>
                <w:color w:val="auto"/>
              </w:rPr>
            </w:pPr>
            <w:r>
              <w:rPr>
                <w:rFonts w:ascii="Arial" w:cs="Arial" w:eastAsia="Arial" w:hAnsi="Arial"/>
                <w:sz w:val="17"/>
                <w:szCs w:val="17"/>
                <w:color w:val="auto"/>
              </w:rPr>
              <w:t>Item 2(c).</w:t>
            </w: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w:t>
            </w:r>
          </w:p>
        </w:tc>
      </w:tr>
      <w:tr>
        <w:trPr>
          <w:trHeight w:val="387"/>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Biotechnology Value Fund, L.P. (“BVF”)</w:t>
            </w:r>
          </w:p>
        </w:tc>
      </w:tr>
      <w:tr>
        <w:trPr>
          <w:trHeight w:val="234"/>
        </w:trPr>
        <w:tc>
          <w:tcPr>
            <w:tcW w:w="920" w:type="dxa"/>
            <w:vAlign w:val="bottom"/>
          </w:tcPr>
          <w:p>
            <w:pPr>
              <w:spacing w:after="0"/>
              <w:rPr>
                <w:sz w:val="20"/>
                <w:szCs w:val="20"/>
                <w:color w:val="auto"/>
              </w:rPr>
            </w:pPr>
          </w:p>
        </w:tc>
        <w:tc>
          <w:tcPr>
            <w:tcW w:w="10500" w:type="dxa"/>
            <w:vAlign w:val="bottom"/>
          </w:tcPr>
          <w:p>
            <w:pPr>
              <w:ind w:left="260"/>
              <w:spacing w:after="0" w:line="233" w:lineRule="exact"/>
              <w:rPr>
                <w:sz w:val="20"/>
                <w:szCs w:val="20"/>
                <w:color w:val="auto"/>
              </w:rPr>
            </w:pPr>
            <w:r>
              <w:rPr>
                <w:rFonts w:ascii="Arial" w:cs="Arial" w:eastAsia="Arial" w:hAnsi="Arial"/>
                <w:sz w:val="17"/>
                <w:szCs w:val="17"/>
                <w:color w:val="auto"/>
              </w:rPr>
              <w:t>1 Sansome Street,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San Francisco, California 94104</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Delaware</w:t>
            </w:r>
          </w:p>
        </w:tc>
      </w:tr>
      <w:tr>
        <w:trPr>
          <w:trHeight w:val="387"/>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Biotechnology Value Fund II, L.P. (“BVF2”)</w:t>
            </w:r>
          </w:p>
        </w:tc>
      </w:tr>
      <w:tr>
        <w:trPr>
          <w:trHeight w:val="234"/>
        </w:trPr>
        <w:tc>
          <w:tcPr>
            <w:tcW w:w="920" w:type="dxa"/>
            <w:vAlign w:val="bottom"/>
          </w:tcPr>
          <w:p>
            <w:pPr>
              <w:spacing w:after="0"/>
              <w:rPr>
                <w:sz w:val="20"/>
                <w:szCs w:val="20"/>
                <w:color w:val="auto"/>
              </w:rPr>
            </w:pPr>
          </w:p>
        </w:tc>
        <w:tc>
          <w:tcPr>
            <w:tcW w:w="10500" w:type="dxa"/>
            <w:vAlign w:val="bottom"/>
          </w:tcPr>
          <w:p>
            <w:pPr>
              <w:ind w:left="260"/>
              <w:spacing w:after="0" w:line="233" w:lineRule="exact"/>
              <w:rPr>
                <w:sz w:val="20"/>
                <w:szCs w:val="20"/>
                <w:color w:val="auto"/>
              </w:rPr>
            </w:pPr>
            <w:r>
              <w:rPr>
                <w:rFonts w:ascii="Arial" w:cs="Arial" w:eastAsia="Arial" w:hAnsi="Arial"/>
                <w:sz w:val="17"/>
                <w:szCs w:val="17"/>
                <w:color w:val="auto"/>
              </w:rPr>
              <w:t>1 Sansome Street,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San Francisco, California 94104</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Delaware</w:t>
            </w:r>
          </w:p>
        </w:tc>
      </w:tr>
      <w:tr>
        <w:trPr>
          <w:trHeight w:val="385"/>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Biotechnology Value Trading Fund OS LP (“Trading Fund OS”)</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PO Box 309 Ugland House</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Grand Cayman, KY1-1104</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Cayman Islands</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Cayman Islands</w:t>
            </w:r>
          </w:p>
        </w:tc>
      </w:tr>
      <w:tr>
        <w:trPr>
          <w:trHeight w:val="385"/>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BVF Partners OS Ltd. (“Partners OS”)</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PO Box 309 Ugland House</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Grand Cayman, KY1-1104</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Cayman Islands</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Cayman Islands</w:t>
            </w:r>
          </w:p>
        </w:tc>
      </w:tr>
      <w:tr>
        <w:trPr>
          <w:trHeight w:val="385"/>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BVF Partners L.P. (“Partners”)</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1 Sansome Street, 30th Floor</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San Francisco, California 94104</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Delaware</w:t>
            </w:r>
          </w:p>
        </w:tc>
      </w:tr>
      <w:tr>
        <w:trPr>
          <w:trHeight w:val="387"/>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BVF Inc.</w:t>
            </w:r>
          </w:p>
        </w:tc>
      </w:tr>
      <w:tr>
        <w:trPr>
          <w:trHeight w:val="234"/>
        </w:trPr>
        <w:tc>
          <w:tcPr>
            <w:tcW w:w="920" w:type="dxa"/>
            <w:vAlign w:val="bottom"/>
          </w:tcPr>
          <w:p>
            <w:pPr>
              <w:spacing w:after="0"/>
              <w:rPr>
                <w:sz w:val="20"/>
                <w:szCs w:val="20"/>
                <w:color w:val="auto"/>
              </w:rPr>
            </w:pPr>
          </w:p>
        </w:tc>
        <w:tc>
          <w:tcPr>
            <w:tcW w:w="10500" w:type="dxa"/>
            <w:vAlign w:val="bottom"/>
          </w:tcPr>
          <w:p>
            <w:pPr>
              <w:ind w:left="260"/>
              <w:spacing w:after="0" w:line="233" w:lineRule="exact"/>
              <w:rPr>
                <w:sz w:val="20"/>
                <w:szCs w:val="20"/>
                <w:color w:val="auto"/>
              </w:rPr>
            </w:pPr>
            <w:r>
              <w:rPr>
                <w:rFonts w:ascii="Arial" w:cs="Arial" w:eastAsia="Arial" w:hAnsi="Arial"/>
                <w:sz w:val="17"/>
                <w:szCs w:val="17"/>
                <w:color w:val="auto"/>
              </w:rPr>
              <w:t>1 Sansome Street,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San Francisco, California 94104</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Delaware</w:t>
            </w:r>
          </w:p>
        </w:tc>
      </w:tr>
      <w:tr>
        <w:trPr>
          <w:trHeight w:val="387"/>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Mark N. Lampert (“Mr. Lampert”)</w:t>
            </w:r>
          </w:p>
        </w:tc>
      </w:tr>
      <w:tr>
        <w:trPr>
          <w:trHeight w:val="234"/>
        </w:trPr>
        <w:tc>
          <w:tcPr>
            <w:tcW w:w="920" w:type="dxa"/>
            <w:vAlign w:val="bottom"/>
          </w:tcPr>
          <w:p>
            <w:pPr>
              <w:spacing w:after="0"/>
              <w:rPr>
                <w:sz w:val="20"/>
                <w:szCs w:val="20"/>
                <w:color w:val="auto"/>
              </w:rPr>
            </w:pPr>
          </w:p>
        </w:tc>
        <w:tc>
          <w:tcPr>
            <w:tcW w:w="10500" w:type="dxa"/>
            <w:vAlign w:val="bottom"/>
          </w:tcPr>
          <w:p>
            <w:pPr>
              <w:ind w:left="260"/>
              <w:spacing w:after="0" w:line="233" w:lineRule="exact"/>
              <w:rPr>
                <w:sz w:val="20"/>
                <w:szCs w:val="20"/>
                <w:color w:val="auto"/>
              </w:rPr>
            </w:pPr>
            <w:r>
              <w:rPr>
                <w:rFonts w:ascii="Arial" w:cs="Arial" w:eastAsia="Arial" w:hAnsi="Arial"/>
                <w:sz w:val="17"/>
                <w:szCs w:val="17"/>
                <w:color w:val="auto"/>
              </w:rPr>
              <w:t>1 Sansome Street,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San Francisco, California 94104</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United States</w:t>
            </w:r>
          </w:p>
        </w:tc>
      </w:tr>
      <w:tr>
        <w:trPr>
          <w:trHeight w:val="396"/>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Each of the foregoing is referred to as a “Reporting Person” and collectively as the “Reporting Persons.”</w:t>
            </w:r>
          </w:p>
        </w:tc>
      </w:tr>
      <w:tr>
        <w:trPr>
          <w:trHeight w:val="496"/>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ind w:left="4760"/>
              <w:spacing w:after="0"/>
              <w:rPr>
                <w:sz w:val="20"/>
                <w:szCs w:val="20"/>
                <w:color w:val="auto"/>
              </w:rPr>
            </w:pPr>
            <w:r>
              <w:rPr>
                <w:rFonts w:ascii="Arial" w:cs="Arial" w:eastAsia="Arial" w:hAnsi="Arial"/>
                <w:sz w:val="17"/>
                <w:szCs w:val="17"/>
                <w:color w:val="auto"/>
              </w:rPr>
              <w:t>9</w:t>
            </w:r>
          </w:p>
        </w:tc>
      </w:tr>
    </w:tbl>
    <w:p>
      <w:pPr>
        <w:sectPr>
          <w:pgSz w:w="11900" w:h="16838" w:orient="portrait"/>
          <w:cols w:equalWidth="0" w:num="1">
            <w:col w:w="11420"/>
          </w:cols>
          <w:pgMar w:left="240" w:top="21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032724106</w:t>
      </w:r>
    </w:p>
    <w:p>
      <w:pPr>
        <w:sectPr>
          <w:pgSz w:w="11900" w:h="16838" w:orient="portrait"/>
          <w:cols w:equalWidth="0" w:num="1">
            <w:col w:w="11520"/>
          </w:cols>
          <w:pgMar w:left="240" w:top="219" w:right="13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Item 3.</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Title of Class of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Common stock, par value $0.001 per share (the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CUSIP Number: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032724106</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If This Statement is Filed Pursuant to Rule 13d-1(b), or 13d-2(b) or (c), Check Whether the Person Filing is a:</w:t>
      </w:r>
    </w:p>
    <w:p>
      <w:pPr>
        <w:spacing w:after="0" w:line="224"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7"/>
          <w:szCs w:val="17"/>
          <w:color w:val="auto"/>
        </w:rPr>
        <w:t>/x/</w:t>
      </w:r>
      <w:r>
        <w:rPr>
          <w:sz w:val="20"/>
          <w:szCs w:val="20"/>
          <w:color w:val="auto"/>
        </w:rPr>
        <w:tab/>
      </w:r>
      <w:r>
        <w:rPr>
          <w:rFonts w:ascii="Arial" w:cs="Arial" w:eastAsia="Arial" w:hAnsi="Arial"/>
          <w:sz w:val="17"/>
          <w:szCs w:val="17"/>
          <w:color w:val="auto"/>
        </w:rPr>
        <w:t>Not applicable.</w:t>
      </w:r>
    </w:p>
    <w:p>
      <w:pPr>
        <w:spacing w:after="0" w:line="200" w:lineRule="exact"/>
        <w:rPr>
          <w:sz w:val="20"/>
          <w:szCs w:val="20"/>
          <w:color w:val="auto"/>
        </w:rPr>
      </w:pPr>
    </w:p>
    <w:p>
      <w:pPr>
        <w:sectPr>
          <w:pgSz w:w="11900" w:h="16838" w:orient="portrait"/>
          <w:cols w:equalWidth="0" w:num="2">
            <w:col w:w="660" w:space="520"/>
            <w:col w:w="10340"/>
          </w:cols>
          <w:pgMar w:left="240" w:top="219" w:right="139" w:bottom="1440" w:gutter="0" w:footer="0" w:header="0"/>
          <w:type w:val="continuous"/>
        </w:sectPr>
      </w:pPr>
    </w:p>
    <w:p>
      <w:pPr>
        <w:spacing w:after="0" w:line="1" w:lineRule="exact"/>
        <w:rPr>
          <w:sz w:val="20"/>
          <w:szCs w:val="20"/>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4"/>
          <w:szCs w:val="14"/>
          <w:color w:val="auto"/>
        </w:rPr>
        <w:t>Broker or dealer registered under Section 15 of the Exchange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Bank as defined in Section 3(a)(6) of the Exchange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4"/>
          <w:szCs w:val="14"/>
          <w:color w:val="auto"/>
        </w:rPr>
        <w:t>Insurance company as defined in Section 3(a)(19) of the Exchange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4"/>
          <w:szCs w:val="14"/>
          <w:color w:val="auto"/>
        </w:rPr>
        <w:t>Investment company registered under Section 8 of the Investment Company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An investment adviser in accordance with Rule 13d-1(b)(1)(ii)(E).</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An employee benefit plan or endowment fund in accordance with Rule 13d-1(b)(1)(ii)(F).</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A parent holding company or control person in accordance with Rule 13d-1(b)(1)(ii)(G).</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4"/>
          <w:szCs w:val="14"/>
          <w:color w:val="auto"/>
        </w:rPr>
        <w:t>A savings association as defined in Section 3(b) of the Federal Deposit Insurance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A church plan that is excluded from the definition of an investment company under Section 3(c)(14) of the Investment Company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Group, in accordance with Rule 13d-1(b)(1)(ii)(J).</w:t>
      </w:r>
    </w:p>
    <w:p>
      <w:pPr>
        <w:spacing w:after="0" w:line="200" w:lineRule="exact"/>
        <w:rPr>
          <w:rFonts w:ascii="Arial" w:cs="Arial" w:eastAsia="Arial" w:hAnsi="Arial"/>
          <w:sz w:val="17"/>
          <w:szCs w:val="17"/>
          <w:color w:val="auto"/>
        </w:rPr>
      </w:pPr>
    </w:p>
    <w:p>
      <w:pPr>
        <w:ind w:left="2300" w:hanging="1142"/>
        <w:spacing w:after="0" w:line="259" w:lineRule="auto"/>
        <w:tabs>
          <w:tab w:leader="none" w:pos="173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/Group, in accordance with Rule 240.13d-1(b)(1)(ii)(K). If filing as a non-U.S. institution in accordance with Rule 240.13d-1(b)(1)(ii)(J), p the type of institution: ____</w:t>
      </w:r>
    </w:p>
    <w:p>
      <w:pPr>
        <w:spacing w:after="0" w:line="17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4.</w:t>
      </w:r>
      <w:r>
        <w:rPr>
          <w:sz w:val="20"/>
          <w:szCs w:val="20"/>
          <w:color w:val="auto"/>
        </w:rPr>
        <w:tab/>
      </w:r>
      <w:r>
        <w:rPr>
          <w:rFonts w:ascii="Arial" w:cs="Arial" w:eastAsia="Arial" w:hAnsi="Arial"/>
          <w:sz w:val="15"/>
          <w:szCs w:val="15"/>
          <w:color w:val="auto"/>
        </w:rPr>
        <w:t>Ownership</w:t>
      </w:r>
    </w:p>
    <w:p>
      <w:pPr>
        <w:spacing w:after="0" w:line="201" w:lineRule="exact"/>
        <w:rPr>
          <w:sz w:val="20"/>
          <w:szCs w:val="20"/>
          <w:color w:val="auto"/>
        </w:rPr>
      </w:pPr>
    </w:p>
    <w:p>
      <w:pPr>
        <w:ind w:left="1180" w:hanging="587"/>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00" w:lineRule="exact"/>
        <w:rPr>
          <w:rFonts w:ascii="Arial" w:cs="Arial" w:eastAsia="Arial" w:hAnsi="Arial"/>
          <w:sz w:val="17"/>
          <w:szCs w:val="17"/>
          <w:color w:val="auto"/>
        </w:rPr>
      </w:pPr>
    </w:p>
    <w:p>
      <w:pPr>
        <w:ind w:left="1180" w:right="100"/>
        <w:spacing w:after="0" w:line="259" w:lineRule="auto"/>
        <w:rPr>
          <w:rFonts w:ascii="Arial" w:cs="Arial" w:eastAsia="Arial" w:hAnsi="Arial"/>
          <w:sz w:val="17"/>
          <w:szCs w:val="17"/>
          <w:color w:val="auto"/>
        </w:rPr>
      </w:pPr>
      <w:r>
        <w:rPr>
          <w:rFonts w:ascii="Arial" w:cs="Arial" w:eastAsia="Arial" w:hAnsi="Arial"/>
          <w:sz w:val="17"/>
          <w:szCs w:val="17"/>
          <w:color w:val="auto"/>
        </w:rPr>
        <w:t>As of the close of business on December 31, 2017 (i) BVF beneficially owned 278,511 shares of Common Stock, (ii) BVF2 beneficially owned 180,043 shares of Common Stock, and (iii) Trading Fund OS beneficially owned 49,182 shares of Common Stock.</w:t>
      </w:r>
    </w:p>
    <w:p>
      <w:pPr>
        <w:spacing w:after="0" w:line="172" w:lineRule="exact"/>
        <w:rPr>
          <w:rFonts w:ascii="Arial" w:cs="Arial" w:eastAsia="Arial" w:hAnsi="Arial"/>
          <w:sz w:val="17"/>
          <w:szCs w:val="17"/>
          <w:color w:val="auto"/>
        </w:rPr>
      </w:pPr>
    </w:p>
    <w:p>
      <w:pPr>
        <w:ind w:left="1180" w:right="100"/>
        <w:spacing w:after="0" w:line="259" w:lineRule="auto"/>
        <w:rPr>
          <w:rFonts w:ascii="Arial" w:cs="Arial" w:eastAsia="Arial" w:hAnsi="Arial"/>
          <w:sz w:val="17"/>
          <w:szCs w:val="17"/>
          <w:color w:val="auto"/>
        </w:rPr>
      </w:pPr>
      <w:r>
        <w:rPr>
          <w:rFonts w:ascii="Arial" w:cs="Arial" w:eastAsia="Arial" w:hAnsi="Arial"/>
          <w:sz w:val="17"/>
          <w:szCs w:val="17"/>
          <w:color w:val="auto"/>
        </w:rPr>
        <w:t>Partners OS as the general partner of Trading Fund OS may be deemed to beneficially own the 49,182 shares of Common Stock beneficially owned by Trading Fund OS.</w:t>
      </w: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5805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520"/>
          </w:cols>
          <w:pgMar w:left="240" w:top="219" w:right="1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color w:val="auto"/>
        </w:rPr>
        <w:t>CUSIP No. 032724106</w:t>
      </w:r>
    </w:p>
    <w:p>
      <w:pPr>
        <w:spacing w:after="0" w:line="297" w:lineRule="exact"/>
        <w:rPr>
          <w:sz w:val="20"/>
          <w:szCs w:val="20"/>
          <w:color w:val="auto"/>
        </w:rPr>
      </w:pPr>
    </w:p>
    <w:p>
      <w:pPr>
        <w:jc w:val="both"/>
        <w:ind w:left="1180"/>
        <w:spacing w:after="0" w:line="301" w:lineRule="auto"/>
        <w:rPr>
          <w:sz w:val="20"/>
          <w:szCs w:val="20"/>
          <w:color w:val="auto"/>
        </w:rPr>
      </w:pPr>
      <w:r>
        <w:rPr>
          <w:rFonts w:ascii="Arial" w:cs="Arial" w:eastAsia="Arial" w:hAnsi="Arial"/>
          <w:sz w:val="15"/>
          <w:szCs w:val="15"/>
          <w:color w:val="auto"/>
        </w:rPr>
        <w:t>Partners, as the general partner of BVF, BVF2, the investment manager of Trading Fund OS, and the sole member of Partners OS, may be deemed to beneficially own the 594,397 shares of Common Stock beneficially owned in the aggregate by BVF, BVF2, Trading Fund OS, and certain Partners Managed accounts (the “Partners Managed Accounts”), including 86,661 shares of Common Stock held in the Partners Managed Accounts.</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BVF Inc., as the general partner of Partners, may be deemed to beneficially own the 594,397 shares of Common Stock beneficially owned by Partners.</w:t>
      </w:r>
    </w:p>
    <w:p>
      <w:pPr>
        <w:spacing w:after="0" w:line="224" w:lineRule="exact"/>
        <w:rPr>
          <w:sz w:val="20"/>
          <w:szCs w:val="20"/>
          <w:color w:val="auto"/>
        </w:rPr>
      </w:pPr>
    </w:p>
    <w:p>
      <w:pPr>
        <w:jc w:val="both"/>
        <w:ind w:left="1180"/>
        <w:spacing w:after="0" w:line="259" w:lineRule="auto"/>
        <w:rPr>
          <w:sz w:val="20"/>
          <w:szCs w:val="20"/>
          <w:color w:val="auto"/>
        </w:rPr>
      </w:pPr>
      <w:r>
        <w:rPr>
          <w:rFonts w:ascii="Arial" w:cs="Arial" w:eastAsia="Arial" w:hAnsi="Arial"/>
          <w:sz w:val="17"/>
          <w:szCs w:val="17"/>
          <w:color w:val="auto"/>
        </w:rPr>
        <w:t>Mr. Lampert, as a director and officer of BVF Inc., may be deemed to beneficially own the 594,397 shares of Common Stock beneficially owned by BVF Inc.</w:t>
      </w:r>
    </w:p>
    <w:p>
      <w:pPr>
        <w:spacing w:after="0" w:line="173" w:lineRule="exact"/>
        <w:rPr>
          <w:sz w:val="20"/>
          <w:szCs w:val="20"/>
          <w:color w:val="auto"/>
        </w:rPr>
      </w:pPr>
    </w:p>
    <w:p>
      <w:pPr>
        <w:jc w:val="both"/>
        <w:ind w:left="1180"/>
        <w:spacing w:after="0" w:line="247"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of Common Stock owned by another Reporting Person. Partners OS disclaims beneficial ownership of the shares of Common Stock beneficially owned by Trading Fund OS. Each of Partners, BVF Inc. and Mr. Lampert disclaims beneficial ownership of the shares of Common Stock beneficially owned by BVF, BVF2, Trading Fund OS, and the Partners Managed Accounts, and the filing of this statement shall not be construed as an admission that any such person or entity is the beneficial owner of any such securities.</w:t>
      </w:r>
    </w:p>
    <w:p>
      <w:pPr>
        <w:spacing w:after="0" w:line="183" w:lineRule="exact"/>
        <w:rPr>
          <w:sz w:val="20"/>
          <w:szCs w:val="20"/>
          <w:color w:val="auto"/>
        </w:rPr>
      </w:pPr>
    </w:p>
    <w:p>
      <w:pPr>
        <w:ind w:left="1180" w:hanging="587"/>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0" w:lineRule="exact"/>
        <w:rPr>
          <w:rFonts w:ascii="Arial" w:cs="Arial" w:eastAsia="Arial" w:hAnsi="Arial"/>
          <w:sz w:val="17"/>
          <w:szCs w:val="17"/>
          <w:color w:val="auto"/>
        </w:rPr>
      </w:pPr>
    </w:p>
    <w:p>
      <w:pPr>
        <w:jc w:val="both"/>
        <w:ind w:left="1180"/>
        <w:spacing w:after="0" w:line="251" w:lineRule="auto"/>
        <w:rPr>
          <w:rFonts w:ascii="Arial" w:cs="Arial" w:eastAsia="Arial" w:hAnsi="Arial"/>
          <w:sz w:val="17"/>
          <w:szCs w:val="17"/>
          <w:color w:val="auto"/>
        </w:rPr>
      </w:pPr>
      <w:r>
        <w:rPr>
          <w:rFonts w:ascii="Arial" w:cs="Arial" w:eastAsia="Arial" w:hAnsi="Arial"/>
          <w:sz w:val="17"/>
          <w:szCs w:val="17"/>
          <w:color w:val="auto"/>
        </w:rPr>
        <w:t>The following percentages are based on 23,497,680 shares of Common Stock outstanding as of November 3, 2017, which is the total number of shares of Common Stock outstanding as reported in the Issuer’s Quarterly Report on Form 10-Q filed with the Securities and Exchange Commission on November 7, 2017.</w:t>
      </w:r>
    </w:p>
    <w:p>
      <w:pPr>
        <w:spacing w:after="0" w:line="179" w:lineRule="exact"/>
        <w:rPr>
          <w:rFonts w:ascii="Arial" w:cs="Arial" w:eastAsia="Arial" w:hAnsi="Arial"/>
          <w:sz w:val="17"/>
          <w:szCs w:val="17"/>
          <w:color w:val="auto"/>
        </w:rPr>
      </w:pPr>
    </w:p>
    <w:p>
      <w:pPr>
        <w:jc w:val="both"/>
        <w:ind w:left="1180"/>
        <w:spacing w:after="0" w:line="247" w:lineRule="auto"/>
        <w:rPr>
          <w:rFonts w:ascii="Arial" w:cs="Arial" w:eastAsia="Arial" w:hAnsi="Arial"/>
          <w:sz w:val="17"/>
          <w:szCs w:val="17"/>
          <w:color w:val="auto"/>
        </w:rPr>
      </w:pPr>
      <w:r>
        <w:rPr>
          <w:rFonts w:ascii="Arial" w:cs="Arial" w:eastAsia="Arial" w:hAnsi="Arial"/>
          <w:sz w:val="17"/>
          <w:szCs w:val="17"/>
          <w:color w:val="auto"/>
        </w:rPr>
        <w:t>As of the close of business on December 31, 2017 (i) BVF beneficially owned approximately 1.2% of the outstanding shares of Common Stock, (ii) BVF2 beneficially owned less than 1% of the outstanding shares of Common Stock, (iii) Trading Fund OS beneficially owned less than 1% of the outstanding shares of Common Stock (iv) Partners OS may be deemed to beneficially own less than 1% of the outstanding shares of Common Stock, and (v) each of Partners, BVF Inc. and Mr. Lampert may be deemed to beneficially own approximately 2.5% of the outstanding shares of Common Stock (less than 1% of which is held in the Partners Managed Accounts).</w:t>
      </w:r>
    </w:p>
    <w:p>
      <w:pPr>
        <w:spacing w:after="0" w:line="182" w:lineRule="exact"/>
        <w:rPr>
          <w:rFonts w:ascii="Arial" w:cs="Arial" w:eastAsia="Arial" w:hAnsi="Arial"/>
          <w:sz w:val="17"/>
          <w:szCs w:val="17"/>
          <w:color w:val="auto"/>
        </w:rPr>
      </w:pPr>
    </w:p>
    <w:p>
      <w:pPr>
        <w:ind w:left="1180" w:hanging="587"/>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1" w:lineRule="exact"/>
        <w:rPr>
          <w:sz w:val="20"/>
          <w:szCs w:val="20"/>
          <w:color w:val="auto"/>
        </w:rPr>
      </w:pPr>
    </w:p>
    <w:p>
      <w:pPr>
        <w:ind w:left="1180" w:right="7660" w:hanging="587"/>
        <w:spacing w:after="0" w:line="486"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Sole power to vote or to direct the vote See Cover Pages Items 5-9.</w:t>
      </w:r>
    </w:p>
    <w:p>
      <w:pPr>
        <w:ind w:left="1180" w:right="7500" w:hanging="587"/>
        <w:spacing w:after="0" w:line="551" w:lineRule="auto"/>
        <w:tabs>
          <w:tab w:leader="none" w:pos="1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Shared power to vote or to direct the vote See Cover Pages Items 5-9.</w:t>
      </w:r>
    </w:p>
    <w:p>
      <w:pPr>
        <w:ind w:left="1180" w:right="6820" w:hanging="587"/>
        <w:spacing w:after="0" w:line="503"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See Cover Pages Items 5-9.</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5805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CUSIP No. 032724106</w:t>
      </w:r>
    </w:p>
    <w:p>
      <w:pPr>
        <w:spacing w:after="0" w:line="297" w:lineRule="exact"/>
        <w:rPr>
          <w:sz w:val="20"/>
          <w:szCs w:val="20"/>
          <w:color w:val="auto"/>
        </w:rPr>
      </w:pPr>
    </w:p>
    <w:p>
      <w:pPr>
        <w:ind w:left="1180" w:right="6660" w:hanging="587"/>
        <w:spacing w:after="0" w:line="486"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See Cover Pages Items 5-9.</w:t>
      </w:r>
    </w:p>
    <w:p>
      <w:pPr>
        <w:spacing w:after="0" w:line="1"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5.</w:t>
      </w:r>
      <w:r>
        <w:rPr>
          <w:sz w:val="20"/>
          <w:szCs w:val="20"/>
          <w:color w:val="auto"/>
        </w:rPr>
        <w:tab/>
      </w:r>
      <w:r>
        <w:rPr>
          <w:rFonts w:ascii="Arial" w:cs="Arial" w:eastAsia="Arial" w:hAnsi="Arial"/>
          <w:sz w:val="14"/>
          <w:szCs w:val="14"/>
          <w:color w:val="auto"/>
        </w:rPr>
        <w:t>Ownership of Five Percent or Less of a Class.</w:t>
      </w:r>
    </w:p>
    <w:p>
      <w:pPr>
        <w:spacing w:after="0" w:line="201" w:lineRule="exact"/>
        <w:rPr>
          <w:sz w:val="20"/>
          <w:szCs w:val="20"/>
          <w:color w:val="auto"/>
        </w:rPr>
      </w:pPr>
    </w:p>
    <w:p>
      <w:pPr>
        <w:ind w:left="1180"/>
        <w:spacing w:after="0" w:line="259" w:lineRule="auto"/>
        <w:rPr>
          <w:sz w:val="20"/>
          <w:szCs w:val="20"/>
          <w:color w:val="auto"/>
        </w:rPr>
      </w:pPr>
      <w:r>
        <w:rPr>
          <w:rFonts w:ascii="Arial" w:cs="Arial" w:eastAsia="Arial" w:hAnsi="Arial"/>
          <w:sz w:val="17"/>
          <w:szCs w:val="17"/>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6.</w:t>
      </w:r>
      <w:r>
        <w:rPr>
          <w:sz w:val="20"/>
          <w:szCs w:val="20"/>
          <w:color w:val="auto"/>
        </w:rPr>
        <w:tab/>
      </w:r>
      <w:r>
        <w:rPr>
          <w:rFonts w:ascii="Arial" w:cs="Arial" w:eastAsia="Arial" w:hAnsi="Arial"/>
          <w:sz w:val="15"/>
          <w:szCs w:val="15"/>
          <w:color w:val="auto"/>
        </w:rPr>
        <w:t>Ownership of More than Five Percent on Behalf of Another Person.</w:t>
      </w:r>
    </w:p>
    <w:p>
      <w:pPr>
        <w:spacing w:after="0" w:line="20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Not Applicable.</w:t>
      </w:r>
    </w:p>
    <w:p>
      <w:pPr>
        <w:spacing w:after="0" w:line="201"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7.</w:t>
      </w:r>
      <w:r>
        <w:rPr>
          <w:sz w:val="20"/>
          <w:szCs w:val="20"/>
          <w:color w:val="auto"/>
        </w:rPr>
        <w:tab/>
      </w:r>
      <w:r>
        <w:rPr>
          <w:rFonts w:ascii="Arial" w:cs="Arial" w:eastAsia="Arial" w:hAnsi="Arial"/>
          <w:sz w:val="15"/>
          <w:szCs w:val="15"/>
          <w:color w:val="auto"/>
        </w:rPr>
        <w:t>Identification and Classification of the Subsidiary That Acquired the Security Being Reported on by the Parent Holding Company or Control Person.</w:t>
      </w:r>
    </w:p>
    <w:p>
      <w:pPr>
        <w:spacing w:after="0" w:line="20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Not Applicable.</w:t>
      </w:r>
    </w:p>
    <w:p>
      <w:pPr>
        <w:spacing w:after="0" w:line="201"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8.</w:t>
      </w:r>
      <w:r>
        <w:rPr>
          <w:sz w:val="20"/>
          <w:szCs w:val="20"/>
          <w:color w:val="auto"/>
        </w:rPr>
        <w:tab/>
      </w:r>
      <w:r>
        <w:rPr>
          <w:rFonts w:ascii="Arial" w:cs="Arial" w:eastAsia="Arial" w:hAnsi="Arial"/>
          <w:sz w:val="15"/>
          <w:szCs w:val="15"/>
          <w:color w:val="auto"/>
        </w:rPr>
        <w:t>Identification and Classification of Members of the Group.</w:t>
      </w:r>
    </w:p>
    <w:p>
      <w:pPr>
        <w:spacing w:after="0" w:line="20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See Exhibit 99.1 to the Schedule 13G filed by the Reporting Persons with the Securities and Exchange Commission on February 3, 2017.</w:t>
      </w:r>
    </w:p>
    <w:p>
      <w:pPr>
        <w:spacing w:after="0" w:line="22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9.</w:t>
      </w:r>
      <w:r>
        <w:rPr>
          <w:sz w:val="20"/>
          <w:szCs w:val="20"/>
          <w:color w:val="auto"/>
        </w:rPr>
        <w:tab/>
      </w:r>
      <w:r>
        <w:rPr>
          <w:rFonts w:ascii="Arial" w:cs="Arial" w:eastAsia="Arial" w:hAnsi="Arial"/>
          <w:sz w:val="15"/>
          <w:szCs w:val="15"/>
          <w:color w:val="auto"/>
        </w:rPr>
        <w:t>Notice of Dissolution of Group.</w:t>
      </w:r>
    </w:p>
    <w:p>
      <w:pPr>
        <w:spacing w:after="0" w:line="20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Not Applicable.</w:t>
      </w:r>
    </w:p>
    <w:p>
      <w:pPr>
        <w:spacing w:after="0" w:line="201"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10.</w:t>
      </w:r>
      <w:r>
        <w:rPr>
          <w:sz w:val="20"/>
          <w:szCs w:val="20"/>
          <w:color w:val="auto"/>
        </w:rPr>
        <w:tab/>
      </w:r>
      <w:r>
        <w:rPr>
          <w:rFonts w:ascii="Arial" w:cs="Arial" w:eastAsia="Arial" w:hAnsi="Arial"/>
          <w:sz w:val="15"/>
          <w:szCs w:val="15"/>
          <w:color w:val="auto"/>
        </w:rPr>
        <w:t>Certifications.</w:t>
      </w:r>
    </w:p>
    <w:p>
      <w:pPr>
        <w:spacing w:after="0" w:line="201" w:lineRule="exact"/>
        <w:rPr>
          <w:sz w:val="20"/>
          <w:szCs w:val="20"/>
          <w:color w:val="auto"/>
        </w:rPr>
      </w:pPr>
    </w:p>
    <w:p>
      <w:pPr>
        <w:jc w:val="both"/>
        <w:ind w:firstLine="1189"/>
        <w:spacing w:after="0" w:line="251" w:lineRule="auto"/>
        <w:rPr>
          <w:sz w:val="20"/>
          <w:szCs w:val="20"/>
          <w:color w:val="auto"/>
        </w:rPr>
      </w:pPr>
      <w:r>
        <w:rPr>
          <w:rFonts w:ascii="Arial" w:cs="Arial" w:eastAsia="Arial" w:hAnsi="Arial"/>
          <w:sz w:val="17"/>
          <w:szCs w:val="17"/>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5805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CUSIP No. 032724106</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w:t>
      </w:r>
    </w:p>
    <w:p>
      <w:pPr>
        <w:spacing w:after="0" w:line="201" w:lineRule="exact"/>
        <w:rPr>
          <w:sz w:val="20"/>
          <w:szCs w:val="20"/>
          <w:color w:val="auto"/>
        </w:rPr>
      </w:pPr>
    </w:p>
    <w:p>
      <w:pPr>
        <w:ind w:firstLine="1189"/>
        <w:spacing w:after="0" w:line="259" w:lineRule="auto"/>
        <w:rPr>
          <w:sz w:val="20"/>
          <w:szCs w:val="20"/>
          <w:color w:val="auto"/>
        </w:rPr>
      </w:pPr>
      <w:r>
        <w:rPr>
          <w:rFonts w:ascii="Arial" w:cs="Arial" w:eastAsia="Arial" w:hAnsi="Arial"/>
          <w:sz w:val="17"/>
          <w:szCs w:val="17"/>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420"/>
          </w:cols>
          <w:pgMar w:left="240" w:top="219" w:right="2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2018</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L.P.</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general partner</w:t>
      </w:r>
    </w:p>
    <w:p>
      <w:pPr>
        <w:spacing w:after="0" w:line="14"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Inc., its general partner</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Mark N. Lampert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-123190</wp:posOffset>
            </wp:positionV>
            <wp:extent cx="31216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21660" cy="762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President</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general partner</w:t>
      </w:r>
    </w:p>
    <w:p>
      <w:pPr>
        <w:spacing w:after="0" w:line="14"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Inc., its general partner</w:t>
      </w:r>
    </w:p>
    <w:p>
      <w:pPr>
        <w:spacing w:after="0" w:line="190"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Mark N. Lampert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-123190</wp:posOffset>
            </wp:positionV>
            <wp:extent cx="31216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21660" cy="762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President</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BVF PARTNERS L.P.</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Inc., its general partner</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Mark N. Lampert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-123190</wp:posOffset>
            </wp:positionV>
            <wp:extent cx="31216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21660" cy="762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President</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BVF PARTNERS OS LTD.</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14"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Inc., its general partner</w:t>
      </w:r>
    </w:p>
    <w:p>
      <w:pPr>
        <w:spacing w:after="0" w:line="190"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Mark N. Lampert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-123190</wp:posOffset>
            </wp:positionV>
            <wp:extent cx="31216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21660" cy="762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President</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BIOTECHNOLOGY VALUE TRADING FUND OS LP</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investment manager</w:t>
      </w:r>
    </w:p>
    <w:p>
      <w:pPr>
        <w:spacing w:after="0" w:line="14"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Inc., its general partner</w:t>
      </w:r>
    </w:p>
    <w:p>
      <w:pPr>
        <w:spacing w:after="0" w:line="190"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Mark N. Lampert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-123190</wp:posOffset>
            </wp:positionV>
            <wp:extent cx="312166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21660" cy="762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BVF INC.</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By:  /s/ Mark N. Lampert</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-123190</wp:posOffset>
            </wp:positionV>
            <wp:extent cx="33343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34385" cy="762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President</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/s/ Mark N. Lampert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355409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4095" cy="7620"/>
                    </a:xfrm>
                    <a:prstGeom prst="rect">
                      <a:avLst/>
                    </a:prstGeom>
                    <a:noFill/>
                  </pic:spPr>
                </pic:pic>
              </a:graphicData>
            </a:graphic>
          </wp:anchor>
        </w:drawing>
      </w:r>
    </w:p>
    <w:p>
      <w:pPr>
        <w:spacing w:after="0" w:line="7789" w:lineRule="exact"/>
        <w:rPr>
          <w:sz w:val="20"/>
          <w:szCs w:val="20"/>
          <w:color w:val="auto"/>
        </w:rPr>
      </w:pPr>
    </w:p>
    <w:p>
      <w:pPr>
        <w:sectPr>
          <w:pgSz w:w="11900" w:h="16838" w:orient="portrait"/>
          <w:cols w:equalWidth="0" w:num="2">
            <w:col w:w="5120" w:space="720"/>
            <w:col w:w="5580"/>
          </w:cols>
          <w:pgMar w:left="240" w:top="219" w:right="239" w:bottom="1440" w:gutter="0" w:footer="0" w:header="0"/>
          <w:type w:val="continuous"/>
        </w:sectPr>
      </w:pP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5805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sectPr>
      <w:pgSz w:w="11900" w:h="16838" w:orient="portrait"/>
      <w:cols w:equalWidth="0" w:num="1">
        <w:col w:w="11420"/>
      </w:cols>
      <w:pgMar w:left="240" w:top="2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1"/>
      <w:numFmt w:val="decimal"/>
      <w:start w:val="12"/>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3"/>
      <w:numFmt w:val="bullet"/>
      <w:start w:val="1"/>
    </w:lvl>
  </w:abstractNum>
  <w:abstractNum w:abstractNumId="8">
    <w:nsid w:val="66EF438D"/>
    <w:multiLevelType w:val="hybridMultilevel"/>
    <w:lvl w:ilvl="0">
      <w:lvlJc w:val="left"/>
      <w:lvlText w:val="4"/>
      <w:numFmt w:val="bullet"/>
      <w:start w:val="1"/>
    </w:lvl>
  </w:abstractNum>
  <w:abstractNum w:abstractNumId="9">
    <w:nsid w:val="140E0F76"/>
    <w:multiLevelType w:val="hybridMultilevel"/>
    <w:lvl w:ilvl="0">
      <w:lvlJc w:val="left"/>
      <w:lvlText w:val="%1"/>
      <w:numFmt w:val="decimal"/>
      <w:start w:val="12"/>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2019-12-07T05:02:58Z</dcterms:created>
  <dcterms:modified xsi:type="dcterms:W3CDTF">2019-12-07T05:02:58Z</dcterms:modified>
</cp:coreProperties>
</file>