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1306195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1100"/>
        <w:spacing w:after="0" w:line="223"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167640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167005</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0"/>
        <w:spacing w:after="0" w:line="209" w:lineRule="exact"/>
        <w:tabs>
          <w:tab w:leader="none" w:pos="2080" w:val="left"/>
          <w:tab w:leader="none" w:pos="3980" w:val="left"/>
          <w:tab w:leader="none" w:pos="740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76" w:lineRule="exact"/>
        <w:rPr>
          <w:rFonts w:ascii="MS PGothic" w:cs="MS PGothic" w:eastAsia="MS PGothic" w:hAnsi="MS PGothic"/>
          <w:sz w:val="18"/>
          <w:szCs w:val="18"/>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3" w:lineRule="exact"/>
        <w:rPr>
          <w:rFonts w:ascii="MS PGothic" w:cs="MS PGothic" w:eastAsia="MS PGothic" w:hAnsi="MS PGothic"/>
          <w:sz w:val="18"/>
          <w:szCs w:val="18"/>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ANAPTYSBIO, INC.</w:t>
      </w:r>
    </w:p>
    <w:p>
      <w:pPr>
        <w:ind w:left="3780"/>
        <w:spacing w:after="0" w:line="219" w:lineRule="auto"/>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ind w:left="5460"/>
        <w:spacing w:after="0" w:line="203" w:lineRule="auto"/>
        <w:rPr>
          <w:sz w:val="20"/>
          <w:szCs w:val="20"/>
          <w:color w:val="auto"/>
        </w:rPr>
      </w:pPr>
      <w:r>
        <w:rPr>
          <w:rFonts w:ascii="Times New Roman" w:cs="Times New Roman" w:eastAsia="Times New Roman" w:hAnsi="Times New Roman"/>
          <w:sz w:val="18"/>
          <w:szCs w:val="18"/>
          <w:b w:val="1"/>
          <w:bCs w:val="1"/>
          <w:color w:val="auto"/>
        </w:rPr>
        <w:t>N/A</w:t>
      </w:r>
    </w:p>
    <w:p>
      <w:pPr>
        <w:spacing w:after="0" w:line="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00" w:lineRule="exact"/>
        <w:rPr>
          <w:sz w:val="24"/>
          <w:szCs w:val="24"/>
          <w:color w:val="auto"/>
        </w:rPr>
      </w:pPr>
    </w:p>
    <w:p>
      <w:pPr>
        <w:spacing w:after="0" w:line="322" w:lineRule="exact"/>
        <w:rPr>
          <w:sz w:val="24"/>
          <w:szCs w:val="24"/>
          <w:color w:val="auto"/>
        </w:rPr>
      </w:pPr>
    </w:p>
    <w:p>
      <w:pPr>
        <w:ind w:left="920" w:hanging="638"/>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920" w:hanging="638"/>
        <w:spacing w:after="0"/>
        <w:tabs>
          <w:tab w:leader="none" w:pos="9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920" w:hanging="638"/>
        <w:spacing w:after="0"/>
        <w:tabs>
          <w:tab w:leader="none" w:pos="9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903605</wp:posOffset>
            </wp:positionV>
            <wp:extent cx="134556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08610"/>
                    </a:xfrm>
                    <a:prstGeom prst="rect">
                      <a:avLst/>
                    </a:prstGeom>
                    <a:noFill/>
                  </pic:spPr>
                </pic:pic>
              </a:graphicData>
            </a:graphic>
          </wp:anchor>
        </w:drawing>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24,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6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Stockholders of AnaptysBio, Inc. to be held at AnaptysBio’s corporate office at 10770 Wateridge Circle, Suite 210, San Diego, CA 92121, on Wednesday, June 12, 2024 at 7:30 a.m. (Pacific Time).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April 24, 2024, we expect to mail to stockholders a Notice of Internet Availability of Proxy Materials containing instructions on how to access our proxy statement for our 2024 Annual Meeting of Stockholders and our annual report on Form 10-K for the year ended December 31, 2023 to stockholders. The Notice of Internet Availability or Proxy Materials also provides instructions on how to vote through the Internet or by telephone and includes instructions on how to receive paper copies of the proxy materials by mail, if desired.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to be acted upon at the meeting are described in the accompanying notice of annual meeting and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in person, please vote on the Internet or by telephone, or request, sign and return a proxy card to ensure that your shares are represented at the meeting.</w:t>
      </w:r>
    </w:p>
    <w:p>
      <w:pPr>
        <w:spacing w:after="0" w:line="200" w:lineRule="exact"/>
        <w:rPr>
          <w:sz w:val="20"/>
          <w:szCs w:val="20"/>
          <w:color w:val="auto"/>
        </w:rPr>
      </w:pP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17145</wp:posOffset>
            </wp:positionV>
            <wp:extent cx="1525905"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90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Daniel Faga</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Wednesday, June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108585</wp:posOffset>
            </wp:positionV>
            <wp:extent cx="70980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9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NOTICE IS HEREBY GIVEN that the 2024 Annual Meeting of Stockholders of AnaptysBio, Inc. will be held at AnaptysBio’s corporate office at 10770 Wateridge Circle, Suite 210, San Diego, California 92121, on Wednesday, June 12, 2024 at 7:30 a.m. (Pacific Time).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holding the meeting for the following purposes, which are more fully described in the accompanying proxy statement:</w:t>
      </w:r>
    </w:p>
    <w:p>
      <w:pPr>
        <w:spacing w:after="0" w:line="196" w:lineRule="exact"/>
        <w:rPr>
          <w:sz w:val="20"/>
          <w:szCs w:val="20"/>
          <w:color w:val="auto"/>
        </w:rPr>
      </w:pPr>
    </w:p>
    <w:p>
      <w:pPr>
        <w:ind w:left="660" w:right="620" w:hanging="328"/>
        <w:spacing w:after="0" w:line="281" w:lineRule="auto"/>
        <w:tabs>
          <w:tab w:leader="none" w:pos="65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three Class I directors, each to serve three-year terms through the third annual meeting of stockholders following this meeting and until a successor has been elected and qualified or until earlier resignation or removal.</w:t>
      </w:r>
    </w:p>
    <w:p>
      <w:pPr>
        <w:spacing w:after="0" w:line="55"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KPMG LLP as our independent registered public accounting firm for the fiscal year ending December 31, 2024.</w:t>
      </w:r>
    </w:p>
    <w:p>
      <w:pPr>
        <w:spacing w:after="0" w:line="115"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conduct a non-binding advisory vote on the compensation of our named executive officers as disclosed in the accompanying materials.</w:t>
      </w:r>
    </w:p>
    <w:p>
      <w:pPr>
        <w:spacing w:after="0" w:line="128"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amendment and restatement of our 2017 Equity Incentive Plan (the “2017 Plan”).</w:t>
      </w:r>
    </w:p>
    <w:p>
      <w:pPr>
        <w:spacing w:after="0" w:line="183"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17"/>
          <w:szCs w:val="17"/>
          <w:color w:val="auto"/>
        </w:rPr>
        <w:t>In addition, stockholders may be asked to consider and vote upon such other business as may properly come before the meeting or any adjournment or postponement thereof.</w:t>
      </w:r>
    </w:p>
    <w:p>
      <w:pPr>
        <w:spacing w:after="0" w:line="136"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Only stockholders of record at the close of business on April 15, 2024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vote as an AnaptysBio, Inc. stockholder is very important. Each share of stock that you own represents one vote.</w:t>
      </w:r>
    </w:p>
    <w:p>
      <w:pPr>
        <w:spacing w:after="0" w:line="18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 Only stockholders entitled to vote, or their duly authorized representatives, are entitled to attend the meeting. If you intend to attend the meeting in person, you must email info@anaptysbio.com no later than 5:00 p.m. on June 5, 2024 to confirm your attendance.</w:t>
      </w:r>
    </w:p>
    <w:p>
      <w:pPr>
        <w:spacing w:after="0" w:line="2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164592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John Orwin</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2024</w:t>
      </w:r>
    </w:p>
    <w:p>
      <w:pPr>
        <w:sectPr>
          <w:pgSz w:w="11900" w:h="16838" w:orient="portrait"/>
          <w:cols w:equalWidth="0" w:num="1">
            <w:col w:w="11220"/>
          </w:cols>
          <w:pgMar w:left="320" w:top="1440" w:right="359" w:bottom="1440" w:gutter="0" w:footer="0" w:header="0"/>
        </w:sectPr>
      </w:pPr>
    </w:p>
    <w:bookmarkStart w:id="3" w:name="page4"/>
    <w:bookmarkEnd w:id="3"/>
    <w:p>
      <w:pPr>
        <w:spacing w:after="0" w:line="286"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Stockholders to be held on June 12, 2024: The Proxy Statement and our Annual Report on Form 10-K for the fiscal year ended December 31, 2023 are available at http://ir.anaptysbio.com.</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2024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0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INFORMATION ABOUT SOLICITATION AND VOTING</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r>
      <w:tr>
        <w:trPr>
          <w:trHeight w:val="209"/>
        </w:trPr>
        <w:tc>
          <w:tcPr>
            <w:tcW w:w="41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INTERNET AVAILABILITY OF PROXY MATERIALS</w:t>
            </w:r>
          </w:p>
        </w:tc>
        <w:tc>
          <w:tcPr>
            <w:tcW w:w="180" w:type="dxa"/>
            <w:vAlign w:val="bottom"/>
            <w:tcBorders>
              <w:top w:val="single" w:sz="8" w:color="0000FF"/>
            </w:tcBorders>
          </w:tcPr>
          <w:p>
            <w:pPr>
              <w:spacing w:after="0"/>
              <w:rPr>
                <w:sz w:val="18"/>
                <w:szCs w:val="18"/>
                <w:color w:val="auto"/>
              </w:rPr>
            </w:pPr>
          </w:p>
        </w:tc>
        <w:tc>
          <w:tcPr>
            <w:tcW w:w="6160" w:type="dxa"/>
            <w:vAlign w:val="bottom"/>
            <w:gridSpan w:val="8"/>
          </w:tcPr>
          <w:p>
            <w:pPr>
              <w:spacing w:after="0"/>
              <w:rPr>
                <w:sz w:val="18"/>
                <w:szCs w:val="18"/>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8"/>
                <w:szCs w:val="18"/>
                <w:color w:val="auto"/>
              </w:rPr>
            </w:pPr>
          </w:p>
        </w:tc>
      </w:tr>
      <w:tr>
        <w:trPr>
          <w:trHeight w:val="210"/>
        </w:trPr>
        <w:tc>
          <w:tcPr>
            <w:tcW w:w="4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GENERAL INFORMATION ABOUT THE MEETING</w:t>
            </w:r>
          </w:p>
        </w:tc>
        <w:tc>
          <w:tcPr>
            <w:tcW w:w="6440" w:type="dxa"/>
            <w:vAlign w:val="bottom"/>
            <w:gridSpan w:val="10"/>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8"/>
                <w:szCs w:val="18"/>
                <w:color w:val="auto"/>
              </w:rPr>
            </w:pPr>
          </w:p>
        </w:tc>
      </w:tr>
      <w:tr>
        <w:trPr>
          <w:trHeight w:val="209"/>
        </w:trPr>
        <w:tc>
          <w:tcPr>
            <w:tcW w:w="2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GENERAL PROXY INFORMATION</w:t>
            </w:r>
          </w:p>
        </w:tc>
        <w:tc>
          <w:tcPr>
            <w:tcW w:w="7700" w:type="dxa"/>
            <w:vAlign w:val="bottom"/>
            <w:gridSpan w:val="14"/>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8"/>
                <w:szCs w:val="18"/>
                <w:color w:val="auto"/>
              </w:rPr>
            </w:pPr>
          </w:p>
        </w:tc>
      </w:tr>
      <w:tr>
        <w:trPr>
          <w:trHeight w:val="209"/>
        </w:trPr>
        <w:tc>
          <w:tcPr>
            <w:tcW w:w="6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CORPORATE GOVERNANCE STANDARDS AND DIRECTOR INDEPENDENCE</w:t>
            </w:r>
          </w:p>
        </w:tc>
        <w:tc>
          <w:tcPr>
            <w:tcW w:w="4240" w:type="dxa"/>
            <w:vAlign w:val="bottom"/>
            <w:gridSpan w:val="5"/>
          </w:tcPr>
          <w:p>
            <w:pPr>
              <w:spacing w:after="0"/>
              <w:rPr>
                <w:sz w:val="18"/>
                <w:szCs w:val="18"/>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8"/>
                <w:szCs w:val="18"/>
                <w:color w:val="auto"/>
              </w:rPr>
            </w:pPr>
          </w:p>
        </w:tc>
      </w:tr>
      <w:tr>
        <w:trPr>
          <w:trHeight w:val="210"/>
        </w:trPr>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PROPOSAL NO. 1 ELECTION OF CLASS I DIRECTORS</w:t>
            </w:r>
          </w:p>
        </w:tc>
        <w:tc>
          <w:tcPr>
            <w:tcW w:w="6120" w:type="dxa"/>
            <w:vAlign w:val="bottom"/>
            <w:gridSpan w:val="7"/>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09"/>
        </w:trPr>
        <w:tc>
          <w:tcPr>
            <w:tcW w:w="10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NO. 2 RATIFICATION OF INDEPENDENT REGISTERED PUBLIC ACCOUNTING FIRM</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09"/>
        </w:trPr>
        <w:tc>
          <w:tcPr>
            <w:tcW w:w="77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2700" w:type="dxa"/>
            <w:vAlign w:val="bottom"/>
            <w:gridSpan w:val="3"/>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0"/>
        </w:trPr>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NO. 3 NON-BINDING ADVISORY VOTE ON COMPENSATION OF OUR NAMED EXECUTIVE OFFICERS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9"/>
        </w:trPr>
        <w:tc>
          <w:tcPr>
            <w:tcW w:w="89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4 APPROVAL OF THE AMENDMENT AND RESTATEMENT OF 2017 EQUITY INCENTIVE PLAN</w:t>
            </w:r>
          </w:p>
        </w:tc>
        <w:tc>
          <w:tcPr>
            <w:tcW w:w="280" w:type="dxa"/>
            <w:vAlign w:val="bottom"/>
            <w:tcBorders>
              <w:top w:val="single" w:sz="8" w:color="0000FF"/>
            </w:tcBorders>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18</w:t>
            </w:r>
          </w:p>
        </w:tc>
      </w:tr>
      <w:tr>
        <w:trPr>
          <w:trHeight w:val="210"/>
        </w:trPr>
        <w:tc>
          <w:tcPr>
            <w:tcW w:w="10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9"/>
        </w:trPr>
        <w:tc>
          <w:tcPr>
            <w:tcW w:w="6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3760" w:type="dxa"/>
            <w:vAlign w:val="bottom"/>
            <w:gridSpan w:val="4"/>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EXECUTIVE COMPENSATION TABLES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EQUITY COMPENSATION PLAN INFORMATION</w:t>
            </w:r>
          </w:p>
        </w:tc>
        <w:tc>
          <w:tcPr>
            <w:tcW w:w="6580" w:type="dxa"/>
            <w:vAlign w:val="bottom"/>
            <w:gridSpan w:val="11"/>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9"/>
        </w:trPr>
        <w:tc>
          <w:tcPr>
            <w:tcW w:w="10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RELATED-PARTY TRANSACTIONS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10"/>
        </w:trPr>
        <w:tc>
          <w:tcPr>
            <w:tcW w:w="24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ADDITIONAL INFORMATION</w:t>
            </w:r>
          </w:p>
        </w:tc>
        <w:tc>
          <w:tcPr>
            <w:tcW w:w="3080" w:type="dxa"/>
            <w:vAlign w:val="bottom"/>
            <w:tcBorders>
              <w:top w:val="single" w:sz="8" w:color="0000FF"/>
            </w:tcBorders>
            <w:gridSpan w:val="9"/>
          </w:tcPr>
          <w:p>
            <w:pPr>
              <w:spacing w:after="0"/>
              <w:rPr>
                <w:sz w:val="18"/>
                <w:szCs w:val="18"/>
                <w:color w:val="auto"/>
              </w:rPr>
            </w:pPr>
          </w:p>
        </w:tc>
        <w:tc>
          <w:tcPr>
            <w:tcW w:w="5000" w:type="dxa"/>
            <w:vAlign w:val="bottom"/>
            <w:gridSpan w:val="6"/>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10"/>
        </w:trPr>
        <w:tc>
          <w:tcPr>
            <w:tcW w:w="1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OTHER MATTERS</w:t>
            </w:r>
          </w:p>
        </w:tc>
        <w:tc>
          <w:tcPr>
            <w:tcW w:w="9020" w:type="dxa"/>
            <w:vAlign w:val="bottom"/>
            <w:gridSpan w:val="17"/>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10"/>
        </w:trPr>
        <w:tc>
          <w:tcPr>
            <w:tcW w:w="10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ANNEX A</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0"/>
        </w:trPr>
        <w:tc>
          <w:tcPr>
            <w:tcW w:w="8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396"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10770 Wateridge Circle, Suite 210</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0980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156845</wp:posOffset>
            </wp:positionV>
            <wp:extent cx="70980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Wednesday, June 12, 2024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SOLICITATION AND VOTING</w:t>
      </w:r>
    </w:p>
    <w:p>
      <w:pPr>
        <w:spacing w:after="0" w:line="16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accompanying proxy is solicited on behalf of AnaptysBio, Inc.’s board of directors (“Board”) for use at AnaptysBio’s 2024 Annual Meeting of Stockholders (“Annual Meeting”) to be held at AnaptysBio’s corporate office at 10770 Wateridge Circle, Suite 210, San Diego, California 92121, on Wednesday, June 12, 2024 at 7:30 a.m. (Pacific Time), and any adjournment or postponement thereof.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rules adopted by the Securities and Exchange Commission (“SEC”), we are furnishing proxy materials to our stockholders primarily via the Internet, instead of mailing printed copies to each stockholder. On or about April 24, 2024,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spacing w:after="0" w:line="1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Meeting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Quorum</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Only holders of record of common stock at the close of business on April 15, 2024, the record date, will be entitled to vote at the meeting. At the close of business on April 15, 2024, 27,318,644 shares of common stock were outstanding and entitled to vote.</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presence, in person or by proxy, of at least a majority of the shares of common stock outstanding on the record date will constitute a quorum. Both abstentions and broker non-votes are counted for the purpose of determining the presence of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PROXY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shares of common stock is entitled to one vote for each share of common stock held as of the close of business on April 15, 2024,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Shares Registered in Your Name. </w:t>
      </w:r>
      <w:r>
        <w:rPr>
          <w:rFonts w:ascii="Times New Roman" w:cs="Times New Roman" w:eastAsia="Times New Roman" w:hAnsi="Times New Roman"/>
          <w:sz w:val="18"/>
          <w:szCs w:val="18"/>
          <w:color w:val="auto"/>
        </w:rPr>
        <w:t>If, on April 15, 2024, your shares were registered directly in your name with our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Equiniti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Beneficial Owner: Shares Registered in the Name of a Broker or Nominee. </w:t>
      </w:r>
      <w:r>
        <w:rPr>
          <w:rFonts w:ascii="Times New Roman" w:cs="Times New Roman" w:eastAsia="Times New Roman" w:hAnsi="Times New Roman"/>
          <w:sz w:val="18"/>
          <w:szCs w:val="18"/>
          <w:color w:val="auto"/>
        </w:rPr>
        <w:t>If on April 15, 2024, your shares were held in an account with a brokerage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banks, brokers or other nominee accounts, they are entitled to vote shares held for a beneficial owner on “routine” matters without instructions from the beneficial owner of those shares. For “non-routine” matters, the beneficial owner of such shares is required to provide instructions to the bank, broker or other nominee in order for them to be entitled to vote the shares held for the beneficial owner. If you hold shares beneficially in street name and do not provide your broker or other agent with voting instructions, your shares may constitute “broker non-votes.” A “broker non-vote” occurs when shares held by a 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Your broker, fiduciary or custodian will only be able to vote your shares with respect to proposals considered to be “routine.” Your broker, fiduciary or custodian is not entitled to vote your shares with respect to “non-routine” proposals, which we refer to as a “broker non-vote.” Whether a proposal is considered routine or non-routine is subject to stock exchange rules and final determination by the stock exchange. Even with respect to routine matters, some brokers are choosing not to exercise discretionary voting authority. If a stockholder does not return voting instructions to their broker on how to vote their shares of common stock, such broker may be prevented from voting, or may otherwise choose not to vote, such shares held by such broker, resulting in broker non-votes with respect to such shares. To make sure that your vote is counted, you should instruct your broker to vote your shares of common stock, following the procedures provided by your broker.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9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1: </w:t>
      </w:r>
      <w:r>
        <w:rPr>
          <w:rFonts w:ascii="Times New Roman" w:cs="Times New Roman" w:eastAsia="Times New Roman" w:hAnsi="Times New Roman"/>
          <w:sz w:val="18"/>
          <w:szCs w:val="18"/>
          <w:color w:val="auto"/>
        </w:rPr>
        <w:t>Each director will be elected by a plurality of the votes cast at the meeting. This means that the three individuals nominated for election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at the meeting receiving the highest number of votes cast “FOR” that nominee will be elected. You may either vote “FOR” one or more of the nominees or “WITHHOLD” your vote with respect to any or all of nominees. You may not cumulate votes in the election of directors.</w:t>
      </w:r>
    </w:p>
    <w:p>
      <w:pPr>
        <w:spacing w:after="0" w:line="13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2: </w:t>
      </w:r>
      <w:r>
        <w:rPr>
          <w:rFonts w:ascii="Times New Roman" w:cs="Times New Roman" w:eastAsia="Times New Roman" w:hAnsi="Times New Roman"/>
          <w:sz w:val="18"/>
          <w:szCs w:val="18"/>
          <w:color w:val="auto"/>
        </w:rPr>
        <w:t>Approval of the ratification of the appointment of our independent registered public accounting firm will be obtained if the number of votes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cast “FOR” the proposal at the meeting exceeds the number of votes cast “AGAINST” the proposal.</w:t>
      </w:r>
    </w:p>
    <w:p>
      <w:pPr>
        <w:spacing w:after="0" w:line="11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3: </w:t>
      </w:r>
      <w:r>
        <w:rPr>
          <w:rFonts w:ascii="Times New Roman" w:cs="Times New Roman" w:eastAsia="Times New Roman" w:hAnsi="Times New Roman"/>
          <w:sz w:val="18"/>
          <w:szCs w:val="18"/>
          <w:color w:val="auto"/>
        </w:rPr>
        <w:t>The advisory vote on named executive officer compensation will be obtained if the number of votes cast “FOR” the proposal at the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exceeds the number of votes cast “AGAINST” the proposal. This vote is advisory and non-binding in nature.</w:t>
      </w:r>
    </w:p>
    <w:p>
      <w:pPr>
        <w:spacing w:after="0" w:line="12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4</w:t>
      </w:r>
      <w:r>
        <w:rPr>
          <w:rFonts w:ascii="Times New Roman" w:cs="Times New Roman" w:eastAsia="Times New Roman" w:hAnsi="Times New Roman"/>
          <w:sz w:val="18"/>
          <w:szCs w:val="18"/>
          <w:color w:val="auto"/>
        </w:rPr>
        <w:t>: Approval of the amendment and restatement of our 2017 Plan will be obtained if the number of votes cast “FOR” the proposal at the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exceeds the number of votes cast “AGAINST”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157" w:right="35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abstaining or broker non-votes will count for purposes of determining the presence of a quorum, but are not treated as votes cast for or against a matter and, therefore, will have no effect on the election of directors, the ratification of the appointment of KPMG LLP, the advisory vote on our named executive officer compensation or the proposal to approve the amendment and restatement of our 2017 Plan. Proposal 2 is considered a routine proposal and is subject to the discretionary vote of the broker.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 on Each of the Proposals Scheduled to be Voted on at the Meeting</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Class I directors named in this proxy statement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KPMG LLP as our independent registered public accounting firm for the fiscal year ending December 31, 2024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vote on named executive officer compensation (Proposal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amendment and restatement of our 2017 Plan (Proposal 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Instructions; Voting of Proxies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w:t>
      </w:r>
    </w:p>
    <w:p>
      <w:pPr>
        <w:spacing w:after="0" w:line="2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 we will provide a ballot to stockholders who attend the meeting and wish to vote in person;</w:t>
      </w:r>
    </w:p>
    <w:p>
      <w:pPr>
        <w:spacing w:after="0" w:line="9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through the Internet or by telephone - in order to do so, please follow the instructions shown on your Notice of Internet Availability or proxy card; or</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if you request or receive a paper proxy card and voting instructions by mail, simply complete, sign and date the proxy card and return it as soon as possible before the meeting in the envelope provided.</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Votes submitted through the Internet or by telephone must be received by 11:59 p.m., Eastern Time, on June 11, 2024.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w:t>
      </w:r>
    </w:p>
    <w:p>
      <w:pPr>
        <w:spacing w:after="0" w:line="13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For Proposal 1, you may vote “FOR” each of the nominees to the Board or you may “WITHHOLD” your vote from any nominee you specify. A “WITHHOLD” vote will have the same effect as a vote to abstain.</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Proposal 2, Proposal 3 and Proposal 4, you may vote “FOR” or “AGAINST” or “ABSTAIN” from voting. Your vote is important. Whether or not you plan to attend the meeting, we urge you to vote by proxy to ensure that your vote is counted.</w:t>
      </w:r>
    </w:p>
    <w:p>
      <w:pPr>
        <w:spacing w:after="0" w:line="255"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stated above.</w:t>
      </w:r>
    </w:p>
    <w:p>
      <w:pPr>
        <w:spacing w:after="0" w:line="1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the Internet. If you requested or received paper proxy materials by mail, please complete, sign and return each proxy card to ensure that all of your shares are voted.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Soliciting Proxies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will pay the expenses associated with soliciting proxies. Following the original distribution and mailing of the solicitation materials, we or our agents may solicit proxies by mail, electronic mail, telephone, facsimile, by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161" w:right="359" w:bottom="1440" w:gutter="0" w:footer="0" w:header="0"/>
        </w:sectPr>
      </w:pPr>
    </w:p>
    <w:bookmarkStart w:id="7" w:name="page8"/>
    <w:bookmarkEnd w:id="7"/>
    <w:p>
      <w:pPr>
        <w:ind w:right="120"/>
        <w:spacing w:after="0" w:line="258" w:lineRule="auto"/>
        <w:rPr>
          <w:sz w:val="20"/>
          <w:szCs w:val="20"/>
          <w:color w:val="auto"/>
        </w:rPr>
      </w:pPr>
      <w:r>
        <w:rPr>
          <w:rFonts w:ascii="Times New Roman" w:cs="Times New Roman" w:eastAsia="Times New Roman" w:hAnsi="Times New Roman"/>
          <w:sz w:val="18"/>
          <w:szCs w:val="18"/>
          <w:color w:val="auto"/>
        </w:rPr>
        <w:t>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stockholder of record who has given a proxy may revoke it at any time before the closing of the polls by the inspector of elections at the meeting by:</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our Corporate Secretary (by any means) a written notice stating that the proxy is revoked;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proxy bearing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through the Internet or by telephone;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meeting (although attendance at the meeting will not, by itself, revoke a proxy).</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Please note, however, that if your shares are held of record by a brokerage firm, bank or other nominee and you wish to revoke a proxy, you must contact that firm to revoke or change any prior voting instructions.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Access to the Proxy Materials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Internet Availability will provide you with instructions regarding how to:</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our proxy materials for the meeting through the Internet;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mail paper copies of our future proxy materials to you;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send our future proxy materials to you electronically by email.</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elections appointed for the meeting. The preliminary voting results will be announced at the meeting. The final results will be tallied by the inspector of elections and filed with the SEC in a current report on Form 8-K within four business days of the meeting.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of 1934, as amended (the “Exchange Act”), and have elected to provide in this proxy statement certain scaled disclosures permitted under the Exchange Act for smaller reporting companies. We will remain a “smaller reporting company” until the fiscal year following the determination that our voting and non-voting common shares held by non-affiliates is at least $250 million measured on the last business day of our second fiscal quarter, or our annual revenues are at least $100 million during the most recently completed fiscal year and our voting and non-voting common shares held by non-affiliates is at least $700 million measured on the last business day of our second fiscal quarter. Accordingly, the information contained in this proxy statement and the matters to be voted on at the Annual Meeting may not be as extensive as the information and proxy proposals submitted by other public companies that are not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161" w:right="3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 STANDARDS AND DIRECTOR INDEPENDENCE</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committed to good corporate governance practices. These practices provide an important framework within which our Board and management pursue our strategic objectives for the benefit of our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Board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Leadership Structure</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positions of Chief Executive Officer and Chairman of our Board are held by two different individuals. Daniel Faga has served as our President and Chief Executive Officer since August 3, 2023 and was our Interim President and Chief Executive Officer from March 21, 2022 through August 2, 2023. John Orwin serves as Chairman of our Board. This separated structure allows our Chief Executive Officer to focus on our day-to-day business while our Chairman leads our Board in its fundamental role of providing advice to, and independent oversight of, management. Our Board believes such separation is appropriate, as it enhances the accountability of the Chief Executive Officer to the Board and strengthens the independence of the Board from management.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believes that open communication between management and the Board is essential for effective risk management and oversight. Our Board meets with our Chief Executive Officer and other members of the senior management team at quarterly Board meetings, where, among other topics, they discuss strategy and risks in the context of reports from the management team and evaluate the risks inherent in significant transactions. While our Board is ultimately responsible for risk oversight, our board committees assist the Board in fulfilling its oversight responsibilities in certain areas of risk. The audit committee assists our Board in fulfilling its oversight responsibilities with respect to risk management in the areas of cybersecurity assessment and internal control over financial reporting and disclosure controls and procedures. The compensation committee assists our Board in assessing risks created by the incentives inherent in our compensation policies. The nominating and corporate governance committee assists our Board in fulfilling its oversight responsibilities with respect to the management of corporate, legal and regulatory risk.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Nasdaq rules, independent directors must comprise a majority of a listed company’s Board.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that person does not have a relationship that would interfere with the exercise of independent judgment in carrying out the responsibilities of a director.</w:t>
      </w:r>
    </w:p>
    <w:p>
      <w:pPr>
        <w:spacing w:after="0" w:line="14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determined that Dennis Fenton, Ph.D., Rita Jain, M.D., Magda Marquet, Ph.D., Hollings Renton, John P. Schmid, John Orwin, Oleg Nodelman and J. Anthony Ware, M.D., representing eight of our nine directors, are “independent directors” as defined under the applicable rules and regulations of the SEC, and the listing requirements and rules of Nasdaq. Mr. Faga is not independent given his role as our President and Chief Executive Officer. In making these determinations, our Board reviewed and discussed information provided by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157" w:right="359" w:bottom="1440" w:gutter="0" w:footer="0" w:header="0"/>
        </w:sectPr>
      </w:pPr>
    </w:p>
    <w:bookmarkStart w:id="9" w:name="page10"/>
    <w:bookmarkEnd w:id="9"/>
    <w:p>
      <w:pPr>
        <w:ind w:right="420"/>
        <w:spacing w:after="0" w:line="266" w:lineRule="auto"/>
        <w:rPr>
          <w:sz w:val="20"/>
          <w:szCs w:val="20"/>
          <w:color w:val="auto"/>
        </w:rPr>
      </w:pPr>
      <w:r>
        <w:rPr>
          <w:rFonts w:ascii="Times New Roman" w:cs="Times New Roman" w:eastAsia="Times New Roman" w:hAnsi="Times New Roman"/>
          <w:sz w:val="18"/>
          <w:szCs w:val="18"/>
          <w:color w:val="auto"/>
        </w:rPr>
        <w:t>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Related-Party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has an audit committee, a compensation committee, and a nominating and corporate governance committee, each of which has the composition and responsibilities described below. Members serve on these committees until their resignation or until otherwise determined by our Board. Each committee operates under a charter approved by our Board. Copies of each committee’s charter are posted on the investor relations section of our website at http://ir.anaptysbio.com.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committee is composed of Dr. Marquet, Mr. Schmid and Dr. Ware. Mr. Schmid is the chairperson of our audit committee. Dr. Marquet, Mr. Schmid and Dr. Ware each meet the requirements for independence under the current Nasdaq listing standards and SEC rules and regulations. Each member of our audit committee is financially literate. In addition, our Board has determined that Mr. Schmid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Our audit committee is responsible for, among other things:</w:t>
      </w:r>
    </w:p>
    <w:p>
      <w:pPr>
        <w:spacing w:after="0" w:line="7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our financial statement audits and the integrity of our financial statements;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person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registered independent public accounting firm;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cybersecurity risk management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with risk assessment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auditors;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our annual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0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compensation committee is composed of Dr. Fenton, Dr. Jain and Mr. Schmid. Dr. Fenton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spacing w:after="0" w:line="7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and director compensation arrangements, plans, policies and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any other board of director responsibilities relating to executive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policies for elements of risk;</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disclosures contained under the caption “Executive Compensation” for use in our annual proxy statement, if required;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the other responsibilities set forth in its charters as in effect from time to time.</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compensation committee retained an independent compensation consultant, Compensia, Inc. (“Compensia”), a national compensation consulting firm, to assist in structuring our executive officer and director compensation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61" w:right="339" w:bottom="144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t>Compensia provided our compensation committee with market data and analyses from a peer group of biotechnology companies with product candidates in a similar stage of development and similar financial and size characteristics. Compensia has not provided our company or our compensation committee with any other services that would compromise its independence or pose a conflict of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composed of Mr. Nodelman, Mr. Renton, Mr. Orwin and Dr. Ware.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15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corporate governance guidelines and policies;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on other corporate governance matters.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Codes of Business Conduct and Ethics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Board has adopted a Code of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pertaining to a member of our Board or one of our executive officers will be disclosed on our website at the above-referenced address.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Prohibitions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our Insider Trading Policy, our employees, executive officers, and members of our Board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equity swaps, collars and exchange funds; or (iii) purchasing our securities on margin, borrowing against any account in which our securities are held, or pledging our securities as collateral for a loan.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None of our executive officers has served as a member of the Board, or as a member of the compensation or similar committee, of any entity that has one or more executive officers who served on our Board or compensation committee during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Board and its committees meet regularly throughout the year and also hold special meetings and act by written consent from time to time. During 2023, the Board held six meetings, including by videoconference, the audit committee held four meetings, our compensation committee held four meetings and the nominating and corporate governance committee held four meetings. During 2023, none of the directors attended fewer than 75% of the aggregate of the total number of meetings held by the Board during his or her tenure and the total number of meetings held by all committees of the Board on which such director served during his or her tenure. The independent members of the Board also meet separately without management directors on a regular basis to discuss such matters as the independent directors consider appropriate.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at Annual Stockholders’ Meeting</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Nine directors were in attendance at our 2023 annual meeting of stockholders. We invite and encourage each member of our Board to attend our annual meetings of stockholders, however, we do not have a formal policy regarding attendance of annual meetings by the members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16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Stockholders and interested parties who wish to communicate with our Board, non-management members of our Board as a group, a committee of the Board or a specific member of our Board (including our Chairman) may do so by letters addressed to the attention of our Corporate Secretary, AnaptysBio, Inc., 10770 Wateridge Circle, Suite 210, San Diego, CA 92121.</w:t>
      </w:r>
    </w:p>
    <w:p>
      <w:pPr>
        <w:spacing w:after="0" w:line="13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All communications by letter addressed to the attention of our Corporate Secretary will be reviewed by the Corporate Secretary and provided to the members of the Board unless such communications are unsolicited items, sales materials and other routine items and items unrelated to the duties and responsibilities of the Board.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Due to the complex nature of our business, the Board believes it is important to consider diversity of race, ethnicity, gender, sexual orientation, age, education, cultural background, and professional experiences in evaluating board candidates in order to provide practical insights and diverse perspectives. In addition, on our Board there are two directors who hold medical doctorates and two directors who hold doctorates in scientific fields. Members of our Board self-identify as set forth in the table below. Each of the categories listed in the table below has the meaning set forth in Nasdaq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466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6215"/>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0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9</w:t>
            </w:r>
          </w:p>
        </w:tc>
        <w:tc>
          <w:tcPr>
            <w:tcW w:w="19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6120" w:type="dxa"/>
            <w:vAlign w:val="bottom"/>
            <w:tcBorders>
              <w:right w:val="single" w:sz="8" w:color="auto"/>
            </w:tcBorders>
            <w:shd w:val="clear" w:color="auto" w:fill="E5E5E5"/>
          </w:tcPr>
          <w:p>
            <w:pPr>
              <w:spacing w:after="0"/>
              <w:rPr>
                <w:sz w:val="11"/>
                <w:szCs w:val="11"/>
                <w:color w:val="auto"/>
              </w:rPr>
            </w:pPr>
          </w:p>
        </w:tc>
        <w:tc>
          <w:tcPr>
            <w:tcW w:w="1020" w:type="dxa"/>
            <w:vAlign w:val="bottom"/>
            <w:tcBorders>
              <w:right w:val="single" w:sz="8" w:color="auto"/>
            </w:tcBorders>
            <w:vMerge w:val="restart"/>
            <w:shd w:val="clear" w:color="auto" w:fill="E5E5E5"/>
          </w:tcPr>
          <w:p>
            <w:pPr>
              <w:ind w:left="260"/>
              <w:spacing w:after="0"/>
              <w:rPr>
                <w:sz w:val="20"/>
                <w:szCs w:val="20"/>
                <w:color w:val="auto"/>
              </w:rPr>
            </w:pPr>
            <w:r>
              <w:rPr>
                <w:rFonts w:ascii="Times New Roman" w:cs="Times New Roman" w:eastAsia="Times New Roman" w:hAnsi="Times New Roman"/>
                <w:sz w:val="14"/>
                <w:szCs w:val="14"/>
                <w:b w:val="1"/>
                <w:bCs w:val="1"/>
                <w:color w:val="auto"/>
              </w:rPr>
              <w:t>Woman</w:t>
            </w:r>
          </w:p>
        </w:tc>
        <w:tc>
          <w:tcPr>
            <w:tcW w:w="960" w:type="dxa"/>
            <w:vAlign w:val="bottom"/>
            <w:tcBorders>
              <w:right w:val="single" w:sz="8" w:color="auto"/>
            </w:tcBorders>
            <w:vMerge w:val="restart"/>
            <w:shd w:val="clear" w:color="auto" w:fill="E5E5E5"/>
          </w:tcPr>
          <w:p>
            <w:pPr>
              <w:ind w:left="320"/>
              <w:spacing w:after="0"/>
              <w:rPr>
                <w:sz w:val="20"/>
                <w:szCs w:val="20"/>
                <w:color w:val="auto"/>
              </w:rPr>
            </w:pPr>
            <w:r>
              <w:rPr>
                <w:rFonts w:ascii="Times New Roman" w:cs="Times New Roman" w:eastAsia="Times New Roman" w:hAnsi="Times New Roman"/>
                <w:sz w:val="14"/>
                <w:szCs w:val="14"/>
                <w:b w:val="1"/>
                <w:bCs w:val="1"/>
                <w:color w:val="auto"/>
              </w:rPr>
              <w:t>Man</w:t>
            </w:r>
          </w:p>
        </w:tc>
        <w:tc>
          <w:tcPr>
            <w:tcW w:w="1220" w:type="dxa"/>
            <w:vAlign w:val="bottom"/>
            <w:tcBorders>
              <w:right w:val="single" w:sz="8" w:color="auto"/>
            </w:tcBorders>
            <w:vMerge w:val="restart"/>
            <w:shd w:val="clear" w:color="auto" w:fill="E5E5E5"/>
          </w:tcPr>
          <w:p>
            <w:pPr>
              <w:ind w:left="240"/>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900" w:type="dxa"/>
            <w:vAlign w:val="bottom"/>
            <w:shd w:val="clear" w:color="auto" w:fill="E5E5E5"/>
          </w:tcPr>
          <w:p>
            <w:pPr>
              <w:ind w:left="420"/>
              <w:spacing w:after="0" w:line="129" w:lineRule="exact"/>
              <w:rPr>
                <w:sz w:val="20"/>
                <w:szCs w:val="20"/>
                <w:color w:val="auto"/>
              </w:rPr>
            </w:pPr>
            <w:r>
              <w:rPr>
                <w:rFonts w:ascii="Times New Roman" w:cs="Times New Roman" w:eastAsia="Times New Roman" w:hAnsi="Times New Roman"/>
                <w:sz w:val="14"/>
                <w:szCs w:val="14"/>
                <w:b w:val="1"/>
                <w:bCs w:val="1"/>
                <w:color w:val="auto"/>
              </w:rPr>
              <w:t>Did Not Disclose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120" w:type="dxa"/>
            <w:vAlign w:val="bottom"/>
            <w:tcBorders>
              <w:bottom w:val="single" w:sz="8" w:color="auto"/>
              <w:right w:val="single" w:sz="8" w:color="auto"/>
            </w:tcBorders>
            <w:shd w:val="clear" w:color="auto" w:fill="E5E5E5"/>
          </w:tcPr>
          <w:p>
            <w:pPr>
              <w:spacing w:after="0"/>
              <w:rPr>
                <w:sz w:val="17"/>
                <w:szCs w:val="17"/>
                <w:color w:val="auto"/>
              </w:rPr>
            </w:pPr>
          </w:p>
        </w:tc>
        <w:tc>
          <w:tcPr>
            <w:tcW w:w="1020" w:type="dxa"/>
            <w:vAlign w:val="bottom"/>
            <w:tcBorders>
              <w:bottom w:val="single" w:sz="8" w:color="auto"/>
              <w:right w:val="single" w:sz="8" w:color="auto"/>
            </w:tcBorders>
            <w:vMerge w:val="continue"/>
            <w:shd w:val="clear" w:color="auto" w:fill="E5E5E5"/>
          </w:tcPr>
          <w:p>
            <w:pPr>
              <w:spacing w:after="0"/>
              <w:rPr>
                <w:sz w:val="17"/>
                <w:szCs w:val="17"/>
                <w:color w:val="auto"/>
              </w:rPr>
            </w:pPr>
          </w:p>
        </w:tc>
        <w:tc>
          <w:tcPr>
            <w:tcW w:w="960" w:type="dxa"/>
            <w:vAlign w:val="bottom"/>
            <w:tcBorders>
              <w:bottom w:val="single" w:sz="8" w:color="auto"/>
              <w:right w:val="single" w:sz="8" w:color="auto"/>
            </w:tcBorders>
            <w:vMerge w:val="continue"/>
            <w:shd w:val="clear" w:color="auto" w:fill="E5E5E5"/>
          </w:tcPr>
          <w:p>
            <w:pPr>
              <w:spacing w:after="0"/>
              <w:rPr>
                <w:sz w:val="17"/>
                <w:szCs w:val="17"/>
                <w:color w:val="auto"/>
              </w:rPr>
            </w:pPr>
          </w:p>
        </w:tc>
        <w:tc>
          <w:tcPr>
            <w:tcW w:w="1220" w:type="dxa"/>
            <w:vAlign w:val="bottom"/>
            <w:tcBorders>
              <w:bottom w:val="single" w:sz="8" w:color="auto"/>
              <w:right w:val="single" w:sz="8" w:color="auto"/>
            </w:tcBorders>
            <w:vMerge w:val="continue"/>
            <w:shd w:val="clear" w:color="auto" w:fill="E5E5E5"/>
          </w:tcPr>
          <w:p>
            <w:pPr>
              <w:spacing w:after="0"/>
              <w:rPr>
                <w:sz w:val="17"/>
                <w:szCs w:val="17"/>
                <w:color w:val="auto"/>
              </w:rPr>
            </w:pPr>
          </w:p>
        </w:tc>
        <w:tc>
          <w:tcPr>
            <w:tcW w:w="1900" w:type="dxa"/>
            <w:vAlign w:val="bottom"/>
            <w:tcBorders>
              <w:bottom w:val="single" w:sz="8" w:color="auto"/>
            </w:tcBorders>
            <w:shd w:val="clear" w:color="auto" w:fill="E5E5E5"/>
          </w:tcPr>
          <w:p>
            <w:pPr>
              <w:ind w:left="7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20" w:type="dxa"/>
            <w:vAlign w:val="bottom"/>
            <w:tcBorders>
              <w:bottom w:val="single" w:sz="8" w:color="auto"/>
              <w:right w:val="single" w:sz="8" w:color="E5E5E5"/>
            </w:tcBorders>
            <w:shd w:val="clear" w:color="auto" w:fill="E5E5E5"/>
          </w:tcPr>
          <w:p>
            <w:pPr>
              <w:ind w:left="14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020" w:type="dxa"/>
            <w:vAlign w:val="bottom"/>
            <w:tcBorders>
              <w:bottom w:val="single" w:sz="8" w:color="auto"/>
              <w:right w:val="single" w:sz="8" w:color="E5E5E5"/>
            </w:tcBorders>
            <w:shd w:val="clear" w:color="auto" w:fill="E5E5E5"/>
          </w:tcPr>
          <w:p>
            <w:pPr>
              <w:spacing w:after="0"/>
              <w:rPr>
                <w:sz w:val="19"/>
                <w:szCs w:val="19"/>
                <w:color w:val="auto"/>
              </w:rPr>
            </w:pPr>
          </w:p>
        </w:tc>
        <w:tc>
          <w:tcPr>
            <w:tcW w:w="960" w:type="dxa"/>
            <w:vAlign w:val="bottom"/>
            <w:tcBorders>
              <w:bottom w:val="single" w:sz="8" w:color="auto"/>
              <w:right w:val="single" w:sz="8" w:color="E5E5E5"/>
            </w:tcBorders>
            <w:shd w:val="clear" w:color="auto" w:fill="E5E5E5"/>
          </w:tcPr>
          <w:p>
            <w:pPr>
              <w:spacing w:after="0"/>
              <w:rPr>
                <w:sz w:val="19"/>
                <w:szCs w:val="19"/>
                <w:color w:val="auto"/>
              </w:rPr>
            </w:pPr>
          </w:p>
        </w:tc>
        <w:tc>
          <w:tcPr>
            <w:tcW w:w="1220" w:type="dxa"/>
            <w:vAlign w:val="bottom"/>
            <w:tcBorders>
              <w:bottom w:val="single" w:sz="8" w:color="auto"/>
              <w:right w:val="single" w:sz="8" w:color="E5E5E5"/>
            </w:tcBorders>
            <w:shd w:val="clear" w:color="auto" w:fill="E5E5E5"/>
          </w:tcPr>
          <w:p>
            <w:pPr>
              <w:spacing w:after="0"/>
              <w:rPr>
                <w:sz w:val="19"/>
                <w:szCs w:val="19"/>
                <w:color w:val="auto"/>
              </w:rPr>
            </w:pPr>
          </w:p>
        </w:tc>
        <w:tc>
          <w:tcPr>
            <w:tcW w:w="1900" w:type="dxa"/>
            <w:vAlign w:val="bottom"/>
            <w:tcBorders>
              <w:bottom w:val="single" w:sz="8" w:color="auto"/>
            </w:tcBorders>
            <w:shd w:val="clear" w:color="auto" w:fill="E5E5E5"/>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1020" w:type="dxa"/>
            <w:vAlign w:val="bottom"/>
            <w:tcBorders>
              <w:bottom w:val="single" w:sz="8" w:color="auto"/>
              <w:right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auto"/>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E5E5E5"/>
            </w:tcBorders>
            <w:shd w:val="clear" w:color="auto" w:fill="E5E5E5"/>
          </w:tcPr>
          <w:p>
            <w:pPr>
              <w:ind w:left="14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1020" w:type="dxa"/>
            <w:vAlign w:val="bottom"/>
            <w:tcBorders>
              <w:bottom w:val="single" w:sz="8" w:color="auto"/>
              <w:right w:val="single" w:sz="8" w:color="E5E5E5"/>
            </w:tcBorders>
            <w:shd w:val="clear" w:color="auto" w:fill="E5E5E5"/>
          </w:tcPr>
          <w:p>
            <w:pPr>
              <w:spacing w:after="0"/>
              <w:rPr>
                <w:sz w:val="19"/>
                <w:szCs w:val="19"/>
                <w:color w:val="auto"/>
              </w:rPr>
            </w:pPr>
          </w:p>
        </w:tc>
        <w:tc>
          <w:tcPr>
            <w:tcW w:w="960" w:type="dxa"/>
            <w:vAlign w:val="bottom"/>
            <w:tcBorders>
              <w:bottom w:val="single" w:sz="8" w:color="auto"/>
              <w:right w:val="single" w:sz="8" w:color="E5E5E5"/>
            </w:tcBorders>
            <w:shd w:val="clear" w:color="auto" w:fill="E5E5E5"/>
          </w:tcPr>
          <w:p>
            <w:pPr>
              <w:spacing w:after="0"/>
              <w:rPr>
                <w:sz w:val="19"/>
                <w:szCs w:val="19"/>
                <w:color w:val="auto"/>
              </w:rPr>
            </w:pPr>
          </w:p>
        </w:tc>
        <w:tc>
          <w:tcPr>
            <w:tcW w:w="1220" w:type="dxa"/>
            <w:vAlign w:val="bottom"/>
            <w:tcBorders>
              <w:bottom w:val="single" w:sz="8" w:color="auto"/>
              <w:right w:val="single" w:sz="8" w:color="E5E5E5"/>
            </w:tcBorders>
            <w:shd w:val="clear" w:color="auto" w:fill="E5E5E5"/>
          </w:tcPr>
          <w:p>
            <w:pPr>
              <w:spacing w:after="0"/>
              <w:rPr>
                <w:sz w:val="19"/>
                <w:szCs w:val="19"/>
                <w:color w:val="auto"/>
              </w:rPr>
            </w:pPr>
          </w:p>
        </w:tc>
        <w:tc>
          <w:tcPr>
            <w:tcW w:w="1900" w:type="dxa"/>
            <w:vAlign w:val="bottom"/>
            <w:tcBorders>
              <w:bottom w:val="single" w:sz="8" w:color="auto"/>
            </w:tcBorders>
            <w:shd w:val="clear" w:color="auto" w:fill="E5E5E5"/>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Asian</w:t>
            </w:r>
          </w:p>
        </w:tc>
        <w:tc>
          <w:tcPr>
            <w:tcW w:w="1020" w:type="dxa"/>
            <w:vAlign w:val="bottom"/>
            <w:tcBorders>
              <w:bottom w:val="single" w:sz="8" w:color="auto"/>
              <w:right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bottom w:val="single" w:sz="8" w:color="auto"/>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Hispanic or Latinx</w:t>
            </w:r>
          </w:p>
        </w:tc>
        <w:tc>
          <w:tcPr>
            <w:tcW w:w="1020" w:type="dxa"/>
            <w:vAlign w:val="bottom"/>
            <w:tcBorders>
              <w:bottom w:val="single" w:sz="8" w:color="auto"/>
              <w:right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bottom w:val="single" w:sz="8" w:color="auto"/>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White</w:t>
            </w:r>
          </w:p>
        </w:tc>
        <w:tc>
          <w:tcPr>
            <w:tcW w:w="1020" w:type="dxa"/>
            <w:vAlign w:val="bottom"/>
            <w:tcBorders>
              <w:bottom w:val="single" w:sz="8" w:color="auto"/>
              <w:right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see our Board Diversity Matrix as of April 7, 2023, please see our proxy statement related to our 2023 annual meeting, filed with the SEC on April 27,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89"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evaluating and recommending candidates to the Board for board membership. A variety of methods are used to identify and evaluate director nominees, with the goal of maintaining and further developing a diverse, experienced and highly qualified Board. Candidates may come to our attention through current members of our Board, professional search firms, stockholders or other persons.</w:t>
      </w:r>
    </w:p>
    <w:p>
      <w:pPr>
        <w:spacing w:after="0" w:line="13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will recommend to the Board for selection all nominees to be proposed by the Board for election by the stockholders, including approval or recommendation of a slate of director nominees to be proposed by the Board for election at each annual meeting of stockholders, and will recommend all director nominees to be appointed by the Board to fill interim director vacancies.</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encourages selection of directors who will contribute to the Company’s overall corporate goals. The nominating and corporate governance committee may from time to time review and recommend to the Board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Exceptional candidates who do not meet all of these criteria may still be considered. In evaluating potential candidates for the Board, the nominating and corporate governance committee considers these factors in the light of the specific needs of the Board at that time.</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under our Corporate Governance Guidelines, a director is expected to spend the time and effort necessary to properly discharge such director’s responsibilities. Accordingly, a director is expected to regularly attend meetings of the Board and committees on which such director sits, and to review prior to meetings material distributed in advance for such meetings. Thus, the number of other public company boards and other boards (or comparable governing bodies) on which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57" w:right="339" w:bottom="1440" w:gutter="0" w:footer="0" w:header="0"/>
        </w:sectPr>
      </w:pPr>
    </w:p>
    <w:bookmarkStart w:id="12" w:name="page13"/>
    <w:bookmarkEnd w:id="12"/>
    <w:p>
      <w:pPr>
        <w:ind w:right="60"/>
        <w:spacing w:after="0" w:line="261" w:lineRule="auto"/>
        <w:rPr>
          <w:sz w:val="20"/>
          <w:szCs w:val="20"/>
          <w:color w:val="auto"/>
        </w:rPr>
      </w:pPr>
      <w:r>
        <w:rPr>
          <w:rFonts w:ascii="Times New Roman" w:cs="Times New Roman" w:eastAsia="Times New Roman" w:hAnsi="Times New Roman"/>
          <w:sz w:val="18"/>
          <w:szCs w:val="18"/>
          <w:color w:val="auto"/>
        </w:rPr>
        <w:t>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properly submitted stockholder recommendations for candidates for our Board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by complying with the procedures in Article I, Section 1.12 of our Bylaws. Any eligible stockholder who wishes to submit a nomination should review the requirements in the Bylaws on nominations by stockholders. Any nomination should be sent in writing to our Corporate Secretary, AnaptysBio, Inc., 10770 Wateridge Circle, Suite 210, San Diego, CA 92121. Submissions must include the full name of the proposed nominee, complete biographical information, a description of the proposed nominee’s qualifications as a director, other information regarding the nominee and proposing stockholder as specified in our Bylaws, and certain representations regarding the nomination.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Stockholders are also advised to review our Bylaws, which contain additional requirements with respect to advance notice of stockholder proposals and director nominations. In addition to satisfying the foregoing requirements under the Bylaws, to comply with the universal proxy rules, stockholders who intend to solicit proxies in support of director nominees other than the Company’s nominees for the 2025 Annual Meeting of Stockholders must provide notice that sets forth the information required by Rule 14a-19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61"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CLASS I DIRECTORS</w:t>
      </w:r>
    </w:p>
    <w:p>
      <w:pPr>
        <w:spacing w:after="0" w:line="16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Each class serves for three years, with the terms of office of the respective classes expiring in successive years. Directors and director nominees in Class I will stand for election at this meeting. The terms of office of directors in Class II and Class III do not expire until the annual meetings of stockholders to be held in 2025 and 2026,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I directors, whose terms will expire at this Annual Meeting, are Mr. Faga, Dr. Fenton and Mr. Nodelman.</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recommended to our Board, and our Board nominated, Mr. Faga, Dr. Fenton and Mr. Nodelman, each an incumbent Class I director, for election as Class I directors at the Annual Meeting. At the recommendation of our nominating and corporate governance committee, our Board proposes that each of Mr. Faga, Dr. Fenton and Mr. Nodelman be elected as a Class I director for a three-year term expiring at the annual meeting of stockholders to be held in 2027 and until such director’s successor is duly elected and qualified or until such director’s earlier resignation or removal.</w:t>
      </w:r>
    </w:p>
    <w:p>
      <w:pPr>
        <w:spacing w:after="0" w:line="14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Each director will be elected by a plurality of the votes present in person or represented by proxy at the meeting and entitled to vote on the election of directors. This means that the three individuals nominated for election to the Board at the meeting receiving the highest number of “FOR” votes will be elected. You may either vote “FOR” one or more nominees or “WITHHOLD” your vote with respect to any or all of the individuals nominated for election to the Board. A “WITHHOLD” vote will have the same effect as an abstention. You may not cumulate votes in the election of directors. Shares represented by proxies will be voted “FOR” the election of each of the Class I nominees, unless the proxy is marked to withhold authority to so vote.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three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to the Board</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nominees and their ages are provided in the table below. Additional biographical information for each nominee is set forth in the text below the table.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20" w:type="dxa"/>
            <w:vAlign w:val="bottom"/>
            <w:tcBorders>
              <w:bottom w:val="single" w:sz="8" w:color="auto"/>
            </w:tcBorders>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 and Class</w:t>
            </w:r>
          </w:p>
        </w:tc>
      </w:tr>
      <w:tr>
        <w:trPr>
          <w:trHeight w:val="223"/>
        </w:trPr>
        <w:tc>
          <w:tcPr>
            <w:tcW w:w="3720" w:type="dxa"/>
            <w:vAlign w:val="bottom"/>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Daniel Faga</w:t>
            </w:r>
            <w:r>
              <w:rPr>
                <w:rFonts w:ascii="Times New Roman" w:cs="Times New Roman" w:eastAsia="Times New Roman" w:hAnsi="Times New Roman"/>
                <w:sz w:val="23"/>
                <w:szCs w:val="23"/>
                <w:color w:val="auto"/>
                <w:vertAlign w:val="superscript"/>
              </w:rPr>
              <w:t>(1)</w:t>
            </w:r>
          </w:p>
        </w:tc>
        <w:tc>
          <w:tcPr>
            <w:tcW w:w="25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99"/>
              </w:rPr>
              <w:t>44</w:t>
            </w:r>
          </w:p>
        </w:tc>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30"/>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Dennis Fenton, Ph.D.</w:t>
            </w:r>
            <w:r>
              <w:rPr>
                <w:rFonts w:ascii="Times New Roman" w:cs="Times New Roman" w:eastAsia="Times New Roman" w:hAnsi="Times New Roman"/>
                <w:sz w:val="23"/>
                <w:szCs w:val="23"/>
                <w:color w:val="auto"/>
                <w:vertAlign w:val="superscript"/>
              </w:rPr>
              <w:t>(2)</w:t>
            </w:r>
          </w:p>
        </w:tc>
        <w:tc>
          <w:tcPr>
            <w:tcW w:w="25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72</w:t>
            </w: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Oleg Nodelman</w:t>
            </w:r>
            <w:r>
              <w:rPr>
                <w:rFonts w:ascii="Times New Roman" w:cs="Times New Roman" w:eastAsia="Times New Roman" w:hAnsi="Times New Roman"/>
                <w:sz w:val="23"/>
                <w:szCs w:val="23"/>
                <w:color w:val="auto"/>
                <w:vertAlign w:val="superscript"/>
              </w:rPr>
              <w:t>(3)</w:t>
            </w:r>
          </w:p>
        </w:tc>
        <w:tc>
          <w:tcPr>
            <w:tcW w:w="25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99"/>
              </w:rPr>
              <w:t>47</w:t>
            </w:r>
          </w:p>
        </w:tc>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 Class I</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Faga is our President and Chief Executive Officer</w:t>
      </w:r>
    </w:p>
    <w:p>
      <w:pPr>
        <w:spacing w:after="0" w:line="12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13"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2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Faga </w:t>
      </w:r>
      <w:r>
        <w:rPr>
          <w:rFonts w:ascii="Times New Roman" w:cs="Times New Roman" w:eastAsia="Times New Roman" w:hAnsi="Times New Roman"/>
          <w:sz w:val="18"/>
          <w:szCs w:val="18"/>
          <w:color w:val="auto"/>
        </w:rPr>
        <w:t>has served as a member of our Board since November 2021, and has served as our President and Chief Executive Officer since August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Faga previously served as our Interim President and Chief Executive Officer from March 2022 to August 2023. From January 2020 to November 2021, Mr. Faga served as Chief Operating Officer at Mirati Therapeutics, responsible for leading the company’s corporate strategy, finance, legal and other business operations. Prior to joining Mirati, Mr. Faga served as the Chief Business Officer for Spark Therapeutics, Inc. from May 2016 through December 2019, where he was responsible for leading the company’s corporate strategy, portfolio and new product planning, patient advocacy, business development, alliance management, asset &amp; program management and corporate communications functions. From July 2009 until April 2016, Mr. Faga was a Managing Director at Centerview Partners, an investment banking and advisory firm, where he served as a founding member of Centerview’s healthcare advisory practice. Prior to Centerview, Mr. Faga worked at Merrill Lynch in its healthcare investment banking group and as a management consultant in the Life Sciences Practice at PRTM. Mr. Faga earned a B.S. in Engineering from Cornell University and an M.B.A. in Health Care Management from The Wharton School at the University of Pennsylvania. Our Board believes that Mr. Faga’s extensive industry experience and executive experience provides him with the qualifications and skills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57" w:right="339" w:bottom="1440" w:gutter="0" w:footer="0" w:header="0"/>
        </w:sectPr>
      </w:pPr>
    </w:p>
    <w:bookmarkStart w:id="14" w:name="page15"/>
    <w:bookmarkEnd w:id="14"/>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Dennis Fenton, Ph.D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 member of our Board since March 2018. From 1981 to 2008, Dr. Fenton held numerous positions at Amgen,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Dr. Fenton previously served on the boards of directors of Sienna Biopharmaceuticals, Inc. from October 2016 to December 2019, Portola Pharmaceuticals, Inc. from February 2015 to July 2020 and Pfenex Inc., a publicly traded company, from September 2015 to May 2018. Dr. Fenton holds a B.S. in Biology from Manhattan College and a Ph.D. in Microbiology from Rutgers University. Our Board believes that Dr. Fenton’s extensive experience in the life sciences industry provides him with the qualifications and skills to serve on our Board.</w:t>
      </w:r>
    </w:p>
    <w:p>
      <w:pPr>
        <w:spacing w:after="0" w:line="1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Oleg Nodelman </w:t>
      </w:r>
      <w:r>
        <w:rPr>
          <w:rFonts w:ascii="Times New Roman" w:cs="Times New Roman" w:eastAsia="Times New Roman" w:hAnsi="Times New Roman"/>
          <w:sz w:val="18"/>
          <w:szCs w:val="18"/>
          <w:color w:val="auto"/>
        </w:rPr>
        <w:t>has served as a member of our Board since April 2021. Since October 2013, Mr. Nodelman has served as the Founder and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Manager of EcoR1 Capital LLC, a biotech-focused investment advisory firm established in 2013, and one of our principal shareholders. Previously, Mr. Nodelman served as a Portfolio Manager at BVF Partners from 2001 to 2012. Mr. Nodelman earned a B.S.F.S. in Science and Technology from Georgetown University, School of Foreign Service in 1999. Mr. Nodelman currently serves on the board of directors of Prothena Corporation plc, and served on the board of directors of Nuvation Bio Inc. from February 2021 to December 2023 and Panacea Acquisition Corp. II from April 2020 to February 2021. Our Board believes that Mr. Nodelman’s extensive industry experience provides him with the qualifications and skills to serve on our Board.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0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directors who are serving or who have been appointed for terms that end following the meeting, and their ages (as of the date of this Proxy Statement), occupations and length of board service are provided in the table below. Additional biographical information for each nominee is set forth in the text below the table.</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6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4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Position and Class</w:t>
            </w:r>
          </w:p>
        </w:tc>
      </w:tr>
      <w:tr>
        <w:trPr>
          <w:trHeight w:val="219"/>
        </w:trPr>
        <w:tc>
          <w:tcPr>
            <w:tcW w:w="3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Rita Jain, M.D.</w:t>
            </w:r>
            <w:r>
              <w:rPr>
                <w:rFonts w:ascii="Times New Roman" w:cs="Times New Roman" w:eastAsia="Times New Roman" w:hAnsi="Times New Roman"/>
                <w:sz w:val="21"/>
                <w:szCs w:val="21"/>
                <w:color w:val="auto"/>
                <w:vertAlign w:val="superscript"/>
              </w:rPr>
              <w:t>(1)</w:t>
            </w:r>
          </w:p>
        </w:tc>
        <w:tc>
          <w:tcPr>
            <w:tcW w:w="2160" w:type="dxa"/>
            <w:vAlign w:val="bottom"/>
            <w:shd w:val="clear" w:color="auto" w:fill="CCEEFF"/>
          </w:tcPr>
          <w:p>
            <w:pPr>
              <w:jc w:val="center"/>
              <w:ind w:left="1439"/>
              <w:spacing w:after="0"/>
              <w:rPr>
                <w:sz w:val="20"/>
                <w:szCs w:val="20"/>
                <w:color w:val="auto"/>
              </w:rPr>
            </w:pPr>
            <w:r>
              <w:rPr>
                <w:rFonts w:ascii="Times New Roman" w:cs="Times New Roman" w:eastAsia="Times New Roman" w:hAnsi="Times New Roman"/>
                <w:sz w:val="16"/>
                <w:szCs w:val="16"/>
                <w:color w:val="auto"/>
                <w:w w:val="99"/>
              </w:rPr>
              <w:t>61</w:t>
            </w: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Director, Class II</w:t>
            </w:r>
          </w:p>
        </w:tc>
      </w:tr>
      <w:tr>
        <w:trPr>
          <w:trHeight w:val="216"/>
        </w:trPr>
        <w:tc>
          <w:tcPr>
            <w:tcW w:w="3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John Orwin</w:t>
            </w:r>
            <w:r>
              <w:rPr>
                <w:rFonts w:ascii="Times New Roman" w:cs="Times New Roman" w:eastAsia="Times New Roman" w:hAnsi="Times New Roman"/>
                <w:sz w:val="21"/>
                <w:szCs w:val="21"/>
                <w:color w:val="auto"/>
                <w:vertAlign w:val="superscript"/>
              </w:rPr>
              <w:t>(2)</w:t>
            </w:r>
          </w:p>
        </w:tc>
        <w:tc>
          <w:tcPr>
            <w:tcW w:w="216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62</w:t>
            </w:r>
          </w:p>
        </w:tc>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Chairman of the Board, Class II</w:t>
            </w:r>
          </w:p>
        </w:tc>
      </w:tr>
      <w:tr>
        <w:trPr>
          <w:trHeight w:val="216"/>
        </w:trPr>
        <w:tc>
          <w:tcPr>
            <w:tcW w:w="3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J. Anthony Ware, M.D.</w:t>
            </w:r>
            <w:r>
              <w:rPr>
                <w:rFonts w:ascii="Times New Roman" w:cs="Times New Roman" w:eastAsia="Times New Roman" w:hAnsi="Times New Roman"/>
                <w:sz w:val="21"/>
                <w:szCs w:val="21"/>
                <w:color w:val="auto"/>
                <w:vertAlign w:val="superscript"/>
              </w:rPr>
              <w:t>(2)(3)</w:t>
            </w:r>
          </w:p>
        </w:tc>
        <w:tc>
          <w:tcPr>
            <w:tcW w:w="2160" w:type="dxa"/>
            <w:vAlign w:val="bottom"/>
            <w:shd w:val="clear" w:color="auto" w:fill="CCEEFF"/>
          </w:tcPr>
          <w:p>
            <w:pPr>
              <w:jc w:val="center"/>
              <w:ind w:left="1439"/>
              <w:spacing w:after="0"/>
              <w:rPr>
                <w:sz w:val="20"/>
                <w:szCs w:val="20"/>
                <w:color w:val="auto"/>
              </w:rPr>
            </w:pPr>
            <w:r>
              <w:rPr>
                <w:rFonts w:ascii="Times New Roman" w:cs="Times New Roman" w:eastAsia="Times New Roman" w:hAnsi="Times New Roman"/>
                <w:sz w:val="16"/>
                <w:szCs w:val="16"/>
                <w:color w:val="auto"/>
                <w:w w:val="99"/>
              </w:rPr>
              <w:t>71</w:t>
            </w: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Director, Class II</w:t>
            </w:r>
          </w:p>
        </w:tc>
      </w:tr>
      <w:tr>
        <w:trPr>
          <w:trHeight w:val="216"/>
        </w:trPr>
        <w:tc>
          <w:tcPr>
            <w:tcW w:w="3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Magda Marquet, Ph.D.</w:t>
            </w:r>
            <w:r>
              <w:rPr>
                <w:rFonts w:ascii="Times New Roman" w:cs="Times New Roman" w:eastAsia="Times New Roman" w:hAnsi="Times New Roman"/>
                <w:sz w:val="21"/>
                <w:szCs w:val="21"/>
                <w:color w:val="auto"/>
                <w:vertAlign w:val="superscript"/>
              </w:rPr>
              <w:t>(3)</w:t>
            </w:r>
          </w:p>
        </w:tc>
        <w:tc>
          <w:tcPr>
            <w:tcW w:w="216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65</w:t>
            </w:r>
          </w:p>
        </w:tc>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Director, Class III</w:t>
            </w:r>
          </w:p>
        </w:tc>
      </w:tr>
      <w:tr>
        <w:trPr>
          <w:trHeight w:val="216"/>
        </w:trPr>
        <w:tc>
          <w:tcPr>
            <w:tcW w:w="3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Hollings Renton</w:t>
            </w:r>
            <w:r>
              <w:rPr>
                <w:rFonts w:ascii="Times New Roman" w:cs="Times New Roman" w:eastAsia="Times New Roman" w:hAnsi="Times New Roman"/>
                <w:sz w:val="21"/>
                <w:szCs w:val="21"/>
                <w:color w:val="auto"/>
                <w:vertAlign w:val="superscript"/>
              </w:rPr>
              <w:t>(2)</w:t>
            </w:r>
          </w:p>
        </w:tc>
        <w:tc>
          <w:tcPr>
            <w:tcW w:w="2160" w:type="dxa"/>
            <w:vAlign w:val="bottom"/>
            <w:shd w:val="clear" w:color="auto" w:fill="CCEEFF"/>
          </w:tcPr>
          <w:p>
            <w:pPr>
              <w:jc w:val="center"/>
              <w:ind w:left="1439"/>
              <w:spacing w:after="0"/>
              <w:rPr>
                <w:sz w:val="20"/>
                <w:szCs w:val="20"/>
                <w:color w:val="auto"/>
              </w:rPr>
            </w:pPr>
            <w:r>
              <w:rPr>
                <w:rFonts w:ascii="Times New Roman" w:cs="Times New Roman" w:eastAsia="Times New Roman" w:hAnsi="Times New Roman"/>
                <w:sz w:val="16"/>
                <w:szCs w:val="16"/>
                <w:color w:val="auto"/>
                <w:w w:val="99"/>
              </w:rPr>
              <w:t>77</w:t>
            </w: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Director, Class III</w:t>
            </w:r>
          </w:p>
        </w:tc>
      </w:tr>
      <w:tr>
        <w:trPr>
          <w:trHeight w:val="281"/>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P. Schmid</w:t>
            </w:r>
            <w:r>
              <w:rPr>
                <w:rFonts w:ascii="Times New Roman" w:cs="Times New Roman" w:eastAsia="Times New Roman" w:hAnsi="Times New Roman"/>
                <w:sz w:val="21"/>
                <w:szCs w:val="21"/>
                <w:color w:val="auto"/>
                <w:vertAlign w:val="superscript"/>
              </w:rPr>
              <w:t>(1)(3)</w:t>
            </w:r>
          </w:p>
        </w:tc>
        <w:tc>
          <w:tcPr>
            <w:tcW w:w="216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61</w:t>
            </w:r>
          </w:p>
        </w:tc>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Director, Class III</w:t>
            </w:r>
          </w:p>
        </w:tc>
      </w:tr>
    </w:tbl>
    <w:p>
      <w:pPr>
        <w:ind w:left="2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7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8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Rita Jain, M.D. </w:t>
      </w:r>
      <w:r>
        <w:rPr>
          <w:rFonts w:ascii="Times New Roman" w:cs="Times New Roman" w:eastAsia="Times New Roman" w:hAnsi="Times New Roman"/>
          <w:sz w:val="18"/>
          <w:szCs w:val="18"/>
          <w:color w:val="auto"/>
        </w:rPr>
        <w:t>has served as a member of our Board since April 2023. Dr. Jain is a rheumatologist and currently a member of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Celldex Therapeutics, Inc. She previously served on the supervisory board of AM-Pharma B.V. from 2020 until September 2023 and the board of directors of Provention Bio, Inc. from 2020 until its acquisition by Sanofi in April 2023, and ChemoCentryx, Inc. from 2019 until its acquisition by Amgen in 2022. From 2021 to 2022, Dr. Jain served as Executive Vice President, Chief Medical Officer of ChemoCentryx, Inc. and in 2021 served as Chief Medical Officer of Immunovant, Inc. From August 2021 to December 2023, Dr. Jain has served as Chief Executive Officer of Heartwood Biopharma Group, a private consulting group. From 2017 to 2019, Dr. Jain was Senior Vice President and Chief Medical Officer at Akebia Therapeutics, Inc. From 2013 to 2016, Dr. Jain was a Vice President in Clinical Development at AbbVie Inc., including Vice President of Men’s and Women’s Health and Metabolic Development. Dr. Jain also held various leadership roles at Abbott Laboratories from 2003 through 2012, including as Divisional Vice President of Pain, Respiratory and Metabolic Disease Development. Dr. Jain received her B.S. degree in biology from the Long Island University, and her M.D. from the State University of New York at Stony Brook School of Medicine. Our Board believes that Dr. Jain’s extensive life sciences experience provides her with the qualifications and skills to serve on our Board.</w:t>
      </w:r>
    </w:p>
    <w:p>
      <w:pPr>
        <w:spacing w:after="0" w:line="14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Orwin </w:t>
      </w:r>
      <w:r>
        <w:rPr>
          <w:rFonts w:ascii="Times New Roman" w:cs="Times New Roman" w:eastAsia="Times New Roman" w:hAnsi="Times New Roman"/>
          <w:sz w:val="18"/>
          <w:szCs w:val="18"/>
          <w:color w:val="auto"/>
        </w:rPr>
        <w:t>has served as a member and Chairman of our Board since September 2023. Mr. Orwin has been President and Chief Executive of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Atreca, Inc. since April 2018. He also has served as a member of the board of directors of CARGO Therapeutics, Inc. since August 2022 and Travere Therapeutics, Inc. since March 2017. He previously served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57" w:right="339" w:bottom="1440" w:gutter="0" w:footer="0" w:header="0"/>
        </w:sectPr>
      </w:pPr>
    </w:p>
    <w:bookmarkStart w:id="15" w:name="page16"/>
    <w:bookmarkEnd w:id="15"/>
    <w:p>
      <w:pPr>
        <w:ind w:right="300"/>
        <w:spacing w:after="0" w:line="261" w:lineRule="auto"/>
        <w:rPr>
          <w:sz w:val="20"/>
          <w:szCs w:val="20"/>
          <w:color w:val="auto"/>
        </w:rPr>
      </w:pPr>
      <w:r>
        <w:rPr>
          <w:rFonts w:ascii="Times New Roman" w:cs="Times New Roman" w:eastAsia="Times New Roman" w:hAnsi="Times New Roman"/>
          <w:sz w:val="18"/>
          <w:szCs w:val="18"/>
          <w:color w:val="auto"/>
        </w:rPr>
        <w:t>member of the member of the boards of directors of Seagen, Inc. from January 2014 until its acquisition by Pfizer Inc. in December 2023 and Array BioPharma, Inc. from November 2012 to July 2019. Mr. Orwin received a B.A. in Economics from Rutgers, The State University of New Jersey and an M.B.A. from New York University. Our Board believes that Mr. Orwin’s extensive industry experience and executive positions at multiple biopharmaceutical companies qualify him to serve on our Board.</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 Anthony Ware, M.D. </w:t>
      </w:r>
      <w:r>
        <w:rPr>
          <w:rFonts w:ascii="Times New Roman" w:cs="Times New Roman" w:eastAsia="Times New Roman" w:hAnsi="Times New Roman"/>
          <w:sz w:val="18"/>
          <w:szCs w:val="18"/>
          <w:color w:val="auto"/>
        </w:rPr>
        <w:t>has served as a member of our Board since August 2017. From 2001 to January 2018, Dr. Ware held numerous positions at Eli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Lilly and Company, a global pharmaceutical company, including Senior Vice President of 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 Coronary Care Unit at Beth Israel Hospital. Dr. Ware received his B.S. from Washburn University, and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 disease. Our Board believes that Dr. Ware’s extensive academic and industry experience and significant knowledge of scientific matters provide him with the qualifications and skills to serve on our Board.</w:t>
      </w:r>
    </w:p>
    <w:p>
      <w:pPr>
        <w:spacing w:after="0" w:line="14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Magda Marquet, Ph.D. </w:t>
      </w:r>
      <w:r>
        <w:rPr>
          <w:rFonts w:ascii="Times New Roman" w:cs="Times New Roman" w:eastAsia="Times New Roman" w:hAnsi="Times New Roman"/>
          <w:sz w:val="18"/>
          <w:szCs w:val="18"/>
          <w:color w:val="auto"/>
        </w:rPr>
        <w:t>has served as a member of our Board since January 2021. As a former founder and Chief Executive Officer, Dr. Marquet holds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Ph.D. in Biochemical Engineering from INSA/University of Toulouse, France. She has received numerous prestigious awards throughout her career including the 2005 Regional Ernst &amp; Young Entrepreneur of the Year award in the Life Sciences category, the Athena Pinnacle award, the Director of the Year award (Corporate Governance) from the Corporate Directors Forum and has been inducted into the CONNECT Entrepreneur Hall of Fame. Dr. Marquet currently serves on the boards of directors of Arcturus Therapeutics Holdings, Inc., Transcode Therapeutics, Inc., and chairs its compensation committee and is a member of its audit committee, and Immix Biopharma, Inc., and serves as the chair of its compensation committee. In the last five years, Dr. Marquet also served on the board of directors of Pfenex, Inc., a publicly traded company, until its acquisition by Ligand Pharmaceuticals. Our Board believes Dr. Marquet’s broad operational, fundraising expertise including venture, private equity and venture debt, as well as her expertise in M&amp;A, global commercial development, regulatory strategies and building a winning culture of innovation and strategic growth provides her with the qualifications and skills to serve our Board.</w:t>
      </w:r>
    </w:p>
    <w:p>
      <w:pPr>
        <w:spacing w:after="0" w:line="15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Hollings Renton </w:t>
      </w:r>
      <w:r>
        <w:rPr>
          <w:rFonts w:ascii="Times New Roman" w:cs="Times New Roman" w:eastAsia="Times New Roman" w:hAnsi="Times New Roman"/>
          <w:sz w:val="18"/>
          <w:szCs w:val="18"/>
          <w:color w:val="auto"/>
        </w:rPr>
        <w:t>has served as a member of our Board since June 2015. Mr. Renton previously served as the Chief Executive Officer and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Onyx Pharmaceuticals, Inc. from 1993 to 2008 and as the chairperson of its board of directors from 2000 to 2008. Before joining Onyx Pharmaceuticals, Mr. Renton served as the President and Chief Operating Officer of Chiron Corporation, a pharmaceutical company, from 1991 to 1993, following its acquisition of Cetus Corporation. Mr. Renton served as the President of Cetus Corporation from 1990 to 1991, as Chief Operating Officer from 1987 to 1990, and as Chief Financial Officer from 1983 to 1987. Mr. Renton currently serves on the board of Zymeworks, Inc., a publicly traded company. Mr. Renton previously served on the board of directors of the publicly traded company Portola Pharmaceuticals, Inc from March 2010 to June 2020. Mr. Renton received his M.B.A. from the University of Michigan and his B.S. in Mathematics from Colorado State University. Our Board believes that Mr. Renton’s extensive industry experience and board memberships provide him with the qualifications and skills to serve on our Board.</w:t>
      </w:r>
    </w:p>
    <w:p>
      <w:pPr>
        <w:spacing w:after="0" w:line="1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P. Schmid </w:t>
      </w:r>
      <w:r>
        <w:rPr>
          <w:rFonts w:ascii="Times New Roman" w:cs="Times New Roman" w:eastAsia="Times New Roman" w:hAnsi="Times New Roman"/>
          <w:sz w:val="18"/>
          <w:szCs w:val="18"/>
          <w:color w:val="auto"/>
        </w:rPr>
        <w:t>has served as a member of our Board since June 2015. Mr. Schmid served as Chief Financial Officer of Auspex Pharmaceuticals, Inc.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 1998 to 2003, and at Endonetics, a private medical device company, from 1995 to 1998. Mr. Schmid currently serves as a member of the boards of directors of the publicly traded companies Design Therapeutics Inc., Poseida Therapeutics, Inc., and Xeris Pharmaceuticals, all pharmaceutical companies, as well as Helix Acquisition Corp. II, a special purpose acquisition company. In the last five years, Mr. Schmid has previously served on the board of directors of Helix Acquisition Corp., a special purpose acquisition company and Neos Therapeutics, a pharmaceutical company. Mr. Schmid received his M.B.A. from the University of San Diego and his B.A. from Wesleyan University. Our Board believes that Mr. Schmid’s extensive industry experience and executive positions at multiple biopharmaceutical companies qualify him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There are no familial relationships among any of our directors and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0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in the year ended December 31, 2023. Mr. Faga is not paid any fees or other compensation for services as a member of our Board. For Mr. Faga’s compensation as our President and Chief Executive Officer, see the section below entitled “Executive Compensation.”</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21"/>
                <w:szCs w:val="21"/>
                <w:b w:val="1"/>
                <w:bCs w:val="1"/>
                <w:color w:val="auto"/>
                <w:vertAlign w:val="superscript"/>
              </w:rPr>
              <w:t>(1)</w:t>
            </w:r>
          </w:p>
        </w:tc>
        <w:tc>
          <w:tcPr>
            <w:tcW w:w="31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21"/>
                <w:szCs w:val="21"/>
                <w:b w:val="1"/>
                <w:bCs w:val="1"/>
                <w:color w:val="auto"/>
                <w:vertAlign w:val="superscript"/>
              </w:rPr>
              <w:t>(2)</w:t>
            </w:r>
          </w:p>
        </w:tc>
        <w:tc>
          <w:tcPr>
            <w:tcW w:w="16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1"/>
                <w:szCs w:val="21"/>
                <w:b w:val="1"/>
                <w:bCs w:val="1"/>
                <w:color w:val="auto"/>
                <w:vertAlign w:val="superscript"/>
              </w:rPr>
              <w:t>(2)</w:t>
            </w: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3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or Paid in Cash ($)</w:t>
            </w:r>
          </w:p>
        </w:tc>
        <w:tc>
          <w:tcPr>
            <w:tcW w:w="146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Dennis Fenton, Ph.D.</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178,787</w:t>
            </w:r>
          </w:p>
        </w:tc>
        <w:tc>
          <w:tcPr>
            <w:tcW w:w="16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90,597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331,884</w:t>
            </w: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Laura J. Hamill</w:t>
            </w:r>
            <w:r>
              <w:rPr>
                <w:rFonts w:ascii="Times New Roman" w:cs="Times New Roman" w:eastAsia="Times New Roman" w:hAnsi="Times New Roman"/>
                <w:sz w:val="21"/>
                <w:szCs w:val="21"/>
                <w:color w:val="auto"/>
                <w:vertAlign w:val="superscript"/>
              </w:rPr>
              <w:t>(3)</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178,787</w:t>
            </w: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90,597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283,134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Rita Jain, M.D.</w:t>
            </w:r>
            <w:r>
              <w:rPr>
                <w:rFonts w:ascii="Times New Roman" w:cs="Times New Roman" w:eastAsia="Times New Roman" w:hAnsi="Times New Roman"/>
                <w:sz w:val="21"/>
                <w:szCs w:val="21"/>
                <w:color w:val="auto"/>
                <w:vertAlign w:val="superscript"/>
              </w:rPr>
              <w:t>(4)</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303,514</w:t>
            </w:r>
          </w:p>
        </w:tc>
        <w:tc>
          <w:tcPr>
            <w:tcW w:w="16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157,590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495,604</w:t>
            </w:r>
          </w:p>
        </w:tc>
        <w:tc>
          <w:tcPr>
            <w:tcW w:w="0" w:type="dxa"/>
            <w:vAlign w:val="bottom"/>
          </w:tcPr>
          <w:p>
            <w:pPr>
              <w:spacing w:after="0"/>
              <w:rPr>
                <w:sz w:val="1"/>
                <w:szCs w:val="1"/>
                <w:color w:val="auto"/>
              </w:rPr>
            </w:pPr>
          </w:p>
        </w:tc>
      </w:tr>
      <w:tr>
        <w:trPr>
          <w:trHeight w:val="213"/>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Magda Marquet, Ph.D.</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178,787</w:t>
            </w: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90,597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318,384</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Oleg Nodelman</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Hollings Renton</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73,000</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178,787</w:t>
            </w: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90,597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342,384</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John P. Schmid</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178,787</w:t>
            </w:r>
          </w:p>
        </w:tc>
        <w:tc>
          <w:tcPr>
            <w:tcW w:w="16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90,597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335,384</w:t>
            </w:r>
          </w:p>
        </w:tc>
        <w:tc>
          <w:tcPr>
            <w:tcW w:w="0" w:type="dxa"/>
            <w:vAlign w:val="bottom"/>
          </w:tcPr>
          <w:p>
            <w:pPr>
              <w:spacing w:after="0"/>
              <w:rPr>
                <w:sz w:val="1"/>
                <w:szCs w:val="1"/>
                <w:color w:val="auto"/>
              </w:rPr>
            </w:pPr>
          </w:p>
        </w:tc>
      </w:tr>
      <w:tr>
        <w:trPr>
          <w:trHeight w:val="216"/>
        </w:trPr>
        <w:tc>
          <w:tcPr>
            <w:tcW w:w="382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James N. Topper, M.D., Ph.D.</w:t>
            </w:r>
            <w:r>
              <w:rPr>
                <w:rFonts w:ascii="Times New Roman" w:cs="Times New Roman" w:eastAsia="Times New Roman" w:hAnsi="Times New Roman"/>
                <w:sz w:val="21"/>
                <w:szCs w:val="21"/>
                <w:color w:val="auto"/>
                <w:vertAlign w:val="superscript"/>
              </w:rPr>
              <w:t>(5)</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65,250</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178,787</w:t>
            </w: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90,597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334,634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John Orwin</w:t>
            </w:r>
            <w:r>
              <w:rPr>
                <w:rFonts w:ascii="Times New Roman" w:cs="Times New Roman" w:eastAsia="Times New Roman" w:hAnsi="Times New Roman"/>
                <w:sz w:val="21"/>
                <w:szCs w:val="21"/>
                <w:color w:val="auto"/>
                <w:vertAlign w:val="superscript"/>
              </w:rPr>
              <w:t>(6)</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22,598</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199,745</w:t>
            </w:r>
          </w:p>
        </w:tc>
        <w:tc>
          <w:tcPr>
            <w:tcW w:w="16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115,733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338,076</w:t>
            </w:r>
          </w:p>
        </w:tc>
        <w:tc>
          <w:tcPr>
            <w:tcW w:w="0" w:type="dxa"/>
            <w:vAlign w:val="bottom"/>
          </w:tcPr>
          <w:p>
            <w:pPr>
              <w:spacing w:after="0"/>
              <w:rPr>
                <w:sz w:val="1"/>
                <w:szCs w:val="1"/>
                <w:color w:val="auto"/>
              </w:rPr>
            </w:pPr>
          </w:p>
        </w:tc>
      </w:tr>
      <w:tr>
        <w:trPr>
          <w:trHeight w:val="210"/>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 Anthony Ware, M.D.</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69,000</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178,787</w:t>
            </w: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90,597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338,384</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340" w:right="20" w:hanging="332"/>
        <w:spacing w:after="0" w:line="260" w:lineRule="auto"/>
        <w:tabs>
          <w:tab w:leader="none" w:pos="35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Dr. Fenton held outstanding options to purchase 59,307 shares of common stock and 3,900 RSUs (as defined below); Dr. Jain held outstanding options to purchase 18,615 shares of common stock and 7,134 RSUs; Mr. Nodelman did not hold outstanding options to purchase shares of common stock or RSUs; Dr. Marquet held outstanding options to purchase 42,584 shares of common stock and 3,900 RSUs; Mr. Renton held outstanding options to purchase 119,956 shares of common stock and 3,900 RSUs; Mr. Schmid held outstanding options to purchase 111,137 shares of common stock and 3,900 RSUs; Mr. Orwin held outstanding options to purchase 13,911 shares of common stock and 5,935 RSUs; and Dr. Ware held outstanding options to purchase 93,065 shares of common stock and 3,900 RSUs.</w:t>
      </w:r>
    </w:p>
    <w:p>
      <w:pPr>
        <w:spacing w:after="0" w:line="72" w:lineRule="exact"/>
        <w:rPr>
          <w:rFonts w:ascii="Times New Roman" w:cs="Times New Roman" w:eastAsia="Times New Roman" w:hAnsi="Times New Roman"/>
          <w:sz w:val="16"/>
          <w:szCs w:val="16"/>
          <w:color w:val="auto"/>
        </w:rPr>
      </w:pPr>
    </w:p>
    <w:p>
      <w:pPr>
        <w:ind w:left="340" w:right="140" w:hanging="332"/>
        <w:spacing w:after="0" w:line="260" w:lineRule="auto"/>
        <w:tabs>
          <w:tab w:leader="none" w:pos="36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and the Stock Awards columns represent the grant date fair value of such awards granted to the directors during the year ended December 31, 2023 as computed in accordance with Financial Accounting Standards Board Accounting Standards Codification Topic 718 (“ASC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2023. Note that the amounts reported in this column reflect the accounting cost for these stock options and RSUs, and do not correspond to the actual economic value that may be received by our directors from the options.</w:t>
      </w:r>
    </w:p>
    <w:p>
      <w:pPr>
        <w:spacing w:after="0" w:line="73"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Hamill resigned from our Board, effective April 1, 2023.</w:t>
      </w:r>
    </w:p>
    <w:p>
      <w:pPr>
        <w:spacing w:after="0" w:line="126"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Jain was appointed to our Board, effective April 3, 2023.</w:t>
      </w:r>
    </w:p>
    <w:p>
      <w:pPr>
        <w:spacing w:after="0" w:line="11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Topper resigned from our Board, effective September 15, 2023.</w:t>
      </w:r>
    </w:p>
    <w:p>
      <w:pPr>
        <w:spacing w:after="0" w:line="1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Orwin was appointed to our Board, effective September 15, 2023.</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compensation arrangements for non-employee directors are reviewed periodically by our compensation committee and our Board of Directors. In addition, Compensia, the compensation committee’s independent compensation consultant, provided a competitive analysis of director compensation levels, practices and design features as compared to the general market as well as to our compensation peer group. Based on this analysis, certain of the compensation terms described below were increased from the prior year to better align with compensation paid by our peer group and market practices and to remain competitive.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8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Pursuant to our non-employee director compensation policy each of our non-employee directors is provided with an annual retainer of $40,000. Additionally, our non-executive chairpersons of our Board, audit, compensation, nominating and corporate governance, and research and development committees will receive an additional annual payment of $35,000, $20,000, $15,000, $10,000 and $15,000, respectively; and the other members of our audit, compensation, nominating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336" w:right="379" w:bottom="1440" w:gutter="0" w:footer="0" w:header="0"/>
        </w:sectPr>
      </w:pPr>
    </w:p>
    <w:bookmarkStart w:id="17" w:name="page18"/>
    <w:bookmarkEnd w:id="17"/>
    <w:p>
      <w:pPr>
        <w:ind w:right="260"/>
        <w:spacing w:after="0" w:line="282" w:lineRule="auto"/>
        <w:rPr>
          <w:sz w:val="20"/>
          <w:szCs w:val="20"/>
          <w:color w:val="auto"/>
        </w:rPr>
      </w:pPr>
      <w:r>
        <w:rPr>
          <w:rFonts w:ascii="Times New Roman" w:cs="Times New Roman" w:eastAsia="Times New Roman" w:hAnsi="Times New Roman"/>
          <w:sz w:val="18"/>
          <w:szCs w:val="18"/>
          <w:color w:val="auto"/>
        </w:rPr>
        <w:t>corporate governance, and research and development committees will receive an additional annual payment of $10,000, $6,750, $5,000 and $10,000, respectively. Cash compensation is paid quarterly in arrears, and is prorated for partial service during a quarter.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0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Each of our non-employee directors generally receives an annual stock option grant in January to purchase 16,510 shares of common stock and 6,030 restricted stock units (“RSUs”). The stock option vests in equal monthly installments over one year and the RSUs vest on the date of the next annual meeting, in each case subject to the director’s continued service.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new non-employee directors will receive a stock option to purchase 16,510 shares of common stock and 6,030 RSUs as well as a prorated annual equity grant. The new director stock option will vest in equal monthly installments over three years and the new director RSUs award will vest in equal annual installments over three years, subject to the director’s continued service.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equity awards held by our non-employee directors will accelerate in full upon a change in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ELECTION OF EACH OF THE NOMINATED CLASS 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1336" w:right="579" w:bottom="1440" w:gutter="0" w:footer="0" w:header="0"/>
        </w:sectPr>
      </w:pPr>
    </w:p>
    <w:bookmarkStart w:id="18" w:name="page19"/>
    <w:bookmarkEnd w:id="1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audit committee has selected KPMG LLP as our principal independent registered public accounting firm to perform the audit of our consolidated financial statements for the fiscal year ending December 31, 2024. KPMG LLP audited our financial statements for the fiscal years ended December 31, 2023 and 2022. We expect that representatives of KPMG LLP will be present at the Annual Meeting, will be able to make a statement if they so desire and will be available to respond to appropriate questions.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the Annual Meeting, the stockholders are being asked to ratify the appointment of KPMG LLP as our independent registered public accounting firm for the fiscal year ending December 31, 2024.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62" w:lineRule="exact"/>
        <w:rPr>
          <w:sz w:val="20"/>
          <w:szCs w:val="20"/>
          <w:color w:val="auto"/>
        </w:rPr>
      </w:pPr>
    </w:p>
    <w:p>
      <w:pPr>
        <w:ind w:right="1360"/>
        <w:spacing w:after="0" w:line="377" w:lineRule="auto"/>
        <w:rPr>
          <w:sz w:val="20"/>
          <w:szCs w:val="20"/>
          <w:color w:val="auto"/>
        </w:rPr>
      </w:pPr>
      <w:r>
        <w:rPr>
          <w:rFonts w:ascii="Times New Roman" w:cs="Times New Roman" w:eastAsia="Times New Roman" w:hAnsi="Times New Roman"/>
          <w:sz w:val="18"/>
          <w:szCs w:val="18"/>
          <w:color w:val="auto"/>
        </w:rPr>
        <w:t xml:space="preserve">The following table presents fees for services rendered by KPMG LLP for the years ended December 31, 2023 and 2022 (in thousands). </w:t>
      </w:r>
      <w:r>
        <w:rPr>
          <w:rFonts w:ascii="Times New Roman" w:cs="Times New Roman" w:eastAsia="Times New Roman" w:hAnsi="Times New Roman"/>
          <w:sz w:val="18"/>
          <w:szCs w:val="18"/>
          <w:b w:val="1"/>
          <w:bCs w:val="1"/>
          <w:color w:val="auto"/>
        </w:rPr>
        <w:t>Principal Accountant Fees and Services</w:t>
      </w:r>
    </w:p>
    <w:tbl>
      <w:tblPr>
        <w:tblLayout w:type="fixed"/>
        <w:tblInd w:w="20" w:type="dxa"/>
        <w:tblCellMar>
          <w:top w:w="0" w:type="dxa"/>
          <w:left w:w="0" w:type="dxa"/>
          <w:bottom w:w="0" w:type="dxa"/>
          <w:right w:w="0" w:type="dxa"/>
        </w:tblCellMar>
      </w:tblPr>
      <w:tr>
        <w:trPr>
          <w:trHeight w:val="215"/>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Fees Billed to AnaptysBio</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 2023</w:t>
            </w:r>
          </w:p>
        </w:tc>
        <w:tc>
          <w:tcPr>
            <w:tcW w:w="12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Fiscal Year 2022</w:t>
            </w:r>
          </w:p>
        </w:tc>
      </w:tr>
      <w:tr>
        <w:trPr>
          <w:trHeight w:val="226"/>
        </w:trPr>
        <w:tc>
          <w:tcPr>
            <w:tcW w:w="8160" w:type="dxa"/>
            <w:vAlign w:val="bottom"/>
            <w:tcBorders>
              <w:top w:val="single" w:sz="8" w:color="auto"/>
            </w:tcBorders>
            <w:shd w:val="clear" w:color="auto" w:fill="CCEEFF"/>
          </w:tcPr>
          <w:p>
            <w:pPr>
              <w:ind w:left="40"/>
              <w:spacing w:after="0" w:line="22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Audit-related fees</w:t>
            </w:r>
          </w:p>
        </w:tc>
        <w:tc>
          <w:tcPr>
            <w:tcW w:w="5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(2)</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 other fees</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fees</w:t>
            </w: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left="340" w:right="420" w:hanging="332"/>
        <w:spacing w:after="0" w:line="265" w:lineRule="auto"/>
        <w:tabs>
          <w:tab w:leader="none" w:pos="36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Audit fees</w:t>
      </w:r>
      <w:r>
        <w:rPr>
          <w:rFonts w:ascii="Times New Roman" w:cs="Times New Roman" w:eastAsia="Times New Roman" w:hAnsi="Times New Roman"/>
          <w:sz w:val="16"/>
          <w:szCs w:val="16"/>
          <w:color w:val="auto"/>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filing of our S-3 registration statement.</w:t>
      </w:r>
    </w:p>
    <w:p>
      <w:pPr>
        <w:spacing w:after="0" w:line="79" w:lineRule="exact"/>
        <w:rPr>
          <w:rFonts w:ascii="Times New Roman" w:cs="Times New Roman" w:eastAsia="Times New Roman" w:hAnsi="Times New Roman"/>
          <w:sz w:val="16"/>
          <w:szCs w:val="16"/>
          <w:color w:val="auto"/>
        </w:rPr>
      </w:pPr>
    </w:p>
    <w:p>
      <w:pPr>
        <w:ind w:left="340" w:right="280" w:hanging="332"/>
        <w:spacing w:after="0" w:line="283" w:lineRule="auto"/>
        <w:tabs>
          <w:tab w:leader="none" w:pos="36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 fees</w:t>
      </w:r>
      <w:r>
        <w:rPr>
          <w:rFonts w:ascii="Times New Roman" w:cs="Times New Roman" w:eastAsia="Times New Roman" w:hAnsi="Times New Roman"/>
          <w:sz w:val="16"/>
          <w:szCs w:val="16"/>
          <w:color w:val="auto"/>
        </w:rPr>
        <w:t>” include fees related to tax compliance and advice. Tax advice fees encompass a variety of permissible services, including technical tax advice related to federal and state income tax matters; and assistance with tax audits.</w:t>
      </w:r>
    </w:p>
    <w:p>
      <w:pPr>
        <w:spacing w:after="0" w:line="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of the audit committee or acting by unanimous written consent. During 2023, all services billed by KPMG LLP were pre-approved by the audit committee in accordance with this policy.</w:t>
      </w:r>
    </w:p>
    <w:p>
      <w:pPr>
        <w:spacing w:after="0" w:line="13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APPROVAL OF PROPOSAL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1157" w:right="4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report of the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KPMG LLP our audited consolidated financial statements as of and for the year ended December 31, 2023. The audit committee has also discussed with KPMG LLP the matters required to be discussed by applicable standards of the Public Company Accounting Oversight Board (United States).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our Board that the audited consolidated financial statements as of and for the year ended December 31, 2023 be included in our annual report on Form 10-K for the year ended December 31, 2023 for filing with the Securities and Exchange Commission.</w:t>
      </w:r>
    </w:p>
    <w:p>
      <w:pPr>
        <w:spacing w:after="0" w:line="37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Submitted by the Audit Committee</w:t>
      </w:r>
    </w:p>
    <w:p>
      <w:pPr>
        <w:ind w:left="4780"/>
        <w:spacing w:after="0" w:line="210" w:lineRule="auto"/>
        <w:rPr>
          <w:sz w:val="20"/>
          <w:szCs w:val="20"/>
          <w:color w:val="auto"/>
        </w:rPr>
      </w:pPr>
      <w:r>
        <w:rPr>
          <w:rFonts w:ascii="Times New Roman" w:cs="Times New Roman" w:eastAsia="Times New Roman" w:hAnsi="Times New Roman"/>
          <w:sz w:val="18"/>
          <w:szCs w:val="18"/>
          <w:color w:val="auto"/>
        </w:rPr>
        <w:t>John P. Schmid (Chair)</w:t>
      </w:r>
    </w:p>
    <w:p>
      <w:pPr>
        <w:ind w:left="4800"/>
        <w:spacing w:after="0" w:line="203" w:lineRule="auto"/>
        <w:rPr>
          <w:sz w:val="20"/>
          <w:szCs w:val="20"/>
          <w:color w:val="auto"/>
        </w:rPr>
      </w:pPr>
      <w:r>
        <w:rPr>
          <w:rFonts w:ascii="Times New Roman" w:cs="Times New Roman" w:eastAsia="Times New Roman" w:hAnsi="Times New Roman"/>
          <w:sz w:val="18"/>
          <w:szCs w:val="18"/>
          <w:color w:val="auto"/>
        </w:rPr>
        <w:t>Magda Marquet, Ph.D.</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 Anthony Ware,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43"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NON-BINDING ADVISORY VOTE ON COMPENSATION OF OUR NAMED EXECUTIVE OFFICERS</w:t>
      </w:r>
    </w:p>
    <w:p>
      <w:pPr>
        <w:spacing w:after="0" w:line="1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seeking a non-binding, advisory stockholder vote on the compensation awarded to our named executive officers for the fiscal year ended December 31, 2023, known as a “Say-on-Pay” vote.</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of 2010 (the “Dodd-Frank Act”) enables our stockholders to vote to approve, on an advisory, non-binding basis, the compensation of our named executive officers as disclosed in this proxy statement in accordance with Section 14A of the Exchange Act. At our 2019 annual meeting of stockholders, we asked our stockholders to express a preference for the frequency of our Say-on-Pay vote. The majority of our stockholders voted to hold the Say-on-Pay vote on an annual basis, and therefore, based on that vote, we present this vote every year.</w:t>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described in detail in the “Executive Compensation” section of this proxy statement, our compensation program is designed to reward our executive officers at a level consistent with our overall strategic and financial performance and to provide remuneration sufficient to attract, retain and motivate them to exert their best efforts and create a successful company. Our philosophy is to tie a greater percentage of an executive officer’s compensation to stockholder returns and to keep cash compensation at a competitive level while providing the opportunity to be well-rewarded through equity if we perform well over time. We believe that our executive compensation program, with its balance of short-term incentives (including base salary and annual cash incentives tied to performance measures) and long-term incentives (including equity awards) reward sustained performance, is aligned with long-term stockholder interests. Stockholders are encouraged to read the Executive Compensation section of this proxy statement.</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the above, we request that stockholders approve, on a non-binding advisory basis, the compensation of our named executive officers as described in this proxy statement pursuant to the following resolution:</w:t>
      </w:r>
    </w:p>
    <w:p>
      <w:pPr>
        <w:spacing w:after="0" w:line="117"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AnaptysBio’s named executive officers, as disclosed in this proxy statement, including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section, compensation tables and narrative discussion, is hereby APPROVED.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Approval of named executive officer compensation requires the approval of a majority of the votes present or represented by proxy and voted for or against the matter.</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an advisory vote, this proposal is non-binding. Although the vote is non-binding, our Board and compensation committee value the opinions of our stockholders and will consider the outcome of the vote when making future compensation decisions for our named executive officers.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BOARD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APPROVAL OF 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00"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APPROVAL OF THE AMENDMENT AND RESTATEMENT OF OUR 2017 EQUITY INCENTIVE PLAN</w:t>
      </w:r>
    </w:p>
    <w:p>
      <w:pPr>
        <w:spacing w:after="0" w:line="16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approve an amendment and restatement of our 2017 Equity Incentive Plan (the “2017 Plan” and, as amended and restated, the “Restated Plan”). Our Board has approved the Restated Plan, subject to stockholder approval. If the Restated Plan is approved by our stockholders, it will become effective on the date of such stockholder approval (the “Restated Effective Date”). If the Restated Plan is not approved, our current 2017 Plan will remain 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2017 Plan was adopted in connection with our initial public offering in 2017.</w:t>
      </w:r>
    </w:p>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Board has determined that it is in the best interests of the Company and our stockholders to seek approval of the Restated Plan, with the following material changes from our 2017 Plan:</w:t>
      </w:r>
    </w:p>
    <w:p>
      <w:pPr>
        <w:spacing w:after="0" w:line="12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“evergreen” provision, which provides for an automatic annual increase to the share pool under the 2017 Plan.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that may be issued by 2,700,000 shares.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repricing or certain other exchanges of stock options and stock appreciation rights without stockholder approval.</w:t>
      </w:r>
    </w:p>
    <w:p>
      <w:pPr>
        <w:spacing w:after="0" w:line="63"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limits on the number of shares and dollar value of certain awards that can be issued in any calendar year to a participant under the Restated Plan, which were previously required by Section 162(m) of the Internal Revenue Code of 1986, as amended (the “Code”), for deductibility purposes, but are no longer applicable.</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clarifying revisions.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and Reasons Why the Board Recommends a Vote FOR the Restated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 is a Critical Element of Our Compensation Program</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use of equity compensation, including the grant of options, RSUs and certain performance-based options, has historically been a significant part of our overall compensation philosophy and a cornerstone of our method for attracting and retaining top caliber employees. We believe that the adoption of the Restated Plan is in the best interests of the Company, most importantly for the following reasons:</w:t>
      </w:r>
    </w:p>
    <w:p>
      <w:pPr>
        <w:spacing w:after="0" w:line="66" w:lineRule="exact"/>
        <w:rPr>
          <w:sz w:val="20"/>
          <w:szCs w:val="20"/>
          <w:color w:val="auto"/>
        </w:rPr>
      </w:pPr>
    </w:p>
    <w:p>
      <w:pPr>
        <w:ind w:left="660" w:hanging="328"/>
        <w:spacing w:after="0" w:line="287"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Allow us to recruit, retain and motivate highly qualified talent in an intensely competitive industry</w:t>
      </w:r>
      <w:r>
        <w:rPr>
          <w:rFonts w:ascii="Times New Roman" w:cs="Times New Roman" w:eastAsia="Times New Roman" w:hAnsi="Times New Roman"/>
          <w:sz w:val="17"/>
          <w:szCs w:val="17"/>
          <w:color w:val="auto"/>
        </w:rPr>
        <w:t>. If the Restated Plan is not approved and we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able to offer competitive equity grants to prospective and current employees, qualified talent may join other companies instead of joining or staying with us, and our ability to compete in our industry would be seriously and negatively impacted, which could affect our long-term success.</w:t>
      </w:r>
    </w:p>
    <w:p>
      <w:pPr>
        <w:ind w:left="660" w:right="4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Support our continued growth. </w:t>
      </w:r>
      <w:r>
        <w:rPr>
          <w:rFonts w:ascii="Times New Roman" w:cs="Times New Roman" w:eastAsia="Times New Roman" w:hAnsi="Times New Roman"/>
          <w:sz w:val="18"/>
          <w:szCs w:val="18"/>
          <w:color w:val="auto"/>
        </w:rPr>
        <w:t>Our need for shares has grown with our employee population. Since our 2017 initial public offering, our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has grown by approximately 130%. This growth has been organic as we have expanded our workforce to scale our operations. We currently anticipate that our employee population will continue to grow significantly over the next few years as we continue to develop and advance our clinical pipeline.</w:t>
      </w:r>
    </w:p>
    <w:p>
      <w:pPr>
        <w:spacing w:after="0" w:line="17" w:lineRule="exact"/>
        <w:rPr>
          <w:rFonts w:ascii="Times New Roman" w:cs="Times New Roman" w:eastAsia="Times New Roman" w:hAnsi="Times New Roman"/>
          <w:sz w:val="18"/>
          <w:szCs w:val="18"/>
          <w:color w:val="auto"/>
        </w:rPr>
      </w:pPr>
    </w:p>
    <w:p>
      <w:pPr>
        <w:ind w:left="660" w:right="200" w:hanging="328"/>
        <w:spacing w:after="0" w:line="26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Incentivize performance</w:t>
      </w:r>
      <w:r>
        <w:rPr>
          <w:rFonts w:ascii="Times New Roman" w:cs="Times New Roman" w:eastAsia="Times New Roman" w:hAnsi="Times New Roman"/>
          <w:sz w:val="18"/>
          <w:szCs w:val="18"/>
          <w:color w:val="auto"/>
        </w:rPr>
        <w:t>. Providing employees with an ownership stake creates a strong incentive for our employees to work hard for our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success.</w:t>
      </w:r>
    </w:p>
    <w:p>
      <w:pPr>
        <w:ind w:left="660" w:hanging="328"/>
        <w:spacing w:after="0" w:line="290"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Align employee interests with those of our stockholders</w:t>
      </w:r>
      <w:r>
        <w:rPr>
          <w:rFonts w:ascii="Times New Roman" w:cs="Times New Roman" w:eastAsia="Times New Roman" w:hAnsi="Times New Roman"/>
          <w:sz w:val="17"/>
          <w:szCs w:val="17"/>
          <w:color w:val="auto"/>
        </w:rPr>
        <w:t>. We believe that our equity incentive compensation program aligns the interests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and stockholders, and focuses employee grantees on achieving strong corporate performance and creating long-term stockholder value.</w:t>
      </w:r>
    </w:p>
    <w:p>
      <w:pPr>
        <w:spacing w:after="0" w:line="11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the Restated Plan is not approved by our stockholders, our 2017 Plan will remain in effect, with, as of April 1, 2024, only 1,065,471 shares remaining available to be granted. This remaining pool is unlikely to be sufficient given our projected equity award needs through 2025. If we run out of shares, we may be forced to consider cash replacement alternatives to provide a market-competitive total compensation package necessary to attract, retain and motivate the employee talent critical to our future successes. These cash replacement alternatives could, among other things, reduce the cash available for investment in growth and development and cause a loss of motivation by employees to achieve superior performance over a longer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15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2017 Plan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2024:</w:t>
      </w:r>
    </w:p>
    <w:p>
      <w:pPr>
        <w:spacing w:after="0" w:line="19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27,316,644 total shares of our common stock outstanding.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1,065,471 shares available for grant under the 2017 Plan.</w:t>
      </w:r>
    </w:p>
    <w:p>
      <w:pPr>
        <w:spacing w:after="0" w:line="6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6,074,256 shares issuable upon the exercise of outstanding time-vesting stock options and performance-vesting stock options (assuming maximum achievement) with a weighted-average exercise price of $25.28 and a weighted average remaining contractual term of 8.14 years.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1,184,302 shares subject to outstanding RSUs with no exercise price.</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shares available for grant under the Amended and Restated 2006 Equity Incentive Plan (the “2006 Plan”) (predecessor plan that terminated in connection with our 2017 Plan).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market price of our common stock on April 1, 2024 was $21.32.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Carefully Consider and Forecast Our Need for Shares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After carefully forecasting our anticipated growth rate for the next few years and considering our historical usage and forfeiture rates, we are requesting approval of 2,700,000 shares for the 2017 Plan to allow us to make anticipated grants of equity incentive awards under our current compensation program for approximately one to two years. However, a change in business conditions, Company strategy or market performance could alter this projection.</w:t>
      </w:r>
    </w:p>
    <w:p>
      <w:pPr>
        <w:spacing w:after="0" w:line="14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compensation committee thoughtfully administers our equity incentive programs to manage potential stockholder dilution and to this end our compensation committee considered both our “burn rate” and our “overhang” in evaluating the impact of the Restated Plan on our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Practices</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the past three fiscal years, we granted equity awards under our 2017 Plan as summarized in the chart below. Our three-year average burn rate was approximately 6.18% for fiscal years 2021 through 2023 (see chart below for a calculation of our three-year burn rate).</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define “burn rate” as the number of time-based and performance-based equity awards granted during the year divided by the weighted average total number of shares of common stock outstanding.</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burn rate figures included below are based on equity awards granted under our 2017 Plan, and exclude potential dilution resulting from shares issued pursuant to our 2017 Employee Stock Purchase Plan (the “ESPP”). As we continue to mature our compensation practices, we strive to achieve a burn rate and overhang at approximately the average rates of our peer group, and that are within the limits recommended by certain independent stockholder advisory groups.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240" w:type="dxa"/>
            <w:vAlign w:val="bottom"/>
            <w:tcBorders>
              <w:top w:val="single" w:sz="8" w:color="auto"/>
              <w:left w:val="single" w:sz="8" w:color="auto"/>
              <w:right w:val="single" w:sz="8" w:color="auto"/>
            </w:tcBorders>
            <w:shd w:val="clear" w:color="auto" w:fill="DBDBDB"/>
          </w:tcPr>
          <w:p>
            <w:pPr>
              <w:spacing w:after="0"/>
              <w:rPr>
                <w:sz w:val="16"/>
                <w:szCs w:val="16"/>
                <w:color w:val="auto"/>
              </w:rPr>
            </w:pPr>
          </w:p>
        </w:tc>
        <w:tc>
          <w:tcPr>
            <w:tcW w:w="2240" w:type="dxa"/>
            <w:vAlign w:val="bottom"/>
            <w:tcBorders>
              <w:top w:val="single" w:sz="8" w:color="auto"/>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Appreciation</w:t>
            </w:r>
          </w:p>
        </w:tc>
        <w:tc>
          <w:tcPr>
            <w:tcW w:w="2240" w:type="dxa"/>
            <w:vAlign w:val="bottom"/>
            <w:tcBorders>
              <w:top w:val="single" w:sz="8" w:color="auto"/>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Full-Value Awards</w:t>
            </w:r>
          </w:p>
        </w:tc>
        <w:tc>
          <w:tcPr>
            <w:tcW w:w="2240" w:type="dxa"/>
            <w:vAlign w:val="bottom"/>
            <w:tcBorders>
              <w:top w:val="single" w:sz="8" w:color="auto"/>
              <w:right w:val="single" w:sz="8" w:color="auto"/>
            </w:tcBorders>
            <w:shd w:val="clear" w:color="auto" w:fill="DBDBDB"/>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Common Stock</w:t>
            </w:r>
          </w:p>
        </w:tc>
        <w:tc>
          <w:tcPr>
            <w:tcW w:w="2240" w:type="dxa"/>
            <w:vAlign w:val="bottom"/>
            <w:tcBorders>
              <w:top w:val="single" w:sz="8" w:color="auto"/>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24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vMerge w:val="continue"/>
            <w:shd w:val="clear" w:color="auto" w:fill="DBDBDB"/>
          </w:tcPr>
          <w:p>
            <w:pPr>
              <w:spacing w:after="0"/>
              <w:rPr>
                <w:sz w:val="5"/>
                <w:szCs w:val="5"/>
                <w:color w:val="auto"/>
              </w:rPr>
            </w:pPr>
          </w:p>
        </w:tc>
        <w:tc>
          <w:tcPr>
            <w:tcW w:w="2240" w:type="dxa"/>
            <w:vAlign w:val="bottom"/>
            <w:tcBorders>
              <w:right w:val="single" w:sz="8" w:color="auto"/>
            </w:tcBorders>
            <w:vMerge w:val="continue"/>
            <w:shd w:val="clear" w:color="auto" w:fill="DBDBDB"/>
          </w:tcPr>
          <w:p>
            <w:pPr>
              <w:spacing w:after="0"/>
              <w:rPr>
                <w:sz w:val="5"/>
                <w:szCs w:val="5"/>
                <w:color w:val="auto"/>
              </w:rPr>
            </w:pPr>
          </w:p>
        </w:tc>
        <w:tc>
          <w:tcPr>
            <w:tcW w:w="224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December</w:t>
            </w:r>
          </w:p>
        </w:tc>
        <w:tc>
          <w:tcPr>
            <w:tcW w:w="2240" w:type="dxa"/>
            <w:vAlign w:val="bottom"/>
            <w:tcBorders>
              <w:right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2240" w:type="dxa"/>
            <w:vAlign w:val="bottom"/>
            <w:tcBorders>
              <w:right w:val="single" w:sz="8" w:color="auto"/>
            </w:tcBorders>
            <w:shd w:val="clear" w:color="auto" w:fill="DBDBDB"/>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Awards (Options and SARs)</w:t>
            </w:r>
          </w:p>
        </w:tc>
        <w:tc>
          <w:tcPr>
            <w:tcW w:w="2240" w:type="dxa"/>
            <w:vAlign w:val="bottom"/>
            <w:tcBorders>
              <w:right w:val="single" w:sz="8" w:color="auto"/>
            </w:tcBorders>
            <w:vMerge w:val="continue"/>
            <w:shd w:val="clear" w:color="auto" w:fill="DBDBDB"/>
          </w:tcPr>
          <w:p>
            <w:pPr>
              <w:spacing w:after="0"/>
              <w:rPr>
                <w:sz w:val="16"/>
                <w:szCs w:val="16"/>
                <w:color w:val="auto"/>
              </w:rPr>
            </w:pPr>
          </w:p>
        </w:tc>
        <w:tc>
          <w:tcPr>
            <w:tcW w:w="2240" w:type="dxa"/>
            <w:vAlign w:val="bottom"/>
            <w:tcBorders>
              <w:right w:val="single" w:sz="8" w:color="auto"/>
            </w:tcBorders>
            <w:vMerge w:val="continue"/>
            <w:shd w:val="clear" w:color="auto" w:fill="DBDBDB"/>
          </w:tcPr>
          <w:p>
            <w:pPr>
              <w:spacing w:after="0"/>
              <w:rPr>
                <w:sz w:val="16"/>
                <w:szCs w:val="16"/>
                <w:color w:val="auto"/>
              </w:rPr>
            </w:pPr>
          </w:p>
        </w:tc>
        <w:tc>
          <w:tcPr>
            <w:tcW w:w="224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Burn Rate</w:t>
            </w: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bottom w:val="single" w:sz="8" w:color="auto"/>
              <w:right w:val="single" w:sz="8" w:color="auto"/>
            </w:tcBorders>
            <w:vMerge w:val="continue"/>
            <w:shd w:val="clear" w:color="auto" w:fill="DBDBDB"/>
          </w:tcPr>
          <w:p>
            <w:pPr>
              <w:spacing w:after="0"/>
              <w:rPr>
                <w:sz w:val="14"/>
                <w:szCs w:val="14"/>
                <w:color w:val="auto"/>
              </w:rPr>
            </w:pPr>
          </w:p>
        </w:tc>
        <w:tc>
          <w:tcPr>
            <w:tcW w:w="22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240" w:type="dxa"/>
            <w:vAlign w:val="bottom"/>
            <w:tcBorders>
              <w:bottom w:val="single" w:sz="8" w:color="auto"/>
              <w:right w:val="single" w:sz="8" w:color="auto"/>
            </w:tcBorders>
            <w:shd w:val="clear" w:color="auto" w:fill="DBDBDB"/>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8"/>
                <w:szCs w:val="18"/>
                <w:b w:val="1"/>
                <w:bCs w:val="1"/>
                <w:color w:val="auto"/>
                <w:vertAlign w:val="superscript"/>
              </w:rPr>
              <w:t>(2)</w:t>
            </w:r>
          </w:p>
        </w:tc>
        <w:tc>
          <w:tcPr>
            <w:tcW w:w="2240" w:type="dxa"/>
            <w:vAlign w:val="bottom"/>
            <w:tcBorders>
              <w:bottom w:val="single" w:sz="8" w:color="auto"/>
              <w:right w:val="single" w:sz="8" w:color="auto"/>
            </w:tcBorders>
            <w:shd w:val="clear" w:color="auto" w:fill="DBDBDB"/>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31</w:t>
            </w:r>
            <w:r>
              <w:rPr>
                <w:rFonts w:ascii="Times New Roman" w:cs="Times New Roman" w:eastAsia="Times New Roman" w:hAnsi="Times New Roman"/>
                <w:sz w:val="18"/>
                <w:szCs w:val="18"/>
                <w:b w:val="1"/>
                <w:bCs w:val="1"/>
                <w:color w:val="auto"/>
                <w:vertAlign w:val="superscript"/>
              </w:rPr>
              <w:t>st</w:t>
            </w:r>
            <w:r>
              <w:rPr>
                <w:rFonts w:ascii="Times New Roman" w:cs="Times New Roman" w:eastAsia="Times New Roman" w:hAnsi="Times New Roman"/>
                <w:sz w:val="14"/>
                <w:szCs w:val="14"/>
                <w:b w:val="1"/>
                <w:bCs w:val="1"/>
                <w:color w:val="auto"/>
              </w:rPr>
              <w:t xml:space="preserve"> of the applicable year</w:t>
            </w:r>
          </w:p>
        </w:tc>
        <w:tc>
          <w:tcPr>
            <w:tcW w:w="2240" w:type="dxa"/>
            <w:vAlign w:val="bottom"/>
            <w:tcBorders>
              <w:bottom w:val="single" w:sz="8" w:color="auto"/>
              <w:right w:val="single" w:sz="8" w:color="auto"/>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1,105,845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27,431,157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1,693,080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143,400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28,165,051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6.52%</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1,579,331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568,574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26,923,798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7.98%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time-based and performance-based options granted during 2021, 2022 and 2023.</w:t>
      </w:r>
    </w:p>
    <w:p>
      <w:pPr>
        <w:spacing w:after="0" w:line="7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time-based RSUs granted during 2022 and 2023; however, excludes the one-time RSU grant (887,043) required to recruit a CEO in 2022.</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 additional metric that the Company uses to measure the cumulative impact of its equity incentive programs is “overhang.” We define overhang as: (i) the sum of: (a) the number of shares subject to equity awards outstanding, but not exercised or settled; and (b) the number of shares available for grant under the equity plans; divided by (ii) the sum of: (a) the total number of fully-diluted shares outstanding as of April 1, 2024; (b) the number of shares subject to equity awards outstanding, but not exercised or settled; and (c) the number of shares available for grant under the equity plans.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32" w:right="339" w:bottom="1440" w:gutter="0" w:footer="0" w:header="0"/>
        </w:sectPr>
      </w:pPr>
    </w:p>
    <w:bookmarkStart w:id="23" w:name="page24"/>
    <w:bookmarkEnd w:id="23"/>
    <w:p>
      <w:pPr>
        <w:ind w:right="400"/>
        <w:spacing w:after="0" w:line="282" w:lineRule="auto"/>
        <w:rPr>
          <w:sz w:val="20"/>
          <w:szCs w:val="20"/>
          <w:color w:val="auto"/>
        </w:rPr>
      </w:pPr>
      <w:r>
        <w:rPr>
          <w:rFonts w:ascii="Times New Roman" w:cs="Times New Roman" w:eastAsia="Times New Roman" w:hAnsi="Times New Roman"/>
          <w:sz w:val="18"/>
          <w:szCs w:val="18"/>
          <w:color w:val="auto"/>
        </w:rPr>
        <w:t>proposed amendment to the 2017 Equity Incentive Plan is approved, the Company’s overhang would increase from 23.36% to approximately 28.75%, which we would expect to decline as awards are exercised and/or become vested.</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260" w:type="dxa"/>
            <w:vAlign w:val="bottom"/>
            <w:tcBorders>
              <w:top w:val="single" w:sz="8" w:color="auto"/>
              <w:left w:val="single" w:sz="8" w:color="auto"/>
              <w:right w:val="single" w:sz="8" w:color="auto"/>
            </w:tcBorders>
            <w:shd w:val="clear" w:color="auto" w:fill="DBDBDB"/>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Outstanding Appreciation</w:t>
            </w:r>
          </w:p>
        </w:tc>
        <w:tc>
          <w:tcPr>
            <w:tcW w:w="2220" w:type="dxa"/>
            <w:vAlign w:val="bottom"/>
            <w:tcBorders>
              <w:top w:val="single" w:sz="8" w:color="auto"/>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2240" w:type="dxa"/>
            <w:vAlign w:val="bottom"/>
            <w:tcBorders>
              <w:top w:val="single" w:sz="8" w:color="auto"/>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40" w:type="dxa"/>
            <w:vAlign w:val="bottom"/>
            <w:tcBorders>
              <w:top w:val="single" w:sz="8" w:color="auto"/>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Full value awards</w:t>
            </w:r>
          </w:p>
        </w:tc>
        <w:tc>
          <w:tcPr>
            <w:tcW w:w="2240" w:type="dxa"/>
            <w:vAlign w:val="bottom"/>
            <w:tcBorders>
              <w:top w:val="single" w:sz="8" w:color="auto"/>
              <w:right w:val="single" w:sz="8" w:color="auto"/>
            </w:tcBorders>
            <w:shd w:val="clear" w:color="auto" w:fill="DBDBDB"/>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shares available</w:t>
            </w: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shd w:val="clear" w:color="auto" w:fill="DBDBDB"/>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Awards (Options and SARs)</w:t>
            </w:r>
          </w:p>
        </w:tc>
        <w:tc>
          <w:tcPr>
            <w:tcW w:w="2220" w:type="dxa"/>
            <w:vAlign w:val="bottom"/>
            <w:tcBorders>
              <w:right w:val="single" w:sz="8" w:color="auto"/>
            </w:tcBorders>
            <w:vMerge w:val="continue"/>
            <w:shd w:val="clear" w:color="auto" w:fill="DBDBDB"/>
          </w:tcPr>
          <w:p>
            <w:pPr>
              <w:spacing w:after="0"/>
              <w:rPr>
                <w:sz w:val="16"/>
                <w:szCs w:val="16"/>
                <w:color w:val="auto"/>
              </w:rPr>
            </w:pPr>
          </w:p>
        </w:tc>
        <w:tc>
          <w:tcPr>
            <w:tcW w:w="2240" w:type="dxa"/>
            <w:vAlign w:val="bottom"/>
            <w:tcBorders>
              <w:right w:val="single" w:sz="8" w:color="auto"/>
            </w:tcBorders>
            <w:vMerge w:val="continue"/>
            <w:shd w:val="clear" w:color="auto" w:fill="DBDBDB"/>
          </w:tcPr>
          <w:p>
            <w:pPr>
              <w:spacing w:after="0"/>
              <w:rPr>
                <w:sz w:val="16"/>
                <w:szCs w:val="16"/>
                <w:color w:val="auto"/>
              </w:rPr>
            </w:pPr>
          </w:p>
        </w:tc>
        <w:tc>
          <w:tcPr>
            <w:tcW w:w="2240" w:type="dxa"/>
            <w:vAlign w:val="bottom"/>
            <w:tcBorders>
              <w:right w:val="single" w:sz="8" w:color="auto"/>
            </w:tcBorders>
            <w:vMerge w:val="continue"/>
            <w:shd w:val="clear" w:color="auto" w:fill="DBDBDB"/>
          </w:tcPr>
          <w:p>
            <w:pPr>
              <w:spacing w:after="0"/>
              <w:rPr>
                <w:sz w:val="16"/>
                <w:szCs w:val="16"/>
                <w:color w:val="auto"/>
              </w:rPr>
            </w:pPr>
          </w:p>
        </w:tc>
        <w:tc>
          <w:tcPr>
            <w:tcW w:w="2240" w:type="dxa"/>
            <w:vAlign w:val="bottom"/>
            <w:tcBorders>
              <w:right w:val="single" w:sz="8" w:color="auto"/>
            </w:tcBorders>
            <w:shd w:val="clear" w:color="auto" w:fill="DBDBDB"/>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for grant under all plans</w:t>
            </w:r>
          </w:p>
        </w:tc>
        <w:tc>
          <w:tcPr>
            <w:tcW w:w="0" w:type="dxa"/>
            <w:vAlign w:val="bottom"/>
          </w:tcPr>
          <w:p>
            <w:pPr>
              <w:spacing w:after="0"/>
              <w:rPr>
                <w:sz w:val="1"/>
                <w:szCs w:val="1"/>
                <w:color w:val="auto"/>
              </w:rPr>
            </w:pPr>
          </w:p>
        </w:tc>
      </w:tr>
      <w:tr>
        <w:trPr>
          <w:trHeight w:val="229"/>
        </w:trPr>
        <w:tc>
          <w:tcPr>
            <w:tcW w:w="226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all plans</w:t>
            </w:r>
          </w:p>
        </w:tc>
        <w:tc>
          <w:tcPr>
            <w:tcW w:w="22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price of options</w:t>
            </w:r>
          </w:p>
        </w:tc>
        <w:tc>
          <w:tcPr>
            <w:tcW w:w="22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term of options</w:t>
            </w:r>
          </w:p>
        </w:tc>
        <w:tc>
          <w:tcPr>
            <w:tcW w:w="22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under all plans</w:t>
            </w:r>
          </w:p>
        </w:tc>
        <w:tc>
          <w:tcPr>
            <w:tcW w:w="22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 Plan Only)</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6,074,256</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$25.28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8.14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1,184,302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1,605,471</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evaluates and considers factors that may impact burn rate and overhang. The following factors that are beneficial to all shareholders have impacted our burn rate and overhang relative to peers:</w:t>
      </w:r>
    </w:p>
    <w:p>
      <w:pPr>
        <w:spacing w:after="0" w:line="135" w:lineRule="exact"/>
        <w:rPr>
          <w:sz w:val="20"/>
          <w:szCs w:val="20"/>
          <w:color w:val="auto"/>
        </w:rPr>
      </w:pPr>
    </w:p>
    <w:p>
      <w:pPr>
        <w:ind w:left="1300" w:right="200" w:hanging="320"/>
        <w:spacing w:after="0" w:line="28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conducted a dilutive capital financing as regularly as most companies in our peer group, as the last time we raised dilutive financing was September 2018. Rather, since 2021, the Company has raised over $275 million in non-dilutive financing</w:t>
      </w:r>
    </w:p>
    <w:p>
      <w:pPr>
        <w:spacing w:after="0" w:line="1" w:lineRule="exact"/>
        <w:rPr>
          <w:rFonts w:ascii="Times New Roman" w:cs="Times New Roman" w:eastAsia="Times New Roman" w:hAnsi="Times New Roman"/>
          <w:sz w:val="18"/>
          <w:szCs w:val="18"/>
          <w:color w:val="auto"/>
        </w:rPr>
      </w:pPr>
    </w:p>
    <w:p>
      <w:pPr>
        <w:ind w:left="1300" w:right="700" w:hanging="320"/>
        <w:spacing w:after="0" w:line="279"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repurchased 2.1 million shares of our common stock, further reducing our number of shares of stock outstanding by approximately 7.4%</w:t>
      </w:r>
    </w:p>
    <w:p>
      <w:pPr>
        <w:spacing w:after="0" w:line="1" w:lineRule="exact"/>
        <w:rPr>
          <w:rFonts w:ascii="Times New Roman" w:cs="Times New Roman" w:eastAsia="Times New Roman" w:hAnsi="Times New Roman"/>
          <w:sz w:val="18"/>
          <w:szCs w:val="18"/>
          <w:color w:val="auto"/>
        </w:rPr>
      </w:pPr>
    </w:p>
    <w:p>
      <w:pPr>
        <w:ind w:left="1300" w:right="200" w:hanging="320"/>
        <w:spacing w:after="0" w:line="230"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number of shares of common stock outstanding (27.3 million) is significantly lower than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number of shares of common stock outstanding of our peer group (72.8 million)</w:t>
      </w:r>
    </w:p>
    <w:p>
      <w:pPr>
        <w:spacing w:after="0" w:line="159" w:lineRule="exact"/>
        <w:rPr>
          <w:sz w:val="20"/>
          <w:szCs w:val="20"/>
          <w:color w:val="auto"/>
        </w:rPr>
      </w:pPr>
    </w:p>
    <w:p>
      <w:pPr>
        <w:ind w:right="680" w:firstLine="648"/>
        <w:spacing w:after="0" w:line="460" w:lineRule="auto"/>
        <w:rPr>
          <w:sz w:val="20"/>
          <w:szCs w:val="20"/>
          <w:color w:val="auto"/>
        </w:rPr>
      </w:pPr>
      <w:r>
        <w:rPr>
          <w:rFonts w:ascii="Times New Roman" w:cs="Times New Roman" w:eastAsia="Times New Roman" w:hAnsi="Times New Roman"/>
          <w:sz w:val="18"/>
          <w:szCs w:val="18"/>
          <w:color w:val="auto"/>
        </w:rPr>
        <w:t xml:space="preserve">Additional factors include stock price and out-of-cycle grants (which include significant new hires and special one-time retention grants). </w:t>
      </w:r>
      <w:r>
        <w:rPr>
          <w:rFonts w:ascii="Times New Roman" w:cs="Times New Roman" w:eastAsia="Times New Roman" w:hAnsi="Times New Roman"/>
          <w:sz w:val="18"/>
          <w:szCs w:val="18"/>
          <w:b w:val="1"/>
          <w:bCs w:val="1"/>
          <w:color w:val="auto"/>
        </w:rPr>
        <w:t>Purpose of Proposed Restatement of the 2017 Plan</w:t>
      </w:r>
    </w:p>
    <w:p>
      <w:pPr>
        <w:spacing w:after="0" w:line="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Discontinue Evergreen. </w:t>
      </w:r>
      <w:r>
        <w:rPr>
          <w:rFonts w:ascii="Times New Roman" w:cs="Times New Roman" w:eastAsia="Times New Roman" w:hAnsi="Times New Roman"/>
          <w:sz w:val="18"/>
          <w:szCs w:val="18"/>
          <w:color w:val="auto"/>
        </w:rPr>
        <w:t>Consistent with the practice of many of our peers, the 2017 Plan adopted in connection with our initial public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a 10-year “evergreen” provision, that provided for an automatic 4% annual increase to the share pool. The evergreen provision is being discontinued. Thus, stockholder approval will be required each time we need to increase the share reserve allowing our stockholders the ability to have a say on our equity compensation programs.</w:t>
      </w:r>
    </w:p>
    <w:p>
      <w:pPr>
        <w:spacing w:after="0" w:line="139"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Increase. </w:t>
      </w:r>
      <w:r>
        <w:rPr>
          <w:rFonts w:ascii="Times New Roman" w:cs="Times New Roman" w:eastAsia="Times New Roman" w:hAnsi="Times New Roman"/>
          <w:sz w:val="18"/>
          <w:szCs w:val="18"/>
          <w:color w:val="auto"/>
        </w:rPr>
        <w:t>As discussed above, we are requesting approval of an increase of 2,700,000 shares for the Restated Plan to cover anticipated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awards, such as those for new hires, refresh awards, potential special retention needs, merger and acquisition activities and non-employee director grants.</w:t>
      </w:r>
    </w:p>
    <w:p>
      <w:pPr>
        <w:spacing w:after="0" w:line="133"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Prohibit Repricing Without Stockholder Approval. </w:t>
      </w:r>
      <w:r>
        <w:rPr>
          <w:rFonts w:ascii="Times New Roman" w:cs="Times New Roman" w:eastAsia="Times New Roman" w:hAnsi="Times New Roman"/>
          <w:sz w:val="18"/>
          <w:szCs w:val="18"/>
          <w:color w:val="auto"/>
        </w:rPr>
        <w:t>Consistent with good governance practices, the repricing of options or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prohibited without prior stockholder approval.</w:t>
      </w:r>
    </w:p>
    <w:p>
      <w:pPr>
        <w:spacing w:after="0" w:line="13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Remove Code Section 162(m) Limits. </w:t>
      </w:r>
      <w:r>
        <w:rPr>
          <w:rFonts w:ascii="Times New Roman" w:cs="Times New Roman" w:eastAsia="Times New Roman" w:hAnsi="Times New Roman"/>
          <w:sz w:val="18"/>
          <w:szCs w:val="18"/>
          <w:color w:val="auto"/>
        </w:rPr>
        <w:t>Annual per-person limits on awards were initially included in the 2017 Plan to enable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certain equity grants thereunder for the deductibility limit exemption afforded “qualified performance-based compensation” under Code Section 162(m). Passage of the 2017 Tax Cuts and Jobs Act repealed this exemption, effective for taxable years after December 31, 2017, meaning compliance with these annual per-person award limits no longer helps qualify equity grants for deduction by the Company, and may impede the Company’s ability to attract, motivate and retain talent with competitive equity award grants. Accordingly, our Board recommends that these annual per-person award limits be removed from the 2017 Plan.</w:t>
      </w:r>
    </w:p>
    <w:p>
      <w:pPr>
        <w:spacing w:after="0" w:line="142"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Clarifying Revisions. </w:t>
      </w:r>
      <w:r>
        <w:rPr>
          <w:rFonts w:ascii="Times New Roman" w:cs="Times New Roman" w:eastAsia="Times New Roman" w:hAnsi="Times New Roman"/>
          <w:sz w:val="18"/>
          <w:szCs w:val="18"/>
          <w:color w:val="auto"/>
        </w:rPr>
        <w:t>Our Board recommends conforming revisions to the 2017 Plan to reflect implementation of the foregoing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but not limited to, the removal of Code Section 162(m)-related provisions and references in response to the 2017 Tax Cuts and Jobs Act</w:t>
      </w:r>
      <w:r>
        <w:rPr>
          <w:rFonts w:ascii="Times New Roman" w:cs="Times New Roman" w:eastAsia="Times New Roman" w:hAnsi="Times New Roman"/>
          <w:sz w:val="18"/>
          <w:szCs w:val="18"/>
          <w:i w:val="1"/>
          <w:iCs w:val="1"/>
          <w:color w:val="auto"/>
        </w:rPr>
        <w:t>.</w:t>
      </w:r>
    </w:p>
    <w:p>
      <w:pPr>
        <w:spacing w:after="0" w:line="1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approved by our stockholders, the Restated Plan will be effective on the date of stockholder approval. We intend to register the additional shares authorized under the Restated Plan under the Securities Act. If our stockholders do not approve the Restated Plan, the 2017 Plan will continue without amendment.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Restated Plan</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the principal features of the Restated Plan. This summary, however, does not purport to be a complete description of all of the provisions of the Restated Plan. It is qualified in its entirety by reference to the full text of the Restated Plan, as proposed to be amended, a copy of which is attached hereto as </w:t>
      </w:r>
      <w:r>
        <w:rPr>
          <w:rFonts w:ascii="Times New Roman" w:cs="Times New Roman" w:eastAsia="Times New Roman" w:hAnsi="Times New Roman"/>
          <w:sz w:val="18"/>
          <w:szCs w:val="18"/>
          <w:u w:val="single" w:color="auto"/>
          <w:color w:val="auto"/>
        </w:rPr>
        <w:t>Annex A.</w:t>
      </w:r>
    </w:p>
    <w:p>
      <w:pPr>
        <w:sectPr>
          <w:pgSz w:w="11900" w:h="16838" w:orient="portrait"/>
          <w:cols w:equalWidth="0" w:num="1">
            <w:col w:w="11220"/>
          </w:cols>
          <w:pgMar w:left="320" w:top="133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336"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Background; Purpose</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2017 Plan was adopted by our Board on January 12, 2017 and became effective on January 24, 2017 (the “Original Effective Date”), and will terminate 10 years after the date approved by our Board. The purpose of the Restated Plan is to provide incentives to attract, retain and motivate eligible persons whose present and potential contributions are important to our success.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87" w:lineRule="exact"/>
        <w:rPr>
          <w:sz w:val="20"/>
          <w:szCs w:val="20"/>
          <w:color w:val="auto"/>
        </w:rPr>
      </w:pPr>
    </w:p>
    <w:p>
      <w:pPr>
        <w:jc w:val="both"/>
        <w:ind w:right="440" w:firstLine="648"/>
        <w:spacing w:after="0" w:line="289" w:lineRule="auto"/>
        <w:rPr>
          <w:sz w:val="20"/>
          <w:szCs w:val="20"/>
          <w:color w:val="auto"/>
        </w:rPr>
      </w:pPr>
      <w:r>
        <w:rPr>
          <w:rFonts w:ascii="Times New Roman" w:cs="Times New Roman" w:eastAsia="Times New Roman" w:hAnsi="Times New Roman"/>
          <w:sz w:val="17"/>
          <w:szCs w:val="17"/>
          <w:color w:val="auto"/>
        </w:rPr>
        <w:t>Employees, officers, directors, consultants, independent contractors and advisors of the Company or any parent, subsidiary or affiliate of the Company are eligible to receive awards. As of April 1, 2024, we had four executive officers (as such term is defined under Rule 16a-1(f)), eight non-employee directors and approximately 121 other employees and other service providers who would be eligible to participate in the Restated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Restated Plan will be administered by our compensation committee, all of the members of which are non-employee directors under applicable federal securities laws and outside directors as defined under applicable federal tax laws. Our compensation committee will act as the plan administrator and have the authority to construe and interpret the Restated Plan, grant awards, determine the terms and conditions of awards and make all other determinations necessary or advisable for the administration of the Restated Plan (subject to the limitations set forth in the Restated Plan). However, our Board establishes the terms for the grant of awards to non-employee directors as discussed above under “Proposal No. 1 Election of Class I Directors— Non-Employee Director Compensation”.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stockholders approve the Restated Plan, there will be a cumulative total of 12,486,075 shares authorized, which includes (i) the originally approved pool of 1,647,163 shares under the 2017 Plan, (ii) 308,343 reserved shares not issued or subject to outstanding grants under the 2006 Plan on the IPO date, (iii) 307,322 cancelled grants from the 2006 Plan since the IPO date, (iv) 7,523,247 shares from the “evergreen” increases under the 2017 Plan through January 2024 and (v) the new 2,700,000. The Restated Plan does not include an “evergreen” provision, and there will be no automatic annual increases thereunder.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following shares of our common stock will be available for grant and issuance under our Restated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respect to awards granted under the Restated Plan (include prior to its amendment and restatement):</w:t>
      </w:r>
    </w:p>
    <w:p>
      <w:pPr>
        <w:spacing w:after="0" w:line="187" w:lineRule="exact"/>
        <w:rPr>
          <w:sz w:val="20"/>
          <w:szCs w:val="20"/>
          <w:color w:val="auto"/>
        </w:rPr>
      </w:pPr>
    </w:p>
    <w:p>
      <w:pPr>
        <w:ind w:left="1300" w:right="120" w:hanging="320"/>
        <w:spacing w:after="0" w:line="281"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issuance upon exercise of a stock option or stock appreciation right granted under the Restated Plan but which cease to be subject to the option or stock appreciation right for any reason other than exercise of the stock option or stock appreciation right;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the Restated Plan that are forfeited or are repurchased by the Company at the original issue price;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the Restated Plan that otherwise terminate without such shares being issued;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surrendered pursuant to a stockholder-approved Exchange Program.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respect to awards granted under the 2006 Plan:</w:t>
      </w:r>
    </w:p>
    <w:p>
      <w:pPr>
        <w:spacing w:after="0" w:line="187" w:lineRule="exact"/>
        <w:rPr>
          <w:sz w:val="20"/>
          <w:szCs w:val="20"/>
          <w:color w:val="auto"/>
        </w:rPr>
      </w:pPr>
    </w:p>
    <w:p>
      <w:pPr>
        <w:ind w:left="1300" w:right="20" w:hanging="320"/>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subject to stock options or other awards granted under the 2006 Plan that cease to be subject to such stock options or other awards by forfeiture or otherwise after the Original Effective Date,</w:t>
      </w:r>
    </w:p>
    <w:p>
      <w:pPr>
        <w:spacing w:after="0" w:line="1" w:lineRule="exact"/>
        <w:rPr>
          <w:rFonts w:ascii="Times New Roman" w:cs="Times New Roman" w:eastAsia="Times New Roman" w:hAnsi="Times New Roman"/>
          <w:sz w:val="18"/>
          <w:szCs w:val="18"/>
          <w:color w:val="auto"/>
        </w:rPr>
      </w:pPr>
    </w:p>
    <w:p>
      <w:pPr>
        <w:ind w:left="1300" w:right="200" w:hanging="320"/>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under the 2006 Plan before or after the Original Effective Date pursuant to the exercise of stock options that are, after the Original Effective Date, forfeited; and</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under the 2006 Plan that are repurchased by the Company at the original issue price.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respect to awards granted under the Restated Plan or the 2006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334" w:right="379" w:bottom="1440" w:gutter="0" w:footer="0" w:header="0"/>
        </w:sectPr>
      </w:pPr>
    </w:p>
    <w:bookmarkStart w:id="25" w:name="page26"/>
    <w:bookmarkEnd w:id="25"/>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used to pay the exercise price of an award or withheld to satisfy the tax withholding obligations related to an award.</w:t>
      </w:r>
    </w:p>
    <w:p>
      <w:pPr>
        <w:spacing w:after="0" w:line="18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Shares that otherwise become available for grant and issuance shall not include shares subject to awards that initially became available because of the Company’s substitution or assumption of awards granted by another company in connection with an acquisition of such company, or otherwise, as permitted under the Restated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Equitable Adjustments</w:t>
      </w:r>
    </w:p>
    <w:p>
      <w:pPr>
        <w:spacing w:after="0" w:line="20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the event of a change in our common stock via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proportionate adjustments will be made to (a) the number and class of shares reserved for issuance and future grant under the Restated Plan (including the maximum number and class of ISOs (as defined below)), (b) the exercise prices of and number and class of shares subject to outstanding options and stock appreciation rights, (c) the number and class of shares subject to outstanding awards (other than options and stock appreciation rights), and (d) the number and class of shares that may be granted as awards to non-employee directors, subject to any required action by the Board or the stockholders of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Restated Plan will permit us to grant the following types of awards:</w:t>
      </w:r>
    </w:p>
    <w:p>
      <w:pPr>
        <w:spacing w:after="0" w:line="196"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Restated Plan provides for the grant of Incentive Stock Options (“ISOs”) and Non-qualified Stock Options (“NSOs”).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granted only to our employees or employees of our parent, subsidiaries and affiliates. NSOs may be granted to eligible employees, consultants and directors of any of our parent, subsidiaries or affiliates. We are able to issue no more than 12,000,000 shares pursuant to the grant of ISOs under the Restated Plan. Our compensation committee determines the terms of each option award, provided that ISOs are subject to statutory limitations. Our compensation committee also determines the exercise price for a stock option, provided that the exercise price of an option may not be less than the fair market value of our common stock on the date of grant (with certain additional requirements for certain ISOs).</w:t>
      </w:r>
    </w:p>
    <w:p>
      <w:pPr>
        <w:spacing w:after="0" w:line="144"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Options granted under the Restated Plan vest at the rate and/or subject to performance requirements specified by the compensation committee and such vesting schedule is set forth in the stock option agreement to which such stock option grant relates. The compensation committee determines the term of stock options granted under the Restated Plan, up to a term of ten years (with certain additional requirements for certain ISOs).</w:t>
      </w:r>
    </w:p>
    <w:p>
      <w:pPr>
        <w:spacing w:after="0" w:line="13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RSUs represent the right to receive shares of our common stock at a specified date in the future, subject to forfeiture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right due to termination of employment or failure to achieve specified performance goals. RSUs do not have exercise price. If the RSUs have not been forfeited, then on the date specified in the award agreement we will deliver to the holder of the RSUs shares of our common stock, cash or a combination of our common stock and cash as specified in the applicable award agreement. Our compensation committee determines the term of RSUs granted under the Restated Plan.</w:t>
      </w:r>
    </w:p>
    <w:p>
      <w:pPr>
        <w:spacing w:after="0" w:line="1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restricted stock award is an offer by us to sell shares of our common stock subject to restrictions that our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may impose. These restrictions may be based on completion of a specified period of service with us or upon the achievement of performance goals during a performance period. Our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spacing w:after="0" w:line="143"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Bonus Awards. </w:t>
      </w:r>
      <w:r>
        <w:rPr>
          <w:rFonts w:ascii="Times New Roman" w:cs="Times New Roman" w:eastAsia="Times New Roman" w:hAnsi="Times New Roman"/>
          <w:sz w:val="18"/>
          <w:szCs w:val="18"/>
          <w:color w:val="auto"/>
        </w:rPr>
        <w:t>A stock bonus is an award of shares of our common stock for past or future services to us. Stock bonuses can be granted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compensation for performance and, therefore, are not issued in exchange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61" w:right="33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t>cash. Our compensation committee determines the number of shares to be issued as stock bonus and any restrictions on those shares. These restrictions may be based on completion of a specified period of service with us or upon the achievement of performance goals during a performance period. Unless otherwise set forth in the award agreement, vesting ceases on the date the participant no longer provides services to us, and at that time unvested shares will be forfeited to us or are subject to repurchase by us.</w:t>
      </w:r>
    </w:p>
    <w:p>
      <w:pPr>
        <w:spacing w:after="0" w:line="13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Stock appreciation rights provide for a payment, or payments, in cash or shares of our common stock to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the difference between the fair market value of our common stock on the date of exercise and the stated exercise price of the stock appreciation right. Stock appreciation rights may vest based on time or achievement of performance goals. Our compensation committee determines the term of stock appreciation rights granted under the Restated Plan, up to a term of ten years.</w:t>
      </w:r>
    </w:p>
    <w:p>
      <w:pPr>
        <w:spacing w:after="0" w:line="153" w:lineRule="exact"/>
        <w:rPr>
          <w:sz w:val="20"/>
          <w:szCs w:val="20"/>
          <w:color w:val="auto"/>
        </w:rPr>
      </w:pPr>
    </w:p>
    <w:p>
      <w:pPr>
        <w:jc w:val="both"/>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A performance award is an award of a cash bonus or a bonus denominated in shares or units that is subject to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The award of performance shares may be settled in cash or by issuance of those shares (which may consist of restricted stock). These awards are subject to forfeiture because of termination of employment or failure to achieve the performance conditions.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Factors</w:t>
      </w:r>
    </w:p>
    <w:p>
      <w:pPr>
        <w:spacing w:after="0" w:line="18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compensation committee may establish performance goals from the performance criteria set forth in the Restated Plan, which include the following: profit before tax; billings; revenue; net revenue; earnings (which may include earnings before interest and taxes, earnings before taxes, net earnings, stock-based compensation expenses, depreciation, and amortization); operating income; operating margin; operating profit; controllable operating profit or net operating profit; net profit; gross margin; operating expenses or operating expenses as a percentage of revenue; net income; earning per share; total stockholder return; market share; return on assets or net assets; the Company’s stock price; growth in stockholder value relative to a pre-determined index; return on equity; return on invested capital; cash flow (including free cash flow or operating cash flows); cash conversion cycle; economic value added; individual confidential business objectives; contract awards or backlog; overhead or other expense reduction; credit rating; strategic plan development and implementation; succession plan development and implementation; improvement in workforce diversity; customer indicators and/or satisfaction; new product invention or innovation; attainment of research and development milestones; improvements in productivity; bookings; attainment of objective operating goals and employee metrics; sales; expenses; balance of cash, cash equivalents, and marketable securities; completion of an identified special project; completion of a joint venture or other corporate transaction; employee satisfaction and/or retention; research and development expenses; working capital targets and changes in working capital; and any other metric that is capable of measurement as determined by the compensation committee. The compensation committee may provide for one or more equitable adjustments to the performance criteria, including to preserve compensation committee’s original intent regarding such criteria at the time of the initial award grant, such as but not limited to, adjustments in recognition of unusual or non-recurring items such as acquisition related activities or changes in applicable accounting rules.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Approval Required for Repricing, Exchange and Buyout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may not, without the approval of our stockholders, reprice options or stock appreciation rights, including pursuant to an exchange program whereby cash or new awards are issued in exchange for the surrender and cancellation of any, or all, outstanding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Clawback Policy</w:t>
      </w:r>
    </w:p>
    <w:p>
      <w:pPr>
        <w:spacing w:after="0" w:line="20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Each participant who receives an award will comply with any policy adopted by the Company from time to time covering transactions in our securities by employees, officers and/or directors.</w:t>
      </w:r>
    </w:p>
    <w:p>
      <w:pPr>
        <w:spacing w:after="0" w:line="121"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All awards will be subject to clawback or recoupment pursuant to any compensation clawback or recoupment policy adopted by the Board or required by law during the term of the participant’s employment or other service, and in addition to any other remedies available under such policy and applicable law, we may require the cancellation of outstanding awards and the recoupment of any gains realized with respect to awards.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Dividends and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36" w:right="339" w:bottom="1440" w:gutter="0" w:footer="0" w:header="0"/>
        </w:sectPr>
      </w:pPr>
    </w:p>
    <w:bookmarkStart w:id="27" w:name="page28"/>
    <w:bookmarkEnd w:id="27"/>
    <w:p>
      <w:pPr>
        <w:ind w:firstLine="648"/>
        <w:spacing w:after="0" w:line="266" w:lineRule="auto"/>
        <w:rPr>
          <w:sz w:val="20"/>
          <w:szCs w:val="20"/>
          <w:color w:val="auto"/>
        </w:rPr>
      </w:pPr>
      <w:r>
        <w:rPr>
          <w:rFonts w:ascii="Times New Roman" w:cs="Times New Roman" w:eastAsia="Times New Roman" w:hAnsi="Times New Roman"/>
          <w:sz w:val="18"/>
          <w:szCs w:val="18"/>
          <w:color w:val="auto"/>
        </w:rPr>
        <w:t>A participant will have no right to payment of stock dividends or stock distributions with respect to unvested shares, and any such dividends or stock distributions will be accrued and paid only at such time, if any, as such unvested shares become vested shares and are no longer subject to restrictions and risk of forfeiture.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we undergo a Corporate Transaction (as defined in the Restated Plan), any or all outstanding awards may be assumed or replaced by the successor corporation, which assumption or replacement shall be binding on all participants.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Corporate Transaction, then notwithstanding any other provision in the Restated Plan to the contrary, such awards will expire on such transaction at such time and on such conditions as the Board will determine; the Board (or, the compensation committee, if so designated by the Board) may, in its sole discretion, accelerate the vesting of such awards in connection with a Corporate Transaction. In addition, in the event such successor or acquiring corporation (if any) refuses to assume, convert, replace or substitute awards, as provided above, pursuant to a Corporate Transaction, the compensation committee will notify the participant in writing or electronically that such award will be exercisable for a period of time determined by the compensation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47"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In the event of a Corporate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Award Recipients</w:t>
      </w:r>
    </w:p>
    <w:p>
      <w:pPr>
        <w:spacing w:after="0" w:line="20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order to comply with the laws in other countries in which we and our subsidiaries and affiliates operate or have employees or other individuals eligible for awards, the compensation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 of Awards</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compensation committee provides otherwise, the Restated Plan does not allow for the transfer of awards, other than by will or the laws of descent and distribution, and generally only the recipient of an award may exercise it during his or her lifetime.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to Non-Employee Directors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Grants to non-employee directors are eligible to receive any type of award offered under the Restated Plan except ISOs. Awards to non-employee directors under the Restated Plan may be automatically made pursuant to a policy adopted by the Board, or made from time to time as determined in the discretion of the Board. The aggregate number of shares subject to awards granted to a non-employee director under the Restated Plan in any calendar year shall not exceed one hundred thousand (100,000).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0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Board is permitted to amend or terminate the Restated Plan at any time, subject to stockholder approval where required. In any event, no termination or amendment of the Restated Plan or any outstanding award may adversely affect any then outstanding award without the consent of the participant, unless such termination or amendment is necessary to comply with applicable law, regulation or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320" w:top="1336" w:right="399" w:bottom="1440" w:gutter="0" w:footer="0" w:header="0"/>
        </w:sectPr>
      </w:pPr>
    </w:p>
    <w:bookmarkStart w:id="28" w:name="page29"/>
    <w:bookmarkEnd w:id="28"/>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Restated Plan originally become effective on the Original Effective Date. Unless earlier terminated as provided in the Restated Plan, the Restated Plan will become effective on the Restated Effective Date and will terminate ten (10) years from January 12, 2017, the date the Restated Plan, prior to its amendment and restatement, was originally adopted by the Board.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Income Tax Consequences.</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under current law of certain U.S. federal income tax consequences to participants who are citizens or individual residents of the United States relating to the types of equity awards that may be granted under the Restated Plan. This summary deals with the general tax principles and is provided only for general information. Certain kinds of taxes, such as foreign taxes, state and local income taxes, payroll taxes and the alternative minimum tax, are not discussed.</w:t>
      </w:r>
    </w:p>
    <w:p>
      <w:pPr>
        <w:spacing w:after="0" w:line="137" w:lineRule="exact"/>
        <w:rPr>
          <w:sz w:val="20"/>
          <w:szCs w:val="20"/>
          <w:color w:val="auto"/>
        </w:rPr>
      </w:pPr>
    </w:p>
    <w:p>
      <w:pPr>
        <w:ind w:right="80" w:firstLine="648"/>
        <w:spacing w:after="0" w:line="228" w:lineRule="exact"/>
        <w:rPr>
          <w:sz w:val="20"/>
          <w:szCs w:val="20"/>
          <w:color w:val="auto"/>
        </w:rPr>
      </w:pPr>
      <w:r>
        <w:rPr>
          <w:rFonts w:ascii="Times New Roman" w:cs="Times New Roman" w:eastAsia="Times New Roman" w:hAnsi="Times New Roman"/>
          <w:sz w:val="18"/>
          <w:szCs w:val="18"/>
          <w:i w:val="1"/>
          <w:iCs w:val="1"/>
          <w:color w:val="auto"/>
        </w:rPr>
        <w:t xml:space="preserve">Nonqualified Stock Options, Stock Appreciation Rights. </w:t>
      </w:r>
      <w:r>
        <w:rPr>
          <w:rFonts w:ascii="Times New Roman" w:cs="Times New Roman" w:eastAsia="Times New Roman" w:hAnsi="Times New Roman"/>
          <w:sz w:val="18"/>
          <w:szCs w:val="18"/>
          <w:color w:val="auto"/>
        </w:rPr>
        <w:t>A recipient of an NSO or stock appreciation right will not recognize taxable income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 common stock generally will be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length of time the recipient holds the shares.</w:t>
      </w:r>
    </w:p>
    <w:p>
      <w:pPr>
        <w:spacing w:after="0" w:line="1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Neither the grant nor the exercise of an ISO will generally result in any taxable income to the recipient, except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minimum tax may apply at the time of exercise. The recipient will recognize a capital gain or loss on a later sale or other disposition of such shares provided the he or she does not dispose of such shares within two years from the date the option was granted or within one year after the shares were acquired by the recipient. If the shares are not held for holding period described above, the recipient will recognize ordinary income equal to the lesser of</w:t>
      </w:r>
    </w:p>
    <w:p>
      <w:pPr>
        <w:spacing w:after="0" w:line="1" w:lineRule="exact"/>
        <w:rPr>
          <w:sz w:val="20"/>
          <w:szCs w:val="20"/>
          <w:color w:val="auto"/>
        </w:rPr>
      </w:pPr>
    </w:p>
    <w:p>
      <w:pPr>
        <w:jc w:val="both"/>
        <w:ind w:right="20" w:firstLine="8"/>
        <w:spacing w:after="0" w:line="216" w:lineRule="exact"/>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the shares on the date of exercise and the exercise price, or (ii) the difference between the sales price and the exercise price. Any gain or loss recognized on a subsequent disposition of the shares of common stock generally will be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length of time the recipient holds the shares.</w:t>
      </w:r>
    </w:p>
    <w:p>
      <w:pPr>
        <w:spacing w:after="0" w:line="170" w:lineRule="exact"/>
        <w:rPr>
          <w:sz w:val="20"/>
          <w:szCs w:val="20"/>
          <w:color w:val="auto"/>
        </w:rPr>
      </w:pPr>
    </w:p>
    <w:p>
      <w:pPr>
        <w:ind w:firstLine="648"/>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holder of RSUs does not recognize taxable income when the RSUs are granted. The recipient of the award generally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ordinary income in each year in which the units vest in an amount equal to the fair market value of the shares of common stock received. Any gain or loss recognized on a subsequent disposition of the shares of common stock generally will be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length of time the recipient holds the shares.</w:t>
      </w:r>
    </w:p>
    <w:p>
      <w:pPr>
        <w:spacing w:after="0" w:line="1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grant of restricted stock awards, stock bonus awards and performance shares will generally not be a taxable event.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recognition as of the date of grant).</w:t>
      </w:r>
    </w:p>
    <w:p>
      <w:pPr>
        <w:spacing w:after="0" w:line="14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each of the foregoing cases, we will generally have a corresponding deduction at the time the participant recognizes ordinary income, subject to Section 162(m) of the Internal Revenue Code and the relevant income tax regulations. Section 162(m) places a limit of $1 million on the amount of compensation that we may deduct as a business expense in any year with respect to certain of our most highly paid executive officers. We may from time to time pay compensation to our executives that may not be deductible if the compensation committee believes that doing so is in the best interests of our stockholders.</w:t>
      </w:r>
    </w:p>
    <w:p>
      <w:pPr>
        <w:spacing w:after="0" w:line="154" w:lineRule="exact"/>
        <w:rPr>
          <w:sz w:val="20"/>
          <w:szCs w:val="20"/>
          <w:color w:val="auto"/>
        </w:rPr>
      </w:pPr>
    </w:p>
    <w:p>
      <w:pPr>
        <w:ind w:right="360" w:firstLine="648"/>
        <w:spacing w:after="0" w:line="455" w:lineRule="auto"/>
        <w:rPr>
          <w:sz w:val="20"/>
          <w:szCs w:val="20"/>
          <w:color w:val="auto"/>
        </w:rPr>
      </w:pPr>
      <w:r>
        <w:rPr>
          <w:rFonts w:ascii="Times New Roman" w:cs="Times New Roman" w:eastAsia="Times New Roman" w:hAnsi="Times New Roman"/>
          <w:sz w:val="18"/>
          <w:szCs w:val="18"/>
          <w:i w:val="1"/>
          <w:iCs w:val="1"/>
          <w:color w:val="auto"/>
        </w:rPr>
        <w:t xml:space="preserve">ERISA Information. </w:t>
      </w:r>
      <w:r>
        <w:rPr>
          <w:rFonts w:ascii="Times New Roman" w:cs="Times New Roman" w:eastAsia="Times New Roman" w:hAnsi="Times New Roman"/>
          <w:sz w:val="18"/>
          <w:szCs w:val="18"/>
          <w:color w:val="auto"/>
        </w:rPr>
        <w:t>The Restated Plan is not subject to the provisions of the Employee Retirement Income Security Act of 1974, 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New Plan Benefits</w:t>
      </w: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named executive officers and members of our Board have an interest in this proposal by virtue of them being eligible to receive equity awards under the Restated Plan. No awards have been granted that are contingent on the approval of the Restated Plan. Future awards under the Restated Plan to executive officers, employees or other eligible participants are discretionary and cannot be determined at this time. Currently, our non-employee directors are entitled to receive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336" w:right="359" w:bottom="1440" w:gutter="0" w:footer="0" w:header="0"/>
        </w:sectPr>
      </w:pPr>
    </w:p>
    <w:bookmarkStart w:id="29" w:name="page30"/>
    <w:bookmarkEnd w:id="29"/>
    <w:p>
      <w:pPr>
        <w:ind w:right="300"/>
        <w:spacing w:after="0" w:line="284" w:lineRule="auto"/>
        <w:rPr>
          <w:sz w:val="20"/>
          <w:szCs w:val="20"/>
          <w:color w:val="auto"/>
        </w:rPr>
      </w:pPr>
      <w:r>
        <w:rPr>
          <w:rFonts w:ascii="Times New Roman" w:cs="Times New Roman" w:eastAsia="Times New Roman" w:hAnsi="Times New Roman"/>
          <w:sz w:val="18"/>
          <w:szCs w:val="18"/>
          <w:color w:val="auto"/>
        </w:rPr>
        <w:t>and equity compensation for their service as directors as described above under “Proposal No. 1 Election of Class I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Non-Employee Director Compensation”.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Plan Benefits Table</w:t>
      </w:r>
    </w:p>
    <w:p>
      <w:pPr>
        <w:spacing w:after="0" w:line="202"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subject to stock options or restricted stock unit awards granted under the 2017 Plan from its Original Effective Date through December 31, 2023, excluding shares underlying options or awards that were granted under the 2017 Plan that expired unexercised or were canceled: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48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Number of Securities Underlying Awards</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auto"/>
            </w:tcBorders>
            <w:vMerge w:val="continue"/>
          </w:tcPr>
          <w:p>
            <w:pPr>
              <w:spacing w:after="0"/>
              <w:rPr>
                <w:sz w:val="21"/>
                <w:szCs w:val="21"/>
                <w:color w:val="auto"/>
              </w:rPr>
            </w:pPr>
          </w:p>
        </w:tc>
        <w:tc>
          <w:tcPr>
            <w:tcW w:w="48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Faga, Chief Executive Officer</w:t>
            </w:r>
          </w:p>
        </w:tc>
        <w:tc>
          <w:tcPr>
            <w:tcW w:w="48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1,175,864</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Lizzul, M.D., Ph.D., Chief Medical Officer</w:t>
            </w:r>
          </w:p>
        </w:tc>
        <w:tc>
          <w:tcPr>
            <w:tcW w:w="48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348,650</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J. Loumeau, Chief Legal Officer</w:t>
            </w:r>
          </w:p>
        </w:tc>
        <w:tc>
          <w:tcPr>
            <w:tcW w:w="48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450,210</w:t>
            </w:r>
          </w:p>
        </w:tc>
        <w:tc>
          <w:tcPr>
            <w:tcW w:w="0" w:type="dxa"/>
            <w:vAlign w:val="bottom"/>
          </w:tcPr>
          <w:p>
            <w:pPr>
              <w:spacing w:after="0"/>
              <w:rPr>
                <w:sz w:val="1"/>
                <w:szCs w:val="1"/>
                <w:color w:val="auto"/>
              </w:rPr>
            </w:pPr>
          </w:p>
        </w:tc>
      </w:tr>
      <w:tr>
        <w:trPr>
          <w:trHeight w:val="175"/>
        </w:trPr>
        <w:tc>
          <w:tcPr>
            <w:tcW w:w="6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All current executive officers (including named executive officers)</w:t>
            </w:r>
          </w:p>
        </w:tc>
        <w:tc>
          <w:tcPr>
            <w:tcW w:w="480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9"/>
              </w:rPr>
              <w:t>2,310,564</w:t>
            </w:r>
          </w:p>
        </w:tc>
        <w:tc>
          <w:tcPr>
            <w:tcW w:w="0" w:type="dxa"/>
            <w:vAlign w:val="bottom"/>
          </w:tcPr>
          <w:p>
            <w:pPr>
              <w:spacing w:after="0"/>
              <w:rPr>
                <w:sz w:val="1"/>
                <w:szCs w:val="1"/>
                <w:color w:val="auto"/>
              </w:rPr>
            </w:pPr>
          </w:p>
        </w:tc>
      </w:tr>
      <w:tr>
        <w:trPr>
          <w:trHeight w:val="149"/>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 persons)</w:t>
            </w:r>
          </w:p>
        </w:tc>
        <w:tc>
          <w:tcPr>
            <w:tcW w:w="4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420" w:type="dxa"/>
            <w:vAlign w:val="bottom"/>
            <w:vMerge w:val="continue"/>
          </w:tcPr>
          <w:p>
            <w:pPr>
              <w:spacing w:after="0"/>
              <w:rPr>
                <w:sz w:val="7"/>
                <w:szCs w:val="7"/>
                <w:color w:val="auto"/>
              </w:rPr>
            </w:pPr>
          </w:p>
        </w:tc>
        <w:tc>
          <w:tcPr>
            <w:tcW w:w="4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current non-employee directors as a group (8 persons)</w:t>
            </w:r>
          </w:p>
        </w:tc>
        <w:tc>
          <w:tcPr>
            <w:tcW w:w="48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491,144</w:t>
            </w:r>
          </w:p>
        </w:tc>
        <w:tc>
          <w:tcPr>
            <w:tcW w:w="0" w:type="dxa"/>
            <w:vAlign w:val="bottom"/>
          </w:tcPr>
          <w:p>
            <w:pPr>
              <w:spacing w:after="0"/>
              <w:rPr>
                <w:sz w:val="1"/>
                <w:szCs w:val="1"/>
                <w:color w:val="auto"/>
              </w:rPr>
            </w:pP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employees (excluding current executive officers and directors)</w:t>
            </w:r>
          </w:p>
        </w:tc>
        <w:tc>
          <w:tcPr>
            <w:tcW w:w="48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2,918,871</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the Restated Plan requires the approval of a majority of the votes present or represented by proxy and voted for or against the matter.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BOARD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APPROVAL OF PROPOSAL NO.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334" w:right="359" w:bottom="1440" w:gutter="0" w:footer="0" w:header="0"/>
        </w:sectPr>
      </w:pPr>
    </w:p>
    <w:bookmarkStart w:id="30" w:name="page31"/>
    <w:bookmarkEnd w:id="30"/>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1, 2024 for:</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common stock.</w:t>
      </w:r>
    </w:p>
    <w:p>
      <w:pPr>
        <w:spacing w:after="0" w:line="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3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Applicable percentage ownership is based on 27,316,644 shares of common stock issued and outstanding as of April 1, 2024.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April 1, 2024. We did not deem these shares outstanding, however, for the purpose of computing the percentage ownership of any other person. Unless otherwise indicated, the address of each beneficial owner listed in the table on the following page is c/o AnaptysBio, Inc., 10770 Wateridge Circle, Suite 210, San Diego, CA 92121.</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3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Beneficial Owner</w:t>
            </w:r>
          </w:p>
        </w:tc>
        <w:tc>
          <w:tcPr>
            <w:tcW w:w="3300" w:type="dxa"/>
            <w:vAlign w:val="bottom"/>
          </w:tcPr>
          <w:p>
            <w:pPr>
              <w:jc w:val="center"/>
              <w:ind w:left="1679"/>
              <w:spacing w:after="0"/>
              <w:rPr>
                <w:sz w:val="20"/>
                <w:szCs w:val="20"/>
                <w:color w:val="auto"/>
              </w:rPr>
            </w:pPr>
            <w:r>
              <w:rPr>
                <w:rFonts w:ascii="Times New Roman" w:cs="Times New Roman" w:eastAsia="Times New Roman" w:hAnsi="Times New Roman"/>
                <w:sz w:val="16"/>
                <w:szCs w:val="16"/>
                <w:b w:val="1"/>
                <w:bCs w:val="1"/>
                <w:color w:val="auto"/>
                <w:w w:val="99"/>
              </w:rPr>
              <w:t>Shares Beneficially</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Beneficially</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6300" w:type="dxa"/>
            <w:vAlign w:val="bottom"/>
            <w:tcBorders>
              <w:bottom w:val="single" w:sz="8" w:color="auto"/>
            </w:tcBorders>
            <w:gridSpan w:val="3"/>
            <w:vMerge w:val="continue"/>
          </w:tcPr>
          <w:p>
            <w:pPr>
              <w:spacing w:after="0"/>
              <w:rPr>
                <w:sz w:val="18"/>
                <w:szCs w:val="18"/>
                <w:color w:val="auto"/>
              </w:rPr>
            </w:pPr>
          </w:p>
        </w:tc>
        <w:tc>
          <w:tcPr>
            <w:tcW w:w="3300" w:type="dxa"/>
            <w:vAlign w:val="bottom"/>
            <w:tcBorders>
              <w:bottom w:val="single" w:sz="8" w:color="auto"/>
            </w:tcBorders>
          </w:tcPr>
          <w:p>
            <w:pPr>
              <w:jc w:val="center"/>
              <w:ind w:left="1679"/>
              <w:spacing w:after="0"/>
              <w:rPr>
                <w:sz w:val="20"/>
                <w:szCs w:val="20"/>
                <w:color w:val="auto"/>
              </w:rPr>
            </w:pPr>
            <w:r>
              <w:rPr>
                <w:rFonts w:ascii="Times New Roman" w:cs="Times New Roman" w:eastAsia="Times New Roman" w:hAnsi="Times New Roman"/>
                <w:sz w:val="16"/>
                <w:szCs w:val="16"/>
                <w:b w:val="1"/>
                <w:bCs w:val="1"/>
                <w:color w:val="auto"/>
              </w:rPr>
              <w:t>Owned (#)</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Owned (%)</w:t>
            </w: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630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3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top w:val="single" w:sz="8" w:color="CCEEFF"/>
            </w:tcBorders>
          </w:tcPr>
          <w:p>
            <w:pPr>
              <w:spacing w:after="0"/>
              <w:rPr>
                <w:sz w:val="18"/>
                <w:szCs w:val="18"/>
                <w:color w:val="auto"/>
              </w:rPr>
            </w:pPr>
          </w:p>
        </w:tc>
        <w:tc>
          <w:tcPr>
            <w:tcW w:w="2700" w:type="dxa"/>
            <w:vAlign w:val="bottom"/>
            <w:tcBorders>
              <w:top w:val="single" w:sz="8" w:color="auto"/>
            </w:tcBorders>
            <w:gridSpan w:val="2"/>
          </w:tcPr>
          <w:p>
            <w:pPr>
              <w:spacing w:after="0" w:line="216" w:lineRule="exact"/>
              <w:rPr>
                <w:sz w:val="20"/>
                <w:szCs w:val="20"/>
                <w:color w:val="auto"/>
              </w:rPr>
            </w:pPr>
            <w:r>
              <w:rPr>
                <w:rFonts w:ascii="Times New Roman" w:cs="Times New Roman" w:eastAsia="Times New Roman" w:hAnsi="Times New Roman"/>
                <w:sz w:val="16"/>
                <w:szCs w:val="16"/>
                <w:color w:val="auto"/>
              </w:rPr>
              <w:t>Daniel Faga</w:t>
            </w:r>
            <w:r>
              <w:rPr>
                <w:rFonts w:ascii="Times New Roman" w:cs="Times New Roman" w:eastAsia="Times New Roman" w:hAnsi="Times New Roman"/>
                <w:sz w:val="21"/>
                <w:szCs w:val="21"/>
                <w:color w:val="auto"/>
                <w:vertAlign w:val="superscript"/>
              </w:rPr>
              <w:t>(1)</w:t>
            </w:r>
          </w:p>
        </w:tc>
        <w:tc>
          <w:tcPr>
            <w:tcW w:w="360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jc w:val="center"/>
              <w:ind w:left="1679"/>
              <w:spacing w:after="0"/>
              <w:rPr>
                <w:sz w:val="20"/>
                <w:szCs w:val="20"/>
                <w:color w:val="auto"/>
              </w:rPr>
            </w:pPr>
            <w:r>
              <w:rPr>
                <w:rFonts w:ascii="Times New Roman" w:cs="Times New Roman" w:eastAsia="Times New Roman" w:hAnsi="Times New Roman"/>
                <w:sz w:val="16"/>
                <w:szCs w:val="16"/>
                <w:color w:val="auto"/>
              </w:rPr>
              <w:t>487,301</w:t>
            </w:r>
          </w:p>
        </w:tc>
        <w:tc>
          <w:tcPr>
            <w:tcW w:w="15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216"/>
        </w:trPr>
        <w:tc>
          <w:tcPr>
            <w:tcW w:w="6340" w:type="dxa"/>
            <w:vAlign w:val="bottom"/>
            <w:gridSpan w:val="4"/>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Paul Lizzul, M.D., Ph.D.</w:t>
            </w:r>
            <w:r>
              <w:rPr>
                <w:rFonts w:ascii="Times New Roman" w:cs="Times New Roman" w:eastAsia="Times New Roman" w:hAnsi="Times New Roman"/>
                <w:sz w:val="21"/>
                <w:szCs w:val="21"/>
                <w:color w:val="auto"/>
                <w:vertAlign w:val="superscript"/>
              </w:rPr>
              <w:t>(2)</w:t>
            </w:r>
          </w:p>
        </w:tc>
        <w:tc>
          <w:tcPr>
            <w:tcW w:w="3300" w:type="dxa"/>
            <w:vAlign w:val="bottom"/>
            <w:shd w:val="clear" w:color="auto" w:fill="CCEEFF"/>
          </w:tcPr>
          <w:p>
            <w:pPr>
              <w:jc w:val="center"/>
              <w:ind w:left="1679"/>
              <w:spacing w:after="0"/>
              <w:rPr>
                <w:sz w:val="20"/>
                <w:szCs w:val="20"/>
                <w:color w:val="auto"/>
              </w:rPr>
            </w:pPr>
            <w:r>
              <w:rPr>
                <w:rFonts w:ascii="Times New Roman" w:cs="Times New Roman" w:eastAsia="Times New Roman" w:hAnsi="Times New Roman"/>
                <w:sz w:val="16"/>
                <w:szCs w:val="16"/>
                <w:color w:val="auto"/>
              </w:rPr>
              <w:t>219,662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6"/>
                <w:szCs w:val="16"/>
                <w:color w:val="auto"/>
              </w:rPr>
              <w:t>Eric J. Loumeau, J.D.</w:t>
            </w:r>
            <w:r>
              <w:rPr>
                <w:rFonts w:ascii="Times New Roman" w:cs="Times New Roman" w:eastAsia="Times New Roman" w:hAnsi="Times New Roman"/>
                <w:sz w:val="21"/>
                <w:szCs w:val="21"/>
                <w:color w:val="auto"/>
                <w:vertAlign w:val="superscript"/>
              </w:rPr>
              <w:t>(3)</w:t>
            </w:r>
          </w:p>
        </w:tc>
        <w:tc>
          <w:tcPr>
            <w:tcW w:w="3300" w:type="dxa"/>
            <w:vAlign w:val="bottom"/>
          </w:tcPr>
          <w:p>
            <w:pPr>
              <w:jc w:val="center"/>
              <w:ind w:left="1679"/>
              <w:spacing w:after="0"/>
              <w:rPr>
                <w:sz w:val="20"/>
                <w:szCs w:val="20"/>
                <w:color w:val="auto"/>
              </w:rPr>
            </w:pPr>
            <w:r>
              <w:rPr>
                <w:rFonts w:ascii="Times New Roman" w:cs="Times New Roman" w:eastAsia="Times New Roman" w:hAnsi="Times New Roman"/>
                <w:sz w:val="16"/>
                <w:szCs w:val="16"/>
                <w:color w:val="auto"/>
              </w:rPr>
              <w:t>301,937</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16"/>
        </w:trPr>
        <w:tc>
          <w:tcPr>
            <w:tcW w:w="6340" w:type="dxa"/>
            <w:vAlign w:val="bottom"/>
            <w:gridSpan w:val="4"/>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Dennis Fenton, Ph.D.</w:t>
            </w:r>
            <w:r>
              <w:rPr>
                <w:rFonts w:ascii="Times New Roman" w:cs="Times New Roman" w:eastAsia="Times New Roman" w:hAnsi="Times New Roman"/>
                <w:sz w:val="21"/>
                <w:szCs w:val="21"/>
                <w:color w:val="auto"/>
                <w:vertAlign w:val="superscript"/>
              </w:rPr>
              <w:t>(4)</w:t>
            </w:r>
          </w:p>
        </w:tc>
        <w:tc>
          <w:tcPr>
            <w:tcW w:w="3300" w:type="dxa"/>
            <w:vAlign w:val="bottom"/>
            <w:shd w:val="clear" w:color="auto" w:fill="CCEEFF"/>
          </w:tcPr>
          <w:p>
            <w:pPr>
              <w:jc w:val="center"/>
              <w:ind w:left="1679"/>
              <w:spacing w:after="0"/>
              <w:rPr>
                <w:sz w:val="20"/>
                <w:szCs w:val="20"/>
                <w:color w:val="auto"/>
              </w:rPr>
            </w:pPr>
            <w:r>
              <w:rPr>
                <w:rFonts w:ascii="Times New Roman" w:cs="Times New Roman" w:eastAsia="Times New Roman" w:hAnsi="Times New Roman"/>
                <w:sz w:val="16"/>
                <w:szCs w:val="16"/>
                <w:color w:val="auto"/>
              </w:rPr>
              <w:t>64,810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6"/>
                <w:szCs w:val="16"/>
                <w:color w:val="auto"/>
              </w:rPr>
              <w:t>Magda Marquet, Ph.D.</w:t>
            </w:r>
            <w:r>
              <w:rPr>
                <w:rFonts w:ascii="Times New Roman" w:cs="Times New Roman" w:eastAsia="Times New Roman" w:hAnsi="Times New Roman"/>
                <w:sz w:val="21"/>
                <w:szCs w:val="21"/>
                <w:color w:val="auto"/>
                <w:vertAlign w:val="superscript"/>
              </w:rPr>
              <w:t>(5)</w:t>
            </w:r>
          </w:p>
        </w:tc>
        <w:tc>
          <w:tcPr>
            <w:tcW w:w="3300" w:type="dxa"/>
            <w:vAlign w:val="bottom"/>
          </w:tcPr>
          <w:p>
            <w:pPr>
              <w:jc w:val="center"/>
              <w:ind w:left="1679"/>
              <w:spacing w:after="0"/>
              <w:rPr>
                <w:sz w:val="20"/>
                <w:szCs w:val="20"/>
                <w:color w:val="auto"/>
              </w:rPr>
            </w:pPr>
            <w:r>
              <w:rPr>
                <w:rFonts w:ascii="Times New Roman" w:cs="Times New Roman" w:eastAsia="Times New Roman" w:hAnsi="Times New Roman"/>
                <w:sz w:val="16"/>
                <w:szCs w:val="16"/>
                <w:color w:val="auto"/>
              </w:rPr>
              <w:t>48,087</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40" w:type="dxa"/>
            <w:vAlign w:val="bottom"/>
            <w:gridSpan w:val="4"/>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Oleg Nodelman</w:t>
            </w:r>
            <w:r>
              <w:rPr>
                <w:rFonts w:ascii="Times New Roman" w:cs="Times New Roman" w:eastAsia="Times New Roman" w:hAnsi="Times New Roman"/>
                <w:sz w:val="21"/>
                <w:szCs w:val="21"/>
                <w:color w:val="auto"/>
                <w:vertAlign w:val="superscript"/>
              </w:rPr>
              <w:t>(6)</w:t>
            </w:r>
          </w:p>
        </w:tc>
        <w:tc>
          <w:tcPr>
            <w:tcW w:w="3300" w:type="dxa"/>
            <w:vAlign w:val="bottom"/>
            <w:shd w:val="clear" w:color="auto" w:fill="CCEEFF"/>
          </w:tcPr>
          <w:p>
            <w:pPr>
              <w:jc w:val="center"/>
              <w:ind w:left="1679"/>
              <w:spacing w:after="0"/>
              <w:rPr>
                <w:sz w:val="20"/>
                <w:szCs w:val="20"/>
                <w:color w:val="auto"/>
              </w:rPr>
            </w:pPr>
            <w:r>
              <w:rPr>
                <w:rFonts w:ascii="Times New Roman" w:cs="Times New Roman" w:eastAsia="Times New Roman" w:hAnsi="Times New Roman"/>
                <w:sz w:val="16"/>
                <w:szCs w:val="16"/>
                <w:color w:val="auto"/>
              </w:rPr>
              <w:t>7,521,024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27.5</w:t>
            </w:r>
          </w:p>
        </w:tc>
        <w:tc>
          <w:tcPr>
            <w:tcW w:w="0" w:type="dxa"/>
            <w:vAlign w:val="bottom"/>
          </w:tcPr>
          <w:p>
            <w:pPr>
              <w:spacing w:after="0"/>
              <w:rPr>
                <w:sz w:val="1"/>
                <w:szCs w:val="1"/>
                <w:color w:val="auto"/>
              </w:rPr>
            </w:pPr>
          </w:p>
        </w:tc>
      </w:tr>
      <w:tr>
        <w:trPr>
          <w:trHeight w:val="216"/>
        </w:trPr>
        <w:tc>
          <w:tcPr>
            <w:tcW w:w="63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6"/>
                <w:szCs w:val="16"/>
                <w:color w:val="auto"/>
              </w:rPr>
              <w:t>Hollings Renton</w:t>
            </w:r>
            <w:r>
              <w:rPr>
                <w:rFonts w:ascii="Times New Roman" w:cs="Times New Roman" w:eastAsia="Times New Roman" w:hAnsi="Times New Roman"/>
                <w:sz w:val="21"/>
                <w:szCs w:val="21"/>
                <w:color w:val="auto"/>
                <w:vertAlign w:val="superscript"/>
              </w:rPr>
              <w:t>(7)</w:t>
            </w:r>
          </w:p>
        </w:tc>
        <w:tc>
          <w:tcPr>
            <w:tcW w:w="3300" w:type="dxa"/>
            <w:vAlign w:val="bottom"/>
          </w:tcPr>
          <w:p>
            <w:pPr>
              <w:jc w:val="center"/>
              <w:ind w:left="1679"/>
              <w:spacing w:after="0"/>
              <w:rPr>
                <w:sz w:val="20"/>
                <w:szCs w:val="20"/>
                <w:color w:val="auto"/>
              </w:rPr>
            </w:pPr>
            <w:r>
              <w:rPr>
                <w:rFonts w:ascii="Times New Roman" w:cs="Times New Roman" w:eastAsia="Times New Roman" w:hAnsi="Times New Roman"/>
                <w:sz w:val="16"/>
                <w:szCs w:val="16"/>
                <w:color w:val="auto"/>
              </w:rPr>
              <w:t>125,459</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40" w:type="dxa"/>
            <w:vAlign w:val="bottom"/>
            <w:gridSpan w:val="4"/>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John P. Schmid</w:t>
            </w:r>
            <w:r>
              <w:rPr>
                <w:rFonts w:ascii="Times New Roman" w:cs="Times New Roman" w:eastAsia="Times New Roman" w:hAnsi="Times New Roman"/>
                <w:sz w:val="21"/>
                <w:szCs w:val="21"/>
                <w:color w:val="auto"/>
                <w:vertAlign w:val="superscript"/>
              </w:rPr>
              <w:t>(8)</w:t>
            </w:r>
          </w:p>
        </w:tc>
        <w:tc>
          <w:tcPr>
            <w:tcW w:w="3300" w:type="dxa"/>
            <w:vAlign w:val="bottom"/>
            <w:shd w:val="clear" w:color="auto" w:fill="CCEEFF"/>
          </w:tcPr>
          <w:p>
            <w:pPr>
              <w:jc w:val="center"/>
              <w:ind w:left="1659"/>
              <w:spacing w:after="0"/>
              <w:rPr>
                <w:sz w:val="20"/>
                <w:szCs w:val="20"/>
                <w:color w:val="auto"/>
              </w:rPr>
            </w:pPr>
            <w:r>
              <w:rPr>
                <w:rFonts w:ascii="Times New Roman" w:cs="Times New Roman" w:eastAsia="Times New Roman" w:hAnsi="Times New Roman"/>
                <w:sz w:val="16"/>
                <w:szCs w:val="16"/>
                <w:color w:val="auto"/>
                <w:w w:val="99"/>
              </w:rPr>
              <w:t>116,640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6"/>
                <w:szCs w:val="16"/>
                <w:color w:val="auto"/>
              </w:rPr>
              <w:t>J. Anthony Ware, M.D.</w:t>
            </w:r>
            <w:r>
              <w:rPr>
                <w:rFonts w:ascii="Times New Roman" w:cs="Times New Roman" w:eastAsia="Times New Roman" w:hAnsi="Times New Roman"/>
                <w:sz w:val="21"/>
                <w:szCs w:val="21"/>
                <w:color w:val="auto"/>
                <w:vertAlign w:val="superscript"/>
              </w:rPr>
              <w:t>(9)</w:t>
            </w:r>
          </w:p>
        </w:tc>
        <w:tc>
          <w:tcPr>
            <w:tcW w:w="3300" w:type="dxa"/>
            <w:vAlign w:val="bottom"/>
          </w:tcPr>
          <w:p>
            <w:pPr>
              <w:jc w:val="center"/>
              <w:ind w:left="1679"/>
              <w:spacing w:after="0"/>
              <w:rPr>
                <w:sz w:val="20"/>
                <w:szCs w:val="20"/>
                <w:color w:val="auto"/>
              </w:rPr>
            </w:pPr>
            <w:r>
              <w:rPr>
                <w:rFonts w:ascii="Times New Roman" w:cs="Times New Roman" w:eastAsia="Times New Roman" w:hAnsi="Times New Roman"/>
                <w:sz w:val="16"/>
                <w:szCs w:val="16"/>
                <w:color w:val="auto"/>
              </w:rPr>
              <w:t>102,168</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40" w:type="dxa"/>
            <w:vAlign w:val="bottom"/>
            <w:gridSpan w:val="4"/>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Rita Jain, M.D.</w:t>
            </w:r>
            <w:r>
              <w:rPr>
                <w:rFonts w:ascii="Times New Roman" w:cs="Times New Roman" w:eastAsia="Times New Roman" w:hAnsi="Times New Roman"/>
                <w:sz w:val="21"/>
                <w:szCs w:val="21"/>
                <w:color w:val="auto"/>
                <w:vertAlign w:val="superscript"/>
              </w:rPr>
              <w:t>(10)</w:t>
            </w:r>
          </w:p>
        </w:tc>
        <w:tc>
          <w:tcPr>
            <w:tcW w:w="3300" w:type="dxa"/>
            <w:vAlign w:val="bottom"/>
            <w:shd w:val="clear" w:color="auto" w:fill="CCEEFF"/>
          </w:tcPr>
          <w:p>
            <w:pPr>
              <w:jc w:val="center"/>
              <w:ind w:left="1679"/>
              <w:spacing w:after="0"/>
              <w:rPr>
                <w:sz w:val="20"/>
                <w:szCs w:val="20"/>
                <w:color w:val="auto"/>
              </w:rPr>
            </w:pPr>
            <w:r>
              <w:rPr>
                <w:rFonts w:ascii="Times New Roman" w:cs="Times New Roman" w:eastAsia="Times New Roman" w:hAnsi="Times New Roman"/>
                <w:sz w:val="16"/>
                <w:szCs w:val="16"/>
                <w:color w:val="auto"/>
              </w:rPr>
              <w:t>17,346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6"/>
                <w:szCs w:val="16"/>
                <w:color w:val="auto"/>
              </w:rPr>
              <w:t>John Orwin</w:t>
            </w:r>
            <w:r>
              <w:rPr>
                <w:rFonts w:ascii="Times New Roman" w:cs="Times New Roman" w:eastAsia="Times New Roman" w:hAnsi="Times New Roman"/>
                <w:sz w:val="21"/>
                <w:szCs w:val="21"/>
                <w:color w:val="auto"/>
                <w:vertAlign w:val="superscript"/>
              </w:rPr>
              <w:t>(11)</w:t>
            </w:r>
          </w:p>
        </w:tc>
        <w:tc>
          <w:tcPr>
            <w:tcW w:w="3300" w:type="dxa"/>
            <w:vAlign w:val="bottom"/>
          </w:tcPr>
          <w:p>
            <w:pPr>
              <w:jc w:val="center"/>
              <w:ind w:left="1659"/>
              <w:spacing w:after="0"/>
              <w:rPr>
                <w:sz w:val="20"/>
                <w:szCs w:val="20"/>
                <w:color w:val="auto"/>
              </w:rPr>
            </w:pPr>
            <w:r>
              <w:rPr>
                <w:rFonts w:ascii="Times New Roman" w:cs="Times New Roman" w:eastAsia="Times New Roman" w:hAnsi="Times New Roman"/>
                <w:sz w:val="16"/>
                <w:szCs w:val="16"/>
                <w:color w:val="auto"/>
                <w:w w:val="99"/>
              </w:rPr>
              <w:t>11,170</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40" w:type="dxa"/>
            <w:vAlign w:val="bottom"/>
            <w:gridSpan w:val="4"/>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b w:val="1"/>
                <w:bCs w:val="1"/>
                <w:color w:val="auto"/>
              </w:rPr>
              <w:t>Total Executive Officers and Directors as a Group (12 people)</w:t>
            </w:r>
            <w:r>
              <w:rPr>
                <w:rFonts w:ascii="Times New Roman" w:cs="Times New Roman" w:eastAsia="Times New Roman" w:hAnsi="Times New Roman"/>
                <w:sz w:val="21"/>
                <w:szCs w:val="21"/>
                <w:b w:val="1"/>
                <w:bCs w:val="1"/>
                <w:color w:val="auto"/>
                <w:vertAlign w:val="superscript"/>
              </w:rPr>
              <w:t>(12)</w:t>
            </w:r>
          </w:p>
        </w:tc>
        <w:tc>
          <w:tcPr>
            <w:tcW w:w="3300" w:type="dxa"/>
            <w:vAlign w:val="bottom"/>
            <w:shd w:val="clear" w:color="auto" w:fill="CCEEFF"/>
          </w:tcPr>
          <w:p>
            <w:pPr>
              <w:jc w:val="center"/>
              <w:ind w:left="1679"/>
              <w:spacing w:after="0"/>
              <w:rPr>
                <w:sz w:val="20"/>
                <w:szCs w:val="20"/>
                <w:color w:val="auto"/>
              </w:rPr>
            </w:pPr>
            <w:r>
              <w:rPr>
                <w:rFonts w:ascii="Times New Roman" w:cs="Times New Roman" w:eastAsia="Times New Roman" w:hAnsi="Times New Roman"/>
                <w:sz w:val="16"/>
                <w:szCs w:val="16"/>
                <w:b w:val="1"/>
                <w:bCs w:val="1"/>
                <w:color w:val="auto"/>
              </w:rPr>
              <w:t>9,223,418</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630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33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63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EcoR1 Capital LLC</w:t>
            </w:r>
            <w:r>
              <w:rPr>
                <w:rFonts w:ascii="Times New Roman" w:cs="Times New Roman" w:eastAsia="Times New Roman" w:hAnsi="Times New Roman"/>
                <w:sz w:val="21"/>
                <w:szCs w:val="21"/>
                <w:color w:val="auto"/>
                <w:vertAlign w:val="superscript"/>
              </w:rPr>
              <w:t>(13)</w:t>
            </w:r>
          </w:p>
        </w:tc>
        <w:tc>
          <w:tcPr>
            <w:tcW w:w="3300" w:type="dxa"/>
            <w:vAlign w:val="bottom"/>
          </w:tcPr>
          <w:p>
            <w:pPr>
              <w:jc w:val="center"/>
              <w:ind w:left="1679"/>
              <w:spacing w:after="0"/>
              <w:rPr>
                <w:sz w:val="20"/>
                <w:szCs w:val="20"/>
                <w:color w:val="auto"/>
              </w:rPr>
            </w:pPr>
            <w:r>
              <w:rPr>
                <w:rFonts w:ascii="Times New Roman" w:cs="Times New Roman" w:eastAsia="Times New Roman" w:hAnsi="Times New Roman"/>
                <w:sz w:val="16"/>
                <w:szCs w:val="16"/>
                <w:color w:val="auto"/>
              </w:rPr>
              <w:t>7,521,024</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27.5</w:t>
            </w:r>
          </w:p>
        </w:tc>
        <w:tc>
          <w:tcPr>
            <w:tcW w:w="0" w:type="dxa"/>
            <w:vAlign w:val="bottom"/>
          </w:tcPr>
          <w:p>
            <w:pPr>
              <w:spacing w:after="0"/>
              <w:rPr>
                <w:sz w:val="1"/>
                <w:szCs w:val="1"/>
                <w:color w:val="auto"/>
              </w:rPr>
            </w:pPr>
          </w:p>
        </w:tc>
      </w:tr>
      <w:tr>
        <w:trPr>
          <w:trHeight w:val="216"/>
        </w:trPr>
        <w:tc>
          <w:tcPr>
            <w:tcW w:w="6340" w:type="dxa"/>
            <w:vAlign w:val="bottom"/>
            <w:gridSpan w:val="4"/>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Deep Track Capital, LP</w:t>
            </w:r>
            <w:r>
              <w:rPr>
                <w:rFonts w:ascii="Times New Roman" w:cs="Times New Roman" w:eastAsia="Times New Roman" w:hAnsi="Times New Roman"/>
                <w:sz w:val="21"/>
                <w:szCs w:val="21"/>
                <w:color w:val="auto"/>
                <w:vertAlign w:val="superscript"/>
              </w:rPr>
              <w:t>(14)</w:t>
            </w:r>
          </w:p>
        </w:tc>
        <w:tc>
          <w:tcPr>
            <w:tcW w:w="3300" w:type="dxa"/>
            <w:vAlign w:val="bottom"/>
            <w:shd w:val="clear" w:color="auto" w:fill="CCEEFF"/>
          </w:tcPr>
          <w:p>
            <w:pPr>
              <w:jc w:val="center"/>
              <w:ind w:left="1679"/>
              <w:spacing w:after="0"/>
              <w:rPr>
                <w:sz w:val="20"/>
                <w:szCs w:val="20"/>
                <w:color w:val="auto"/>
              </w:rPr>
            </w:pPr>
            <w:r>
              <w:rPr>
                <w:rFonts w:ascii="Times New Roman" w:cs="Times New Roman" w:eastAsia="Times New Roman" w:hAnsi="Times New Roman"/>
                <w:sz w:val="16"/>
                <w:szCs w:val="16"/>
                <w:color w:val="auto"/>
              </w:rPr>
              <w:t>2,036,990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0" w:type="dxa"/>
            <w:vAlign w:val="bottom"/>
          </w:tcPr>
          <w:p>
            <w:pPr>
              <w:spacing w:after="0"/>
              <w:rPr>
                <w:sz w:val="1"/>
                <w:szCs w:val="1"/>
                <w:color w:val="auto"/>
              </w:rPr>
            </w:pPr>
          </w:p>
        </w:tc>
      </w:tr>
      <w:tr>
        <w:trPr>
          <w:trHeight w:val="216"/>
        </w:trPr>
        <w:tc>
          <w:tcPr>
            <w:tcW w:w="63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6"/>
                <w:szCs w:val="16"/>
                <w:color w:val="auto"/>
              </w:rPr>
              <w:t>Tang Capital Partners, L.P.</w:t>
            </w:r>
            <w:r>
              <w:rPr>
                <w:rFonts w:ascii="Times New Roman" w:cs="Times New Roman" w:eastAsia="Times New Roman" w:hAnsi="Times New Roman"/>
                <w:sz w:val="21"/>
                <w:szCs w:val="21"/>
                <w:color w:val="auto"/>
                <w:vertAlign w:val="superscript"/>
              </w:rPr>
              <w:t>(15)</w:t>
            </w:r>
          </w:p>
        </w:tc>
        <w:tc>
          <w:tcPr>
            <w:tcW w:w="3300" w:type="dxa"/>
            <w:vAlign w:val="bottom"/>
          </w:tcPr>
          <w:p>
            <w:pPr>
              <w:jc w:val="center"/>
              <w:ind w:left="1679"/>
              <w:spacing w:after="0"/>
              <w:rPr>
                <w:sz w:val="20"/>
                <w:szCs w:val="20"/>
                <w:color w:val="auto"/>
              </w:rPr>
            </w:pPr>
            <w:r>
              <w:rPr>
                <w:rFonts w:ascii="Times New Roman" w:cs="Times New Roman" w:eastAsia="Times New Roman" w:hAnsi="Times New Roman"/>
                <w:sz w:val="16"/>
                <w:szCs w:val="16"/>
                <w:color w:val="auto"/>
              </w:rPr>
              <w:t>1,950,609</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0" w:type="dxa"/>
            <w:vAlign w:val="bottom"/>
          </w:tcPr>
          <w:p>
            <w:pPr>
              <w:spacing w:after="0"/>
              <w:rPr>
                <w:sz w:val="1"/>
                <w:szCs w:val="1"/>
                <w:color w:val="auto"/>
              </w:rPr>
            </w:pPr>
          </w:p>
        </w:tc>
      </w:tr>
      <w:tr>
        <w:trPr>
          <w:trHeight w:val="216"/>
        </w:trPr>
        <w:tc>
          <w:tcPr>
            <w:tcW w:w="6340" w:type="dxa"/>
            <w:vAlign w:val="bottom"/>
            <w:gridSpan w:val="4"/>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1"/>
                <w:szCs w:val="21"/>
                <w:color w:val="auto"/>
                <w:vertAlign w:val="superscript"/>
              </w:rPr>
              <w:t>(16)</w:t>
            </w:r>
          </w:p>
        </w:tc>
        <w:tc>
          <w:tcPr>
            <w:tcW w:w="3300" w:type="dxa"/>
            <w:vAlign w:val="bottom"/>
            <w:shd w:val="clear" w:color="auto" w:fill="CCEEFF"/>
          </w:tcPr>
          <w:p>
            <w:pPr>
              <w:jc w:val="center"/>
              <w:ind w:left="1679"/>
              <w:spacing w:after="0"/>
              <w:rPr>
                <w:sz w:val="20"/>
                <w:szCs w:val="20"/>
                <w:color w:val="auto"/>
              </w:rPr>
            </w:pPr>
            <w:r>
              <w:rPr>
                <w:rFonts w:ascii="Times New Roman" w:cs="Times New Roman" w:eastAsia="Times New Roman" w:hAnsi="Times New Roman"/>
                <w:sz w:val="16"/>
                <w:szCs w:val="16"/>
                <w:color w:val="auto"/>
              </w:rPr>
              <w:t>1,799,823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0" w:type="dxa"/>
            <w:vAlign w:val="bottom"/>
          </w:tcPr>
          <w:p>
            <w:pPr>
              <w:spacing w:after="0"/>
              <w:rPr>
                <w:sz w:val="1"/>
                <w:szCs w:val="1"/>
                <w:color w:val="auto"/>
              </w:rPr>
            </w:pPr>
          </w:p>
        </w:tc>
      </w:tr>
      <w:tr>
        <w:trPr>
          <w:trHeight w:val="281"/>
        </w:trPr>
        <w:tc>
          <w:tcPr>
            <w:tcW w:w="63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The Vanguard Group</w:t>
            </w:r>
            <w:r>
              <w:rPr>
                <w:rFonts w:ascii="Times New Roman" w:cs="Times New Roman" w:eastAsia="Times New Roman" w:hAnsi="Times New Roman"/>
                <w:sz w:val="21"/>
                <w:szCs w:val="21"/>
                <w:color w:val="auto"/>
                <w:vertAlign w:val="superscript"/>
              </w:rPr>
              <w:t>(17)</w:t>
            </w:r>
          </w:p>
        </w:tc>
        <w:tc>
          <w:tcPr>
            <w:tcW w:w="3300" w:type="dxa"/>
            <w:vAlign w:val="bottom"/>
          </w:tcPr>
          <w:p>
            <w:pPr>
              <w:jc w:val="center"/>
              <w:ind w:left="1659"/>
              <w:spacing w:after="0"/>
              <w:rPr>
                <w:sz w:val="20"/>
                <w:szCs w:val="20"/>
                <w:color w:val="auto"/>
              </w:rPr>
            </w:pPr>
            <w:r>
              <w:rPr>
                <w:rFonts w:ascii="Times New Roman" w:cs="Times New Roman" w:eastAsia="Times New Roman" w:hAnsi="Times New Roman"/>
                <w:sz w:val="16"/>
                <w:szCs w:val="16"/>
                <w:color w:val="auto"/>
                <w:w w:val="99"/>
              </w:rPr>
              <w:t>1,380,115</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Represents beneficial ownership of less than one percent.</w:t>
      </w:r>
    </w:p>
    <w:p>
      <w:pPr>
        <w:spacing w:after="0" w:line="100" w:lineRule="exact"/>
        <w:rPr>
          <w:sz w:val="20"/>
          <w:szCs w:val="20"/>
          <w:color w:val="auto"/>
        </w:rPr>
      </w:pPr>
    </w:p>
    <w:p>
      <w:pPr>
        <w:ind w:left="340" w:right="400" w:hanging="332"/>
        <w:spacing w:after="0" w:line="280"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401,646 shares of common stock held directly by Mr. Faga and (b) 85,655 shares of common stock issuable to Mr. Faga upon the exercise of stock options that are exercisable or restricted stock units that are vesting within 60 days of April 1, 2024.</w:t>
      </w:r>
    </w:p>
    <w:p>
      <w:pPr>
        <w:spacing w:after="0" w:line="70" w:lineRule="exact"/>
        <w:rPr>
          <w:rFonts w:ascii="Times New Roman" w:cs="Times New Roman" w:eastAsia="Times New Roman" w:hAnsi="Times New Roman"/>
          <w:sz w:val="16"/>
          <w:szCs w:val="16"/>
          <w:color w:val="auto"/>
        </w:rPr>
      </w:pPr>
    </w:p>
    <w:p>
      <w:pPr>
        <w:ind w:left="340" w:right="260" w:hanging="332"/>
        <w:spacing w:after="0" w:line="280"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10,118 shares of common stock held directly by Dr. Lizzul and (b) 209,544 shares of common stock issuable to Dr. Lizzul upon the exercise of stock options that are exercisable within 60 days of 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157" w:right="359" w:bottom="1440" w:gutter="0" w:footer="0" w:header="0"/>
        </w:sectPr>
      </w:pPr>
    </w:p>
    <w:bookmarkStart w:id="31" w:name="page32"/>
    <w:bookmarkEnd w:id="31"/>
    <w:p>
      <w:pPr>
        <w:ind w:left="332" w:right="260" w:hanging="332"/>
        <w:spacing w:after="0" w:line="280" w:lineRule="auto"/>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3,240 shares of common stock held directly by Mr. Loumeau and (b) 298,697 shares of common stock issuable to Mr. Loumeau upon the exercise of stock options that are exercisable within 60 days of April 1, 2024.</w:t>
      </w:r>
    </w:p>
    <w:p>
      <w:pPr>
        <w:spacing w:after="0" w:line="70"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64,810 shares of common stock issuable to Dr. Fenton upon the exercise of stock options that are exercisable within 60 days of April 1, 2024.</w:t>
      </w:r>
    </w:p>
    <w:p>
      <w:pPr>
        <w:spacing w:after="0" w:line="113"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48,087 shares of common stock issuable to Dr. Marquet upon the exercise of stock options that are exercisable within 60 days of April 1, 2024.</w:t>
      </w:r>
    </w:p>
    <w:p>
      <w:pPr>
        <w:spacing w:after="0" w:line="113" w:lineRule="exact"/>
        <w:rPr>
          <w:rFonts w:ascii="Times New Roman" w:cs="Times New Roman" w:eastAsia="Times New Roman" w:hAnsi="Times New Roman"/>
          <w:sz w:val="16"/>
          <w:szCs w:val="16"/>
          <w:color w:val="auto"/>
        </w:rPr>
      </w:pPr>
    </w:p>
    <w:p>
      <w:pPr>
        <w:ind w:left="332" w:right="320" w:hanging="332"/>
        <w:spacing w:after="0" w:line="298" w:lineRule="auto"/>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shares of common stock described in footnote 13 below. Mr. Nodelman joined our Board in April 2021, and disclaims beneficial ownership of such shares, except to the extent of his pecuniary interest therein.</w:t>
      </w:r>
    </w:p>
    <w:p>
      <w:pPr>
        <w:spacing w:after="0" w:line="42"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125,459 shares of common stock issuable to Mr. Renton upon the exercise of stock options that are exercisable within 60 days of April 1, 2024.</w:t>
      </w:r>
    </w:p>
    <w:p>
      <w:pPr>
        <w:spacing w:after="0" w:line="126"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116,640 shares of common stock issuable to Mr. Schmid upon the exercise of stock options that are exercisable within 60 days of April 1, 2024.</w:t>
      </w:r>
    </w:p>
    <w:p>
      <w:pPr>
        <w:spacing w:after="0" w:line="113" w:lineRule="exact"/>
        <w:rPr>
          <w:rFonts w:ascii="Times New Roman" w:cs="Times New Roman" w:eastAsia="Times New Roman" w:hAnsi="Times New Roman"/>
          <w:sz w:val="16"/>
          <w:szCs w:val="16"/>
          <w:color w:val="auto"/>
        </w:rPr>
      </w:pPr>
    </w:p>
    <w:p>
      <w:pPr>
        <w:ind w:left="332" w:right="40" w:hanging="332"/>
        <w:spacing w:after="0" w:line="280" w:lineRule="auto"/>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3,600 shares of common stock held directly by Dr. Ware and (b) 98,568 shares of common stock issuable to Dr. Ware upon the exercise of stock options that are exercisable within 60 days of April 1, 2024.</w:t>
      </w:r>
    </w:p>
    <w:p>
      <w:pPr>
        <w:spacing w:after="0" w:line="70"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17,346 shares of common stock issuable to Dr. Jain upon the exercise of stock options that are exercisable within 60 days of April 1, 2024.</w:t>
      </w:r>
    </w:p>
    <w:p>
      <w:pPr>
        <w:spacing w:after="0" w:line="113" w:lineRule="exact"/>
        <w:rPr>
          <w:rFonts w:ascii="Times New Roman" w:cs="Times New Roman" w:eastAsia="Times New Roman" w:hAnsi="Times New Roman"/>
          <w:sz w:val="16"/>
          <w:szCs w:val="16"/>
          <w:color w:val="auto"/>
        </w:rPr>
      </w:pPr>
    </w:p>
    <w:p>
      <w:pPr>
        <w:ind w:left="312" w:hanging="312"/>
        <w:spacing w:after="0"/>
        <w:tabs>
          <w:tab w:leader="none" w:pos="31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11,170 shares of common stock issuable to Mr. Orwin upon the exercise of stock options that are exercisable within 60 days of April 1, 2024.</w:t>
      </w:r>
    </w:p>
    <w:p>
      <w:pPr>
        <w:spacing w:after="0" w:line="113" w:lineRule="exact"/>
        <w:rPr>
          <w:rFonts w:ascii="Times New Roman" w:cs="Times New Roman" w:eastAsia="Times New Roman" w:hAnsi="Times New Roman"/>
          <w:sz w:val="16"/>
          <w:szCs w:val="16"/>
          <w:color w:val="auto"/>
        </w:rPr>
      </w:pPr>
    </w:p>
    <w:p>
      <w:pPr>
        <w:ind w:left="332" w:right="340" w:hanging="332"/>
        <w:spacing w:after="0" w:line="298" w:lineRule="auto"/>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beneficially owned by our executive officers and directors. Consists of (a) 7,940,592 shares of common stock and (b) 1,282,826 shares of common stock issuable upon the exercise of stock options that are exercisable within 60 days of April 1, 2024.</w:t>
      </w:r>
    </w:p>
    <w:p>
      <w:pPr>
        <w:spacing w:after="0" w:line="42" w:lineRule="exact"/>
        <w:rPr>
          <w:rFonts w:ascii="Times New Roman" w:cs="Times New Roman" w:eastAsia="Times New Roman" w:hAnsi="Times New Roman"/>
          <w:sz w:val="16"/>
          <w:szCs w:val="16"/>
          <w:color w:val="auto"/>
        </w:rPr>
      </w:pPr>
    </w:p>
    <w:p>
      <w:pPr>
        <w:ind w:left="332" w:right="160" w:hanging="332"/>
        <w:spacing w:after="0" w:line="272" w:lineRule="auto"/>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7,521,024 shares of common stock held directly by EcoR1 Capital Fund Qualified, L.P. Each of EcoR1 Capital Fund Qualified, L.P., EcoR1 Capital, LLC and Mr. Nodelman have shared voting and dispositive power over such shares. The address of each of EcoR1 Capital Fund Qualified, L.P., EcoR1 Capital, LLC and Mr. Nodelman is 357 Tehama Street #3, San Francisco, California 94103.</w:t>
      </w:r>
    </w:p>
    <w:p>
      <w:pPr>
        <w:spacing w:after="0" w:line="62" w:lineRule="exact"/>
        <w:rPr>
          <w:rFonts w:ascii="Times New Roman" w:cs="Times New Roman" w:eastAsia="Times New Roman" w:hAnsi="Times New Roman"/>
          <w:sz w:val="16"/>
          <w:szCs w:val="16"/>
          <w:color w:val="auto"/>
        </w:rPr>
      </w:pPr>
    </w:p>
    <w:p>
      <w:pPr>
        <w:ind w:left="332" w:right="240" w:hanging="332"/>
        <w:spacing w:after="0" w:line="237" w:lineRule="auto"/>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by Deep Track Capital, LP on February 14, 2024. Consists of 2,036,990 shares of common stock held by Deep Track Capital, LP, Deep Track Biotechnology Master Fund, Ltd. and David Kronin. The address of each of Deep Track Capital, LP and David Kronin is 200 Greenwich Ave,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color w:val="auto"/>
        </w:rPr>
        <w:t xml:space="preserve"> Floor, Greenwich, CT 06830 and the address of Deep Track Biotechnology Master Fund, Ltd. is 190 Elgin Ave, George Town, KY1-9001, Cayman Islands.</w:t>
      </w:r>
    </w:p>
    <w:p>
      <w:pPr>
        <w:spacing w:after="0" w:line="100" w:lineRule="exact"/>
        <w:rPr>
          <w:rFonts w:ascii="Times New Roman" w:cs="Times New Roman" w:eastAsia="Times New Roman" w:hAnsi="Times New Roman"/>
          <w:sz w:val="16"/>
          <w:szCs w:val="16"/>
          <w:color w:val="auto"/>
        </w:rPr>
      </w:pPr>
    </w:p>
    <w:p>
      <w:pPr>
        <w:ind w:left="332" w:right="120" w:hanging="332"/>
        <w:spacing w:after="0" w:line="263" w:lineRule="auto"/>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13-G/A filed by Tang Capital Partners, LP on February 14, 2024. Consists of 1,950,609 shares of common stock held by Tang Capital Partners LP, Tang Capital Management, LLC and Kevin Tang The address each of Tang Capital Partners, LP, Tang Capital Management, LLC and Kevin Tangis 4747 Executive Drive, Suite 210, San Diego, CA 92121.</w:t>
      </w:r>
    </w:p>
    <w:p>
      <w:pPr>
        <w:spacing w:after="0" w:line="83" w:lineRule="exact"/>
        <w:rPr>
          <w:rFonts w:ascii="Times New Roman" w:cs="Times New Roman" w:eastAsia="Times New Roman" w:hAnsi="Times New Roman"/>
          <w:sz w:val="16"/>
          <w:szCs w:val="16"/>
          <w:color w:val="auto"/>
        </w:rPr>
      </w:pPr>
    </w:p>
    <w:p>
      <w:pPr>
        <w:ind w:left="332" w:hanging="332"/>
        <w:spacing w:after="0" w:line="259" w:lineRule="auto"/>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by BlackRock, Inc. (“Blackrock”) on January 26, 2024. Consists of 1,799,823 shares of common stock held by the following subsidiaries of BlackRock: Aperio Group, LLC, BlackRock Advisors, LLC, BlackRock Investment Management (UK) Limited, BlackRock Asset Management Canada Limited, BlackRock (Netherlands) B.V., BlackRock Fund Advisors, BlackRock Asset Management Ireland Limited, BlackRock Institutional Trust Company, National Association, BlackRock Financial Management, Inc., BlackRock Fund Managers Ltd, BlackRock Asset Management Schweiz AG, BlackRock Investment Management, LLC. Blackrock’s address is 50 Hudson Yards, New York, NY 10001.</w:t>
      </w:r>
    </w:p>
    <w:p>
      <w:pPr>
        <w:spacing w:after="0" w:line="87" w:lineRule="exact"/>
        <w:rPr>
          <w:rFonts w:ascii="Times New Roman" w:cs="Times New Roman" w:eastAsia="Times New Roman" w:hAnsi="Times New Roman"/>
          <w:sz w:val="16"/>
          <w:szCs w:val="16"/>
          <w:color w:val="auto"/>
        </w:rPr>
      </w:pPr>
    </w:p>
    <w:p>
      <w:pPr>
        <w:ind w:left="332" w:right="120" w:hanging="332"/>
        <w:spacing w:after="0" w:line="263" w:lineRule="auto"/>
        <w:tabs>
          <w:tab w:leader="none" w:pos="33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by The Vanguard Group on February 13, 2024. Consists of 1,380,115 shares of common stock held by the following subsidiaries of The Vanguard Group: Vanguard Asset Management, Limited, Vanguard Fiduciary Trust Company, Vanguard Global Advisors, Vanguard Group (Ireland) Limited, Vanguard Investments Australia Ltd, Vanguard Investments Canada Inc., Vanguard Investments Hong Kong Limited, and Vanguard Investments UK, Limited. The address of The Vanguard Group is 100 Vanguard Blvd. Malvern, Pennsylvania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12"/>
          </w:cols>
          <w:pgMar w:left="328" w:top="1165" w:right="359" w:bottom="1440" w:gutter="0" w:footer="0" w:header="0"/>
        </w:sectPr>
      </w:pPr>
    </w:p>
    <w:bookmarkStart w:id="32" w:name="page33"/>
    <w:bookmarkEnd w:id="32"/>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as of March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60" w:type="dxa"/>
            <w:vAlign w:val="bottom"/>
            <w:tcBorders>
              <w:bottom w:val="single" w:sz="8" w:color="auto"/>
            </w:tcBorders>
            <w:shd w:val="clear" w:color="auto" w:fill="CCEEFF"/>
          </w:tcPr>
          <w:p>
            <w:pPr>
              <w:jc w:val="center"/>
              <w:ind w:left="1492"/>
              <w:spacing w:after="0"/>
              <w:rPr>
                <w:sz w:val="20"/>
                <w:szCs w:val="20"/>
                <w:color w:val="auto"/>
              </w:rPr>
            </w:pPr>
            <w:r>
              <w:rPr>
                <w:rFonts w:ascii="Times New Roman" w:cs="Times New Roman" w:eastAsia="Times New Roman" w:hAnsi="Times New Roman"/>
                <w:sz w:val="16"/>
                <w:szCs w:val="16"/>
                <w:b w:val="1"/>
                <w:bCs w:val="1"/>
                <w:color w:val="auto"/>
              </w:rPr>
              <w:t>Age</w:t>
            </w:r>
          </w:p>
        </w:tc>
        <w:tc>
          <w:tcPr>
            <w:tcW w:w="5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2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Daniel Faga</w:t>
            </w:r>
          </w:p>
        </w:tc>
        <w:tc>
          <w:tcPr>
            <w:tcW w:w="2060" w:type="dxa"/>
            <w:vAlign w:val="bottom"/>
          </w:tcPr>
          <w:p>
            <w:pPr>
              <w:jc w:val="center"/>
              <w:ind w:left="1472"/>
              <w:spacing w:after="0"/>
              <w:rPr>
                <w:sz w:val="20"/>
                <w:szCs w:val="20"/>
                <w:color w:val="auto"/>
              </w:rPr>
            </w:pPr>
            <w:r>
              <w:rPr>
                <w:rFonts w:ascii="Times New Roman" w:cs="Times New Roman" w:eastAsia="Times New Roman" w:hAnsi="Times New Roman"/>
                <w:sz w:val="18"/>
                <w:szCs w:val="18"/>
                <w:color w:val="auto"/>
                <w:w w:val="99"/>
              </w:rPr>
              <w:t>44</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30"/>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Eric Loumeau, J.D.</w:t>
            </w:r>
          </w:p>
        </w:tc>
        <w:tc>
          <w:tcPr>
            <w:tcW w:w="2060" w:type="dxa"/>
            <w:vAlign w:val="bottom"/>
            <w:shd w:val="clear" w:color="auto" w:fill="CCEEFF"/>
          </w:tcPr>
          <w:p>
            <w:pPr>
              <w:jc w:val="center"/>
              <w:ind w:left="1472"/>
              <w:spacing w:after="0"/>
              <w:rPr>
                <w:sz w:val="20"/>
                <w:szCs w:val="20"/>
                <w:color w:val="auto"/>
              </w:rPr>
            </w:pPr>
            <w:r>
              <w:rPr>
                <w:rFonts w:ascii="Times New Roman" w:cs="Times New Roman" w:eastAsia="Times New Roman" w:hAnsi="Times New Roman"/>
                <w:sz w:val="18"/>
                <w:szCs w:val="18"/>
                <w:color w:val="auto"/>
                <w:w w:val="99"/>
              </w:rPr>
              <w:t>61</w:t>
            </w:r>
          </w:p>
        </w:tc>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29"/>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Paul Lizzul, M.D., Ph.D.</w:t>
            </w:r>
          </w:p>
        </w:tc>
        <w:tc>
          <w:tcPr>
            <w:tcW w:w="2060" w:type="dxa"/>
            <w:vAlign w:val="bottom"/>
          </w:tcPr>
          <w:p>
            <w:pPr>
              <w:jc w:val="center"/>
              <w:ind w:left="1472"/>
              <w:spacing w:after="0"/>
              <w:rPr>
                <w:sz w:val="20"/>
                <w:szCs w:val="20"/>
                <w:color w:val="auto"/>
              </w:rPr>
            </w:pPr>
            <w:r>
              <w:rPr>
                <w:rFonts w:ascii="Times New Roman" w:cs="Times New Roman" w:eastAsia="Times New Roman" w:hAnsi="Times New Roman"/>
                <w:sz w:val="18"/>
                <w:szCs w:val="18"/>
                <w:color w:val="auto"/>
                <w:w w:val="99"/>
              </w:rPr>
              <w:t>49</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0"/>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Dennis Mulroy</w:t>
            </w:r>
          </w:p>
        </w:tc>
        <w:tc>
          <w:tcPr>
            <w:tcW w:w="2060" w:type="dxa"/>
            <w:vAlign w:val="bottom"/>
            <w:shd w:val="clear" w:color="auto" w:fill="CCEEFF"/>
          </w:tcPr>
          <w:p>
            <w:pPr>
              <w:jc w:val="center"/>
              <w:ind w:left="1472"/>
              <w:spacing w:after="0"/>
              <w:rPr>
                <w:sz w:val="20"/>
                <w:szCs w:val="20"/>
                <w:color w:val="auto"/>
              </w:rPr>
            </w:pPr>
            <w:r>
              <w:rPr>
                <w:rFonts w:ascii="Times New Roman" w:cs="Times New Roman" w:eastAsia="Times New Roman" w:hAnsi="Times New Roman"/>
                <w:sz w:val="18"/>
                <w:szCs w:val="18"/>
                <w:color w:val="auto"/>
                <w:w w:val="99"/>
              </w:rPr>
              <w:t>69</w:t>
            </w:r>
          </w:p>
        </w:tc>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Faga’s biographical information is set forth above under the heading “Proposal No. 1 Election of Class I Directors—Nominees to the Board.”</w:t>
      </w:r>
    </w:p>
    <w:p>
      <w:pPr>
        <w:spacing w:after="0" w:line="1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Loumeau, J.D. </w:t>
      </w:r>
      <w:r>
        <w:rPr>
          <w:rFonts w:ascii="Times New Roman" w:cs="Times New Roman" w:eastAsia="Times New Roman" w:hAnsi="Times New Roman"/>
          <w:sz w:val="18"/>
          <w:szCs w:val="18"/>
          <w:color w:val="auto"/>
        </w:rPr>
        <w:t>has served as our Chief Legal Officer since May 2023. He previously served as our Chief Operating Officer from July 2020 to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and as our General Counsel from August 2018 to May 2023. Mr. Loumeau also served as our Interim Chief Financial Officer from September 2019 to July 2020. Mr. Loumeau previously served as 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 experience as outside corporate counsel at national law firms includes tenures at Skadden, Arps, Slate, Meagher &amp; Flom LLP, Cooley LLP, Mintz Levin Cohn Ferris Glovsky and Popeo PC, and Bass, Berry &amp; Sims PLC. Mr. Loumeau received his J.D. from Boalt Hall School of Law at the University of California, Berkeley, and his B.S. in Finance from Brigham Young University.</w:t>
      </w:r>
    </w:p>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Lizzul M.D., Ph.D., M.P.H. </w:t>
      </w:r>
      <w:r>
        <w:rPr>
          <w:rFonts w:ascii="Times New Roman" w:cs="Times New Roman" w:eastAsia="Times New Roman" w:hAnsi="Times New Roman"/>
          <w:sz w:val="18"/>
          <w:szCs w:val="18"/>
          <w:color w:val="auto"/>
        </w:rPr>
        <w:t>has served as our Chief Medical Officer since July 2020. From January 2020 to July 2020, he served as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Director of Amgen Inc. From January 2016 to December 2019, he served as Chief Medical Officer of Sienna Biopharmaceuticals, Inc. Dr. Lizzul previously served as Senior Medical Director and Head of Safety at Kythera Biopharmaceuticals, Inc. from August 2012 until it was acquired by Allergan plc in October 2015. Prior to joining Kythera, Dr. Lizzul served as an Assistant Professor of Dermatology and Associate Director of Clinical Research at the Tufts University School of Medicine where he conducted investigator-initiated and industry-sponsored clinical trials in inflammatory skin diseases (psoriasis). Dr. Lizzul has authored articles in academic journals on topics including inflammation, psoriasis, aesthetics (Kybella) and health care reform. Dr. Lizzul is a diplomat of the American Board of Dermatology and a faculty member of the American Academy of Dermatology and previously served on the FDA’s Dermatology and Ophthalmic Drugs Advisory Committee. Dr. Lizzul is a volunteer member of the teaching faculty in the Department of Dermatology at University of California, Los Angeles School of Medicine. Dr. Lizzul completed his post-graduate medical internship at Greenwich Hospital, Yale University School of Medicine and his dermatology residency at the University of California Davis, where he was appointed chief resident. Dr. Lizzul earned his B.S. in Biology from Rensselaer Polytechnic Institute, and an M.D., Ph.D. in Molecular Genetics and Microbiology and M.P.H. in Epidemiology/Outcomes from the Rutgers/Robert Wood Johnson Medical School. Dr. Lizzul also earned an M.B.A. in Entrepreneurship from the Rutgers Business School.</w:t>
      </w:r>
    </w:p>
    <w:p>
      <w:pPr>
        <w:spacing w:after="0" w:line="160"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Dennis Mulroy </w:t>
      </w:r>
      <w:r>
        <w:rPr>
          <w:rFonts w:ascii="Times New Roman" w:cs="Times New Roman" w:eastAsia="Times New Roman" w:hAnsi="Times New Roman"/>
          <w:sz w:val="18"/>
          <w:szCs w:val="18"/>
          <w:color w:val="auto"/>
        </w:rPr>
        <w:t>has served as our Chief Financial Officer since July 2020. From April 2015 to May 2020, Mr. Mulroy served as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 Jolla Pharmaceutical Company. From 2005 to 2015, he served as Chief Financial Officer of Taxus Cardium Pharmaceuticals Group, Inc. From 2004 to 2005, Mr. Mulroy served as Chief Financial Officer of Molecular Imaging, Inc. Mr. Mulroy began his career at Ernst &amp; Young LLP. Mr. Mulroy received a B.B.A. degree in accounting from the University of San Diego and is a Certified Public Accountant (inactive) in the state of California.</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There are no family relationships among any of our directors or executive officers.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overview and narrative (“Compensation Disclosure”) describes the key elements of our executive compensation program and compensation decisions for our named executive officers for 2023. This Compensation Disclosure is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157" w:right="359" w:bottom="1440" w:gutter="0" w:footer="0" w:header="0"/>
        </w:sectPr>
      </w:pPr>
    </w:p>
    <w:bookmarkStart w:id="33" w:name="page34"/>
    <w:bookmarkEnd w:id="33"/>
    <w:p>
      <w:pPr>
        <w:spacing w:after="0" w:line="256" w:lineRule="auto"/>
        <w:rPr>
          <w:sz w:val="20"/>
          <w:szCs w:val="20"/>
          <w:color w:val="auto"/>
        </w:rPr>
      </w:pPr>
      <w:r>
        <w:rPr>
          <w:rFonts w:ascii="Times New Roman" w:cs="Times New Roman" w:eastAsia="Times New Roman" w:hAnsi="Times New Roman"/>
          <w:sz w:val="18"/>
          <w:szCs w:val="18"/>
          <w:color w:val="auto"/>
        </w:rPr>
        <w:t>to be read in conjunction with the tables that immediately follow this section, which provide additional compensation information for our named executive officers. As a “smaller reporting company” as defined in Item 10(f)(1) of Regulation S-K, we are not required to include a Compensation Discussion and Analysis section and have elected to comply with the scaled disclosure requirements applicable to smaller reporting companies. However, we believe the additional narrative disclosure with respect to our executive compensation program will provide our stockholders with further information regarding our company and our executive compensation program and practices and therefore will assist in their consideration of Proposal No. 3, the non-binding advisory vote with respect to named executive officer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2023, our “named executive officers” or “NEOs” were:</w:t>
      </w:r>
    </w:p>
    <w:p>
      <w:pPr>
        <w:spacing w:after="0" w:line="19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Faga, President and Chief Executive Officer and Director;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Lizzul, Chief Medical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Loumeau, Chief Legal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preclinical immune cell modulator candidates for the treatment of autoimmune and inflammatory diseases in our portfolio, including ANB033, an anti-CD122 antagonist antibody, and ANB101, a BDCA2 modulator antibody. In addition, we have developed two cytokine antagonists that we are exploring options for out-licensing: imsidolimab, our anti-IL-36R antibody, in Phase 3 development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(Jemperli (dostarlimab-gxly)) and an anti-TIM-3 antagonist antibody (cobolimab, GSK4069889). We currently recognize revenue from milestones and royalties achieved under our immuno-oncology collaboration with GSK.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Corporate Performance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progress on several program and corporate milestones during 2023, including the following:</w:t>
      </w:r>
    </w:p>
    <w:p>
      <w:pPr>
        <w:spacing w:after="0" w:line="19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global Phase 2b trial to treat RA in Q3 2023 with rosnilimab, top-line data expected in mid-2025;</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Initiated a global Phase 2b trial to treat AD with ANB032, our BTLA agonist, top-line data expected year end 2024;</w:t>
      </w:r>
    </w:p>
    <w:p>
      <w:pPr>
        <w:spacing w:after="0" w:line="63"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global Phase 2 trial to treat UC in Q4 2023 with rosnilimab, top-line data expected first half of 2026;</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Hosted a virtual BTLA Agonist (ANB032) R&amp;D Event in May 2023;</w:t>
      </w:r>
    </w:p>
    <w:p>
      <w:pPr>
        <w:spacing w:after="0" w:line="63"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a virtual PD-1 Agonist (Rosnilimab) R&amp;D Event in October 2023;</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ANB033, our anti-CD122 antagonist antibody, preclinically, with an IND submission on track for Q2 2024;</w:t>
      </w:r>
    </w:p>
    <w:p>
      <w:pPr>
        <w:spacing w:after="0" w:line="63"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exclusive global development and commercialization rights to ANB101, a BDCA2 modulator, with an IND submission on track for H2 2024;</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the Gemini-1 Phase 3 trial for imsidolimab in generalized pustular psoriasis (GPP) and announced positive top-line data;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stock repurchase program pursuant to which we acquired 2,124,214 shares at a weighted average repurchase price of $23.54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Policies and Practices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endeavor to maintain sound compensation governance standards consistent with our executive compensation policies and practices. Our compensation committee evaluates our executive compensation program on a regular basis (and no less than annually) to ensure that it is consistent with our short-term and long-term goals given the dynamic nature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336" w:right="359" w:bottom="1440" w:gutter="0" w:footer="0" w:header="0"/>
        </w:sectPr>
      </w:pPr>
    </w:p>
    <w:bookmarkStart w:id="34" w:name="page35"/>
    <w:bookmarkEnd w:id="34"/>
    <w:p>
      <w:pPr>
        <w:ind w:right="620"/>
        <w:spacing w:after="0" w:line="282" w:lineRule="auto"/>
        <w:rPr>
          <w:sz w:val="20"/>
          <w:szCs w:val="20"/>
          <w:color w:val="auto"/>
        </w:rPr>
      </w:pPr>
      <w:r>
        <w:rPr>
          <w:rFonts w:ascii="Times New Roman" w:cs="Times New Roman" w:eastAsia="Times New Roman" w:hAnsi="Times New Roman"/>
          <w:sz w:val="18"/>
          <w:szCs w:val="18"/>
          <w:color w:val="auto"/>
        </w:rPr>
        <w:t>business and the market in which we compete for executive talent. The following summarizes our executive compensation and related policies and practices: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What We Do</w:t>
      </w:r>
    </w:p>
    <w:p>
      <w:pPr>
        <w:spacing w:after="0" w:line="225" w:lineRule="exact"/>
        <w:rPr>
          <w:sz w:val="20"/>
          <w:szCs w:val="20"/>
          <w:color w:val="auto"/>
        </w:rPr>
      </w:pPr>
    </w:p>
    <w:p>
      <w:pPr>
        <w:ind w:left="980" w:right="240" w:hanging="324"/>
        <w:spacing w:after="0" w:line="28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an Independent Compensation Committee. </w:t>
      </w:r>
      <w:r>
        <w:rPr>
          <w:rFonts w:ascii="Times New Roman" w:cs="Times New Roman" w:eastAsia="Times New Roman" w:hAnsi="Times New Roman"/>
          <w:sz w:val="18"/>
          <w:szCs w:val="18"/>
          <w:color w:val="auto"/>
        </w:rPr>
        <w:t>Our compensation committee consists solely of independent directors who establish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compensation practices.</w:t>
      </w:r>
    </w:p>
    <w:p>
      <w:pPr>
        <w:spacing w:after="0" w:line="87" w:lineRule="exact"/>
        <w:rPr>
          <w:rFonts w:ascii="Times New Roman" w:cs="Times New Roman" w:eastAsia="Times New Roman" w:hAnsi="Times New Roman"/>
          <w:sz w:val="18"/>
          <w:szCs w:val="18"/>
          <w:color w:val="auto"/>
        </w:rPr>
      </w:pPr>
    </w:p>
    <w:p>
      <w:pPr>
        <w:ind w:left="980" w:right="480" w:hanging="324"/>
        <w:spacing w:after="0" w:line="26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an Independent Compensation Advisor. </w:t>
      </w:r>
      <w:r>
        <w:rPr>
          <w:rFonts w:ascii="Times New Roman" w:cs="Times New Roman" w:eastAsia="Times New Roman" w:hAnsi="Times New Roman"/>
          <w:sz w:val="18"/>
          <w:szCs w:val="18"/>
          <w:color w:val="auto"/>
        </w:rPr>
        <w:t>Our compensation committee has engaged its own compensation consultant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analysis, and other advice on executive compensation independent of management. This consultant performed no other consulting or other services for us in 2023.</w:t>
      </w:r>
    </w:p>
    <w:p>
      <w:pPr>
        <w:spacing w:after="0" w:line="89" w:lineRule="exact"/>
        <w:rPr>
          <w:rFonts w:ascii="Times New Roman" w:cs="Times New Roman" w:eastAsia="Times New Roman" w:hAnsi="Times New Roman"/>
          <w:sz w:val="18"/>
          <w:szCs w:val="18"/>
          <w:color w:val="auto"/>
        </w:rPr>
      </w:pPr>
    </w:p>
    <w:p>
      <w:pPr>
        <w:ind w:left="980" w:right="100" w:hanging="324"/>
        <w:spacing w:after="0" w:line="26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Annual Executive Compensation Review. </w:t>
      </w:r>
      <w:r>
        <w:rPr>
          <w:rFonts w:ascii="Times New Roman" w:cs="Times New Roman" w:eastAsia="Times New Roman" w:hAnsi="Times New Roman"/>
          <w:sz w:val="18"/>
          <w:szCs w:val="18"/>
          <w:color w:val="auto"/>
        </w:rPr>
        <w:t>Our compensation committee conducts an annual review and approval of our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108" w:lineRule="exact"/>
        <w:rPr>
          <w:rFonts w:ascii="Times New Roman" w:cs="Times New Roman" w:eastAsia="Times New Roman" w:hAnsi="Times New Roman"/>
          <w:sz w:val="18"/>
          <w:szCs w:val="18"/>
          <w:color w:val="auto"/>
        </w:rPr>
      </w:pPr>
    </w:p>
    <w:p>
      <w:pPr>
        <w:ind w:left="980" w:right="240" w:hanging="324"/>
        <w:spacing w:after="0" w:line="26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At-Risk. </w:t>
      </w:r>
      <w:r>
        <w:rPr>
          <w:rFonts w:ascii="Times New Roman" w:cs="Times New Roman" w:eastAsia="Times New Roman" w:hAnsi="Times New Roman"/>
          <w:sz w:val="18"/>
          <w:szCs w:val="18"/>
          <w:color w:val="auto"/>
        </w:rPr>
        <w:t>Our executive compensation program is designed so that a significant portion of each of our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compensation is “at-risk” based on corporate performance against pre-specified annual goals, as well as equity-based, to align the interests of our executive officers and stockholders.</w:t>
      </w:r>
    </w:p>
    <w:p>
      <w:pPr>
        <w:spacing w:after="0" w:line="103" w:lineRule="exact"/>
        <w:rPr>
          <w:rFonts w:ascii="Times New Roman" w:cs="Times New Roman" w:eastAsia="Times New Roman" w:hAnsi="Times New Roman"/>
          <w:sz w:val="18"/>
          <w:szCs w:val="18"/>
          <w:color w:val="auto"/>
        </w:rPr>
      </w:pPr>
    </w:p>
    <w:p>
      <w:pPr>
        <w:ind w:left="980" w:right="140" w:hanging="324"/>
        <w:spacing w:after="0" w:line="26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Use a “Pay-for-Performance” Philosophy. </w:t>
      </w:r>
      <w:r>
        <w:rPr>
          <w:rFonts w:ascii="Times New Roman" w:cs="Times New Roman" w:eastAsia="Times New Roman" w:hAnsi="Times New Roman"/>
          <w:sz w:val="18"/>
          <w:szCs w:val="18"/>
          <w:color w:val="auto"/>
        </w:rPr>
        <w:t>The majority of our named executive officers’ compensation is directly linked to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through short-term performance-based annual bonuses and long-term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spacing w:after="0" w:line="95" w:lineRule="exact"/>
        <w:rPr>
          <w:rFonts w:ascii="Times New Roman" w:cs="Times New Roman" w:eastAsia="Times New Roman" w:hAnsi="Times New Roman"/>
          <w:sz w:val="18"/>
          <w:szCs w:val="18"/>
          <w:color w:val="auto"/>
        </w:rPr>
      </w:pPr>
    </w:p>
    <w:p>
      <w:pPr>
        <w:ind w:left="980" w:right="240" w:hanging="324"/>
        <w:spacing w:after="0" w:line="28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On an as-needed basis, our Board, with input from the nominating and corporate governance committee reviews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associated with our named executive officer positions to ensure adequate succession plans are in place.</w:t>
      </w:r>
    </w:p>
    <w:p>
      <w:pPr>
        <w:spacing w:after="0" w:line="127" w:lineRule="exact"/>
        <w:rPr>
          <w:rFonts w:ascii="Times New Roman" w:cs="Times New Roman" w:eastAsia="Times New Roman" w:hAnsi="Times New Roman"/>
          <w:sz w:val="18"/>
          <w:szCs w:val="18"/>
          <w:color w:val="auto"/>
        </w:rPr>
      </w:pPr>
    </w:p>
    <w:p>
      <w:pPr>
        <w:ind w:left="980" w:right="200" w:hanging="324"/>
        <w:spacing w:after="0" w:line="28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Our executive officers are subject to a compensation recovery “clawback” policy that provides for the recovery of excess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incentive-based compensation in the event we are required to restate our financial statements.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What We Do Not Do</w:t>
      </w:r>
    </w:p>
    <w:p>
      <w:pPr>
        <w:spacing w:after="0" w:line="18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Guaranteed Bonuses. </w:t>
      </w:r>
      <w:r>
        <w:rPr>
          <w:rFonts w:ascii="Times New Roman" w:cs="Times New Roman" w:eastAsia="Times New Roman" w:hAnsi="Times New Roman"/>
          <w:sz w:val="18"/>
          <w:szCs w:val="18"/>
          <w:color w:val="auto"/>
        </w:rPr>
        <w:t>We do not provide guaranteed bonuses to our named executive officers.</w:t>
      </w:r>
    </w:p>
    <w:p>
      <w:pPr>
        <w:spacing w:after="0" w:line="15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Executive Retirement Plans. </w:t>
      </w:r>
      <w:r>
        <w:rPr>
          <w:rFonts w:ascii="Times New Roman" w:cs="Times New Roman" w:eastAsia="Times New Roman" w:hAnsi="Times New Roman"/>
          <w:sz w:val="18"/>
          <w:szCs w:val="18"/>
          <w:color w:val="auto"/>
        </w:rPr>
        <w:t>We do not currently offer defined benefit pension plans or any non-qualified deferred compensation plans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to our named executive officers other than the plans and arrangements that are available to employees generally.</w:t>
      </w:r>
    </w:p>
    <w:p>
      <w:pPr>
        <w:spacing w:after="0" w:line="87" w:lineRule="exact"/>
        <w:rPr>
          <w:rFonts w:ascii="Times New Roman" w:cs="Times New Roman" w:eastAsia="Times New Roman" w:hAnsi="Times New Roman"/>
          <w:sz w:val="18"/>
          <w:szCs w:val="18"/>
          <w:color w:val="auto"/>
        </w:rPr>
      </w:pPr>
    </w:p>
    <w:p>
      <w:pPr>
        <w:ind w:left="980" w:right="80" w:hanging="324"/>
        <w:spacing w:after="0" w:line="28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Hedging or Pledging. </w:t>
      </w:r>
      <w:r>
        <w:rPr>
          <w:rFonts w:ascii="Times New Roman" w:cs="Times New Roman" w:eastAsia="Times New Roman" w:hAnsi="Times New Roman"/>
          <w:sz w:val="18"/>
          <w:szCs w:val="18"/>
          <w:color w:val="auto"/>
        </w:rPr>
        <w:t>We prohibit our employees (including our named executive officers) and the non-employee members of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hedging or pledging our securities.</w:t>
      </w:r>
    </w:p>
    <w:p>
      <w:pPr>
        <w:spacing w:after="0" w:line="73" w:lineRule="exact"/>
        <w:rPr>
          <w:rFonts w:ascii="Times New Roman" w:cs="Times New Roman" w:eastAsia="Times New Roman" w:hAnsi="Times New Roman"/>
          <w:sz w:val="18"/>
          <w:szCs w:val="18"/>
          <w:color w:val="auto"/>
        </w:rPr>
      </w:pPr>
    </w:p>
    <w:p>
      <w:pPr>
        <w:ind w:left="980" w:right="160" w:hanging="324"/>
        <w:spacing w:after="0" w:line="28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Special Welfare or Health Benefits. </w:t>
      </w:r>
      <w:r>
        <w:rPr>
          <w:rFonts w:ascii="Times New Roman" w:cs="Times New Roman" w:eastAsia="Times New Roman" w:hAnsi="Times New Roman"/>
          <w:sz w:val="18"/>
          <w:szCs w:val="18"/>
          <w:color w:val="auto"/>
        </w:rPr>
        <w:t>We do not provide our named executive officers with any welfare or health benefit programs,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participation in our broad-based employee programs.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to Approve Named Executive Officer Compensation</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our 2023 Annual Meeting of Stockholders, we conducted a non-binding stockholder advisory vote on the compensation of our named executive officers (commonly known as a “Say-on-Pay” vote). Our Board and our compensation committee consider the results of the Say-on-Pay vote in determining the compensation of our executive officers, including our named executive officers. At our 2023 Annual Meeting of Stockholders, approximately 68% of the votes cast approved our executive compensation program. We take our Say-on-Pay vote results seriously and engaged with our stockholders to seek feedback on the results of our 2023 Say-on-Pay vote and the design of our executive compensation program. We have spoken with the corporate governance teams at several of our major stockholders. The primary stockholder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161" w:right="379" w:bottom="1440" w:gutter="0" w:footer="0" w:header="0"/>
        </w:sectPr>
      </w:pPr>
    </w:p>
    <w:bookmarkStart w:id="35" w:name="page36"/>
    <w:bookmarkEnd w:id="35"/>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involved the initial new hire grant made to our new Interim Chief Executive Officer as well as certain 280G gross-up terms in his agreement. While we recognize and consider the concerns raised by our stockholders, we believe that such 2022 compensation was a one-time outlier, as reflected in the 2023 compensation disclosed in this proxy statement, including the termination on March 22, 2024 of the 280G gross-up.</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value the opinion of our stockholders. Our Board and our compensation committee will continue to consider the result of the Say-on-Pay vote, as well as feedback received throughout the year, when making compensation decisions for our executive officers.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consistent with the recommendation of our Board and the preference of our stockholders as reflected in the non-binding stockholder advisory vote on the frequency of future Say-on-Pay votes held at our 2019 Annual Meeting of Stockholders, we continue to hold future Say-on-Pay votes on an annual basis. Accordingly, after the vote at the Annual Meeting to which this Proxy Statement relates, our next Say-on-Pay vote will be conducted at our 2025 Annual Meeting of Stockholders.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 &amp; Objectives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objectives of our executive compensation program, policies, and practices are to:</w:t>
      </w:r>
    </w:p>
    <w:p>
      <w:pPr>
        <w:spacing w:after="0" w:line="11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compensation which enables us to attract and retain high-caliber executives;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achievement of our business objectives by directly linking annual bonuses to the achievement of objectives that build long-term stockholder value;</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both corporate and individual performance by providing opportunities for career advancement and opportunities for above-median short-term and long-term compensation based on measurable corporate and individual performance;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those of our stockholders by incentivizing and rewarding the creation of stockholder value.</w:t>
      </w:r>
    </w:p>
    <w:p>
      <w:pPr>
        <w:spacing w:after="0" w:line="18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compensation committee believes an appropriate, well-designed compensation program should align executive interests with the drivers of growth and stockholder returns by supporting the achievement of our primary business goals. Further, the compensation program must enable us to attract and retain employees whose talents, expertise and leadership can drive our success and sustained growth in long-term stockholder value.</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has reflected, and we expect that it will continue to reflect, our industry and life-cycle stage, including the fact that we are a biotechnology company whose product candidates are in pre-clinical and clinical development and remain subject to regulatory approval. As a result, our revenues have been and will continue to be limited, and we expect to continue to incur net losses for at least the next several years.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spacing w:after="0" w:line="14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we have a performance-oriented compensation philosophy focused on creating long-term value. Our executive compensation program is heavily weighted toward variable, at-risk performance based bonuses and long-term equity awards.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maintain an annual performance-based cash bonus plan for our named executive officers. Payments under this cash bonus plan are based primarily on our level of achievement of pre-established corporate performance goals to tie compensation of our named executive officers to achievement of key corporate objectives, which will ultimately create shareholder value. We also provide long-term equity awards to motivate our named executive officers in a manner that directly aligns their interest with our long-term strategic direction and the interests of our stockholders, as well as providing our executive officers with an incentive to remain with us as their equity awards vest.</w:t>
      </w:r>
    </w:p>
    <w:p>
      <w:pPr>
        <w:spacing w:after="0" w:line="1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61" w:right="339" w:bottom="1440" w:gutter="0" w:footer="0" w:header="0"/>
        </w:sectPr>
      </w:pPr>
    </w:p>
    <w:bookmarkStart w:id="36" w:name="page37"/>
    <w:bookmarkEnd w:id="36"/>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compensation. The factors taken into account by our compensation committee in setting the level of fixed and variable cash compensation and non-cash compensation are described in greater detail below in “</w:t>
      </w:r>
      <w:r>
        <w:rPr>
          <w:rFonts w:ascii="Times New Roman" w:cs="Times New Roman" w:eastAsia="Times New Roman" w:hAnsi="Times New Roman"/>
          <w:sz w:val="18"/>
          <w:szCs w:val="18"/>
          <w:i w:val="1"/>
          <w:iCs w:val="1"/>
          <w:color w:val="auto"/>
        </w:rPr>
        <w:t>Compensation Setting 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Setting Target Total Direct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compensation committee has overall responsibility for overseeing our compensation and benefits policies generally, and overseeing and evaluating the compensation plans, policies and practices applicable to our Chief Executive Officer and other named executive officers.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carrying out its responsibilities, our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spacing w:after="0" w:line="1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discharging its responsibilities, our compensation committee engages an external compensation consultant, Compensia, to assist it by providing information, analysis and other advice relating to our executive compensation program. Our compensation committee also takes into consideration input from our Chief Executive Officer (other than with respect to himself) and other members of our management team.</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compensation committee’s authority, duties, and responsibilities are further described in its charter, which is reviewed annually and revised and updated as warranted. The charter is available on our company website. Our compensation committee also retains an independent compensation consultant (as described below) to provide support in its review and assessment of our executive compensation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Competitive Positioning</w:t>
      </w:r>
    </w:p>
    <w:p>
      <w:pPr>
        <w:spacing w:after="0" w:line="18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later 2023, our compensation committee directed Compensia to again refresh our compensation peer group in light of our adjusted market capitalization. In evaluating the companies to comprise the compensation peer group at that time, Compensia considered the following criteria: (i) biotechnology and pharmaceutical companies with therapeutic similarity in inflammation, immune-oncology, and other antibody-based therapies; (ii) with lead drugs in phase</w:t>
      </w:r>
    </w:p>
    <w:p>
      <w:pPr>
        <w:spacing w:after="0" w:line="2" w:lineRule="exact"/>
        <w:rPr>
          <w:sz w:val="20"/>
          <w:szCs w:val="20"/>
          <w:color w:val="auto"/>
        </w:rPr>
      </w:pPr>
    </w:p>
    <w:p>
      <w:pPr>
        <w:ind w:right="460" w:firstLine="8"/>
        <w:spacing w:after="0" w:line="260" w:lineRule="auto"/>
        <w:tabs>
          <w:tab w:leader="none" w:pos="1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or pending approval; (iii) ~50 - ~250 employees (~0.5 to ~2.5 of our current headcount); and (iv) a market capitalization of 0.33x to 3.0x our market capitalization.</w:t>
      </w:r>
    </w:p>
    <w:p>
      <w:pPr>
        <w:spacing w:after="0" w:line="1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a review of the analysis prepared by Compensia, in September 2022 our compensation committee approved an updated compensation peer group, referred to as the 2023 peer group, consisting of the following companies: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Alector</w:t>
            </w:r>
          </w:p>
        </w:tc>
        <w:tc>
          <w:tcPr>
            <w:tcW w:w="35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IGM Biosciences</w:t>
            </w:r>
          </w:p>
        </w:tc>
        <w:tc>
          <w:tcPr>
            <w:tcW w:w="4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Prothena</w:t>
            </w:r>
          </w:p>
        </w:tc>
      </w:tr>
      <w:tr>
        <w:trPr>
          <w:trHeight w:val="230"/>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ALX Oncology</w:t>
            </w:r>
          </w:p>
        </w:tc>
        <w:tc>
          <w:tcPr>
            <w:tcW w:w="35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iTeos Therapeutics</w:t>
            </w:r>
          </w:p>
        </w:tc>
        <w:tc>
          <w:tcPr>
            <w:tcW w:w="4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RAPT Therapeutics</w:t>
            </w:r>
          </w:p>
        </w:tc>
      </w:tr>
      <w:tr>
        <w:trPr>
          <w:trHeight w:val="230"/>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Atara Biotherapeutics</w:t>
            </w:r>
          </w:p>
        </w:tc>
        <w:tc>
          <w:tcPr>
            <w:tcW w:w="35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Kezar Life Sciences</w:t>
            </w:r>
          </w:p>
        </w:tc>
        <w:tc>
          <w:tcPr>
            <w:tcW w:w="4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Sangamo Therapeutics</w:t>
            </w:r>
          </w:p>
        </w:tc>
      </w:tr>
      <w:tr>
        <w:trPr>
          <w:trHeight w:val="229"/>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Avidity Biosciences</w:t>
            </w:r>
          </w:p>
        </w:tc>
        <w:tc>
          <w:tcPr>
            <w:tcW w:w="35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Kodiak Sciences</w:t>
            </w:r>
          </w:p>
        </w:tc>
        <w:tc>
          <w:tcPr>
            <w:tcW w:w="4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Syndax Pharmaceuticals</w:t>
            </w:r>
          </w:p>
        </w:tc>
      </w:tr>
      <w:tr>
        <w:trPr>
          <w:trHeight w:val="230"/>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Crinetics Pharmaceuticals</w:t>
            </w:r>
          </w:p>
        </w:tc>
        <w:tc>
          <w:tcPr>
            <w:tcW w:w="35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Kura Oncology</w:t>
            </w:r>
          </w:p>
        </w:tc>
        <w:tc>
          <w:tcPr>
            <w:tcW w:w="4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Xencor</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Forma Therapeutics</w:t>
            </w:r>
          </w:p>
        </w:tc>
        <w:tc>
          <w:tcPr>
            <w:tcW w:w="35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Mersana Therapeutics</w:t>
            </w:r>
          </w:p>
        </w:tc>
        <w:tc>
          <w:tcPr>
            <w:tcW w:w="4300" w:type="dxa"/>
            <w:vAlign w:val="bottom"/>
          </w:tcPr>
          <w:p>
            <w:pPr>
              <w:spacing w:after="0"/>
              <w:rPr>
                <w:sz w:val="19"/>
                <w:szCs w:val="19"/>
                <w:color w:val="auto"/>
              </w:rPr>
            </w:pPr>
          </w:p>
        </w:tc>
      </w:tr>
      <w:tr>
        <w:trPr>
          <w:trHeight w:val="230"/>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Gossamer Bio</w:t>
            </w:r>
          </w:p>
        </w:tc>
        <w:tc>
          <w:tcPr>
            <w:tcW w:w="35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NGM Biopharmaceuticals</w:t>
            </w:r>
          </w:p>
        </w:tc>
        <w:tc>
          <w:tcPr>
            <w:tcW w:w="430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used this compensation peer group as a reference for its compensation decisions in December 2022.</w:t>
      </w:r>
    </w:p>
    <w:p>
      <w:pPr>
        <w:spacing w:after="0" w:line="18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compensation practices of the peer group was the primary guide used by our compensation committee to compare the competitiveness of each compensation element and overall compensation levels (base salary, target annual cash bonus opportunities, and long-term incentive compensation) for purposes of decisions relating to compensation.</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our compensation peer group each year (or more frequently if there have been significant changes to either our business model or market capitalization) and makes adjustments to its composition if warranted, taking into account changes in both our business and the businesses of the companies in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33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2023, the principal elements of our executive compensation program, and the objective for each element, were as follows:</w:t>
      </w:r>
    </w:p>
    <w:p>
      <w:pPr>
        <w:spacing w:after="0" w:line="246" w:lineRule="exact"/>
        <w:rPr>
          <w:sz w:val="20"/>
          <w:szCs w:val="20"/>
          <w:color w:val="auto"/>
        </w:rPr>
      </w:pPr>
    </w:p>
    <w:p>
      <w:pPr>
        <w:ind w:left="20"/>
        <w:spacing w:after="0"/>
        <w:tabs>
          <w:tab w:leader="none" w:pos="3880" w:val="left"/>
          <w:tab w:leader="none" w:pos="5240" w:val="left"/>
        </w:tabs>
        <w:rPr>
          <w:sz w:val="20"/>
          <w:szCs w:val="20"/>
          <w:color w:val="auto"/>
        </w:rPr>
      </w:pPr>
      <w:r>
        <w:rPr>
          <w:rFonts w:ascii="Times New Roman" w:cs="Times New Roman" w:eastAsia="Times New Roman" w:hAnsi="Times New Roman"/>
          <w:sz w:val="18"/>
          <w:szCs w:val="18"/>
          <w:b w:val="1"/>
          <w:bCs w:val="1"/>
          <w:color w:val="auto"/>
        </w:rPr>
        <w:t>Element</w:t>
      </w:r>
      <w:r>
        <w:rPr>
          <w:sz w:val="20"/>
          <w:szCs w:val="20"/>
          <w:color w:val="auto"/>
        </w:rPr>
        <w:tab/>
      </w:r>
      <w:r>
        <w:rPr>
          <w:rFonts w:ascii="Times New Roman" w:cs="Times New Roman" w:eastAsia="Times New Roman" w:hAnsi="Times New Roman"/>
          <w:sz w:val="18"/>
          <w:szCs w:val="18"/>
          <w:b w:val="1"/>
          <w:bCs w:val="1"/>
          <w:color w:val="auto"/>
        </w:rPr>
        <w:t>Type</w:t>
      </w:r>
      <w:r>
        <w:rPr>
          <w:sz w:val="20"/>
          <w:szCs w:val="20"/>
          <w:color w:val="auto"/>
        </w:rPr>
        <w:tab/>
      </w:r>
      <w:r>
        <w:rPr>
          <w:rFonts w:ascii="Times New Roman" w:cs="Times New Roman" w:eastAsia="Times New Roman" w:hAnsi="Times New Roman"/>
          <w:sz w:val="18"/>
          <w:szCs w:val="18"/>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p>
      <w:pPr>
        <w:spacing w:after="0" w:line="229" w:lineRule="exact"/>
        <w:rPr>
          <w:sz w:val="20"/>
          <w:szCs w:val="20"/>
          <w:color w:val="auto"/>
        </w:rPr>
      </w:pPr>
    </w:p>
    <w:p>
      <w:pPr>
        <w:ind w:left="20"/>
        <w:spacing w:after="0"/>
        <w:tabs>
          <w:tab w:leader="none" w:pos="3880" w:val="left"/>
        </w:tabs>
        <w:rPr>
          <w:sz w:val="20"/>
          <w:szCs w:val="20"/>
          <w:color w:val="auto"/>
        </w:rPr>
      </w:pPr>
      <w:r>
        <w:rPr>
          <w:rFonts w:ascii="Times New Roman" w:cs="Times New Roman" w:eastAsia="Times New Roman" w:hAnsi="Times New Roman"/>
          <w:sz w:val="18"/>
          <w:szCs w:val="18"/>
          <w:color w:val="auto"/>
        </w:rPr>
        <w:t>Base Salary</w:t>
      </w:r>
      <w:r>
        <w:rPr>
          <w:sz w:val="20"/>
          <w:szCs w:val="20"/>
          <w:color w:val="auto"/>
        </w:rPr>
        <w:tab/>
      </w:r>
      <w:r>
        <w:rPr>
          <w:rFonts w:ascii="Times New Roman" w:cs="Times New Roman" w:eastAsia="Times New Roman" w:hAnsi="Times New Roman"/>
          <w:sz w:val="18"/>
          <w:szCs w:val="18"/>
          <w:color w:val="auto"/>
        </w:rPr>
        <w:t>Fixed</w:t>
      </w:r>
    </w:p>
    <w:p>
      <w:pPr>
        <w:spacing w:after="0" w:line="387" w:lineRule="exact"/>
        <w:rPr>
          <w:sz w:val="20"/>
          <w:szCs w:val="20"/>
          <w:color w:val="auto"/>
        </w:rPr>
      </w:pPr>
    </w:p>
    <w:p>
      <w:pPr>
        <w:ind w:left="20"/>
        <w:spacing w:after="0"/>
        <w:tabs>
          <w:tab w:leader="none" w:pos="3880" w:val="left"/>
        </w:tabs>
        <w:rPr>
          <w:sz w:val="20"/>
          <w:szCs w:val="20"/>
          <w:color w:val="auto"/>
        </w:rPr>
      </w:pPr>
      <w:r>
        <w:rPr>
          <w:rFonts w:ascii="Times New Roman" w:cs="Times New Roman" w:eastAsia="Times New Roman" w:hAnsi="Times New Roman"/>
          <w:sz w:val="18"/>
          <w:szCs w:val="18"/>
          <w:color w:val="auto"/>
        </w:rPr>
        <w:t>Annual Cash Bonus Awards</w:t>
      </w:r>
      <w:r>
        <w:rPr>
          <w:sz w:val="20"/>
          <w:szCs w:val="20"/>
          <w:color w:val="auto"/>
        </w:rPr>
        <w:tab/>
      </w:r>
      <w:r>
        <w:rPr>
          <w:rFonts w:ascii="Times New Roman" w:cs="Times New Roman" w:eastAsia="Times New Roman" w:hAnsi="Times New Roman"/>
          <w:sz w:val="17"/>
          <w:szCs w:val="17"/>
          <w:color w:val="auto"/>
        </w:rPr>
        <w:t>Variable</w:t>
      </w:r>
    </w:p>
    <w:p>
      <w:pPr>
        <w:spacing w:after="0" w:line="212" w:lineRule="exact"/>
        <w:rPr>
          <w:sz w:val="20"/>
          <w:szCs w:val="20"/>
          <w:color w:val="auto"/>
        </w:rPr>
      </w:pPr>
    </w:p>
    <w:p>
      <w:pPr>
        <w:ind w:left="20"/>
        <w:spacing w:after="0"/>
        <w:tabs>
          <w:tab w:leader="none" w:pos="3880" w:val="left"/>
        </w:tabs>
        <w:rPr>
          <w:sz w:val="20"/>
          <w:szCs w:val="20"/>
          <w:color w:val="auto"/>
        </w:rPr>
      </w:pPr>
      <w:r>
        <w:rPr>
          <w:rFonts w:ascii="Times New Roman" w:cs="Times New Roman" w:eastAsia="Times New Roman" w:hAnsi="Times New Roman"/>
          <w:sz w:val="18"/>
          <w:szCs w:val="18"/>
          <w:color w:val="auto"/>
        </w:rPr>
        <w:t>Long-Term Incentive Compensation</w:t>
      </w:r>
      <w:r>
        <w:rPr>
          <w:sz w:val="20"/>
          <w:szCs w:val="20"/>
          <w:color w:val="auto"/>
        </w:rPr>
        <w:tab/>
      </w:r>
      <w:r>
        <w:rPr>
          <w:rFonts w:ascii="Times New Roman" w:cs="Times New Roman" w:eastAsia="Times New Roman" w:hAnsi="Times New Roman"/>
          <w:sz w:val="17"/>
          <w:szCs w:val="17"/>
          <w:color w:val="auto"/>
        </w:rPr>
        <w:t>Variable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ind w:right="280"/>
        <w:spacing w:after="0" w:line="256" w:lineRule="auto"/>
        <w:rPr>
          <w:sz w:val="20"/>
          <w:szCs w:val="20"/>
          <w:color w:val="auto"/>
        </w:rPr>
      </w:pPr>
      <w:r>
        <w:rPr>
          <w:rFonts w:ascii="Times New Roman" w:cs="Times New Roman" w:eastAsia="Times New Roman" w:hAnsi="Times New Roman"/>
          <w:sz w:val="17"/>
          <w:szCs w:val="17"/>
          <w:color w:val="auto"/>
        </w:rPr>
        <w:t>Provide a secure, fixed compensation amount that reflects executive’s scope of responsibility, skill-level and performance and is competitive with the market.</w:t>
      </w:r>
    </w:p>
    <w:p>
      <w:pPr>
        <w:spacing w:after="0" w:line="1"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Designed to motivate our executives to achieve annual business objectives and provide financial incentives when we meet or exceed these annual corporate objectives.</w:t>
      </w:r>
    </w:p>
    <w:p>
      <w:pPr>
        <w:spacing w:after="0" w:line="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Designed to align the interests of our executives with those of our stockholders by motivating them to create sustainable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-255905</wp:posOffset>
            </wp:positionV>
            <wp:extent cx="712343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5960"/>
          </w:cols>
          <w:pgMar w:left="320" w:top="1332" w:right="35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an important element of compensation intended to attract and retain highly-talented individuals by providing an amount of fixed pay that compensates executives for their scope of responsibility, skill-level and performance.</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2022, our compensation committee reviewed the base salaries of our named executive officers, taking into consideration a competitive market analysis prepared by its compensation consultant using the then-current peer group and the other factors described in “-</w:t>
      </w:r>
      <w:r>
        <w:rPr>
          <w:rFonts w:ascii="Times New Roman" w:cs="Times New Roman" w:eastAsia="Times New Roman" w:hAnsi="Times New Roman"/>
          <w:sz w:val="18"/>
          <w:szCs w:val="18"/>
          <w:i w:val="1"/>
          <w:iCs w:val="1"/>
          <w:color w:val="auto"/>
        </w:rPr>
        <w:t>Compensation-Setting Process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Setting Target Total Direct Compensation</w:t>
      </w:r>
      <w:r>
        <w:rPr>
          <w:rFonts w:ascii="Times New Roman" w:cs="Times New Roman" w:eastAsia="Times New Roman" w:hAnsi="Times New Roman"/>
          <w:sz w:val="18"/>
          <w:szCs w:val="18"/>
          <w:color w:val="auto"/>
        </w:rPr>
        <w:t>” above. Following this review, our compensation committee approved base salary increases for each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effective January 1, 2023, to bring their base salaries to levels that were comparable to those of similarly-situated executives at the companies in our compensation peer group.</w:t>
      </w:r>
    </w:p>
    <w:p>
      <w:pPr>
        <w:spacing w:after="0" w:line="1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base salaries paid to our named executive officers during 2023 are set forth in the “Executive Compensation Tables —2023 Summary Compensation Table”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Bonuses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use an annual performance-based cash bonus plan to motivate our employees, including our named executive officers, to achieve our key annual corporate business objectives. In December 2022, our compensation committee and Board of Directors adopted an annual cash bonus plan for 2023 (the “2023 Cash Bonus Plan”) to provide financial incentives related to the achievement of principal goals set forth in our 2023 annual operating plan. The 2023 Cash Bonus Plan provided for bonus payments to be funded based on our level of achievement with respect to corporate performance goals (as described below).</w:t>
      </w:r>
    </w:p>
    <w:p>
      <w:pPr>
        <w:spacing w:after="0" w:line="15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For purposes of the 2023 Cash Bonus Plan, cash bonus payments were based upon a specific percentage of each participant’s base salary. In December 2022, our compensation committee reviewed the target annual cash bonus opportunities of our named executive officers, taking into consideration the factors described in “Compensation-Setting Process - Setting Target Total Direct Compensation” above and approved the target annual cash bonus opportunities for each of the named executive officers.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2023 target annual cash bonus opportunities for our named executive officers, expressed as a percentage of base salary: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7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2023 Target Annual Cash Bonus Opportunity</w:t>
            </w:r>
          </w:p>
        </w:tc>
        <w:tc>
          <w:tcPr>
            <w:tcW w:w="0" w:type="dxa"/>
            <w:vAlign w:val="bottom"/>
          </w:tcPr>
          <w:p>
            <w:pPr>
              <w:spacing w:after="0"/>
              <w:rPr>
                <w:sz w:val="1"/>
                <w:szCs w:val="1"/>
                <w:color w:val="auto"/>
              </w:rPr>
            </w:pPr>
          </w:p>
        </w:tc>
      </w:tr>
      <w:tr>
        <w:trPr>
          <w:trHeight w:val="238"/>
        </w:trPr>
        <w:tc>
          <w:tcPr>
            <w:tcW w:w="3960" w:type="dxa"/>
            <w:vAlign w:val="bottom"/>
            <w:tcBorders>
              <w:bottom w:val="single" w:sz="8" w:color="auto"/>
            </w:tcBorders>
            <w:vMerge w:val="continue"/>
          </w:tcPr>
          <w:p>
            <w:pPr>
              <w:spacing w:after="0"/>
              <w:rPr>
                <w:sz w:val="20"/>
                <w:szCs w:val="20"/>
                <w:color w:val="auto"/>
              </w:rPr>
            </w:pPr>
          </w:p>
        </w:tc>
        <w:tc>
          <w:tcPr>
            <w:tcW w:w="72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(as a percentage of base salary)</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Faga</w:t>
            </w:r>
          </w:p>
        </w:tc>
        <w:tc>
          <w:tcPr>
            <w:tcW w:w="72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55%</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Lizzul M.D., Ph.D.</w:t>
            </w:r>
          </w:p>
        </w:tc>
        <w:tc>
          <w:tcPr>
            <w:tcW w:w="72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Loumeau, J.D.</w:t>
            </w:r>
          </w:p>
        </w:tc>
        <w:tc>
          <w:tcPr>
            <w:tcW w:w="72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332"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Performance Goals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Participants in the 2023 Cash Bonus Plan were eligible to receive a bonus payment based upon the attainment of one or more corporate performance goals that were selected and approved by our compensation committee and which related to financial and operational metrics that were important to us. The corporate performance component of the 2023 Cash Bonus Plan was to be funded based on our actual results for the year as evaluated against these performance goals and account for 100% of the Named Executive Officers total bonus opportunity.</w:t>
      </w:r>
    </w:p>
    <w:p>
      <w:pPr>
        <w:spacing w:after="0" w:line="1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December 2022, our compensation committee and Board of Directors approved corporate performance goals in each of the following categories for purposes of the 2023 Cash Bonus Plan:</w:t>
      </w:r>
    </w:p>
    <w:p>
      <w:pPr>
        <w:spacing w:after="0" w:line="50"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Rosnilimab Program </w:t>
      </w:r>
      <w:r>
        <w:rPr>
          <w:rFonts w:ascii="Times New Roman" w:cs="Times New Roman" w:eastAsia="Times New Roman" w:hAnsi="Times New Roman"/>
          <w:sz w:val="18"/>
          <w:szCs w:val="18"/>
          <w:color w:val="auto"/>
        </w:rPr>
        <w:t>– Initiate Phase 2 trial in RA by Q3 2023 and recommend whether to initiate a second Phase 2 trial by the end of 2023;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BTLA Agonist (ANB032) Program </w:t>
      </w:r>
      <w:r>
        <w:rPr>
          <w:rFonts w:ascii="Times New Roman" w:cs="Times New Roman" w:eastAsia="Times New Roman" w:hAnsi="Times New Roman"/>
          <w:sz w:val="18"/>
          <w:szCs w:val="18"/>
          <w:color w:val="auto"/>
        </w:rPr>
        <w:t>– Initiate Phase 2 trial in AD in Q2 2023;</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Portfolio Planning and Corp. Development </w:t>
      </w:r>
      <w:r>
        <w:rPr>
          <w:rFonts w:ascii="Times New Roman" w:cs="Times New Roman" w:eastAsia="Times New Roman" w:hAnsi="Times New Roman"/>
          <w:sz w:val="18"/>
          <w:szCs w:val="18"/>
          <w:color w:val="auto"/>
        </w:rPr>
        <w:t>– Align on multi-year integrated clinical development plan across the portfolio;</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Imsidolimab (anti-IL-36R) Program </w:t>
      </w:r>
      <w:r>
        <w:rPr>
          <w:rFonts w:ascii="Times New Roman" w:cs="Times New Roman" w:eastAsia="Times New Roman" w:hAnsi="Times New Roman"/>
          <w:sz w:val="18"/>
          <w:szCs w:val="18"/>
          <w:color w:val="auto"/>
        </w:rPr>
        <w:t>– Gemini-1 primary endpoint by October 31, 2023;</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Early Portfolio </w:t>
      </w:r>
      <w:r>
        <w:rPr>
          <w:rFonts w:ascii="Times New Roman" w:cs="Times New Roman" w:eastAsia="Times New Roman" w:hAnsi="Times New Roman"/>
          <w:sz w:val="18"/>
          <w:szCs w:val="18"/>
          <w:color w:val="auto"/>
        </w:rPr>
        <w:t>– ANB033 (CD122 antagonist) on track to initiate a Phase1 clinical trial in 2024;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 operating expenses within approved budget; and</w:t>
      </w:r>
    </w:p>
    <w:p>
      <w:pPr>
        <w:spacing w:after="0" w:line="117"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Organizational Talent and Culture </w:t>
      </w:r>
      <w:r>
        <w:rPr>
          <w:rFonts w:ascii="Times New Roman" w:cs="Times New Roman" w:eastAsia="Times New Roman" w:hAnsi="Times New Roman"/>
          <w:sz w:val="18"/>
          <w:szCs w:val="18"/>
          <w:color w:val="auto"/>
        </w:rPr>
        <w:t>– Retain, develop and recruit leadership to support future growth expectations and ensure consistent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culture, vision and values.</w:t>
      </w:r>
    </w:p>
    <w:p>
      <w:pPr>
        <w:spacing w:after="0" w:line="11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Each corporate performance goal was evaluated and selected according to our compensation committee’s assessment of its relative importance to the execution of our annual business plan. Our primary focus was on our clinical development and research programs, as they are key drivers of our business. We allocated the remainder of the bonus opportunity to managing operations such as finance, retaining, developing and recruiting leadership to support future growth, and ensuring consistent company culture, which are also necessary for the execution of our business plan.</w:t>
      </w:r>
    </w:p>
    <w:p>
      <w:pPr>
        <w:spacing w:after="0" w:line="1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purposes of the 2023 Cash Bonus Plan, our compensation committee reserved the discretion to consider the level of achievement of a particular performance goal, or other corporate achievements during 2023 when determining the actual funding level for this component of the plan. This discretion enables our executive officers to focus on the pre-established corporate goals, while also providing flexibility for our executive officers to be nimble in responding to new developments and setbacks, which is necessary for the execution of our business plan.</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2023, our compensation committee reviewed performance against the corporate goals. Our compensation committee recognized the effective execution and significant progress made on certain critical business goals, including the advancement of our clinical programs and the achievement of our internal research goals and those related to our partnered programs. Accordingly, our compensation committee recommended and our board of directors determined that our corporate goals were achieved at 100% of target.</w:t>
      </w:r>
    </w:p>
    <w:p>
      <w:pPr>
        <w:spacing w:after="0" w:line="139" w:lineRule="exact"/>
        <w:rPr>
          <w:sz w:val="20"/>
          <w:szCs w:val="20"/>
          <w:color w:val="auto"/>
        </w:rPr>
      </w:pPr>
    </w:p>
    <w:p>
      <w:pPr>
        <w:ind w:right="80"/>
        <w:spacing w:after="0" w:line="461" w:lineRule="auto"/>
        <w:rPr>
          <w:sz w:val="20"/>
          <w:szCs w:val="20"/>
          <w:color w:val="auto"/>
        </w:rPr>
      </w:pPr>
      <w:r>
        <w:rPr>
          <w:rFonts w:ascii="Times New Roman" w:cs="Times New Roman" w:eastAsia="Times New Roman" w:hAnsi="Times New Roman"/>
          <w:sz w:val="18"/>
          <w:szCs w:val="18"/>
          <w:color w:val="auto"/>
        </w:rPr>
        <w:t xml:space="preserve">The 2023 bonuses earned by our named executive officers are set forth in “Executive Compensation Tables – 2023 Summary Compensation Table” below. </w:t>
      </w:r>
      <w:r>
        <w:rPr>
          <w:rFonts w:ascii="Times New Roman" w:cs="Times New Roman" w:eastAsia="Times New Roman" w:hAnsi="Times New Roman"/>
          <w:sz w:val="18"/>
          <w:szCs w:val="18"/>
          <w:b w:val="1"/>
          <w:bCs w:val="1"/>
          <w:i w:val="1"/>
          <w:iCs w:val="1"/>
          <w:color w:val="auto"/>
        </w:rPr>
        <w:t>Long-Term Incentive Compensation</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long-term, equity-based incentive awards are designed to align the interests of our named executive officers with the interests of our stockholders. Because vesting is generally subject to continued service over a period of several years following the date of grant, our equity-based incentives also serve as a retention device for our named executive officers. We generally provide initial equity-based incentive awards in connection with the commencement of employment of our named executive officers as an inducement to commencement of employment. We award annual equity-based incentive awards at or shortly following the end of each year. Awards are subject to vesting over a period of multiple years to provide long-term incentives to deliver sustained stockholder value and to facilitate retention. From time to time, we may also grant awards with performance-based metrics to incentivize and reward targeted corporate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332" w:right="359" w:bottom="1440" w:gutter="0" w:footer="0" w:header="0"/>
        </w:sectPr>
      </w:pPr>
    </w:p>
    <w:bookmarkStart w:id="39" w:name="page40"/>
    <w:bookmarkEnd w:id="39"/>
    <w:p>
      <w:pPr>
        <w:ind w:right="320"/>
        <w:spacing w:after="0" w:line="261" w:lineRule="auto"/>
        <w:rPr>
          <w:sz w:val="20"/>
          <w:szCs w:val="20"/>
          <w:color w:val="auto"/>
        </w:rPr>
      </w:pPr>
      <w:r>
        <w:rPr>
          <w:rFonts w:ascii="Times New Roman" w:cs="Times New Roman" w:eastAsia="Times New Roman" w:hAnsi="Times New Roman"/>
          <w:sz w:val="18"/>
          <w:szCs w:val="18"/>
          <w:color w:val="auto"/>
        </w:rPr>
        <w:t>The compensation committee views stock options as inherently performance-based compensation that provides a direct link between executive pay and stockholder return, as the value realized, if any, by the executive, is dependent upon, and directly proportionate to, appreciation in stock price over the exercise period and throughout the remaining term prior to exercise. Additionally, stock options will not provide value to the holder if the value of our stock price does not increase after the award is granted.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our 2023 executive long-term incentive mix, the compensation committee determined, in consultation with Compensia, to again include restricted stock units (“RSUs”). The compensation committee noted that RSUs are becoming more prevalent in the pre-commercial biotech space in which we primarily compete for talent. Further, RSUs can provide a strong retention vehicle, particularly during any periods of stock price volatility. Finally, the compensation committee noted the additional benefit of reducing share usage and managing our available equity pool more efficiently. As such, the compensation committee approved a mix of stock options and RSUs for executives in 2023. The RSUs will vest in annual equal installments over a four-year period.</w:t>
      </w:r>
    </w:p>
    <w:p>
      <w:pPr>
        <w:spacing w:after="0" w:line="1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Typically, we have granted equity based awards of our common stock to our named executive officers as part of our compensation committee’s annual review of executive compensation. To date, our compensation committee has not applied a rigid formula in determining the size of these equity awards. Instead, our compensation committee determines the amount of the equity award for each named executive officer after taking into consideration a compensation analysis performed by its compensation consultant using market data, the equity award recommendations of our Chief Executive Officer (except with respect to his own award), the amount of equity compensation held by the named executive officer (including the current economic value of his or her unvested equity and the ability of these unvested holdings to satisfy our retention objectives), and the factors described in “Compensation Setting Process - Setting Target Total Direct Compensation” above.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January 2023 “Refresh” Equity Awards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January 2023, based upon the considerations and analysis described above, our compensation committee determined to grant options to purchase shares of our common stock and RSUs to our named executive officers in amounts that it considered to be consistent with our compensation philosophy and its desired market positioning and which also recognized the performance of each of our named executive officers. The stock options and RSUs granted to our named executive officers in January 2023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564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Number of Shares Underlying Stock Options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p>
        </w:tc>
        <w:tc>
          <w:tcPr>
            <w:tcW w:w="2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Number of RSUs</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auto"/>
            </w:tcBorders>
            <w:vMerge w:val="continue"/>
          </w:tcPr>
          <w:p>
            <w:pPr>
              <w:spacing w:after="0"/>
              <w:rPr>
                <w:sz w:val="21"/>
                <w:szCs w:val="21"/>
                <w:color w:val="auto"/>
              </w:rPr>
            </w:pPr>
          </w:p>
        </w:tc>
        <w:tc>
          <w:tcPr>
            <w:tcW w:w="5640" w:type="dxa"/>
            <w:vAlign w:val="bottom"/>
            <w:tcBorders>
              <w:bottom w:val="single" w:sz="8" w:color="auto"/>
            </w:tcBorders>
            <w:vMerge w:val="continue"/>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Faga</w:t>
            </w:r>
          </w:p>
        </w:tc>
        <w:tc>
          <w:tcPr>
            <w:tcW w:w="56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194,900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71,400</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Lizzul M.D., Ph.D.</w:t>
            </w:r>
          </w:p>
        </w:tc>
        <w:tc>
          <w:tcPr>
            <w:tcW w:w="56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67,070</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24,580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Loumeau, J.D.</w:t>
            </w:r>
          </w:p>
        </w:tc>
        <w:tc>
          <w:tcPr>
            <w:tcW w:w="56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60,530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22,180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right="140" w:hanging="332"/>
        <w:spacing w:after="0" w:line="272" w:lineRule="auto"/>
        <w:tabs>
          <w:tab w:leader="none" w:pos="36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to purchase shares of our common stock vest and become exercisable over a four-year period, with 25% of the shares of our common stock subject to the options vesting on the first anniversary of the date of grant and 1/48th of the shares of our common stock subject to the options vesting in equal monthly installments thereafter, contingent upon the named executive officer remaining continuously employed by us through each applicable vesting date.</w:t>
      </w:r>
    </w:p>
    <w:p>
      <w:pPr>
        <w:spacing w:after="0" w:line="62" w:lineRule="exact"/>
        <w:rPr>
          <w:rFonts w:ascii="Times New Roman" w:cs="Times New Roman" w:eastAsia="Times New Roman" w:hAnsi="Times New Roman"/>
          <w:sz w:val="16"/>
          <w:szCs w:val="16"/>
          <w:color w:val="auto"/>
        </w:rPr>
      </w:pPr>
    </w:p>
    <w:p>
      <w:pPr>
        <w:ind w:left="340" w:right="540" w:hanging="332"/>
        <w:spacing w:after="0" w:line="280" w:lineRule="auto"/>
        <w:tabs>
          <w:tab w:leader="none" w:pos="36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vest in annual equal installments over four years, contingent upon the named executive officer remaining continuously employed by us through each applicable vesting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89" w:lineRule="exact"/>
        <w:rPr>
          <w:sz w:val="20"/>
          <w:szCs w:val="20"/>
          <w:color w:val="auto"/>
        </w:rPr>
      </w:pPr>
    </w:p>
    <w:p>
      <w:pPr>
        <w:ind w:left="20" w:right="240" w:hanging="2"/>
        <w:spacing w:after="0" w:line="282" w:lineRule="auto"/>
        <w:rPr>
          <w:sz w:val="20"/>
          <w:szCs w:val="20"/>
          <w:color w:val="auto"/>
        </w:rPr>
      </w:pPr>
      <w:r>
        <w:rPr>
          <w:rFonts w:ascii="Times New Roman" w:cs="Times New Roman" w:eastAsia="Times New Roman" w:hAnsi="Times New Roman"/>
          <w:sz w:val="18"/>
          <w:szCs w:val="18"/>
          <w:color w:val="auto"/>
        </w:rPr>
        <w:t>Our named executive officers participate in our company-sponsored benefit programs on generally the same basis as other salaried employees, including with respect to our 401(k) plan and health and welfare benefits.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336" w:right="339" w:bottom="1440" w:gutter="0" w:footer="0" w:header="0"/>
        </w:sectPr>
      </w:pPr>
    </w:p>
    <w:bookmarkStart w:id="40" w:name="page41"/>
    <w:bookmarkEnd w:id="40"/>
    <w:p>
      <w:pPr>
        <w:ind w:right="120"/>
        <w:spacing w:after="0" w:line="282" w:lineRule="auto"/>
        <w:rPr>
          <w:sz w:val="20"/>
          <w:szCs w:val="20"/>
          <w:color w:val="auto"/>
        </w:rPr>
      </w:pPr>
      <w:r>
        <w:rPr>
          <w:rFonts w:ascii="Times New Roman" w:cs="Times New Roman" w:eastAsia="Times New Roman" w:hAnsi="Times New Roman"/>
          <w:sz w:val="18"/>
          <w:szCs w:val="18"/>
          <w:color w:val="auto"/>
        </w:rPr>
        <w:t>retention purposes. During 2023, none of our named executive officers received perquisites or other personal benefits that were, in the aggregate, $10,000 or more for each individual.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336"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that was awarded to, earned by or paid to our named executive officers for services rendered during the years ended December 31, 2023 and 2022.</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6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9"/>
                <w:szCs w:val="9"/>
                <w:b w:val="1"/>
                <w:bCs w:val="1"/>
                <w:color w:val="auto"/>
              </w:rPr>
              <w:t>(1)</w:t>
            </w: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9"/>
                <w:szCs w:val="9"/>
                <w:b w:val="1"/>
                <w:bCs w:val="1"/>
                <w:color w:val="auto"/>
              </w:rPr>
              <w:t>(1)</w:t>
            </w:r>
          </w:p>
        </w:tc>
        <w:tc>
          <w:tcPr>
            <w:tcW w:w="12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60" w:type="dxa"/>
            <w:vAlign w:val="bottom"/>
            <w:vMerge w:val="continue"/>
          </w:tcPr>
          <w:p>
            <w:pPr>
              <w:spacing w:after="0"/>
              <w:rPr>
                <w:sz w:val="12"/>
                <w:szCs w:val="12"/>
                <w:color w:val="auto"/>
              </w:rPr>
            </w:pPr>
          </w:p>
        </w:tc>
        <w:tc>
          <w:tcPr>
            <w:tcW w:w="9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tcPr>
          <w:p>
            <w:pPr>
              <w:jc w:val="center"/>
              <w:ind w:right="18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CCEEFF"/>
            </w:tcBorders>
            <w:vMerge w:val="continue"/>
          </w:tcPr>
          <w:p>
            <w:pPr>
              <w:spacing w:after="0"/>
              <w:rPr>
                <w:sz w:val="17"/>
                <w:szCs w:val="17"/>
                <w:color w:val="auto"/>
              </w:rPr>
            </w:pPr>
          </w:p>
        </w:tc>
        <w:tc>
          <w:tcPr>
            <w:tcW w:w="1060" w:type="dxa"/>
            <w:vAlign w:val="bottom"/>
            <w:tcBorders>
              <w:bottom w:val="single" w:sz="8" w:color="CCEEFF"/>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CCEEFF"/>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CCEEFF"/>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CCEEFF"/>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CCEEFF"/>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Faga</w:t>
            </w:r>
            <w:r>
              <w:rPr>
                <w:rFonts w:ascii="Times New Roman" w:cs="Times New Roman" w:eastAsia="Times New Roman" w:hAnsi="Times New Roman"/>
                <w:sz w:val="9"/>
                <w:szCs w:val="9"/>
                <w:color w:val="auto"/>
              </w:rPr>
              <w:t>(2)</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640,605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1,658,622</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3,287,320</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352,333</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1,523,040</w:t>
            </w:r>
            <w:r>
              <w:rPr>
                <w:rFonts w:ascii="Times New Roman" w:cs="Times New Roman" w:eastAsia="Times New Roman" w:hAnsi="Times New Roman"/>
                <w:sz w:val="9"/>
                <w:szCs w:val="9"/>
                <w:color w:val="auto"/>
              </w:rPr>
              <w:t>(3)(4)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7,461,920</w:t>
            </w:r>
          </w:p>
        </w:tc>
        <w:tc>
          <w:tcPr>
            <w:tcW w:w="0" w:type="dxa"/>
            <w:vAlign w:val="bottom"/>
          </w:tcPr>
          <w:p>
            <w:pPr>
              <w:spacing w:after="0"/>
              <w:rPr>
                <w:sz w:val="1"/>
                <w:szCs w:val="1"/>
                <w:color w:val="auto"/>
              </w:rPr>
            </w:pPr>
          </w:p>
        </w:tc>
      </w:tr>
      <w:tr>
        <w:trPr>
          <w:trHeight w:val="196"/>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 and Director</w:t>
            </w: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483,578</w:t>
            </w:r>
            <w:r>
              <w:rPr>
                <w:rFonts w:ascii="Times New Roman" w:cs="Times New Roman" w:eastAsia="Times New Roman" w:hAnsi="Times New Roman"/>
                <w:sz w:val="9"/>
                <w:szCs w:val="9"/>
                <w:color w:val="auto"/>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23,506,640</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200,618</w:t>
            </w:r>
            <w:r>
              <w:rPr>
                <w:rFonts w:ascii="Times New Roman" w:cs="Times New Roman" w:eastAsia="Times New Roman" w:hAnsi="Times New Roman"/>
                <w:sz w:val="9"/>
                <w:szCs w:val="9"/>
                <w:color w:val="auto"/>
              </w:rPr>
              <w:t>(6)</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240,609</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8,905</w:t>
            </w:r>
            <w:r>
              <w:rPr>
                <w:rFonts w:ascii="Times New Roman" w:cs="Times New Roman" w:eastAsia="Times New Roman" w:hAnsi="Times New Roman"/>
                <w:sz w:val="9"/>
                <w:szCs w:val="9"/>
                <w:color w:val="auto"/>
              </w:rPr>
              <w:t>(4)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24,440,350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Paul Lizzul</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509,479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570,993</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1,131,250</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203,792</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25,603</w:t>
            </w:r>
            <w:r>
              <w:rPr>
                <w:rFonts w:ascii="Times New Roman" w:cs="Times New Roman" w:eastAsia="Times New Roman" w:hAnsi="Times New Roman"/>
                <w:sz w:val="9"/>
                <w:szCs w:val="9"/>
                <w:color w:val="auto"/>
              </w:rPr>
              <w:t>(7)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2,441,117</w:t>
            </w:r>
          </w:p>
        </w:tc>
        <w:tc>
          <w:tcPr>
            <w:tcW w:w="0" w:type="dxa"/>
            <w:vAlign w:val="bottom"/>
          </w:tcPr>
          <w:p>
            <w:pPr>
              <w:spacing w:after="0"/>
              <w:rPr>
                <w:sz w:val="1"/>
                <w:szCs w:val="1"/>
                <w:color w:val="auto"/>
              </w:rPr>
            </w:pPr>
          </w:p>
        </w:tc>
      </w:tr>
      <w:tr>
        <w:trPr>
          <w:trHeight w:val="196"/>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471,740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283,440</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2,872,730</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174,544</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10,074</w:t>
            </w:r>
            <w:r>
              <w:rPr>
                <w:rFonts w:ascii="Times New Roman" w:cs="Times New Roman" w:eastAsia="Times New Roman" w:hAnsi="Times New Roman"/>
                <w:sz w:val="9"/>
                <w:szCs w:val="9"/>
                <w:color w:val="auto"/>
              </w:rPr>
              <w:t>(7)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3,812,528</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Eric Loumeau</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515,241</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1,020,941</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197,529</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30,650</w:t>
            </w:r>
            <w:r>
              <w:rPr>
                <w:rFonts w:ascii="Times New Roman" w:cs="Times New Roman" w:eastAsia="Times New Roman" w:hAnsi="Times New Roman"/>
                <w:sz w:val="9"/>
                <w:szCs w:val="9"/>
                <w:color w:val="auto"/>
              </w:rPr>
              <w:t>(8)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2,258,185</w:t>
            </w:r>
          </w:p>
        </w:tc>
        <w:tc>
          <w:tcPr>
            <w:tcW w:w="0" w:type="dxa"/>
            <w:vAlign w:val="bottom"/>
          </w:tcPr>
          <w:p>
            <w:pPr>
              <w:spacing w:after="0"/>
              <w:rPr>
                <w:sz w:val="1"/>
                <w:szCs w:val="1"/>
                <w:color w:val="auto"/>
              </w:rPr>
            </w:pPr>
          </w:p>
        </w:tc>
      </w:tr>
      <w:tr>
        <w:trPr>
          <w:trHeight w:val="190"/>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Legal Officer</w:t>
            </w: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474,830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283,440</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2,872,730</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197,648</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13,115</w:t>
            </w:r>
            <w:r>
              <w:rPr>
                <w:rFonts w:ascii="Times New Roman" w:cs="Times New Roman" w:eastAsia="Times New Roman" w:hAnsi="Times New Roman"/>
                <w:sz w:val="9"/>
                <w:szCs w:val="9"/>
                <w:color w:val="auto"/>
              </w:rPr>
              <w:t>(8)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3,841,763</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340" w:hanging="332"/>
        <w:spacing w:after="0" w:line="263" w:lineRule="auto"/>
        <w:tabs>
          <w:tab w:leader="none" w:pos="36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and Stock Awards columns represent the grant date fair value of the stock options and RSUs granted to the named executive officers during the years ended December 31, 2023 and 2022 as computed in accordance with ASC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2023. Note that the amounts reported in these columns reflect the accounting cost for these stock options and RSUs, and do not correspond to the actual economic value that may be received by our named executive officers from such awards.</w:t>
      </w:r>
    </w:p>
    <w:p>
      <w:pPr>
        <w:spacing w:after="0" w:line="71"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Faga was appointed Interim President and Chief Executive Officer, effective March 21, 2022 and President and Chief Executive Officer, effective August 3, 2023.</w:t>
      </w:r>
    </w:p>
    <w:p>
      <w:pPr>
        <w:spacing w:after="0" w:line="113" w:lineRule="exact"/>
        <w:rPr>
          <w:rFonts w:ascii="Times New Roman" w:cs="Times New Roman" w:eastAsia="Times New Roman" w:hAnsi="Times New Roman"/>
          <w:sz w:val="16"/>
          <w:szCs w:val="16"/>
          <w:color w:val="auto"/>
        </w:rPr>
      </w:pPr>
    </w:p>
    <w:p>
      <w:pPr>
        <w:ind w:left="340" w:right="260" w:hanging="332"/>
        <w:spacing w:after="0" w:line="269" w:lineRule="auto"/>
        <w:tabs>
          <w:tab w:leader="none" w:pos="36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$1,500,000 transition bonus paid to Mr. Faga in connection with his transition from Interim President and Chief Executive Officer to President and Chief Executive Officer. In the event that Mr. Faga’s employment is terminated by the Company due to “cause” or by Mr. Faga without “good reason” prior to August 4, 2024, Mr. Faga will be required to re-pay the transition bonus, and will be required to re-pay a prorated amount if his employment is terminated with “cause” or he resigns without “good reason” after August 4, 2024 but before August 4, 2025.</w:t>
      </w:r>
    </w:p>
    <w:p>
      <w:pPr>
        <w:spacing w:after="0" w:line="6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401(k) matching contributions and group term life insurance premiums paid by us on behalf of Mr. Faga.</w:t>
      </w:r>
    </w:p>
    <w:p>
      <w:pPr>
        <w:spacing w:after="0" w:line="113" w:lineRule="exact"/>
        <w:rPr>
          <w:rFonts w:ascii="Times New Roman" w:cs="Times New Roman" w:eastAsia="Times New Roman" w:hAnsi="Times New Roman"/>
          <w:sz w:val="16"/>
          <w:szCs w:val="16"/>
          <w:color w:val="auto"/>
        </w:rPr>
      </w:pPr>
    </w:p>
    <w:p>
      <w:pPr>
        <w:ind w:left="340" w:right="80" w:hanging="332"/>
        <w:spacing w:after="0" w:line="298" w:lineRule="auto"/>
        <w:tabs>
          <w:tab w:leader="none" w:pos="36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$10,000 in director fees paid to Mr. Faga for his service as a director prior to his appointment Interim President and Chief Executive Officer on March 21, 2022. For Mr. Faga’s compensation as a director, see the section above titled “Proposal No. 1 Election of Class I Directors — Non-Employee Director Compensation.”</w:t>
      </w:r>
    </w:p>
    <w:p>
      <w:pPr>
        <w:spacing w:after="0" w:line="42" w:lineRule="exact"/>
        <w:rPr>
          <w:rFonts w:ascii="Times New Roman" w:cs="Times New Roman" w:eastAsia="Times New Roman" w:hAnsi="Times New Roman"/>
          <w:sz w:val="16"/>
          <w:szCs w:val="16"/>
          <w:color w:val="auto"/>
        </w:rPr>
      </w:pPr>
    </w:p>
    <w:p>
      <w:pPr>
        <w:ind w:left="340" w:right="400" w:hanging="332"/>
        <w:spacing w:after="0" w:line="272" w:lineRule="auto"/>
        <w:tabs>
          <w:tab w:leader="none" w:pos="36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$200,618 of option awards granted to Mr. Faga for his service as a director, prior to his appointment as Interim President and Chief Executive Officer on March 21, 2022. For Mr. Faga’s compensation as a director, see the section above titled “Proposal No. 1 Election of Class I Directors — Non-Employee Director Compensation.”</w:t>
      </w:r>
    </w:p>
    <w:p>
      <w:pPr>
        <w:spacing w:after="0" w:line="6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401(k) matching contributions and group term life insurance premiums paid by us on behalf of Dr. Lizzul.</w:t>
      </w:r>
    </w:p>
    <w:p>
      <w:pPr>
        <w:spacing w:after="0" w:line="12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401(k) matching contributions and group term life insurance premiums paid by us on behalf of Mr. Loumeau.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following table presents, for each of the named executive officers, information regarding outstanding stock options and RSUs held as of December 31, 2023.</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4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58"/>
        </w:trPr>
        <w:tc>
          <w:tcPr>
            <w:tcW w:w="1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20" w:type="dxa"/>
            <w:vAlign w:val="bottom"/>
            <w:vMerge w:val="restart"/>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Market Value of</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38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jc w:val="center"/>
              <w:ind w:left="11"/>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1120" w:type="dxa"/>
            <w:vAlign w:val="bottom"/>
            <w:vMerge w:val="continue"/>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Option Expiration</w:t>
            </w: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Stock That</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 of</w:t>
            </w:r>
          </w:p>
        </w:tc>
        <w:tc>
          <w:tcPr>
            <w:tcW w:w="0" w:type="dxa"/>
            <w:vAlign w:val="bottom"/>
          </w:tcPr>
          <w:p>
            <w:pPr>
              <w:spacing w:after="0"/>
              <w:rPr>
                <w:sz w:val="1"/>
                <w:szCs w:val="1"/>
                <w:color w:val="auto"/>
              </w:rPr>
            </w:pPr>
          </w:p>
        </w:tc>
      </w:tr>
      <w:tr>
        <w:trPr>
          <w:trHeight w:val="162"/>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Grant Date</w:t>
            </w:r>
            <w:r>
              <w:rPr>
                <w:rFonts w:ascii="Times New Roman" w:cs="Times New Roman" w:eastAsia="Times New Roman" w:hAnsi="Times New Roman"/>
                <w:sz w:val="21"/>
                <w:szCs w:val="21"/>
                <w:b w:val="1"/>
                <w:bCs w:val="1"/>
                <w:color w:val="auto"/>
                <w:vertAlign w:val="superscript"/>
              </w:rPr>
              <w:t>(1)</w:t>
            </w:r>
          </w:p>
        </w:tc>
        <w:tc>
          <w:tcPr>
            <w:tcW w:w="1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 Options</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 Options</w:t>
            </w: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380" w:type="dxa"/>
            <w:vAlign w:val="bottom"/>
            <w:vMerge w:val="continue"/>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 That Have</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rPr>
              <w:t>(#) Exercisable</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Unexercisable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13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6"/>
              </w:rPr>
              <w:t>Not Vested ($)</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14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Daniel Faga</w:t>
            </w:r>
            <w:r>
              <w:rPr>
                <w:rFonts w:ascii="Times New Roman" w:cs="Times New Roman" w:eastAsia="Times New Roman" w:hAnsi="Times New Roman"/>
                <w:sz w:val="21"/>
                <w:szCs w:val="21"/>
                <w:color w:val="auto"/>
                <w:vertAlign w:val="superscript"/>
              </w:rPr>
              <w:t>(3)</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11/26/2021</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2,321</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11/25/2031</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11/26/2021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7,639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11/25/2031</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02/10/2022</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02/09/2032</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3/21/2022</w:t>
            </w:r>
          </w:p>
        </w:tc>
        <w:tc>
          <w:tcPr>
            <w:tcW w:w="1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887,043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19,000,461</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01/06/2023</w:t>
            </w:r>
          </w:p>
        </w:tc>
        <w:tc>
          <w:tcPr>
            <w:tcW w:w="17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71,400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1,529,388</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01/06/2023</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194,900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01/05/2033</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Paul Lizzul </w:t>
            </w:r>
            <w:r>
              <w:rPr>
                <w:rFonts w:ascii="Times New Roman" w:cs="Times New Roman" w:eastAsia="Times New Roman" w:hAnsi="Times New Roman"/>
                <w:sz w:val="21"/>
                <w:szCs w:val="21"/>
                <w:color w:val="auto"/>
                <w:vertAlign w:val="superscript"/>
              </w:rPr>
              <w:t>(4)</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07/30/2020</w:t>
            </w:r>
          </w:p>
        </w:tc>
        <w:tc>
          <w:tcPr>
            <w:tcW w:w="17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76,875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13,125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07/29/2030</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02/10/2021</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31,875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13,125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02/10/2021</w:t>
            </w:r>
          </w:p>
        </w:tc>
        <w:tc>
          <w:tcPr>
            <w:tcW w:w="17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10,000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02/10/2022</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32,083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37,917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30.44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02/09/2032</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12/15/2022</w:t>
            </w:r>
          </w:p>
        </w:tc>
        <w:tc>
          <w:tcPr>
            <w:tcW w:w="17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28.64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12/14/2032</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12/15/2022</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15,000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28.64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12/14/2023</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09/14/2022</w:t>
            </w:r>
          </w:p>
        </w:tc>
        <w:tc>
          <w:tcPr>
            <w:tcW w:w="17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128,520</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01/06/2023</w:t>
            </w:r>
          </w:p>
        </w:tc>
        <w:tc>
          <w:tcPr>
            <w:tcW w:w="1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24,580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526,504</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01/06/2023</w:t>
            </w:r>
          </w:p>
        </w:tc>
        <w:tc>
          <w:tcPr>
            <w:tcW w:w="17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67,070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23.23</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01/05/2033</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Eric Loumeau</w:t>
            </w:r>
            <w:r>
              <w:rPr>
                <w:rFonts w:ascii="Times New Roman" w:cs="Times New Roman" w:eastAsia="Times New Roman" w:hAnsi="Times New Roman"/>
                <w:sz w:val="21"/>
                <w:szCs w:val="21"/>
                <w:color w:val="auto"/>
                <w:vertAlign w:val="superscript"/>
              </w:rPr>
              <w:t>(5)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08/06/2018</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40,000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78.18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08/05/2028</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02/08/2019</w:t>
            </w:r>
          </w:p>
        </w:tc>
        <w:tc>
          <w:tcPr>
            <w:tcW w:w="17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35,000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68.89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02/07/2029</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08/18/2019</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17,500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49.20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08/17/2029</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12/06/2019</w:t>
            </w:r>
          </w:p>
        </w:tc>
        <w:tc>
          <w:tcPr>
            <w:tcW w:w="17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83,000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14.02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12/05/2029</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07/13/2020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6,042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1,458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20.16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07/12/2030</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02/10/2021</w:t>
            </w:r>
          </w:p>
        </w:tc>
        <w:tc>
          <w:tcPr>
            <w:tcW w:w="17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10,000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02/10/2021</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31,875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13,125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02/10/2022</w:t>
            </w:r>
          </w:p>
        </w:tc>
        <w:tc>
          <w:tcPr>
            <w:tcW w:w="17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32,083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37,917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02/09/2032</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12/15/2022</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28.64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12/14/2032</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12/15/2022</w:t>
            </w:r>
          </w:p>
        </w:tc>
        <w:tc>
          <w:tcPr>
            <w:tcW w:w="17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15,000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28.64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12/14/2032</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09/14/2022</w:t>
            </w:r>
          </w:p>
        </w:tc>
        <w:tc>
          <w:tcPr>
            <w:tcW w:w="1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128,520</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01/06/2023</w:t>
            </w:r>
          </w:p>
        </w:tc>
        <w:tc>
          <w:tcPr>
            <w:tcW w:w="17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22,180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475,096</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01/06/2023</w:t>
            </w:r>
          </w:p>
        </w:tc>
        <w:tc>
          <w:tcPr>
            <w:tcW w:w="1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60,530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01/05/2033</w:t>
            </w: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5" w:lineRule="exact"/>
        <w:rPr>
          <w:sz w:val="20"/>
          <w:szCs w:val="20"/>
          <w:color w:val="auto"/>
        </w:rPr>
      </w:pPr>
    </w:p>
    <w:p>
      <w:pPr>
        <w:ind w:left="340" w:right="60" w:hanging="332"/>
        <w:spacing w:after="0" w:line="260" w:lineRule="auto"/>
        <w:tabs>
          <w:tab w:leader="none" w:pos="40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spacing w:after="0" w:line="72"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of our common stock on December 29, 2023, the last trading date of 2023, of $21.42.</w:t>
      </w:r>
    </w:p>
    <w:p>
      <w:pPr>
        <w:spacing w:after="0" w:line="113" w:lineRule="exact"/>
        <w:rPr>
          <w:rFonts w:ascii="Times New Roman" w:cs="Times New Roman" w:eastAsia="Times New Roman" w:hAnsi="Times New Roman"/>
          <w:sz w:val="16"/>
          <w:szCs w:val="16"/>
          <w:color w:val="auto"/>
        </w:rPr>
      </w:pPr>
    </w:p>
    <w:p>
      <w:pPr>
        <w:ind w:left="340" w:right="80" w:hanging="332"/>
        <w:spacing w:after="0" w:line="261" w:lineRule="auto"/>
        <w:tabs>
          <w:tab w:leader="none" w:pos="40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their underlying shares as follows: (i) the shares underlying the 2,321 options granted on November 26, 2021 have fully vested; (ii) of the 11,000 shares underlying the option granted on November 26, 2021, 1/36 vested on December 26, 2021, and 1/36 vest on the twenty-sixth day of each succeeding calendar month, starting January 26, 2022; (iii) the 9,200 shares underlying the option granted on February 10, 2022 have fully vested; (iv) of the 194,900 shares underlying the option granted on January 6, 2023, 1/4 vested on January 6, 2024, and 1/48 vest on the sixth of each succeeding calendar month, starting February 6, 2024; (v) the shares underlying the 887,043 RSUs granted on March 21, 2022 vested in full on March 21, 2024 and (vi) of the shares underlying the 71,400 RSUs granted on January 6, 2023, 1/4 vested on January 6, 2024 and 1/4 will vest annually beginning on January 6, 2025. If we experience a change in control and Mr. Faga is terminated without “cause” or resigns for “good reason”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265" w:right="379" w:bottom="1440" w:gutter="0" w:footer="0" w:header="0"/>
        </w:sectPr>
      </w:pPr>
    </w:p>
    <w:bookmarkStart w:id="43" w:name="page44"/>
    <w:bookmarkEnd w:id="43"/>
    <w:p>
      <w:pPr>
        <w:ind w:left="340"/>
        <w:spacing w:after="0" w:line="272" w:lineRule="auto"/>
        <w:rPr>
          <w:sz w:val="20"/>
          <w:szCs w:val="20"/>
          <w:color w:val="auto"/>
        </w:rPr>
      </w:pPr>
      <w:r>
        <w:rPr>
          <w:rFonts w:ascii="Times New Roman" w:cs="Times New Roman" w:eastAsia="Times New Roman" w:hAnsi="Times New Roman"/>
          <w:sz w:val="16"/>
          <w:szCs w:val="16"/>
          <w:color w:val="auto"/>
        </w:rPr>
        <w:t>as defined in the Faga Employment Agreement (as defined below)) upon the occurrence of, or within 13 months following, such change of control, and provided that Mr. Faga delivers a signed settlement and general release in favor of us and satisfies all conditions to make such release effective, then each of Mr. Faga’s then currently outstanding equity awards will vest in full.</w:t>
      </w:r>
    </w:p>
    <w:p>
      <w:pPr>
        <w:spacing w:after="0" w:line="76" w:lineRule="exact"/>
        <w:rPr>
          <w:sz w:val="20"/>
          <w:szCs w:val="20"/>
          <w:color w:val="auto"/>
        </w:rPr>
      </w:pPr>
    </w:p>
    <w:p>
      <w:pPr>
        <w:ind w:left="340" w:right="20" w:hanging="332"/>
        <w:spacing w:after="0" w:line="256" w:lineRule="auto"/>
        <w:tabs>
          <w:tab w:leader="none" w:pos="3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their underlying shares as follows: (i) the shares underlying the 10,000 options granted on February 10, 2021 have fully vested; (ii) of the 90,000 shares underlying the option granted on July 30, 2020, 1/4 vested on July 30, 2021, and 1/48 vest on the thirtieth day of each succeeding calendar month, starting August 30, 2021; (iii) of the 45,000 shares underlying one of the options granted on February 10, 2021, 1/4 vested on February 10, 2022, and 1/48 vest on the tenth day of each succeeding calendar month, starting March 10, 2022; (iv) of the 70,000 shares underlying the options granted on February 10, 2022, 1/4 vested on February 10, 2023, and 1/48 vest on the tenth day of each succeeding calendar month, starting March 10, 2023; (v) 15,000 shares underlying one of the options granted on December 15, 2022 vested upon achievement of certain performance conditions; (vi) 15,000 shares underlying one of the options granted on December 15, 2022 vest upon achievement of certain performance conditions; (vii) of the 67,070 shares underlying the option granted on January 6, 2023, 1/4 vested on January 6, 2024, and 1/48 vest on the sixth of each succeeding calendar month, starting February 6, 2024, (viii) of the shares underlying the 12,000 RSUs granted on September 14, 2022, 1/2 vested on September 14, 2023 and 1/2 vest on September 14, 2024 and (ix) of the of the shares underlying the 24,580 RSUs granted on January 6, 2023, 1/4 vested on January 6, 2024 and 1/4 will vest annually beginning on January 6, 2025. If we experience a change in control and Dr. Lizzul is terminated without “cause” or resigns for “good reason” (each as defined in the Lizzul Employment Agreement (as defined below)) upon the occurrence of, or within 13 months following, such change of control, and provided that Dr. Lizzul delivers a signed settlement and general release in favor of us and satisfies all conditions to make such release effective, then each of Dr. Lizzul’s then currently outstanding equity awards will vest in full.</w:t>
      </w:r>
    </w:p>
    <w:p>
      <w:pPr>
        <w:spacing w:after="0" w:line="94" w:lineRule="exact"/>
        <w:rPr>
          <w:rFonts w:ascii="Times New Roman" w:cs="Times New Roman" w:eastAsia="Times New Roman" w:hAnsi="Times New Roman"/>
          <w:sz w:val="16"/>
          <w:szCs w:val="16"/>
          <w:color w:val="auto"/>
        </w:rPr>
      </w:pPr>
    </w:p>
    <w:p>
      <w:pPr>
        <w:ind w:left="340" w:right="20" w:hanging="332"/>
        <w:spacing w:after="0" w:line="239" w:lineRule="auto"/>
        <w:tabs>
          <w:tab w:leader="none" w:pos="3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their underlying shares as follows: (i) the shares underlying the 40,000 options granted on August 6, 2018 have fully vested; (ii) shares underlying the 35,000 options granted on February 8, 2019 have fully vested; (iii) the shares underlying the 17,500 options granted on August 18, 2019 have fully vested; (iv) the shares underlying the 83,000 options granted on December 6, 2019 have fully vested; (v) of the 7,500 shares underlying the options granted on July 13, 2020, 1/4 vested on July 13, 2021, and 1/48 vest on the thirteenth day of each succeeding calendar month, starting August 13, 2021; (vi) 10,000 shares underlying the options granted on February 10, 2021 have fully vested; (vii) of the 45,000 shares underlying the options granted on February 10, 2021, 1/4 vested on February 10, 2022, and 1/48 vest on the tenth day of each succeeding calendar month, starting March 10, 2022; (viii) of the 70,000 shares underlying the options granted on February 10, 2022,1/4 vested on February 10, 2023, and 1/48 vest on the tenth day of each succeeding calendar month, starting March 10, 2023; (ix) 15,000 shares underlying one of the options granted on December 15, 2022, vested upon achievement of certain performance conditions; (x) 15,000 shares underlying one of the options granted on December 15, 2022, vest upon achievement of certain performance conditions; (xi) of the 60,530 shares underlying the option granted on January 6, 2023, 1/4 vested on January 6, 2024, and 1/48 vest on the sixth of each succeeding calendar month, starting February 6, 2024, (xii) of the shares underlying the 12,000 RSUs granted on September 14, 2022, 1/2 vested on September 14, 2023 and 1/2 vest on September 14, 2024, and (xiii) of the of the shares underlying the 22,180 RSUs granted on January 6, 2023, 1/4 vested on January 6, 2024 and 1/4 will vest annually beginning on January 6, 2025. If we experience a change in control and Mr. Loumeau is terminated without “cause” or resigns for “good reason” (each as defined in the Loumeau Employment Agreement (as defined below)) upon the occurrence of, or within 13 months following, such change of control, and provided that Mr. Loumeau delivers a signed settlement and general release in favor of us and satisfies all conditions to make such release effective, then each of Mr. Loumeau’s then currently outstanding equity awards will vest in full.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Pay-Versus-Performance</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Act and Item 402(v) of Regulation S-K, we are providing the following disclosure regarding executive compensation our NEOs our total shareholder return and our net income. Those rules require amounts included in the “compensation actually paid” columns of the table to be calculated according to a particular formula intended to demonstrate the relationship between executive compensation actually paid to a company’s NEOs and the company’s performance. The formula reflects a number of fair value adjustments to equity awards intended to show the change in value of those awards from one year to another. They do not reflect, however, the precise amounts actually earned by or paid to our executives during the years shown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65" w:right="339" w:bottom="1440" w:gutter="0" w:footer="0" w:header="0"/>
        </w:sectPr>
      </w:pPr>
    </w:p>
    <w:bookmarkStart w:id="44" w:name="page45"/>
    <w:bookmarkEnd w:id="44"/>
    <w:p>
      <w:pPr>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approves and administers our executive compensation program to align executive compensation with stockholder interests by linking pay to performance. Our overall compensation program includes a mix of short-term and long-term components through our annual incentive plan and equity awards.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Pay-Versus-Performance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100" w:type="dxa"/>
            <w:vAlign w:val="bottom"/>
            <w:vMerge w:val="restart"/>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 Initial</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jc w:val="center"/>
              <w:ind w:right="8"/>
              <w:spacing w:after="0" w:line="189" w:lineRule="exact"/>
              <w:rPr>
                <w:sz w:val="20"/>
                <w:szCs w:val="20"/>
                <w:color w:val="auto"/>
              </w:rPr>
            </w:pPr>
            <w:r>
              <w:rPr>
                <w:rFonts w:ascii="Times New Roman" w:cs="Times New Roman" w:eastAsia="Times New Roman" w:hAnsi="Times New Roman"/>
                <w:sz w:val="14"/>
                <w:szCs w:val="14"/>
                <w:b w:val="1"/>
                <w:bCs w:val="1"/>
                <w:color w:val="auto"/>
                <w:w w:val="89"/>
              </w:rPr>
              <w:t>Year(</w:t>
            </w:r>
            <w:r>
              <w:rPr>
                <w:rFonts w:ascii="Times New Roman" w:cs="Times New Roman" w:eastAsia="Times New Roman" w:hAnsi="Times New Roman"/>
                <w:sz w:val="18"/>
                <w:szCs w:val="18"/>
                <w:b w:val="1"/>
                <w:bCs w:val="1"/>
                <w:color w:val="auto"/>
                <w:w w:val="89"/>
                <w:vertAlign w:val="superscript"/>
              </w:rPr>
              <w:t>1)(2)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jc w:val="center"/>
              <w:spacing w:after="0" w:line="68" w:lineRule="exact"/>
              <w:rPr>
                <w:sz w:val="20"/>
                <w:szCs w:val="20"/>
                <w:color w:val="auto"/>
              </w:rPr>
            </w:pPr>
            <w:r>
              <w:rPr>
                <w:rFonts w:ascii="Times New Roman" w:cs="Times New Roman" w:eastAsia="Times New Roman" w:hAnsi="Times New Roman"/>
                <w:sz w:val="7"/>
                <w:szCs w:val="7"/>
                <w:b w:val="1"/>
                <w:bCs w:val="1"/>
                <w:color w:val="auto"/>
              </w:rPr>
              <w:t>Fixed $100</w:t>
            </w: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3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00" w:type="dxa"/>
            <w:vAlign w:val="bottom"/>
          </w:tcPr>
          <w:p>
            <w:pPr>
              <w:jc w:val="center"/>
              <w:ind w:left="105"/>
              <w:spacing w:after="0" w:line="122"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280" w:type="dxa"/>
            <w:vAlign w:val="bottom"/>
          </w:tcPr>
          <w:p>
            <w:pPr>
              <w:spacing w:after="0"/>
              <w:rPr>
                <w:sz w:val="10"/>
                <w:szCs w:val="10"/>
                <w:color w:val="auto"/>
              </w:rPr>
            </w:pPr>
          </w:p>
        </w:tc>
        <w:tc>
          <w:tcPr>
            <w:tcW w:w="1240" w:type="dxa"/>
            <w:vAlign w:val="bottom"/>
            <w:vMerge w:val="restart"/>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94"/>
        </w:trPr>
        <w:tc>
          <w:tcPr>
            <w:tcW w:w="720" w:type="dxa"/>
            <w:vAlign w:val="bottom"/>
          </w:tcPr>
          <w:p>
            <w:pPr>
              <w:jc w:val="center"/>
              <w:ind w:right="8"/>
              <w:spacing w:after="0" w:line="95" w:lineRule="exact"/>
              <w:rPr>
                <w:sz w:val="20"/>
                <w:szCs w:val="20"/>
                <w:color w:val="auto"/>
              </w:rPr>
            </w:pPr>
            <w:r>
              <w:rPr>
                <w:rFonts w:ascii="Times New Roman" w:cs="Times New Roman" w:eastAsia="Times New Roman" w:hAnsi="Times New Roman"/>
                <w:sz w:val="9"/>
                <w:szCs w:val="9"/>
                <w:b w:val="1"/>
                <w:bCs w:val="1"/>
                <w:color w:val="auto"/>
              </w:rPr>
              <w:t>(3)</w:t>
            </w:r>
          </w:p>
        </w:tc>
        <w:tc>
          <w:tcPr>
            <w:tcW w:w="11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Table Total for</w:t>
            </w:r>
          </w:p>
        </w:tc>
        <w:tc>
          <w:tcPr>
            <w:tcW w:w="1340" w:type="dxa"/>
            <w:vAlign w:val="bottom"/>
            <w:gridSpan w:val="3"/>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Actually Paid for</w:t>
            </w:r>
          </w:p>
        </w:tc>
        <w:tc>
          <w:tcPr>
            <w:tcW w:w="130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24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Actually Paid for</w:t>
            </w:r>
          </w:p>
        </w:tc>
        <w:tc>
          <w:tcPr>
            <w:tcW w:w="13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Table Total for</w:t>
            </w:r>
          </w:p>
        </w:tc>
        <w:tc>
          <w:tcPr>
            <w:tcW w:w="12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for</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on Total</w:t>
            </w:r>
          </w:p>
        </w:tc>
        <w:tc>
          <w:tcPr>
            <w:tcW w:w="2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20" w:type="dxa"/>
            <w:vAlign w:val="bottom"/>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1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1</w:t>
            </w:r>
          </w:p>
        </w:tc>
        <w:tc>
          <w:tcPr>
            <w:tcW w:w="1060" w:type="dxa"/>
            <w:vAlign w:val="bottom"/>
            <w:gridSpan w:val="2"/>
            <w:vMerge w:val="restart"/>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PEO 1 (Faga)</w:t>
            </w:r>
          </w:p>
        </w:tc>
        <w:tc>
          <w:tcPr>
            <w:tcW w:w="280" w:type="dxa"/>
            <w:vAlign w:val="bottom"/>
          </w:tcPr>
          <w:p>
            <w:pPr>
              <w:jc w:val="right"/>
              <w:ind w:right="111"/>
              <w:spacing w:after="0" w:line="54" w:lineRule="exact"/>
              <w:rPr>
                <w:sz w:val="20"/>
                <w:szCs w:val="20"/>
                <w:color w:val="auto"/>
              </w:rPr>
            </w:pPr>
            <w:r>
              <w:rPr>
                <w:rFonts w:ascii="Times New Roman" w:cs="Times New Roman" w:eastAsia="Times New Roman" w:hAnsi="Times New Roman"/>
                <w:sz w:val="6"/>
                <w:szCs w:val="6"/>
                <w:b w:val="1"/>
                <w:bCs w:val="1"/>
                <w:color w:val="auto"/>
              </w:rPr>
              <w:t>(5)</w:t>
            </w:r>
          </w:p>
        </w:tc>
        <w:tc>
          <w:tcPr>
            <w:tcW w:w="1300" w:type="dxa"/>
            <w:vAlign w:val="bottom"/>
            <w:gridSpan w:val="2"/>
            <w:vMerge w:val="continue"/>
          </w:tcPr>
          <w:p>
            <w:pPr>
              <w:spacing w:after="0"/>
              <w:rPr>
                <w:sz w:val="4"/>
                <w:szCs w:val="4"/>
                <w:color w:val="auto"/>
              </w:rPr>
            </w:pPr>
          </w:p>
        </w:tc>
        <w:tc>
          <w:tcPr>
            <w:tcW w:w="100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PEO 2 (Suria)</w:t>
            </w:r>
          </w:p>
        </w:tc>
        <w:tc>
          <w:tcPr>
            <w:tcW w:w="240" w:type="dxa"/>
            <w:vAlign w:val="bottom"/>
          </w:tcPr>
          <w:p>
            <w:pPr>
              <w:jc w:val="right"/>
              <w:ind w:right="91"/>
              <w:spacing w:after="0" w:line="54" w:lineRule="exact"/>
              <w:rPr>
                <w:sz w:val="20"/>
                <w:szCs w:val="20"/>
                <w:color w:val="auto"/>
              </w:rPr>
            </w:pPr>
            <w:r>
              <w:rPr>
                <w:rFonts w:ascii="Times New Roman" w:cs="Times New Roman" w:eastAsia="Times New Roman" w:hAnsi="Times New Roman"/>
                <w:sz w:val="6"/>
                <w:szCs w:val="6"/>
                <w:b w:val="1"/>
                <w:bCs w:val="1"/>
                <w:color w:val="auto"/>
              </w:rPr>
              <w:t>(5)</w:t>
            </w:r>
          </w:p>
        </w:tc>
        <w:tc>
          <w:tcPr>
            <w:tcW w:w="13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Non-PEO NEOs </w:t>
            </w:r>
            <w:r>
              <w:rPr>
                <w:rFonts w:ascii="Times New Roman" w:cs="Times New Roman" w:eastAsia="Times New Roman" w:hAnsi="Times New Roman"/>
                <w:sz w:val="17"/>
                <w:szCs w:val="17"/>
                <w:b w:val="1"/>
                <w:bCs w:val="1"/>
                <w:color w:val="auto"/>
                <w:vertAlign w:val="superscript"/>
              </w:rPr>
              <w:t>(3)</w:t>
            </w:r>
          </w:p>
        </w:tc>
        <w:tc>
          <w:tcPr>
            <w:tcW w:w="1280" w:type="dxa"/>
            <w:vAlign w:val="bottom"/>
            <w:gridSpan w:val="2"/>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restart"/>
          </w:tcPr>
          <w:p>
            <w:pPr>
              <w:jc w:val="right"/>
              <w:ind w:right="583"/>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94"/>
        </w:trPr>
        <w:tc>
          <w:tcPr>
            <w:tcW w:w="72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PEO 2 (Suria)</w:t>
            </w:r>
          </w:p>
        </w:tc>
        <w:tc>
          <w:tcPr>
            <w:tcW w:w="340" w:type="dxa"/>
            <w:vAlign w:val="bottom"/>
          </w:tcPr>
          <w:p>
            <w:pPr>
              <w:jc w:val="right"/>
              <w:ind w:right="53"/>
              <w:spacing w:after="0" w:line="95" w:lineRule="exact"/>
              <w:rPr>
                <w:sz w:val="20"/>
                <w:szCs w:val="20"/>
                <w:color w:val="auto"/>
              </w:rPr>
            </w:pPr>
            <w:r>
              <w:rPr>
                <w:rFonts w:ascii="Times New Roman" w:cs="Times New Roman" w:eastAsia="Times New Roman" w:hAnsi="Times New Roman"/>
                <w:sz w:val="9"/>
                <w:szCs w:val="9"/>
                <w:b w:val="1"/>
                <w:bCs w:val="1"/>
                <w:color w:val="auto"/>
              </w:rPr>
              <w:t>(2)(4)</w:t>
            </w: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80" w:type="dxa"/>
            <w:vAlign w:val="bottom"/>
          </w:tcPr>
          <w:p>
            <w:pPr>
              <w:jc w:val="right"/>
              <w:ind w:right="13"/>
              <w:spacing w:after="0" w:line="95" w:lineRule="exact"/>
              <w:rPr>
                <w:sz w:val="20"/>
                <w:szCs w:val="20"/>
                <w:color w:val="auto"/>
              </w:rPr>
            </w:pPr>
            <w:r>
              <w:rPr>
                <w:rFonts w:ascii="Times New Roman" w:cs="Times New Roman" w:eastAsia="Times New Roman" w:hAnsi="Times New Roman"/>
                <w:sz w:val="9"/>
                <w:szCs w:val="9"/>
                <w:b w:val="1"/>
                <w:bCs w:val="1"/>
                <w:color w:val="auto"/>
                <w:w w:val="94"/>
              </w:rPr>
              <w:t>(6)</w:t>
            </w:r>
          </w:p>
        </w:tc>
        <w:tc>
          <w:tcPr>
            <w:tcW w:w="13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680" w:type="dxa"/>
            <w:vAlign w:val="bottom"/>
            <w:vMerge w:val="restart"/>
          </w:tcPr>
          <w:p>
            <w:pPr>
              <w:ind w:left="260"/>
              <w:spacing w:after="0" w:line="122" w:lineRule="exact"/>
              <w:rPr>
                <w:sz w:val="20"/>
                <w:szCs w:val="20"/>
                <w:color w:val="auto"/>
              </w:rPr>
            </w:pPr>
            <w:r>
              <w:rPr>
                <w:rFonts w:ascii="Times New Roman" w:cs="Times New Roman" w:eastAsia="Times New Roman" w:hAnsi="Times New Roman"/>
                <w:sz w:val="14"/>
                <w:szCs w:val="14"/>
                <w:b w:val="1"/>
                <w:bCs w:val="1"/>
                <w:color w:val="auto"/>
              </w:rPr>
              <w:t>(Faga)</w:t>
            </w:r>
          </w:p>
        </w:tc>
        <w:tc>
          <w:tcPr>
            <w:tcW w:w="480" w:type="dxa"/>
            <w:vAlign w:val="bottom"/>
          </w:tcPr>
          <w:p>
            <w:pPr>
              <w:jc w:val="right"/>
              <w:ind w:right="205"/>
              <w:spacing w:after="0" w:line="68" w:lineRule="exact"/>
              <w:rPr>
                <w:sz w:val="20"/>
                <w:szCs w:val="20"/>
                <w:color w:val="auto"/>
              </w:rPr>
            </w:pPr>
            <w:r>
              <w:rPr>
                <w:rFonts w:ascii="Times New Roman" w:cs="Times New Roman" w:eastAsia="Times New Roman" w:hAnsi="Times New Roman"/>
                <w:sz w:val="7"/>
                <w:szCs w:val="7"/>
                <w:b w:val="1"/>
                <w:bCs w:val="1"/>
                <w:color w:val="auto"/>
              </w:rPr>
              <w:t>(1)(4)</w:t>
            </w:r>
          </w:p>
        </w:tc>
        <w:tc>
          <w:tcPr>
            <w:tcW w:w="380" w:type="dxa"/>
            <w:vAlign w:val="bottom"/>
          </w:tcPr>
          <w:p>
            <w:pPr>
              <w:spacing w:after="0"/>
              <w:rPr>
                <w:sz w:val="5"/>
                <w:szCs w:val="5"/>
                <w:color w:val="auto"/>
              </w:rPr>
            </w:pPr>
          </w:p>
        </w:tc>
        <w:tc>
          <w:tcPr>
            <w:tcW w:w="6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(c)</w:t>
            </w: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vMerge w:val="restart"/>
          </w:tcPr>
          <w:p>
            <w:pPr>
              <w:jc w:val="center"/>
              <w:ind w:left="167"/>
              <w:spacing w:after="0" w:line="122" w:lineRule="exact"/>
              <w:rPr>
                <w:sz w:val="20"/>
                <w:szCs w:val="20"/>
                <w:color w:val="auto"/>
              </w:rPr>
            </w:pPr>
            <w:r>
              <w:rPr>
                <w:rFonts w:ascii="Times New Roman" w:cs="Times New Roman" w:eastAsia="Times New Roman" w:hAnsi="Times New Roman"/>
                <w:sz w:val="14"/>
                <w:szCs w:val="14"/>
                <w:b w:val="1"/>
                <w:bCs w:val="1"/>
                <w:color w:val="auto"/>
              </w:rPr>
              <w:t>(c)</w:t>
            </w:r>
          </w:p>
        </w:tc>
        <w:tc>
          <w:tcPr>
            <w:tcW w:w="240" w:type="dxa"/>
            <w:vAlign w:val="bottom"/>
          </w:tcPr>
          <w:p>
            <w:pPr>
              <w:spacing w:after="0"/>
              <w:rPr>
                <w:sz w:val="5"/>
                <w:szCs w:val="5"/>
                <w:color w:val="auto"/>
              </w:rPr>
            </w:pPr>
          </w:p>
        </w:tc>
        <w:tc>
          <w:tcPr>
            <w:tcW w:w="1300" w:type="dxa"/>
            <w:vAlign w:val="bottom"/>
          </w:tcPr>
          <w:p>
            <w:pPr>
              <w:jc w:val="center"/>
              <w:spacing w:after="0" w:line="68" w:lineRule="exact"/>
              <w:rPr>
                <w:sz w:val="20"/>
                <w:szCs w:val="20"/>
                <w:color w:val="auto"/>
              </w:rPr>
            </w:pPr>
            <w:r>
              <w:rPr>
                <w:rFonts w:ascii="Times New Roman" w:cs="Times New Roman" w:eastAsia="Times New Roman" w:hAnsi="Times New Roman"/>
                <w:sz w:val="7"/>
                <w:szCs w:val="7"/>
                <w:b w:val="1"/>
                <w:bCs w:val="1"/>
                <w:color w:val="auto"/>
              </w:rPr>
              <w:t>(4)</w:t>
            </w: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jc w:val="center"/>
              <w:spacing w:after="0" w:line="68" w:lineRule="exact"/>
              <w:rPr>
                <w:sz w:val="20"/>
                <w:szCs w:val="20"/>
                <w:color w:val="auto"/>
              </w:rPr>
            </w:pPr>
            <w:r>
              <w:rPr>
                <w:rFonts w:ascii="Times New Roman" w:cs="Times New Roman" w:eastAsia="Times New Roman" w:hAnsi="Times New Roman"/>
                <w:sz w:val="7"/>
                <w:szCs w:val="7"/>
                <w:b w:val="1"/>
                <w:bCs w:val="1"/>
                <w:color w:val="auto"/>
              </w:rPr>
              <w:t>Shareholder Return</w:t>
            </w: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(b)</w:t>
            </w:r>
          </w:p>
        </w:tc>
        <w:tc>
          <w:tcPr>
            <w:tcW w:w="3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100" w:type="dxa"/>
            <w:vAlign w:val="bottom"/>
            <w:vMerge w:val="restart"/>
          </w:tcPr>
          <w:p>
            <w:pPr>
              <w:jc w:val="center"/>
              <w:ind w:left="105"/>
              <w:spacing w:after="0"/>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tcPr>
          <w:p>
            <w:pPr>
              <w:spacing w:after="0"/>
              <w:rPr>
                <w:sz w:val="4"/>
                <w:szCs w:val="4"/>
                <w:color w:val="auto"/>
              </w:rPr>
            </w:pPr>
          </w:p>
        </w:tc>
        <w:tc>
          <w:tcPr>
            <w:tcW w:w="1380" w:type="dxa"/>
            <w:vAlign w:val="bottom"/>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auto"/>
              </w:rPr>
              <w:t>(7)</w:t>
            </w: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680" w:type="dxa"/>
            <w:vAlign w:val="bottom"/>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rPr>
              <w:t>(b)</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6"/>
                <w:szCs w:val="16"/>
                <w:color w:val="auto"/>
              </w:rPr>
              <w:t>2023</w:t>
            </w:r>
          </w:p>
        </w:tc>
        <w:tc>
          <w:tcPr>
            <w:tcW w:w="11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$7,461,920</w:t>
            </w:r>
          </w:p>
        </w:tc>
        <w:tc>
          <w:tcPr>
            <w:tcW w:w="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6"/>
                <w:szCs w:val="16"/>
                <w:color w:val="auto"/>
              </w:rPr>
              <w:t>(1,737,869)</w:t>
            </w:r>
          </w:p>
        </w:tc>
        <w:tc>
          <w:tcPr>
            <w:tcW w:w="960" w:type="dxa"/>
            <w:vAlign w:val="bottom"/>
            <w:shd w:val="clear" w:color="auto" w:fill="CCEEFF"/>
          </w:tcPr>
          <w:p>
            <w:pPr>
              <w:jc w:val="center"/>
              <w:ind w:left="245"/>
              <w:spacing w:after="0"/>
              <w:rPr>
                <w:sz w:val="20"/>
                <w:szCs w:val="20"/>
                <w:color w:val="auto"/>
              </w:rPr>
            </w:pPr>
            <w:r>
              <w:rPr>
                <w:rFonts w:ascii="Times New Roman" w:cs="Times New Roman" w:eastAsia="Times New Roman" w:hAnsi="Times New Roman"/>
                <w:sz w:val="16"/>
                <w:szCs w:val="16"/>
                <w:color w:val="auto"/>
              </w:rPr>
              <w:t>N/A</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167"/>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$2,349,651</w:t>
            </w:r>
          </w:p>
        </w:tc>
        <w:tc>
          <w:tcPr>
            <w:tcW w:w="1100" w:type="dxa"/>
            <w:vAlign w:val="bottom"/>
            <w:shd w:val="clear" w:color="auto" w:fill="CCEEFF"/>
          </w:tcPr>
          <w:p>
            <w:pPr>
              <w:jc w:val="center"/>
              <w:ind w:left="105"/>
              <w:spacing w:after="0"/>
              <w:rPr>
                <w:sz w:val="20"/>
                <w:szCs w:val="20"/>
                <w:color w:val="auto"/>
              </w:rPr>
            </w:pPr>
            <w:r>
              <w:rPr>
                <w:rFonts w:ascii="Times New Roman" w:cs="Times New Roman" w:eastAsia="Times New Roman" w:hAnsi="Times New Roman"/>
                <w:sz w:val="16"/>
                <w:szCs w:val="16"/>
                <w:color w:val="auto"/>
                <w:w w:val="99"/>
              </w:rPr>
              <w:t>$544,250</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(163,619,000)</w:t>
            </w:r>
          </w:p>
        </w:tc>
        <w:tc>
          <w:tcPr>
            <w:tcW w:w="0" w:type="dxa"/>
            <w:vAlign w:val="bottom"/>
          </w:tcPr>
          <w:p>
            <w:pPr>
              <w:spacing w:after="0"/>
              <w:rPr>
                <w:sz w:val="1"/>
                <w:szCs w:val="1"/>
                <w:color w:val="auto"/>
              </w:rPr>
            </w:pPr>
          </w:p>
        </w:tc>
      </w:tr>
      <w:tr>
        <w:trPr>
          <w:trHeight w:val="213"/>
        </w:trPr>
        <w:tc>
          <w:tcPr>
            <w:tcW w:w="720" w:type="dxa"/>
            <w:vAlign w:val="bottom"/>
          </w:tcPr>
          <w:p>
            <w:pPr>
              <w:jc w:val="right"/>
              <w:ind w:right="288"/>
              <w:spacing w:after="0"/>
              <w:rPr>
                <w:sz w:val="20"/>
                <w:szCs w:val="20"/>
                <w:color w:val="auto"/>
              </w:rPr>
            </w:pPr>
            <w:r>
              <w:rPr>
                <w:rFonts w:ascii="Times New Roman" w:cs="Times New Roman" w:eastAsia="Times New Roman" w:hAnsi="Times New Roman"/>
                <w:sz w:val="16"/>
                <w:szCs w:val="16"/>
                <w:color w:val="auto"/>
              </w:rPr>
              <w:t>2022</w:t>
            </w:r>
          </w:p>
        </w:tc>
        <w:tc>
          <w:tcPr>
            <w:tcW w:w="116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$24,440,350</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11"/>
              <w:spacing w:after="0"/>
              <w:rPr>
                <w:sz w:val="20"/>
                <w:szCs w:val="20"/>
                <w:color w:val="auto"/>
              </w:rPr>
            </w:pPr>
            <w:r>
              <w:rPr>
                <w:rFonts w:ascii="Times New Roman" w:cs="Times New Roman" w:eastAsia="Times New Roman" w:hAnsi="Times New Roman"/>
                <w:sz w:val="16"/>
                <w:szCs w:val="16"/>
                <w:color w:val="auto"/>
                <w:w w:val="97"/>
              </w:rPr>
              <w:t>28,514,763</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$7,250,583</w:t>
            </w:r>
          </w:p>
        </w:tc>
        <w:tc>
          <w:tcPr>
            <w:tcW w:w="1000" w:type="dxa"/>
            <w:vAlign w:val="bottom"/>
          </w:tcPr>
          <w:p>
            <w:pPr>
              <w:jc w:val="center"/>
              <w:ind w:left="167"/>
              <w:spacing w:after="0"/>
              <w:rPr>
                <w:sz w:val="20"/>
                <w:szCs w:val="20"/>
                <w:color w:val="auto"/>
              </w:rPr>
            </w:pPr>
            <w:r>
              <w:rPr>
                <w:rFonts w:ascii="Times New Roman" w:cs="Times New Roman" w:eastAsia="Times New Roman" w:hAnsi="Times New Roman"/>
                <w:sz w:val="16"/>
                <w:szCs w:val="16"/>
                <w:color w:val="auto"/>
                <w:w w:val="99"/>
              </w:rPr>
              <w:t>$3,714,536</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$3,827,145</w:t>
            </w:r>
          </w:p>
        </w:tc>
        <w:tc>
          <w:tcPr>
            <w:tcW w:w="1100" w:type="dxa"/>
            <w:vAlign w:val="bottom"/>
          </w:tcPr>
          <w:p>
            <w:pPr>
              <w:jc w:val="center"/>
              <w:ind w:left="105"/>
              <w:spacing w:after="0"/>
              <w:rPr>
                <w:sz w:val="20"/>
                <w:szCs w:val="20"/>
                <w:color w:val="auto"/>
              </w:rPr>
            </w:pPr>
            <w:r>
              <w:rPr>
                <w:rFonts w:ascii="Times New Roman" w:cs="Times New Roman" w:eastAsia="Times New Roman" w:hAnsi="Times New Roman"/>
                <w:sz w:val="16"/>
                <w:szCs w:val="16"/>
                <w:color w:val="auto"/>
                <w:w w:val="99"/>
              </w:rPr>
              <w:t>$2,228,110</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$144</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(128,724,000)</w:t>
            </w:r>
          </w:p>
        </w:tc>
        <w:tc>
          <w:tcPr>
            <w:tcW w:w="0" w:type="dxa"/>
            <w:vAlign w:val="bottom"/>
          </w:tcPr>
          <w:p>
            <w:pPr>
              <w:spacing w:after="0"/>
              <w:rPr>
                <w:sz w:val="1"/>
                <w:szCs w:val="1"/>
                <w:color w:val="auto"/>
              </w:rPr>
            </w:pPr>
          </w:p>
        </w:tc>
      </w:tr>
      <w:tr>
        <w:trPr>
          <w:trHeight w:val="219"/>
        </w:trPr>
        <w:tc>
          <w:tcPr>
            <w:tcW w:w="7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6"/>
                <w:szCs w:val="16"/>
                <w:color w:val="auto"/>
              </w:rPr>
              <w:t>2021</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$4,602,601</w:t>
            </w:r>
          </w:p>
        </w:tc>
        <w:tc>
          <w:tcPr>
            <w:tcW w:w="1000" w:type="dxa"/>
            <w:vAlign w:val="bottom"/>
            <w:shd w:val="clear" w:color="auto" w:fill="CCEEFF"/>
          </w:tcPr>
          <w:p>
            <w:pPr>
              <w:jc w:val="center"/>
              <w:ind w:left="167"/>
              <w:spacing w:after="0"/>
              <w:rPr>
                <w:sz w:val="20"/>
                <w:szCs w:val="20"/>
                <w:color w:val="auto"/>
              </w:rPr>
            </w:pPr>
            <w:r>
              <w:rPr>
                <w:rFonts w:ascii="Times New Roman" w:cs="Times New Roman" w:eastAsia="Times New Roman" w:hAnsi="Times New Roman"/>
                <w:sz w:val="16"/>
                <w:szCs w:val="16"/>
                <w:color w:val="auto"/>
                <w:w w:val="99"/>
              </w:rPr>
              <w:t>$7,123,997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$2,096,581</w:t>
            </w:r>
          </w:p>
        </w:tc>
        <w:tc>
          <w:tcPr>
            <w:tcW w:w="1100" w:type="dxa"/>
            <w:vAlign w:val="bottom"/>
            <w:shd w:val="clear" w:color="auto" w:fill="CCEEFF"/>
          </w:tcPr>
          <w:p>
            <w:pPr>
              <w:jc w:val="center"/>
              <w:ind w:left="105"/>
              <w:spacing w:after="0"/>
              <w:rPr>
                <w:sz w:val="20"/>
                <w:szCs w:val="20"/>
                <w:color w:val="auto"/>
              </w:rPr>
            </w:pPr>
            <w:r>
              <w:rPr>
                <w:rFonts w:ascii="Times New Roman" w:cs="Times New Roman" w:eastAsia="Times New Roman" w:hAnsi="Times New Roman"/>
                <w:sz w:val="16"/>
                <w:szCs w:val="16"/>
                <w:color w:val="auto"/>
                <w:w w:val="99"/>
              </w:rPr>
              <w:t>$3,209,832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$162</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(57,796,000)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right="280" w:hanging="332"/>
        <w:spacing w:after="0" w:line="290" w:lineRule="auto"/>
        <w:tabs>
          <w:tab w:leader="none" w:pos="40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Faga (PEO 1) served as the interim principal executive officer from March 21, 2022 through December 31, 2022, and served as the interim principal executive officer from January 1, 2023 through August 2, 2023 and as principal executive officer from August 3, 2023 through December 31, 2023.</w:t>
      </w:r>
    </w:p>
    <w:p>
      <w:pPr>
        <w:ind w:left="340" w:right="380" w:hanging="332"/>
        <w:spacing w:after="0" w:line="290" w:lineRule="auto"/>
        <w:tabs>
          <w:tab w:leader="none" w:pos="40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Hamza Suria (PEO 2) served as the principal executive officer for the entirety of 2021 and served as the principal executive officer from January 1, 2022 through March 20, 2022.</w:t>
      </w:r>
    </w:p>
    <w:p>
      <w:pPr>
        <w:ind w:left="400" w:hanging="392"/>
        <w:spacing w:after="0"/>
        <w:tabs>
          <w:tab w:leader="none" w:pos="4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Paul Lizzul and Eric Loumeau served as the Company’s non-PEO NEOs for each of 2021, 2022, and 2023.</w:t>
      </w:r>
    </w:p>
    <w:p>
      <w:pPr>
        <w:spacing w:after="0" w:line="59" w:lineRule="exact"/>
        <w:rPr>
          <w:rFonts w:ascii="Times New Roman" w:cs="Times New Roman" w:eastAsia="Times New Roman" w:hAnsi="Times New Roman"/>
          <w:sz w:val="16"/>
          <w:szCs w:val="16"/>
          <w:color w:val="auto"/>
        </w:rPr>
      </w:pPr>
    </w:p>
    <w:p>
      <w:pPr>
        <w:ind w:left="340" w:right="80" w:hanging="332"/>
        <w:spacing w:after="0" w:line="261" w:lineRule="auto"/>
        <w:tabs>
          <w:tab w:leader="none" w:pos="40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in this column represent (i) the amount of total compensation reported in the Summary Compensation Table for the applicable fiscal year for each of our PEOs and (ii) the average dollar amounts of total compensation reported in the Summary Compensation Table for the applicable fiscal year for our others NEOs as a group (excluding our PEOs).</w:t>
      </w:r>
    </w:p>
    <w:p>
      <w:pPr>
        <w:spacing w:after="0" w:line="1" w:lineRule="exact"/>
        <w:rPr>
          <w:rFonts w:ascii="Times New Roman" w:cs="Times New Roman" w:eastAsia="Times New Roman" w:hAnsi="Times New Roman"/>
          <w:sz w:val="16"/>
          <w:szCs w:val="16"/>
          <w:color w:val="auto"/>
        </w:rPr>
      </w:pPr>
    </w:p>
    <w:p>
      <w:pPr>
        <w:ind w:left="660" w:right="60" w:hanging="324"/>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2022 Summary Compensation Table total for Mr. Faga includes fees paid for service as a non-employee director ($10,000 cash retainer and $200,618 stock option grant)</w:t>
      </w:r>
    </w:p>
    <w:p>
      <w:pPr>
        <w:spacing w:after="0" w:line="10" w:lineRule="exact"/>
        <w:rPr>
          <w:rFonts w:ascii="Times New Roman" w:cs="Times New Roman" w:eastAsia="Times New Roman" w:hAnsi="Times New Roman"/>
          <w:sz w:val="16"/>
          <w:szCs w:val="16"/>
          <w:color w:val="auto"/>
        </w:rPr>
      </w:pPr>
    </w:p>
    <w:p>
      <w:pPr>
        <w:ind w:left="340" w:right="40" w:hanging="332"/>
        <w:spacing w:after="0" w:line="259" w:lineRule="auto"/>
        <w:tabs>
          <w:tab w:leader="none" w:pos="40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in this column represent the average “compensation actually paid” to our PEOs as required by Item 402(v) of Regulation S-K, as set forth in the tables below. The fair value or change in fair value, as applicable, of equity awards in the “Compensation Actually Paid” columns has been estimated pursuant to the guidance in ASC Topic 718, and the valuation assumptions used to calculate fair values did not materially differ from those disclosed at the time of the grant. The dollar amounts reported in this column represent the “compensation actually paid” to PEO 1 and PEO 2, as computed in accordance with Item 402(v) of Regulation S-K, based on their total compensation reported in the Summary Compensation Table for the applicable fiscal years and adjusted as shown in the table below:</w:t>
      </w:r>
    </w:p>
    <w:p>
      <w:pPr>
        <w:sectPr>
          <w:pgSz w:w="11900" w:h="16838" w:orient="portrait"/>
          <w:cols w:equalWidth="0" w:num="1">
            <w:col w:w="11240"/>
          </w:cols>
          <w:pgMar w:left="320" w:top="1269" w:right="339" w:bottom="1440" w:gutter="0" w:footer="0" w:header="0"/>
        </w:sectPr>
      </w:pPr>
    </w:p>
    <w:p>
      <w:pPr>
        <w:ind w:left="340"/>
        <w:spacing w:after="0"/>
        <w:rPr>
          <w:sz w:val="20"/>
          <w:szCs w:val="20"/>
          <w:color w:val="auto"/>
        </w:rPr>
      </w:pPr>
      <w:r>
        <w:rPr>
          <w:rFonts w:ascii="Arial" w:cs="Arial" w:eastAsia="Arial" w:hAnsi="Arial"/>
          <w:sz w:val="22"/>
          <w:szCs w:val="22"/>
          <w:color w:val="auto"/>
        </w:rPr>
        <w:t xml:space="preserve">–  </w:t>
      </w:r>
      <w:r>
        <w:rPr>
          <w:rFonts w:ascii="Times New Roman" w:cs="Times New Roman" w:eastAsia="Times New Roman" w:hAnsi="Times New Roman"/>
          <w:sz w:val="16"/>
          <w:szCs w:val="16"/>
          <w:color w:val="auto"/>
        </w:rPr>
        <w:t>PEO1 (Faga)</w:t>
      </w:r>
    </w:p>
    <w:p>
      <w:pPr>
        <w:spacing w:after="0" w:line="14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PEO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87514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Summary Compensation Table - Total Compensation</w:t>
      </w:r>
    </w:p>
    <w:p>
      <w:pPr>
        <w:spacing w:after="0" w:line="32" w:lineRule="exact"/>
        <w:rPr>
          <w:sz w:val="20"/>
          <w:szCs w:val="20"/>
          <w:color w:val="auto"/>
        </w:rPr>
      </w:pPr>
    </w:p>
    <w:p>
      <w:pPr>
        <w:ind w:left="480" w:hanging="270"/>
        <w:spacing w:after="0"/>
        <w:tabs>
          <w:tab w:leader="none" w:pos="4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Fair Value of Stock Awards and Option Awards Granted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87514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12" w:lineRule="exact"/>
        <w:rPr>
          <w:sz w:val="20"/>
          <w:szCs w:val="20"/>
          <w:color w:val="auto"/>
        </w:rPr>
      </w:pPr>
    </w:p>
    <w:p>
      <w:pPr>
        <w:ind w:left="480" w:hanging="288"/>
        <w:spacing w:after="0"/>
        <w:tabs>
          <w:tab w:leader="none" w:pos="4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at Fiscal Year End of Outstanding and Unvested Stock Awards and Option Awards Granted in Fiscal Year</w:t>
      </w:r>
    </w:p>
    <w:p>
      <w:pPr>
        <w:spacing w:after="0" w:line="32" w:lineRule="exact"/>
        <w:rPr>
          <w:rFonts w:ascii="Times New Roman" w:cs="Times New Roman" w:eastAsia="Times New Roman" w:hAnsi="Times New Roman"/>
          <w:sz w:val="16"/>
          <w:szCs w:val="16"/>
          <w:color w:val="auto"/>
        </w:rPr>
      </w:pPr>
    </w:p>
    <w:p>
      <w:pPr>
        <w:ind w:left="480" w:hanging="288"/>
        <w:spacing w:after="0"/>
        <w:tabs>
          <w:tab w:leader="none" w:pos="4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Fair Value of Outstanding and Unvested Stock Awards and Option Awards Granted in Prior Fiscal Years</w:t>
      </w:r>
    </w:p>
    <w:p>
      <w:pPr>
        <w:spacing w:after="0" w:line="32" w:lineRule="exact"/>
        <w:rPr>
          <w:rFonts w:ascii="Times New Roman" w:cs="Times New Roman" w:eastAsia="Times New Roman" w:hAnsi="Times New Roman"/>
          <w:sz w:val="16"/>
          <w:szCs w:val="16"/>
          <w:color w:val="auto"/>
        </w:rPr>
      </w:pPr>
    </w:p>
    <w:p>
      <w:pPr>
        <w:ind w:left="480" w:hanging="288"/>
        <w:spacing w:after="0"/>
        <w:tabs>
          <w:tab w:leader="none" w:pos="4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at Vesting of Stock Awards and Option Awards Granted in Fiscal Year That Vested During Fiscal Year</w:t>
      </w:r>
    </w:p>
    <w:p>
      <w:pPr>
        <w:spacing w:after="0" w:line="32" w:lineRule="exact"/>
        <w:rPr>
          <w:rFonts w:ascii="Times New Roman" w:cs="Times New Roman" w:eastAsia="Times New Roman" w:hAnsi="Times New Roman"/>
          <w:sz w:val="16"/>
          <w:szCs w:val="16"/>
          <w:color w:val="auto"/>
        </w:rPr>
      </w:pPr>
    </w:p>
    <w:p>
      <w:pPr>
        <w:ind w:left="480" w:right="440" w:hanging="288"/>
        <w:spacing w:after="0" w:line="180" w:lineRule="auto"/>
        <w:tabs>
          <w:tab w:leader="none" w:pos="480" w:val="left"/>
        </w:tabs>
        <w:numPr>
          <w:ilvl w:val="0"/>
          <w:numId w:val="4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Change in Fair Value as of Vesting Date of Stock Awards and Option Awards Granted in Prior Fiscal Years For Which Applicable Vesting Conditions Were Satisfied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68751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514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687514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5145" cy="240030"/>
                    </a:xfrm>
                    <a:prstGeom prst="rect">
                      <a:avLst/>
                    </a:prstGeom>
                    <a:noFill/>
                  </pic:spPr>
                </pic:pic>
              </a:graphicData>
            </a:graphic>
          </wp:anchor>
        </w:drawing>
      </w:r>
    </w:p>
    <w:p>
      <w:pPr>
        <w:ind w:left="480" w:hanging="270"/>
        <w:spacing w:after="0" w:line="180" w:lineRule="auto"/>
        <w:tabs>
          <w:tab w:leader="none" w:pos="480" w:val="left"/>
        </w:tabs>
        <w:numPr>
          <w:ilvl w:val="0"/>
          <w:numId w:val="4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Fair Value as of Prior Fiscal Year End of Stock Awards and Option Awards Granted in Prior Fiscal Years That Failed to Meet Applicable Vesting Conditions During Fiscal Year</w:t>
      </w:r>
    </w:p>
    <w:p>
      <w:pPr>
        <w:spacing w:after="0" w:line="21" w:lineRule="exact"/>
        <w:rPr>
          <w:sz w:val="20"/>
          <w:szCs w:val="20"/>
          <w:color w:val="auto"/>
        </w:rPr>
      </w:pPr>
    </w:p>
    <w:p>
      <w:pPr>
        <w:ind w:left="480" w:hanging="288"/>
        <w:spacing w:after="0"/>
        <w:tabs>
          <w:tab w:leader="none" w:pos="4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87514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514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34" w:lineRule="exact"/>
        <w:rPr>
          <w:sz w:val="20"/>
          <w:szCs w:val="20"/>
          <w:color w:val="auto"/>
        </w:rPr>
      </w:pPr>
    </w:p>
    <w:p>
      <w:pPr>
        <w:ind w:left="617" w:hanging="617"/>
        <w:spacing w:after="0"/>
        <w:tabs>
          <w:tab w:leader="none" w:pos="61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7,461,920</w:t>
      </w:r>
    </w:p>
    <w:p>
      <w:pPr>
        <w:spacing w:after="0" w:line="32" w:lineRule="exact"/>
        <w:rPr>
          <w:sz w:val="20"/>
          <w:szCs w:val="20"/>
          <w:color w:val="auto"/>
        </w:rPr>
      </w:pPr>
    </w:p>
    <w:p>
      <w:pPr>
        <w:ind w:left="617" w:hanging="617"/>
        <w:spacing w:after="0"/>
        <w:tabs>
          <w:tab w:leader="none" w:pos="617"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4,945,942</w:t>
      </w:r>
    </w:p>
    <w:p>
      <w:pPr>
        <w:spacing w:after="0" w:line="32" w:lineRule="exact"/>
        <w:rPr>
          <w:sz w:val="20"/>
          <w:szCs w:val="20"/>
          <w:color w:val="auto"/>
        </w:rPr>
      </w:pPr>
    </w:p>
    <w:p>
      <w:pPr>
        <w:ind w:left="617" w:hanging="617"/>
        <w:spacing w:after="0"/>
        <w:tabs>
          <w:tab w:leader="none" w:pos="61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4,311,975</w:t>
      </w:r>
    </w:p>
    <w:p>
      <w:pPr>
        <w:spacing w:after="0" w:line="32" w:lineRule="exact"/>
        <w:rPr>
          <w:sz w:val="20"/>
          <w:szCs w:val="20"/>
          <w:color w:val="auto"/>
        </w:rPr>
      </w:pPr>
    </w:p>
    <w:p>
      <w:pPr>
        <w:ind w:left="557" w:hanging="557"/>
        <w:spacing w:after="0"/>
        <w:tabs>
          <w:tab w:leader="none" w:pos="557"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(8,520,061)</w:t>
      </w:r>
    </w:p>
    <w:p>
      <w:pPr>
        <w:spacing w:after="0" w:line="44" w:lineRule="exact"/>
        <w:rPr>
          <w:sz w:val="20"/>
          <w:szCs w:val="20"/>
          <w:color w:val="auto"/>
        </w:rPr>
      </w:pPr>
    </w:p>
    <w:p>
      <w:pPr>
        <w:ind w:left="1097" w:hanging="1097"/>
        <w:spacing w:after="0"/>
        <w:tabs>
          <w:tab w:leader="none" w:pos="109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left="757" w:hanging="757"/>
        <w:spacing w:after="0"/>
        <w:tabs>
          <w:tab w:leader="none" w:pos="757"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(45,761)</w:t>
      </w:r>
    </w:p>
    <w:p>
      <w:pPr>
        <w:spacing w:after="0" w:line="206" w:lineRule="exact"/>
        <w:rPr>
          <w:sz w:val="20"/>
          <w:szCs w:val="20"/>
          <w:color w:val="auto"/>
        </w:rPr>
      </w:pPr>
    </w:p>
    <w:p>
      <w:pPr>
        <w:ind w:left="1097" w:hanging="1097"/>
        <w:spacing w:after="0"/>
        <w:tabs>
          <w:tab w:leader="none" w:pos="109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ind w:left="557" w:hanging="557"/>
        <w:spacing w:after="0"/>
        <w:tabs>
          <w:tab w:leader="none" w:pos="557"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(1,737,869)</w:t>
      </w:r>
    </w:p>
    <w:p>
      <w:pPr>
        <w:spacing w:after="0" w:line="211" w:lineRule="exact"/>
        <w:rPr>
          <w:sz w:val="20"/>
          <w:szCs w:val="20"/>
          <w:color w:val="auto"/>
        </w:rPr>
      </w:pPr>
    </w:p>
    <w:p>
      <w:pPr>
        <w:sectPr>
          <w:pgSz w:w="11900" w:h="16838" w:orient="portrait"/>
          <w:cols w:equalWidth="0" w:num="2">
            <w:col w:w="9340" w:space="163"/>
            <w:col w:w="1737"/>
          </w:cols>
          <w:pgMar w:left="320" w:top="1269" w:right="339" w:bottom="1440" w:gutter="0" w:footer="0" w:header="0"/>
          <w:type w:val="continuous"/>
        </w:sectPr>
      </w:pPr>
    </w:p>
    <w:p>
      <w:pPr>
        <w:spacing w:after="0" w:line="332" w:lineRule="exact"/>
        <w:rPr>
          <w:sz w:val="20"/>
          <w:szCs w:val="20"/>
          <w:color w:val="auto"/>
        </w:rPr>
      </w:pPr>
    </w:p>
    <w:p>
      <w:pPr>
        <w:ind w:left="340" w:right="20" w:hanging="332"/>
        <w:spacing w:after="0" w:line="263" w:lineRule="auto"/>
        <w:tabs>
          <w:tab w:leader="none" w:pos="40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in this column represent the average “compensation actually paid” to our other NEOs as a group (excluding our PEOs as required by Item 402(v) of Regulation S-K, as set forth in the tables below). The fair value or change in fair value, as applicable, of equity awards in the “Compensation Actually Paid” columns has been estimated pursuant to the guidance in ASC Topic 718, and the valuation assumptions used to calculate fair values did not materially differ from those disclosed at the time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69" w:right="339" w:bottom="1440" w:gutter="0" w:footer="0" w:header="0"/>
          <w:type w:val="continuous"/>
        </w:sectPr>
      </w:pPr>
    </w:p>
    <w:bookmarkStart w:id="45" w:name="page46"/>
    <w:bookmarkEnd w:id="45"/>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NEO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87514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Summary Compensation Table - Total Compensation</w:t>
      </w:r>
    </w:p>
    <w:p>
      <w:pPr>
        <w:spacing w:after="0" w:line="32" w:lineRule="exact"/>
        <w:rPr>
          <w:sz w:val="20"/>
          <w:szCs w:val="20"/>
          <w:color w:val="auto"/>
        </w:rPr>
      </w:pPr>
    </w:p>
    <w:p>
      <w:pPr>
        <w:ind w:left="480" w:hanging="270"/>
        <w:spacing w:after="0"/>
        <w:tabs>
          <w:tab w:leader="none" w:pos="4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Fair Value of Stock Awards and Option Awards Granted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87514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12" w:lineRule="exact"/>
        <w:rPr>
          <w:sz w:val="20"/>
          <w:szCs w:val="20"/>
          <w:color w:val="auto"/>
        </w:rPr>
      </w:pPr>
    </w:p>
    <w:p>
      <w:pPr>
        <w:ind w:left="480" w:hanging="288"/>
        <w:spacing w:after="0"/>
        <w:tabs>
          <w:tab w:leader="none" w:pos="4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at Fiscal Year End of Outstanding and Unvested Stock Awards and Option Awards Granted in Fiscal Year</w:t>
      </w:r>
    </w:p>
    <w:p>
      <w:pPr>
        <w:spacing w:after="0" w:line="32" w:lineRule="exact"/>
        <w:rPr>
          <w:rFonts w:ascii="Times New Roman" w:cs="Times New Roman" w:eastAsia="Times New Roman" w:hAnsi="Times New Roman"/>
          <w:sz w:val="16"/>
          <w:szCs w:val="16"/>
          <w:color w:val="auto"/>
        </w:rPr>
      </w:pPr>
    </w:p>
    <w:p>
      <w:pPr>
        <w:ind w:left="480" w:hanging="288"/>
        <w:spacing w:after="0"/>
        <w:tabs>
          <w:tab w:leader="none" w:pos="4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Fair Value of Outstanding and Unvested Stock Awards and Option Awards Granted in Prior Fiscal Years</w:t>
      </w:r>
    </w:p>
    <w:p>
      <w:pPr>
        <w:spacing w:after="0" w:line="32" w:lineRule="exact"/>
        <w:rPr>
          <w:rFonts w:ascii="Times New Roman" w:cs="Times New Roman" w:eastAsia="Times New Roman" w:hAnsi="Times New Roman"/>
          <w:sz w:val="16"/>
          <w:szCs w:val="16"/>
          <w:color w:val="auto"/>
        </w:rPr>
      </w:pPr>
    </w:p>
    <w:p>
      <w:pPr>
        <w:ind w:left="480" w:hanging="288"/>
        <w:spacing w:after="0"/>
        <w:tabs>
          <w:tab w:leader="none" w:pos="4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at Vesting of Stock Awards and Option Awards Granted in Fiscal Year That Vested During Fiscal Year</w:t>
      </w:r>
    </w:p>
    <w:p>
      <w:pPr>
        <w:spacing w:after="0" w:line="32" w:lineRule="exact"/>
        <w:rPr>
          <w:rFonts w:ascii="Times New Roman" w:cs="Times New Roman" w:eastAsia="Times New Roman" w:hAnsi="Times New Roman"/>
          <w:sz w:val="16"/>
          <w:szCs w:val="16"/>
          <w:color w:val="auto"/>
        </w:rPr>
      </w:pPr>
    </w:p>
    <w:p>
      <w:pPr>
        <w:ind w:left="480" w:hanging="288"/>
        <w:spacing w:after="0" w:line="180" w:lineRule="auto"/>
        <w:tabs>
          <w:tab w:leader="none" w:pos="480" w:val="left"/>
        </w:tabs>
        <w:numPr>
          <w:ilvl w:val="0"/>
          <w:numId w:val="5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Change in Fair Value as of Vesting Date of Stock Awards and Option Awards Granted in Prior Fiscal Years For Which Applicable Vesting Conditions Were Satisfied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687514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514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687514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5145" cy="240030"/>
                    </a:xfrm>
                    <a:prstGeom prst="rect">
                      <a:avLst/>
                    </a:prstGeom>
                    <a:noFill/>
                  </pic:spPr>
                </pic:pic>
              </a:graphicData>
            </a:graphic>
          </wp:anchor>
        </w:drawing>
      </w:r>
    </w:p>
    <w:p>
      <w:pPr>
        <w:ind w:left="480" w:right="80" w:hanging="270"/>
        <w:spacing w:after="0" w:line="180" w:lineRule="auto"/>
        <w:tabs>
          <w:tab w:leader="none" w:pos="480" w:val="left"/>
        </w:tabs>
        <w:numPr>
          <w:ilvl w:val="0"/>
          <w:numId w:val="54"/>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Fair Value as of Prior Fiscal Year End of Stock Awards and Option Awards Granted in Prior Fiscal Years That Failed to Meet Applicable Vesting Conditions During Fiscal Year</w:t>
      </w:r>
    </w:p>
    <w:p>
      <w:pPr>
        <w:spacing w:after="0" w:line="21" w:lineRule="exact"/>
        <w:rPr>
          <w:sz w:val="20"/>
          <w:szCs w:val="20"/>
          <w:color w:val="auto"/>
        </w:rPr>
      </w:pPr>
    </w:p>
    <w:p>
      <w:pPr>
        <w:ind w:left="480" w:hanging="288"/>
        <w:spacing w:after="0"/>
        <w:tabs>
          <w:tab w:leader="none" w:pos="4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87514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7514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7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34" w:lineRule="exact"/>
        <w:rPr>
          <w:sz w:val="20"/>
          <w:szCs w:val="20"/>
          <w:color w:val="auto"/>
        </w:rPr>
      </w:pPr>
    </w:p>
    <w:p>
      <w:pPr>
        <w:ind w:left="550" w:hanging="550"/>
        <w:spacing w:after="0"/>
        <w:tabs>
          <w:tab w:leader="none" w:pos="55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2,349,651</w:t>
      </w:r>
    </w:p>
    <w:p>
      <w:pPr>
        <w:spacing w:after="0" w:line="32" w:lineRule="exact"/>
        <w:rPr>
          <w:sz w:val="20"/>
          <w:szCs w:val="20"/>
          <w:color w:val="auto"/>
        </w:rPr>
      </w:pPr>
    </w:p>
    <w:p>
      <w:pPr>
        <w:ind w:left="550" w:hanging="550"/>
        <w:spacing w:after="0"/>
        <w:tabs>
          <w:tab w:leader="none" w:pos="55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1,619,213</w:t>
      </w:r>
    </w:p>
    <w:p>
      <w:pPr>
        <w:spacing w:after="0" w:line="32" w:lineRule="exact"/>
        <w:rPr>
          <w:sz w:val="20"/>
          <w:szCs w:val="20"/>
          <w:color w:val="auto"/>
        </w:rPr>
      </w:pPr>
    </w:p>
    <w:p>
      <w:pPr>
        <w:ind w:left="550" w:hanging="550"/>
        <w:spacing w:after="0"/>
        <w:tabs>
          <w:tab w:leader="none" w:pos="55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1,411,672</w:t>
      </w:r>
    </w:p>
    <w:p>
      <w:pPr>
        <w:spacing w:after="0" w:line="32" w:lineRule="exact"/>
        <w:rPr>
          <w:sz w:val="20"/>
          <w:szCs w:val="20"/>
          <w:color w:val="auto"/>
        </w:rPr>
      </w:pPr>
    </w:p>
    <w:p>
      <w:pPr>
        <w:ind w:left="610" w:hanging="610"/>
        <w:spacing w:after="0"/>
        <w:tabs>
          <w:tab w:leader="none" w:pos="61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(747,518)</w:t>
      </w:r>
    </w:p>
    <w:p>
      <w:pPr>
        <w:spacing w:after="0" w:line="44" w:lineRule="exact"/>
        <w:rPr>
          <w:sz w:val="20"/>
          <w:szCs w:val="20"/>
          <w:color w:val="auto"/>
        </w:rPr>
      </w:pPr>
    </w:p>
    <w:p>
      <w:pPr>
        <w:ind w:left="1030" w:hanging="1030"/>
        <w:spacing w:after="0"/>
        <w:tabs>
          <w:tab w:leader="none" w:pos="103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left="610" w:hanging="610"/>
        <w:spacing w:after="0"/>
        <w:tabs>
          <w:tab w:leader="none" w:pos="61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(850,342)</w:t>
      </w:r>
    </w:p>
    <w:p>
      <w:pPr>
        <w:spacing w:after="0" w:line="206" w:lineRule="exact"/>
        <w:rPr>
          <w:sz w:val="20"/>
          <w:szCs w:val="20"/>
          <w:color w:val="auto"/>
        </w:rPr>
      </w:pPr>
    </w:p>
    <w:p>
      <w:pPr>
        <w:ind w:left="1030" w:hanging="1030"/>
        <w:spacing w:after="0"/>
        <w:tabs>
          <w:tab w:leader="none" w:pos="103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ind w:left="670" w:hanging="670"/>
        <w:spacing w:after="0"/>
        <w:tabs>
          <w:tab w:leader="none" w:pos="67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544,250</w:t>
      </w:r>
    </w:p>
    <w:p>
      <w:pPr>
        <w:spacing w:after="0" w:line="200" w:lineRule="exact"/>
        <w:rPr>
          <w:sz w:val="20"/>
          <w:szCs w:val="20"/>
          <w:color w:val="auto"/>
        </w:rPr>
      </w:pPr>
    </w:p>
    <w:p>
      <w:pPr>
        <w:sectPr>
          <w:pgSz w:w="11900" w:h="16838" w:orient="portrait"/>
          <w:cols w:equalWidth="0" w:num="2">
            <w:col w:w="9420" w:space="150"/>
            <w:col w:w="1670"/>
          </w:cols>
          <w:pgMar w:left="320" w:top="1204" w:right="339" w:bottom="1440" w:gutter="0" w:footer="0" w:header="0"/>
        </w:sectPr>
      </w:pPr>
    </w:p>
    <w:p>
      <w:pPr>
        <w:spacing w:after="0" w:line="8" w:lineRule="exact"/>
        <w:rPr>
          <w:sz w:val="20"/>
          <w:szCs w:val="20"/>
          <w:color w:val="auto"/>
        </w:rPr>
      </w:pPr>
    </w:p>
    <w:p>
      <w:pPr>
        <w:ind w:left="340" w:right="280" w:hanging="332"/>
        <w:spacing w:after="0" w:line="298" w:lineRule="auto"/>
        <w:tabs>
          <w:tab w:leader="none" w:pos="40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comparison assumes $100 was invested on December 31, 2020 in our common stock through the end of the listed year. Historic stock price performance is not necessarily indicative of future stock price performance.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Actually Paid and Company TSR</w:t>
      </w:r>
      <w:r>
        <w:rPr>
          <w:rFonts w:ascii="Times New Roman" w:cs="Times New Roman" w:eastAsia="Times New Roman" w:hAnsi="Times New Roman"/>
          <w:sz w:val="23"/>
          <w:szCs w:val="23"/>
          <w:i w:val="1"/>
          <w:iCs w:val="1"/>
          <w:color w:val="auto"/>
          <w:vertAlign w:val="superscript"/>
        </w:rPr>
        <w:t>1</w:t>
      </w:r>
    </w:p>
    <w:p>
      <w:pPr>
        <w:spacing w:after="0" w:line="13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Compensation Actually Paid to our PEOs in 2022 was non-standard as it reflects a new hire compensation package for Mr. Faga and partial year employment for Hamza Suria, our former President and Chief Executive Officer. This alignment of compensation actually paid for our NEOs with our cumulative TSR over the period presented is because a significant portion of the compensation actually paid to our executive team is comprised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57150</wp:posOffset>
            </wp:positionV>
            <wp:extent cx="5674995" cy="3531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499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8"/>
        <w:spacing w:after="0" w:line="280" w:lineRule="auto"/>
        <w:tabs>
          <w:tab w:leader="none" w:pos="16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04"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Actually Paid and Net Income</w:t>
      </w:r>
      <w:r>
        <w:rPr>
          <w:rFonts w:ascii="Times New Roman" w:cs="Times New Roman" w:eastAsia="Times New Roman" w:hAnsi="Times New Roman"/>
          <w:sz w:val="23"/>
          <w:szCs w:val="23"/>
          <w:i w:val="1"/>
          <w:iCs w:val="1"/>
          <w:color w:val="auto"/>
          <w:vertAlign w:val="superscript"/>
        </w:rPr>
        <w:t>1</w:t>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graph displays our compensation actually paid vs. Net Income. As a pre-commercial biotechnology company, we do not believe Net Income is yet a reasonable metric to measure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45720</wp:posOffset>
            </wp:positionV>
            <wp:extent cx="5674995" cy="5288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4995"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60" w:firstLine="8"/>
        <w:spacing w:after="0" w:line="263" w:lineRule="auto"/>
        <w:tabs>
          <w:tab w:leader="none" w:pos="16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is calculated by subtracting expenses, interest, and taxes from revenue. The dollar amounts reported represent the amount of Net Income reflected in the Company’s audited financial statements for the applicable year.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terms and conditions of employment of each of Mr. Faga, Dr. Lizzul and Mr. Loumeau are set forth in written employment agreements. Each of these arrangements was approved by our Board. We believed these employment agreements were necessary to induce these individuals to forego other employment opportunities or leave their current employer for the uncertainty of a demanding position in a new and unfamiliar organization.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Faga’s Employment Agreement</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an employment agreement, effective as of August 3, 2023 (the “Faga Employment Agreement”, which amends, restates and supersedes Mr. Faga’s previous employment agreement dated March 21, 2022). Mr. Faga serves as our</w:t>
      </w:r>
    </w:p>
    <w:p>
      <w:pPr>
        <w:sectPr>
          <w:pgSz w:w="11900" w:h="16838" w:orient="portrait"/>
          <w:cols w:equalWidth="0" w:num="1">
            <w:col w:w="11180"/>
          </w:cols>
          <w:pgMar w:left="320" w:top="133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80"/>
          </w:cols>
          <w:pgMar w:left="320" w:top="1331" w:right="399" w:bottom="1440" w:gutter="0" w:footer="0" w:header="0"/>
          <w:type w:val="continuous"/>
        </w:sectPr>
      </w:pPr>
    </w:p>
    <w:bookmarkStart w:id="47" w:name="page48"/>
    <w:bookmarkEnd w:id="47"/>
    <w:p>
      <w:pPr>
        <w:ind w:right="40"/>
        <w:spacing w:after="0" w:line="253" w:lineRule="auto"/>
        <w:rPr>
          <w:sz w:val="20"/>
          <w:szCs w:val="20"/>
          <w:color w:val="auto"/>
        </w:rPr>
      </w:pPr>
      <w:r>
        <w:rPr>
          <w:rFonts w:ascii="Times New Roman" w:cs="Times New Roman" w:eastAsia="Times New Roman" w:hAnsi="Times New Roman"/>
          <w:sz w:val="18"/>
          <w:szCs w:val="18"/>
          <w:color w:val="auto"/>
        </w:rPr>
        <w:t>President and Chief Executive Officer. The Faga Employment Agreement sets forth the principal terms and conditions of his employment as the Company’s President and Chief Executive Officer, including his initial annual base salary of $640,000 and an annual target cash bonus opportunity of up to 55% of his base salary, which bonus may be earned based upon the achievement of specified performance goals (and which will be prorated for his partial year of service). Mr. Faga also received a one-time cash transition bonus of $1,500,000 in connection with his transition from Interim President and Chief Executive Officer to President and Chief Executive Officer. In the event that Mr. Faga’s employment is terminated by the Company due to “cause” or by Mr. Faga without “good reason” prior to August 4, 2024, Mr. Faga will be required to re-pay the transition bonus and pro rata repayment if his employment is terminated with “cause” or he resigns without “good reason” after August 4, 2024 but before August 4, 2025. As of March 21, 2024, Mr. Faga ceased to be eligible for any payments related to excise taxes. Mr. Faga’s employment is at-will and may be terminated at any time, with or without cause. However, pursuant to the terms of the Faga Employment Agreement, Mr. Faga will be entitled to severance benefits upon a qualifying termination of employment as described in “—Potential Payments upon Termination or Change in Control”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Lizzul’s Employment Agreement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an employment agreement effective as of July 31, 2020, as amended and restated on April 25, 2022 (the “Lizzul Employment Agreement”), Dr. Lizzul serves as our Chief Medical Officer. The Lizzul Employment Agreement sets forth the principal terms and conditions of his employment, including his annual base salary, subject to periodic review and an annual target cash bonus opportunity of up to 40% of his base salary, which bonus may be earned based upon the achievement of specified performance goals. Dr. Lizzul’s employment is at will and may be terminated at any time, with or without cause. However, pursuant to the terms of the Lizzul Employment Agreement, Dr. Lizzul will be entitled to severance benefits upon a qualifying termination of employment as described in “—Potential Payments upon Termination or Change in Control”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Loumeau’s Employment Agreement</w:t>
      </w:r>
    </w:p>
    <w:p>
      <w:pPr>
        <w:spacing w:after="0" w:line="1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Pursuant to an employment agreement effective as of July 15, 2020, as amended on April 25, 2022 and as amended and restated on May 8, 2023 (the “Loumeau Employment Agreement”), Mr. Loumeau serves as our Chief Legal Officer. The Loumeau Employment Agreement set forth the principal terms and conditions of his employment, including his annual base salary, subject to periodic review and an annual target cash bonus opportunity of up to 40% of his base salary, which bonus may be earned based upon the achievement of specified performance goals. Mr. Loumeau’s employment is at will and may be terminated at any time, with or without cause. However, pursuant to the terms of the Loumeau Employment Agreement, Mr. Loumeau will be entitled to severance benefits upon a qualifying termination of employment as described in “—Potential Payments upon Termination or Change in Control”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 Faga Employment Agreement, the Lizzul Employment Agreement and the Loumeau Employment Agreement, in the event that Mr. Faga, Dr. Lizzul or Mr. Loumeau is terminated without “cause” or resigns for “good reason” (each as defined in the applicable employment agreement), provided that each delivers a signed settlement and general release in favor of us and satisfies all conditions to make such release effective, (i) in the case of Mr. Faga, he will receive continued severance payments for twelve months, and in the case of Dr. Lizzul and Mr. Loumeau, nine months, and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Faga, and nine months, in the case of Dr. Lizzul and Mr. Loumeau, or such earlier date on which coverage with a new employer is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Faga Employment Agreement and certain of his outstanding stock option agreements, if we experience a change of control and Mr. Faga is terminated without “cause” or resigns for “good reason” (each as defined in the Faga Employment Agreement) upon the occurrence of, or within 13 months following, such change of control, and provided that Mr. Faga delivers a signed settlement and general release in favor of us and satisfies all conditions to make such release effective, (i) Mr. Faga will receive the continued severance payments and COBRA premiums described above for eighteen months, (ii) a bonus payment equal to his target bonus payment for the year, (iii) a prorated bonus based on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16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achievement by the Company of goals for the year, and (iv) all of Mr. Faga’s outstanding equity awards, including his RSU award, will vest in full.</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each of the Lizzul Employment Agreement and the Loumeau Employment Agreement, if we experience a change in control and Dr. Lizzul or Mr. Loumeau, as applicable, is terminated without “cause” or resigns for “good reason” (each as defined in each of the Lizzul Employment Agreement and the Loumeau Employment Agreement) upon the occurrence of, or within 13 months following, such change of control, and provided that Dr. Lizzul or Mr. Loumeau, as applicable, delivers a signed settlement and general release in favor of us and satisfies all conditions to make such release effective, (i) Dr. Lizzul or Mr. Loumeau, as applicable, will receive the severance payments and COBRA premiums described above for twelve months, (ii) Dr. Lizzul’s or Mr. Loumeau’s, as applicable, currently outstanding equity awards, including his RSU awards, will vest in full, and (iii) Dr. Lizzul or Mr. Loumeau, as applicable, will receive the full payment of his target bonus and a prorated payment of his actual bonus for the applicable year of termination.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the Faga Employment Agreement (post-March 21, 2024), the Lizzul Employment Agreement and the Loumeau Employment Agreement contains a “better after-tax” provision, which provides that if any of the payments to Mr. Faga, Dr. Lizzul or Mr. Loumeau,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Benefits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health and welfare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September 2023, our Board adopted a clawback policy providing for the recovery of all or any portion of an executive officer’s incentive-based compensation in the event that we restate our financial results in compliance with the final rules promulgated by the SEC under Section 954 of the Dodd-Frank Act, Rule 10D-1 and Nasdaq. The policy applies to our Chief Executive Officer, Chief Financial Officer, and other executive officers, including each of our named executive officers. The recovery period extends up to three most recently-completed fiscal years prior to the date of the restatement, with respect to incentive-based compensation granted or received after the effective date of the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336"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2023 with respect to compensation plans under which shares of our common stock may be issued.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2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3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to be issued upon</w:t>
            </w:r>
          </w:p>
        </w:tc>
        <w:tc>
          <w:tcPr>
            <w:tcW w:w="2500" w:type="dxa"/>
            <w:vAlign w:val="bottom"/>
            <w:gridSpan w:val="2"/>
            <w:vMerge w:val="continue"/>
          </w:tcPr>
          <w:p>
            <w:pPr>
              <w:spacing w:after="0"/>
              <w:rPr>
                <w:sz w:val="14"/>
                <w:szCs w:val="14"/>
                <w:color w:val="auto"/>
              </w:rPr>
            </w:pPr>
          </w:p>
        </w:tc>
        <w:tc>
          <w:tcPr>
            <w:tcW w:w="3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for future issuance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exercise</w:t>
            </w:r>
          </w:p>
        </w:tc>
        <w:tc>
          <w:tcPr>
            <w:tcW w:w="25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3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of outstanding</w:t>
            </w:r>
          </w:p>
        </w:tc>
        <w:tc>
          <w:tcPr>
            <w:tcW w:w="25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outstanding</w:t>
            </w:r>
          </w:p>
        </w:tc>
        <w:tc>
          <w:tcPr>
            <w:tcW w:w="3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plans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options, vesting of restricted stock</w:t>
            </w:r>
          </w:p>
        </w:tc>
        <w:tc>
          <w:tcPr>
            <w:tcW w:w="25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options, restricted stock units,</w:t>
            </w:r>
          </w:p>
        </w:tc>
        <w:tc>
          <w:tcPr>
            <w:tcW w:w="3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6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units, warrants</w:t>
            </w:r>
          </w:p>
        </w:tc>
        <w:tc>
          <w:tcPr>
            <w:tcW w:w="25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warrants</w:t>
            </w:r>
          </w:p>
        </w:tc>
        <w:tc>
          <w:tcPr>
            <w:tcW w:w="3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reflected in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Borders>
              <w:bottom w:val="single" w:sz="8" w:color="auto"/>
            </w:tcBorders>
            <w:vMerge w:val="continue"/>
          </w:tcPr>
          <w:p>
            <w:pPr>
              <w:spacing w:after="0"/>
              <w:rPr>
                <w:sz w:val="18"/>
                <w:szCs w:val="18"/>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2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column(a))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Equity compensation plans approved by</w:t>
            </w:r>
          </w:p>
        </w:tc>
        <w:tc>
          <w:tcPr>
            <w:tcW w:w="2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5,707,187</w:t>
            </w:r>
          </w:p>
        </w:tc>
        <w:tc>
          <w:tcPr>
            <w:tcW w:w="100" w:type="dxa"/>
            <w:vAlign w:val="bottom"/>
            <w:shd w:val="clear" w:color="auto" w:fill="CCEEFF"/>
          </w:tcPr>
          <w:p>
            <w:pPr>
              <w:spacing w:after="0"/>
              <w:rPr>
                <w:sz w:val="14"/>
                <w:szCs w:val="14"/>
                <w:color w:val="auto"/>
              </w:rPr>
            </w:pPr>
          </w:p>
        </w:tc>
        <w:tc>
          <w:tcPr>
            <w:tcW w:w="2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4"/>
                <w:szCs w:val="14"/>
                <w:color w:val="auto"/>
              </w:rPr>
            </w:pPr>
          </w:p>
        </w:tc>
        <w:tc>
          <w:tcPr>
            <w:tcW w:w="3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security holders </w:t>
            </w:r>
            <w:r>
              <w:rPr>
                <w:rFonts w:ascii="Times New Roman" w:cs="Times New Roman" w:eastAsia="Times New Roman" w:hAnsi="Times New Roman"/>
                <w:sz w:val="21"/>
                <w:szCs w:val="21"/>
                <w:color w:val="auto"/>
                <w:vertAlign w:val="superscript"/>
              </w:rPr>
              <w:t>(1)(2)</w:t>
            </w:r>
          </w:p>
        </w:tc>
        <w:tc>
          <w:tcPr>
            <w:tcW w:w="2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 compensation plans not</w:t>
            </w:r>
          </w:p>
        </w:tc>
        <w:tc>
          <w:tcPr>
            <w:tcW w:w="2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approved by security holders</w:t>
            </w:r>
          </w:p>
        </w:tc>
        <w:tc>
          <w:tcPr>
            <w:tcW w:w="2680" w:type="dxa"/>
            <w:vAlign w:val="bottom"/>
            <w:gridSpan w:val="2"/>
            <w:vMerge w:val="continue"/>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5,707,187</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4,007,690</w:t>
            </w:r>
          </w:p>
        </w:tc>
        <w:tc>
          <w:tcPr>
            <w:tcW w:w="0" w:type="dxa"/>
            <w:vAlign w:val="bottom"/>
          </w:tcPr>
          <w:p>
            <w:pPr>
              <w:spacing w:after="0"/>
              <w:rPr>
                <w:sz w:val="1"/>
                <w:szCs w:val="1"/>
                <w:color w:val="auto"/>
              </w:rPr>
            </w:pPr>
          </w:p>
        </w:tc>
      </w:tr>
      <w:tr>
        <w:trPr>
          <w:trHeight w:val="297"/>
        </w:trPr>
        <w:tc>
          <w:tcPr>
            <w:tcW w:w="280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w w:val="99"/>
              </w:rPr>
              <w:t>________________________</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2006 Plan, 2017 Plan and our ESPP, and excludes purchase rights accruing under our ESPP.</w:t>
      </w:r>
    </w:p>
    <w:p>
      <w:pPr>
        <w:spacing w:after="0" w:line="112" w:lineRule="exact"/>
        <w:rPr>
          <w:rFonts w:ascii="Times New Roman" w:cs="Times New Roman" w:eastAsia="Times New Roman" w:hAnsi="Times New Roman"/>
          <w:sz w:val="16"/>
          <w:szCs w:val="16"/>
          <w:color w:val="auto"/>
        </w:rPr>
      </w:pPr>
    </w:p>
    <w:p>
      <w:pPr>
        <w:ind w:left="340" w:hanging="332"/>
        <w:spacing w:after="0" w:line="258" w:lineRule="auto"/>
        <w:tabs>
          <w:tab w:leader="none" w:pos="36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ceased issuing awards under our 2006 Plan as of the effective date of our 2017 Plan. Any shares of common stock that are subject to outstanding awards under the 2006 Plan that are issuable upon the exercise of stock options that expire or become unexercisable for any reason without having been exercised in full will generally be available for future grant and issuance under our 2017 Plan. In addition, the number of shares reserved for issuance under our 2017 Plan increased automatically by 4% on January 1, 2024 and, if the amendment and restatement of our 2017 Plan is not approved, will increase automatically on the first day of January of each of 2025 through 2027 by the number of shares equal to 4% of the total outstanding shares of our common stock as of the immediately preceding December 31 or a lower number approved by our Board or compensation committee. In addition, the number of shares reserved for issuance under our ESPP increased automatically by 1% on January 1, 2024 and will increase automatically on the first day of January of each of 2025 through 2027 by the number of shares equal to 1% of the total outstanding shares of our common stock as of the immediately preceding December 31 or a lower number approved by our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15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January 1, 2022 to the present, there have been no transactions, and there are currently no proposed transactions, in which the amount involved exceeds the lesser of (i) $120,000 or (ii) 1% of the average of the Company’s total assets at year-end for the prior two completed fiscal years and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One” and “Executive Compensation”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(i) $120,000 or (ii) 1% of the average of the Company’s total assets at year-end for the prior two completed fiscal years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400" w:right="359" w:bottom="1440" w:gutter="0" w:footer="0" w:header="0"/>
        </w:sectPr>
      </w:pPr>
    </w:p>
    <w:bookmarkStart w:id="51" w:name="page52"/>
    <w:bookmarkEnd w:id="51"/>
    <w:p>
      <w:pPr>
        <w:ind w:left="43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 Proposals to be Presented at the Next Annual Meeting</w:t>
      </w:r>
    </w:p>
    <w:p>
      <w:pPr>
        <w:spacing w:after="0" w:line="2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an Annual Meeting. </w:t>
      </w:r>
      <w:r>
        <w:rPr>
          <w:rFonts w:ascii="Times New Roman" w:cs="Times New Roman" w:eastAsia="Times New Roman" w:hAnsi="Times New Roman"/>
          <w:sz w:val="18"/>
          <w:szCs w:val="18"/>
          <w:color w:val="auto"/>
        </w:rPr>
        <w:t>Our Bylaws provide that for stockholder nominations to our Board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proposals to be considered at an annual meeting, the stockholder must give timely notice thereof in writing to the Corporate Secretary at AnaptysBio, Inc., 10770 Wateridge Circle, Suite 210, San Diego, CA 92121.</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be timely for our company’s 2025 annual meeting of stockholders, a stockholder’s notice must be delivered to or mailed and received by our Corporate Secretary at our principal executive offices not earlier than the close of business on February 27, 2025 and not later than the close of business on March 29, 2025. A stockholder’s notice to the Corporate Secretary must set 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spacing w:after="0" w:line="1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our Proxy Materials. </w:t>
      </w:r>
      <w:r>
        <w:rPr>
          <w:rFonts w:ascii="Times New Roman" w:cs="Times New Roman" w:eastAsia="Times New Roman" w:hAnsi="Times New Roman"/>
          <w:sz w:val="18"/>
          <w:szCs w:val="18"/>
          <w:color w:val="auto"/>
        </w:rPr>
        <w:t>Stockholder proposals submitted pursuant to Rule 14a-8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Exchange Act and intended to be presented at our 2025 annual meeting of stockholders must be received by us not later than December 25, 2024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will mail without charge, upon written request, a copy of our annual report on Form 10-K for the year ended December 31, 2023, including the financial statements and list of exhibits, and any exhibit specifically requested. Requests should be sent to:</w:t>
      </w:r>
    </w:p>
    <w:p>
      <w:pPr>
        <w:spacing w:after="0" w:line="1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ind w:left="4820"/>
        <w:spacing w:after="0" w:line="226" w:lineRule="auto"/>
        <w:rPr>
          <w:sz w:val="20"/>
          <w:szCs w:val="20"/>
          <w:color w:val="auto"/>
        </w:rPr>
      </w:pPr>
      <w:r>
        <w:rPr>
          <w:rFonts w:ascii="Times New Roman" w:cs="Times New Roman" w:eastAsia="Times New Roman" w:hAnsi="Times New Roman"/>
          <w:sz w:val="18"/>
          <w:szCs w:val="18"/>
          <w:b w:val="1"/>
          <w:bCs w:val="1"/>
          <w:color w:val="auto"/>
        </w:rPr>
        <w:t>San Diego, CA 92121</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Attn: Corporate Secretary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annual report on Form 10-K for the year ended December 31, 2023 is also available at http://ir.anaptysbio.com.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 Stockholders Sharing the Same Address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our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You may revoke your consent at any time by contacting your broker.</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Upon written or oral request, we will undertake to promptly deliver a separate copy of the Notice of Internet Availability and, if applicable, our annual report on Form 10-K and other proxy materials to any stockholder at a shared address to which a single copy of any of those documents was delivered. To receive a separate copy of the Notice of Internet Availability and, if applicable, annual report on Form 10-K and other proxy materials, you may write our Corporate Secretary at 10770 Wateridge Circle, Suite 210, San Diego, CA 92121, or call 1 (858) 362-6348.</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stockholders who share the same address and currently receive multiple copies of our Notice of Internet Availability or our annual report on Form 10-K and other proxy materials who wish to receive only one copy in the future can contact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1157" w:right="37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bank, broker or other holder of record to request information about “householding” or our Corporate Secretary at the address or telephone number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320" w:top="1161" w:right="619" w:bottom="1440" w:gutter="0" w:footer="0" w:header="0"/>
        </w:sectPr>
      </w:pPr>
    </w:p>
    <w:bookmarkStart w:id="53" w:name="page54"/>
    <w:bookmarkEnd w:id="5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does not presently intend to bring any other business before the meeting and, so far as is known to the Board,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1157" w:right="459" w:bottom="1440" w:gutter="0" w:footer="0" w:header="0"/>
        </w:sectPr>
      </w:pPr>
    </w:p>
    <w:bookmarkStart w:id="54" w:name="page55"/>
    <w:bookmarkEnd w:id="54"/>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2017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[___], 2024)</w:t>
      </w:r>
    </w:p>
    <w:p>
      <w:pPr>
        <w:spacing w:after="0" w:line="229" w:lineRule="exact"/>
        <w:rPr>
          <w:sz w:val="20"/>
          <w:szCs w:val="20"/>
          <w:color w:val="auto"/>
        </w:rPr>
      </w:pPr>
    </w:p>
    <w:p>
      <w:pPr>
        <w:jc w:val="both"/>
        <w:ind w:firstLine="8"/>
        <w:spacing w:after="0" w:line="237" w:lineRule="auto"/>
        <w:tabs>
          <w:tab w:leader="none" w:pos="648" w:val="left"/>
        </w:tabs>
        <w:numPr>
          <w:ilvl w:val="0"/>
          <w:numId w:val="6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color w:val="auto"/>
        </w:rPr>
        <w:t>. The purpose of this Plan is to provide incentives to attract, retain and motivate eligible persons whose present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potential contributions are important to the success of the Company, and any Parents and Subsidiaries that exist now or in the future, by offering them an opportunity to participate in the Company’s future performance through the grant of Awards. Capitalized terms not defined elsewhere in the text are defined in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20"/>
          <w:szCs w:val="20"/>
          <w:b w:val="1"/>
          <w:bCs w:val="1"/>
          <w:color w:val="010000"/>
        </w:rPr>
      </w:pPr>
    </w:p>
    <w:p>
      <w:pPr>
        <w:ind w:left="660" w:hanging="652"/>
        <w:spacing w:after="0"/>
        <w:tabs>
          <w:tab w:leader="none" w:pos="660" w:val="left"/>
        </w:tabs>
        <w:numPr>
          <w:ilvl w:val="0"/>
          <w:numId w:val="6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SHARES SUBJECT TO THE PLAN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b w:val="1"/>
          <w:bCs w:val="1"/>
          <w:color w:val="010000"/>
        </w:rPr>
        <w:t xml:space="preserve">2.1. </w:t>
      </w:r>
      <w:r>
        <w:rPr>
          <w:rFonts w:ascii="Times New Roman" w:cs="Times New Roman" w:eastAsia="Times New Roman" w:hAnsi="Times New Roman"/>
          <w:sz w:val="20"/>
          <w:szCs w:val="20"/>
          <w:u w:val="single" w:color="auto"/>
          <w:color w:val="000000"/>
        </w:rPr>
        <w:t>Number of Shares Available</w:t>
      </w:r>
      <w:r>
        <w:rPr>
          <w:rFonts w:ascii="Times New Roman" w:cs="Times New Roman" w:eastAsia="Times New Roman" w:hAnsi="Times New Roman"/>
          <w:sz w:val="20"/>
          <w:szCs w:val="20"/>
          <w:color w:val="000000"/>
        </w:rPr>
        <w:t>. Subject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Sections 2.5</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21</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and any other applicable provisions hereof, the total</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number of Shares reserved and available for grant and issuance pursuant to this Plan, as of the Effective Date, is 11,870,410 Shares, </w:t>
      </w:r>
      <w:r>
        <w:rPr>
          <w:rFonts w:ascii="Times New Roman" w:cs="Times New Roman" w:eastAsia="Times New Roman" w:hAnsi="Times New Roman"/>
          <w:sz w:val="20"/>
          <w:szCs w:val="20"/>
          <w:u w:val="single" w:color="auto"/>
          <w:color w:val="000000"/>
        </w:rPr>
        <w:t>plus</w:t>
      </w:r>
      <w:r>
        <w:rPr>
          <w:rFonts w:ascii="Times New Roman" w:cs="Times New Roman" w:eastAsia="Times New Roman" w:hAnsi="Times New Roman"/>
          <w:sz w:val="20"/>
          <w:szCs w:val="20"/>
          <w:color w:val="000000"/>
        </w:rPr>
        <w:t xml:space="preserve"> (a) 308,343 reserved shares not issued or subject to outstanding grants under the Company’s 2006 Equity Incentive Plan, as amended, (the “</w:t>
      </w:r>
      <w:r>
        <w:rPr>
          <w:rFonts w:ascii="Times New Roman" w:cs="Times New Roman" w:eastAsia="Times New Roman" w:hAnsi="Times New Roman"/>
          <w:sz w:val="20"/>
          <w:szCs w:val="20"/>
          <w:b w:val="1"/>
          <w:bCs w:val="1"/>
          <w:i w:val="1"/>
          <w:iCs w:val="1"/>
          <w:color w:val="000000"/>
        </w:rPr>
        <w:t>Prior Plan</w:t>
      </w:r>
      <w:r>
        <w:rPr>
          <w:rFonts w:ascii="Times New Roman" w:cs="Times New Roman" w:eastAsia="Times New Roman" w:hAnsi="Times New Roman"/>
          <w:sz w:val="20"/>
          <w:szCs w:val="20"/>
          <w:color w:val="000000"/>
        </w:rPr>
        <w:t>”) on the Original Effective Date (as defined below), (b) shares that are subject to stock options or other awards granted under the Prior Plan that cease to be subject to such stock options or other awards by forfeiture or otherwise after the Original Effective Date, (c) shares issued under the Prior Plan before or after the Original Effective Date pursuant to the exercise of stock options that are, after the Original Effective Date, forfeited, (d) shares issued under the Prior Plan that are repurchased by the Company at the original issue price and (e) shares that are subject to stock options or other awards under the Prior Plan that are used to pay the Exercise Price of an option or withheld to satisfy the tax withholding obligations related to any award.</w:t>
      </w:r>
    </w:p>
    <w:p>
      <w:pPr>
        <w:spacing w:after="0" w:line="17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b w:val="1"/>
          <w:bCs w:val="1"/>
          <w:color w:val="010000"/>
        </w:rPr>
        <w:t xml:space="preserve">2.2. </w:t>
      </w:r>
      <w:r>
        <w:rPr>
          <w:rFonts w:ascii="Times New Roman" w:cs="Times New Roman" w:eastAsia="Times New Roman" w:hAnsi="Times New Roman"/>
          <w:sz w:val="20"/>
          <w:szCs w:val="20"/>
          <w:u w:val="single" w:color="auto"/>
          <w:color w:val="000000"/>
        </w:rPr>
        <w:t>Lapsed, Returned Awards</w:t>
      </w:r>
      <w:r>
        <w:rPr>
          <w:rFonts w:ascii="Times New Roman" w:cs="Times New Roman" w:eastAsia="Times New Roman" w:hAnsi="Times New Roman"/>
          <w:sz w:val="20"/>
          <w:szCs w:val="20"/>
          <w:color w:val="000000"/>
        </w:rPr>
        <w:t>. Shares subject to Awards, and Shares issued under the Plan under any Award, will again be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w:t>
      </w:r>
      <w:r>
        <w:rPr>
          <w:rFonts w:ascii="Times New Roman" w:cs="Times New Roman" w:eastAsia="Times New Roman" w:hAnsi="Times New Roman"/>
          <w:sz w:val="20"/>
          <w:szCs w:val="20"/>
          <w:u w:val="single" w:color="auto"/>
          <w:color w:val="000000"/>
        </w:rPr>
        <w:t>Section 2.2</w:t>
      </w:r>
      <w:r>
        <w:rPr>
          <w:rFonts w:ascii="Times New Roman" w:cs="Times New Roman" w:eastAsia="Times New Roman" w:hAnsi="Times New Roman"/>
          <w:sz w:val="20"/>
          <w:szCs w:val="20"/>
          <w:color w:val="000000"/>
        </w:rPr>
        <w:t xml:space="preserve"> shall not include Shares subject to Awards that initially became available because of the substitution clause in </w:t>
      </w:r>
      <w:r>
        <w:rPr>
          <w:rFonts w:ascii="Times New Roman" w:cs="Times New Roman" w:eastAsia="Times New Roman" w:hAnsi="Times New Roman"/>
          <w:sz w:val="20"/>
          <w:szCs w:val="20"/>
          <w:u w:val="single" w:color="auto"/>
          <w:color w:val="000000"/>
        </w:rPr>
        <w:t>Section 21.2</w:t>
      </w:r>
      <w:r>
        <w:rPr>
          <w:rFonts w:ascii="Times New Roman" w:cs="Times New Roman" w:eastAsia="Times New Roman" w:hAnsi="Times New Roman"/>
          <w:sz w:val="20"/>
          <w:szCs w:val="20"/>
          <w:color w:val="000000"/>
        </w:rPr>
        <w:t xml:space="preserve"> hereof.</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2.3. </w:t>
      </w:r>
      <w:r>
        <w:rPr>
          <w:rFonts w:ascii="Times New Roman" w:cs="Times New Roman" w:eastAsia="Times New Roman" w:hAnsi="Times New Roman"/>
          <w:sz w:val="20"/>
          <w:szCs w:val="20"/>
          <w:u w:val="single" w:color="auto"/>
          <w:color w:val="000000"/>
        </w:rPr>
        <w:t>Minimum Share Reserve</w:t>
      </w:r>
      <w:r>
        <w:rPr>
          <w:rFonts w:ascii="Times New Roman" w:cs="Times New Roman" w:eastAsia="Times New Roman" w:hAnsi="Times New Roman"/>
          <w:sz w:val="20"/>
          <w:szCs w:val="20"/>
          <w:color w:val="000000"/>
        </w:rPr>
        <w:t>. At all times the Company shall reserve and keep available a sufficient number of Shares as shall be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required to satisfy the requirements of all outstanding Awards granted under this Plan.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2.4.</w:t>
      </w:r>
      <w:r>
        <w:rPr>
          <w:sz w:val="20"/>
          <w:szCs w:val="20"/>
          <w:color w:val="auto"/>
        </w:rPr>
        <w:tab/>
      </w:r>
      <w:r>
        <w:rPr>
          <w:rFonts w:ascii="Times New Roman" w:cs="Times New Roman" w:eastAsia="Times New Roman" w:hAnsi="Times New Roman"/>
          <w:sz w:val="19"/>
          <w:szCs w:val="19"/>
          <w:u w:val="single" w:color="auto"/>
          <w:color w:val="auto"/>
        </w:rPr>
        <w:t>Limitations</w:t>
      </w:r>
      <w:r>
        <w:rPr>
          <w:rFonts w:ascii="Times New Roman" w:cs="Times New Roman" w:eastAsia="Times New Roman" w:hAnsi="Times New Roman"/>
          <w:sz w:val="19"/>
          <w:szCs w:val="19"/>
          <w:color w:val="auto"/>
        </w:rPr>
        <w:t>. No more than Twelve Million (12,000,000) Shares shall be issued pursuant to the exercise of ISOs.</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2.5. </w:t>
      </w:r>
      <w:r>
        <w:rPr>
          <w:rFonts w:ascii="Times New Roman" w:cs="Times New Roman" w:eastAsia="Times New Roman" w:hAnsi="Times New Roman"/>
          <w:sz w:val="20"/>
          <w:szCs w:val="20"/>
          <w:u w:val="single" w:color="auto"/>
          <w:color w:val="000000"/>
        </w:rPr>
        <w:t>Adjustment of Shares</w:t>
      </w:r>
      <w:r>
        <w:rPr>
          <w:rFonts w:ascii="Times New Roman" w:cs="Times New Roman" w:eastAsia="Times New Roman" w:hAnsi="Times New Roman"/>
          <w:sz w:val="20"/>
          <w:szCs w:val="20"/>
          <w:color w:val="000000"/>
        </w:rPr>
        <w:t>. If the number of outstanding Shares is changed by a stock dividend, extraordinary dividends 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distributions (whether in cash, shares or other property, other than a regular cash dividend) recapitalization, stock split, reverse stock split, subdivision,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3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 xml:space="preserve">consolidation, reclassification, spin-off or similar change in the capital structure of the Company, without consideration, then (a) the number and class of Shares reserved for issuance and future grant under the Plan set forth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including shares reserved under sub-clauses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 xml:space="preserve">(a)-(e) of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(b) the Exercise Prices of and number and class of Shares subject to outstanding Options and SARs, (c) the number and class of Shares subject to other outstanding Awards, (d) the maximum number and class of Shares that may be issued as ISOs set forth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and (e) the number and class of Shares that may be granted as Awards to Non-Employee Directors as set forth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shall be proportionately adjusted, subject to any required action by the Board or the stockholders of the Company and in compliance with applicable securities laws; provided that fractions of a Share will not be issued.</w:t>
      </w:r>
    </w:p>
    <w:p>
      <w:pPr>
        <w:spacing w:after="0" w:line="173" w:lineRule="exact"/>
        <w:rPr>
          <w:sz w:val="20"/>
          <w:szCs w:val="20"/>
          <w:color w:val="auto"/>
        </w:rPr>
      </w:pPr>
    </w:p>
    <w:p>
      <w:pPr>
        <w:jc w:val="both"/>
        <w:ind w:firstLine="8"/>
        <w:spacing w:after="0" w:line="236" w:lineRule="auto"/>
        <w:tabs>
          <w:tab w:leader="none" w:pos="648" w:val="left"/>
        </w:tabs>
        <w:numPr>
          <w:ilvl w:val="0"/>
          <w:numId w:val="6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ELIGIBILITY</w:t>
      </w:r>
      <w:r>
        <w:rPr>
          <w:rFonts w:ascii="Times New Roman" w:cs="Times New Roman" w:eastAsia="Times New Roman" w:hAnsi="Times New Roman"/>
          <w:sz w:val="20"/>
          <w:szCs w:val="20"/>
          <w:color w:val="auto"/>
        </w:rPr>
        <w:t>. ISOs may be granted only to Employees. All other Awards may be granted to Employees, Consultants,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Non-Employee Directors;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Consultants, Directors and Non-Employee Directors render bona fide services not in connection with the offer and sale of securities in a capital-raising transaction.</w:t>
      </w:r>
    </w:p>
    <w:p>
      <w:pPr>
        <w:spacing w:after="0" w:line="172" w:lineRule="exact"/>
        <w:rPr>
          <w:rFonts w:ascii="Times New Roman" w:cs="Times New Roman" w:eastAsia="Times New Roman" w:hAnsi="Times New Roman"/>
          <w:sz w:val="20"/>
          <w:szCs w:val="20"/>
          <w:b w:val="1"/>
          <w:bCs w:val="1"/>
          <w:color w:val="010000"/>
        </w:rPr>
      </w:pPr>
    </w:p>
    <w:p>
      <w:pPr>
        <w:ind w:left="660" w:hanging="652"/>
        <w:spacing w:after="0"/>
        <w:tabs>
          <w:tab w:leader="none" w:pos="660" w:val="left"/>
        </w:tabs>
        <w:numPr>
          <w:ilvl w:val="0"/>
          <w:numId w:val="6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010000"/>
        </w:rPr>
        <w:t xml:space="preserve">4.1. </w:t>
      </w:r>
      <w:r>
        <w:rPr>
          <w:rFonts w:ascii="Times New Roman" w:cs="Times New Roman" w:eastAsia="Times New Roman" w:hAnsi="Times New Roman"/>
          <w:sz w:val="20"/>
          <w:szCs w:val="20"/>
          <w:u w:val="single" w:color="auto"/>
          <w:color w:val="000000"/>
        </w:rPr>
        <w:t>Committee Composition; Authority</w:t>
      </w:r>
      <w:r>
        <w:rPr>
          <w:rFonts w:ascii="Times New Roman" w:cs="Times New Roman" w:eastAsia="Times New Roman" w:hAnsi="Times New Roman"/>
          <w:sz w:val="20"/>
          <w:szCs w:val="20"/>
          <w:color w:val="000000"/>
        </w:rPr>
        <w:t>. This Plan will be administered by the Committee or by the Board acting as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Committee. Subject 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76" w:lineRule="exact"/>
        <w:rPr>
          <w:sz w:val="20"/>
          <w:szCs w:val="20"/>
          <w:color w:val="auto"/>
        </w:rPr>
      </w:pPr>
    </w:p>
    <w:p>
      <w:pPr>
        <w:ind w:left="1940" w:hanging="636"/>
        <w:spacing w:after="0"/>
        <w:tabs>
          <w:tab w:leader="none" w:pos="1940"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construe and interpret this Plan, any Award Agreement and any other agreement or document executed pursuant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Plan;</w:t>
      </w:r>
    </w:p>
    <w:p>
      <w:pPr>
        <w:spacing w:after="0" w:line="180" w:lineRule="exact"/>
        <w:rPr>
          <w:sz w:val="20"/>
          <w:szCs w:val="20"/>
          <w:color w:val="auto"/>
        </w:rPr>
      </w:pPr>
    </w:p>
    <w:p>
      <w:pPr>
        <w:ind w:left="1940" w:hanging="636"/>
        <w:spacing w:after="0"/>
        <w:tabs>
          <w:tab w:leader="none" w:pos="19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prescribe, amend and rescind rules and regulations relating to this Plan or any Award;</w:t>
      </w:r>
    </w:p>
    <w:p>
      <w:pPr>
        <w:spacing w:after="0" w:line="20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select persons to receive Awards;</w:t>
      </w:r>
    </w:p>
    <w:p>
      <w:pPr>
        <w:spacing w:after="0" w:line="202" w:lineRule="exact"/>
        <w:rPr>
          <w:rFonts w:ascii="Times New Roman" w:cs="Times New Roman" w:eastAsia="Times New Roman" w:hAnsi="Times New Roman"/>
          <w:sz w:val="20"/>
          <w:szCs w:val="20"/>
          <w:color w:val="010000"/>
        </w:rPr>
      </w:pPr>
    </w:p>
    <w:p>
      <w:pPr>
        <w:jc w:val="both"/>
        <w:ind w:firstLine="1304"/>
        <w:spacing w:after="0" w:line="234" w:lineRule="auto"/>
        <w:tabs>
          <w:tab w:leader="none" w:pos="1932"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74"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number of Shares or other consideration subject to Awards;</w:t>
      </w:r>
    </w:p>
    <w:p>
      <w:pPr>
        <w:spacing w:after="0" w:line="202" w:lineRule="exact"/>
        <w:rPr>
          <w:rFonts w:ascii="Times New Roman" w:cs="Times New Roman" w:eastAsia="Times New Roman" w:hAnsi="Times New Roman"/>
          <w:sz w:val="20"/>
          <w:szCs w:val="20"/>
          <w:color w:val="010000"/>
        </w:rPr>
      </w:pPr>
    </w:p>
    <w:p>
      <w:pPr>
        <w:ind w:firstLine="1304"/>
        <w:spacing w:after="0" w:line="255" w:lineRule="auto"/>
        <w:tabs>
          <w:tab w:leader="none" w:pos="1939"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59" w:lineRule="exact"/>
        <w:rPr>
          <w:rFonts w:ascii="Times New Roman" w:cs="Times New Roman" w:eastAsia="Times New Roman" w:hAnsi="Times New Roman"/>
          <w:sz w:val="20"/>
          <w:szCs w:val="20"/>
          <w:color w:val="010000"/>
        </w:rPr>
      </w:pPr>
    </w:p>
    <w:p>
      <w:pPr>
        <w:jc w:val="both"/>
        <w:ind w:firstLine="1304"/>
        <w:spacing w:after="0"/>
        <w:tabs>
          <w:tab w:leader="none" w:pos="1932"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whether Awards will be granted singly, in combination with, in tandem with, in replacement of, or as alternatives to, other Awards under this Plan or any other incentive or compensation plan of the Company or any Parent or Subsidiary of the Company;</w:t>
      </w:r>
    </w:p>
    <w:p>
      <w:pPr>
        <w:spacing w:after="0" w:line="174"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grant waivers of Plan or Award conditions;</w:t>
      </w:r>
    </w:p>
    <w:p>
      <w:pPr>
        <w:spacing w:after="0" w:line="20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vesting, exercisability and payment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31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010000"/>
        </w:rPr>
        <w:t>(j)</w:t>
      </w:r>
      <w:r>
        <w:rPr>
          <w:sz w:val="20"/>
          <w:szCs w:val="20"/>
          <w:color w:val="auto"/>
        </w:rPr>
        <w:tab/>
      </w:r>
      <w:r>
        <w:rPr>
          <w:rFonts w:ascii="Times New Roman" w:cs="Times New Roman" w:eastAsia="Times New Roman" w:hAnsi="Times New Roman"/>
          <w:sz w:val="20"/>
          <w:szCs w:val="20"/>
          <w:color w:val="auto"/>
        </w:rPr>
        <w:t>correct any defect, supply any omission or reconcile any inconsistency in this Plan, any Award or any Award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80" w:lineRule="exact"/>
        <w:rPr>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whether an Award has been earned;</w:t>
      </w:r>
    </w:p>
    <w:p>
      <w:pPr>
        <w:spacing w:after="0" w:line="20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terms and conditions of any, and to institute any Exchange Program;</w:t>
      </w:r>
    </w:p>
    <w:p>
      <w:pPr>
        <w:spacing w:after="0" w:line="20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reduce or waive any criteria with respect to Performance Factors;</w:t>
      </w:r>
    </w:p>
    <w:p>
      <w:pPr>
        <w:spacing w:after="0" w:line="202" w:lineRule="exact"/>
        <w:rPr>
          <w:rFonts w:ascii="Times New Roman" w:cs="Times New Roman" w:eastAsia="Times New Roman" w:hAnsi="Times New Roman"/>
          <w:sz w:val="20"/>
          <w:szCs w:val="20"/>
          <w:color w:val="010000"/>
        </w:rPr>
      </w:pPr>
    </w:p>
    <w:p>
      <w:pPr>
        <w:jc w:val="both"/>
        <w:ind w:firstLine="1304"/>
        <w:spacing w:after="0"/>
        <w:tabs>
          <w:tab w:leader="none" w:pos="1932"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adjust Performance Factors, including, but not limited to, to take into account changes in law and accounting or tax rules as the Committee deems necessary or appropriate to reflect the impact of extraordinary or unusual items, events or circumstances to avoid windfalls or inequitable results;</w:t>
      </w:r>
    </w:p>
    <w:p>
      <w:pPr>
        <w:spacing w:after="0" w:line="174"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adopt rules and/or procedures (including the adoption of any subplan under this Plan) relating to the operation and administration of the Plan to accommodate requirements of local law and procedures outside of the United States;</w:t>
      </w:r>
    </w:p>
    <w:p>
      <w:pPr>
        <w:spacing w:after="0" w:line="174"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make all other determinations necessary or advisable for the administration of this Plan;</w:t>
      </w:r>
    </w:p>
    <w:p>
      <w:pPr>
        <w:spacing w:after="0" w:line="202" w:lineRule="exact"/>
        <w:rPr>
          <w:rFonts w:ascii="Times New Roman" w:cs="Times New Roman" w:eastAsia="Times New Roman" w:hAnsi="Times New Roman"/>
          <w:sz w:val="20"/>
          <w:szCs w:val="20"/>
          <w:color w:val="010000"/>
        </w:rPr>
      </w:pPr>
    </w:p>
    <w:p>
      <w:pPr>
        <w:ind w:firstLine="1304"/>
        <w:spacing w:after="0" w:line="255" w:lineRule="auto"/>
        <w:tabs>
          <w:tab w:leader="none" w:pos="1932"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delegate any of the foregoing to a subcommittee or to one or more executive officers pursuant to a specific delegation as permitted by applicable law, including Section 157(c) of the Delaware General Corporation Law; and</w:t>
      </w:r>
    </w:p>
    <w:p>
      <w:pPr>
        <w:spacing w:after="0" w:line="15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exercise negative discretion on Performance Awards, reducing or eliminating the amount to be paid to</w:t>
      </w:r>
    </w:p>
    <w:p>
      <w:pPr>
        <w:spacing w:after="0" w:line="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Participants.</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b w:val="1"/>
          <w:bCs w:val="1"/>
          <w:color w:val="010000"/>
        </w:rPr>
        <w:t xml:space="preserve">4.2. </w:t>
      </w:r>
      <w:r>
        <w:rPr>
          <w:rFonts w:ascii="Times New Roman" w:cs="Times New Roman" w:eastAsia="Times New Roman" w:hAnsi="Times New Roman"/>
          <w:sz w:val="19"/>
          <w:szCs w:val="19"/>
          <w:u w:val="single" w:color="auto"/>
          <w:color w:val="000000"/>
        </w:rPr>
        <w:t>Committee Interpretation and Discretion</w:t>
      </w:r>
      <w:r>
        <w:rPr>
          <w:rFonts w:ascii="Times New Roman" w:cs="Times New Roman" w:eastAsia="Times New Roman" w:hAnsi="Times New Roman"/>
          <w:sz w:val="19"/>
          <w:szCs w:val="19"/>
          <w:color w:val="000000"/>
        </w:rPr>
        <w:t>. Any determination made by the Committee with respect to any Award shall be</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made in its 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a subcommittee or to one or more executive officers the authority to review and resolve disputes with respect to Awards held by Participants who are not Insiders, and such resolution shall be final and binding on the Company and the Participant.</w:t>
      </w:r>
    </w:p>
    <w:p>
      <w:pPr>
        <w:spacing w:after="0" w:line="167"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4.3. </w:t>
      </w:r>
      <w:r>
        <w:rPr>
          <w:rFonts w:ascii="Times New Roman" w:cs="Times New Roman" w:eastAsia="Times New Roman" w:hAnsi="Times New Roman"/>
          <w:sz w:val="20"/>
          <w:szCs w:val="20"/>
          <w:u w:val="single" w:color="auto"/>
          <w:color w:val="000000"/>
        </w:rPr>
        <w:t>Section 16 of the Exchange Act</w:t>
      </w:r>
      <w:r>
        <w:rPr>
          <w:rFonts w:ascii="Times New Roman" w:cs="Times New Roman" w:eastAsia="Times New Roman" w:hAnsi="Times New Roman"/>
          <w:sz w:val="20"/>
          <w:szCs w:val="20"/>
          <w:color w:val="000000"/>
        </w:rPr>
        <w:t>. Awards granted to Participants who are subject to Section 16 of the Exchange Act must be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approved by two or more “non-employee directors” (as defined in the regulations promulgated under Section 16 of the Exchange Act).</w:t>
      </w:r>
    </w:p>
    <w:p>
      <w:pPr>
        <w:spacing w:after="0" w:line="15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4.4. </w:t>
      </w:r>
      <w:r>
        <w:rPr>
          <w:rFonts w:ascii="Times New Roman" w:cs="Times New Roman" w:eastAsia="Times New Roman" w:hAnsi="Times New Roman"/>
          <w:sz w:val="20"/>
          <w:szCs w:val="20"/>
          <w:u w:val="single" w:color="auto"/>
          <w:color w:val="000000"/>
        </w:rPr>
        <w:t>Documentation</w:t>
      </w:r>
      <w:r>
        <w:rPr>
          <w:rFonts w:ascii="Times New Roman" w:cs="Times New Roman" w:eastAsia="Times New Roman" w:hAnsi="Times New Roman"/>
          <w:sz w:val="20"/>
          <w:szCs w:val="20"/>
          <w:color w:val="000000"/>
        </w:rPr>
        <w:t>. The Award Agreement for a given Award, the Plan and any other documents may be delivered to, and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accepted by, a Participant or any other person in any manner (including electronic distribution or posting) that meets applicable legal requirements.</w:t>
      </w:r>
    </w:p>
    <w:p>
      <w:pPr>
        <w:spacing w:after="0" w:line="16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010000"/>
        </w:rPr>
        <w:t xml:space="preserve">4.5. </w:t>
      </w:r>
      <w:r>
        <w:rPr>
          <w:rFonts w:ascii="Times New Roman" w:cs="Times New Roman" w:eastAsia="Times New Roman" w:hAnsi="Times New Roman"/>
          <w:sz w:val="20"/>
          <w:szCs w:val="20"/>
          <w:u w:val="single" w:color="auto"/>
          <w:color w:val="000000"/>
        </w:rPr>
        <w:t>Foreign Award Recipients</w:t>
      </w:r>
      <w:r>
        <w:rPr>
          <w:rFonts w:ascii="Times New Roman" w:cs="Times New Roman" w:eastAsia="Times New Roman" w:hAnsi="Times New Roman"/>
          <w:sz w:val="20"/>
          <w:szCs w:val="20"/>
          <w:color w:val="000000"/>
        </w:rPr>
        <w:t>. Notwithstanding any provision of the Plan to the contrary, in order to comply with the laws and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practices in other countries in which the Company and its Subsidiaries operate or have employees or other individuals eligible for Awards, the Committee, in its sole discretion, shall have the power and authority to: (a) determine which Subsidiaries and Affiliates shall be covered by the Plan; (b) determine which individuals outside the United States are eligible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31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and other terms and procedures, to the extent the Committee determines such actions to be necessary or advisable (and such subplans and/or modifications shall be attached to this Plan as appendices); provided, however, that no such subplans and/or modifications shall increase the Share limitations contained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hereof;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59" w:lineRule="exact"/>
        <w:rPr>
          <w:sz w:val="20"/>
          <w:szCs w:val="20"/>
          <w:color w:val="auto"/>
        </w:rPr>
      </w:pPr>
    </w:p>
    <w:p>
      <w:pPr>
        <w:jc w:val="both"/>
        <w:ind w:firstLine="8"/>
        <w:spacing w:after="0" w:line="235" w:lineRule="auto"/>
        <w:tabs>
          <w:tab w:leader="none" w:pos="648" w:val="left"/>
        </w:tabs>
        <w:numPr>
          <w:ilvl w:val="0"/>
          <w:numId w:val="7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OPTIONS</w:t>
      </w:r>
      <w:r>
        <w:rPr>
          <w:rFonts w:ascii="Times New Roman" w:cs="Times New Roman" w:eastAsia="Times New Roman" w:hAnsi="Times New Roman"/>
          <w:sz w:val="20"/>
          <w:szCs w:val="20"/>
          <w:color w:val="auto"/>
        </w:rPr>
        <w:t>. An Option is the right but not the obligation to purchase a Share, subject to certain conditions, if applicable.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may grant Options to eligible Employees, Consultants and Directors and will determine whether such Options will be Incentive Stock Options within the meaning of the Code (“</w:t>
      </w:r>
      <w:r>
        <w:rPr>
          <w:rFonts w:ascii="Times New Roman" w:cs="Times New Roman" w:eastAsia="Times New Roman" w:hAnsi="Times New Roman"/>
          <w:sz w:val="20"/>
          <w:szCs w:val="20"/>
          <w:b w:val="1"/>
          <w:bCs w:val="1"/>
          <w:i w:val="1"/>
          <w:iCs w:val="1"/>
          <w:color w:val="auto"/>
        </w:rPr>
        <w:t>ISOs</w:t>
      </w:r>
      <w:r>
        <w:rPr>
          <w:rFonts w:ascii="Times New Roman" w:cs="Times New Roman" w:eastAsia="Times New Roman" w:hAnsi="Times New Roman"/>
          <w:sz w:val="20"/>
          <w:szCs w:val="20"/>
          <w:color w:val="auto"/>
        </w:rPr>
        <w:t>”) or Nonqualified Stock Options (“</w:t>
      </w:r>
      <w:r>
        <w:rPr>
          <w:rFonts w:ascii="Times New Roman" w:cs="Times New Roman" w:eastAsia="Times New Roman" w:hAnsi="Times New Roman"/>
          <w:sz w:val="20"/>
          <w:szCs w:val="20"/>
          <w:b w:val="1"/>
          <w:bCs w:val="1"/>
          <w:i w:val="1"/>
          <w:iCs w:val="1"/>
          <w:color w:val="auto"/>
        </w:rPr>
        <w:t>NSOs</w:t>
      </w:r>
      <w:r>
        <w:rPr>
          <w:rFonts w:ascii="Times New Roman" w:cs="Times New Roman" w:eastAsia="Times New Roman" w:hAnsi="Times New Roman"/>
          <w:sz w:val="20"/>
          <w:szCs w:val="20"/>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7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010000"/>
        </w:rPr>
        <w:t xml:space="preserve">5.1. </w:t>
      </w:r>
      <w:r>
        <w:rPr>
          <w:rFonts w:ascii="Times New Roman" w:cs="Times New Roman" w:eastAsia="Times New Roman" w:hAnsi="Times New Roman"/>
          <w:sz w:val="20"/>
          <w:szCs w:val="20"/>
          <w:u w:val="single" w:color="auto"/>
          <w:color w:val="000000"/>
        </w:rPr>
        <w:t>Option Grant</w:t>
      </w:r>
      <w:r>
        <w:rPr>
          <w:rFonts w:ascii="Times New Roman" w:cs="Times New Roman" w:eastAsia="Times New Roman" w:hAnsi="Times New Roman"/>
          <w:sz w:val="20"/>
          <w:szCs w:val="20"/>
          <w:color w:val="000000"/>
        </w:rPr>
        <w:t>. Each Option granted under this Plan will identify the Option as an ISO or an NSO. An Option may be, but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5.2. </w:t>
      </w:r>
      <w:r>
        <w:rPr>
          <w:rFonts w:ascii="Times New Roman" w:cs="Times New Roman" w:eastAsia="Times New Roman" w:hAnsi="Times New Roman"/>
          <w:sz w:val="20"/>
          <w:szCs w:val="20"/>
          <w:u w:val="single" w:color="auto"/>
          <w:color w:val="000000"/>
        </w:rPr>
        <w:t>Date of Grant</w:t>
      </w:r>
      <w:r>
        <w:rPr>
          <w:rFonts w:ascii="Times New Roman" w:cs="Times New Roman" w:eastAsia="Times New Roman" w:hAnsi="Times New Roman"/>
          <w:sz w:val="20"/>
          <w:szCs w:val="20"/>
          <w:color w:val="000000"/>
        </w:rPr>
        <w:t>. The date of grant of an Option will be the date on which the Committee makes the determination to grant such</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Option, or a specified future date. The Award Agreement and a copy of this Plan will be delivered to the Participant within a reasonable time after the granting of the Option.</w:t>
      </w:r>
    </w:p>
    <w:p>
      <w:pPr>
        <w:spacing w:after="0" w:line="16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010000"/>
        </w:rPr>
        <w:t xml:space="preserve">5.3. </w:t>
      </w:r>
      <w:r>
        <w:rPr>
          <w:rFonts w:ascii="Times New Roman" w:cs="Times New Roman" w:eastAsia="Times New Roman" w:hAnsi="Times New Roman"/>
          <w:sz w:val="20"/>
          <w:szCs w:val="20"/>
          <w:u w:val="single" w:color="auto"/>
          <w:color w:val="000000"/>
        </w:rPr>
        <w:t>Exercise Period</w:t>
      </w:r>
      <w:r>
        <w:rPr>
          <w:rFonts w:ascii="Times New Roman" w:cs="Times New Roman" w:eastAsia="Times New Roman" w:hAnsi="Times New Roman"/>
          <w:sz w:val="20"/>
          <w:szCs w:val="20"/>
          <w:color w:val="000000"/>
        </w:rPr>
        <w:t>. Options may be vested and exercisable within the times or upon the conditions as set forth in the Award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Agreement governing such Option;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xml:space="preserve">, that no Option will be exercisable after the expiration of ten (10) years from the date the Option is granted; and </w:t>
      </w:r>
      <w:r>
        <w:rPr>
          <w:rFonts w:ascii="Times New Roman" w:cs="Times New Roman" w:eastAsia="Times New Roman" w:hAnsi="Times New Roman"/>
          <w:sz w:val="20"/>
          <w:szCs w:val="20"/>
          <w:u w:val="single" w:color="auto"/>
          <w:color w:val="000000"/>
        </w:rPr>
        <w:t>provided further</w:t>
      </w:r>
      <w:r>
        <w:rPr>
          <w:rFonts w:ascii="Times New Roman" w:cs="Times New Roman" w:eastAsia="Times New Roman" w:hAnsi="Times New Roman"/>
          <w:sz w:val="20"/>
          <w:szCs w:val="20"/>
          <w:color w:val="000000"/>
        </w:rPr>
        <w:t xml:space="preserve"> that no ISO granted to a person who, at the time the ISO is granted, directly or by attribution owns more than ten percent (10%) of the total combined voting power of all classes of stock of the Company or of any Parent or Subsidiary of the Company (“</w:t>
      </w:r>
      <w:r>
        <w:rPr>
          <w:rFonts w:ascii="Times New Roman" w:cs="Times New Roman" w:eastAsia="Times New Roman" w:hAnsi="Times New Roman"/>
          <w:sz w:val="20"/>
          <w:szCs w:val="20"/>
          <w:b w:val="1"/>
          <w:bCs w:val="1"/>
          <w:i w:val="1"/>
          <w:iCs w:val="1"/>
          <w:color w:val="000000"/>
        </w:rPr>
        <w:t>Ten Percent Stockholder</w:t>
      </w:r>
      <w:r>
        <w:rPr>
          <w:rFonts w:ascii="Times New Roman" w:cs="Times New Roman" w:eastAsia="Times New Roman" w:hAnsi="Times New Roman"/>
          <w:sz w:val="20"/>
          <w:szCs w:val="20"/>
          <w:color w:val="000000"/>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5.4.</w:t>
      </w:r>
      <w:r>
        <w:rPr>
          <w:sz w:val="20"/>
          <w:szCs w:val="20"/>
          <w:color w:val="auto"/>
        </w:rPr>
        <w:tab/>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Exercise Price of an Option will be determined by the Committee when the Option is granted; provided</w:t>
      </w:r>
    </w:p>
    <w:p>
      <w:pPr>
        <w:spacing w:after="0" w:line="237" w:lineRule="auto"/>
        <w:rPr>
          <w:sz w:val="20"/>
          <w:szCs w:val="20"/>
          <w:color w:val="auto"/>
        </w:rPr>
      </w:pPr>
      <w:r>
        <w:rPr>
          <w:rFonts w:ascii="Times New Roman" w:cs="Times New Roman" w:eastAsia="Times New Roman" w:hAnsi="Times New Roman"/>
          <w:sz w:val="20"/>
          <w:szCs w:val="20"/>
          <w:color w:val="auto"/>
        </w:rPr>
        <w:t>that: (a) the Exercise Price of an Option will be not less than one hundred percent (100%) of the Fair Market Value of the Shares on the date</w:t>
      </w:r>
    </w:p>
    <w:p>
      <w:pPr>
        <w:spacing w:after="0" w:line="226" w:lineRule="auto"/>
        <w:rPr>
          <w:sz w:val="20"/>
          <w:szCs w:val="20"/>
          <w:color w:val="auto"/>
        </w:rPr>
      </w:pPr>
      <w:r>
        <w:rPr>
          <w:rFonts w:ascii="Times New Roman" w:cs="Times New Roman" w:eastAsia="Times New Roman" w:hAnsi="Times New Roman"/>
          <w:sz w:val="20"/>
          <w:szCs w:val="20"/>
          <w:color w:val="auto"/>
        </w:rPr>
        <w:t>of grant and (b) the Exercise Price of any ISO granted to a Ten Percent Stockholder will not be less than one hundred ten percent (110%) of</w:t>
      </w:r>
    </w:p>
    <w:p>
      <w:pPr>
        <w:spacing w:after="0" w:line="225" w:lineRule="auto"/>
        <w:rPr>
          <w:sz w:val="20"/>
          <w:szCs w:val="20"/>
          <w:color w:val="auto"/>
        </w:rPr>
      </w:pPr>
      <w:r>
        <w:rPr>
          <w:rFonts w:ascii="Times New Roman" w:cs="Times New Roman" w:eastAsia="Times New Roman" w:hAnsi="Times New Roman"/>
          <w:sz w:val="20"/>
          <w:szCs w:val="20"/>
          <w:color w:val="auto"/>
        </w:rPr>
        <w:t xml:space="preserve">the Fair Market Value of the Shares on the date of grant. Payment for the Shares purchased may be made in accordance with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Award Agreement and in accordance with any procedures established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307"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b w:val="1"/>
          <w:bCs w:val="1"/>
          <w:color w:val="010000"/>
        </w:rPr>
        <w:t xml:space="preserve">5.5. </w:t>
      </w:r>
      <w:r>
        <w:rPr>
          <w:rFonts w:ascii="Times New Roman" w:cs="Times New Roman" w:eastAsia="Times New Roman" w:hAnsi="Times New Roman"/>
          <w:sz w:val="20"/>
          <w:szCs w:val="20"/>
          <w:u w:val="single" w:color="auto"/>
          <w:color w:val="000000"/>
        </w:rPr>
        <w:t>Method of Exercise</w:t>
      </w:r>
      <w:r>
        <w:rPr>
          <w:rFonts w:ascii="Times New Roman" w:cs="Times New Roman" w:eastAsia="Times New Roman" w:hAnsi="Times New Roman"/>
          <w:sz w:val="20"/>
          <w:szCs w:val="20"/>
          <w:color w:val="000000"/>
        </w:rPr>
        <w:t>. Any Option granted hereunder will be vested and exercisable according to the terms of the Plan and at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 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w:t>
      </w:r>
    </w:p>
    <w:p>
      <w:pPr>
        <w:spacing w:after="0" w:line="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Company), no right to vote or receive dividends or any other rights as a stockholder will exist with respect to the Shares, notwithstanding the exercise of the Option. The Company will issue (or cause to be issued) such Shares promptly after the Option is exercised. No adjustment</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will be made for a dividend or other right for which the record date is prior to the date the Shares are issued, except as provided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of the Plan. Exercising an Option in any manner will decrease the number of Shares thereafter available, both for purposes of the Plan and for sale under the Option, by the number of Shares as to which the Option is exercised.</w:t>
      </w:r>
    </w:p>
    <w:p>
      <w:pPr>
        <w:spacing w:after="0" w:line="17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9"/>
          <w:szCs w:val="19"/>
          <w:b w:val="1"/>
          <w:bCs w:val="1"/>
          <w:color w:val="010000"/>
        </w:rPr>
        <w:t xml:space="preserve">5.6. </w:t>
      </w:r>
      <w:r>
        <w:rPr>
          <w:rFonts w:ascii="Times New Roman" w:cs="Times New Roman" w:eastAsia="Times New Roman" w:hAnsi="Times New Roman"/>
          <w:sz w:val="19"/>
          <w:szCs w:val="19"/>
          <w:u w:val="single" w:color="auto"/>
          <w:color w:val="000000"/>
        </w:rPr>
        <w:t>Termination of Service</w:t>
      </w:r>
      <w:r>
        <w:rPr>
          <w:rFonts w:ascii="Times New Roman" w:cs="Times New Roman" w:eastAsia="Times New Roman" w:hAnsi="Times New Roman"/>
          <w:sz w:val="19"/>
          <w:szCs w:val="19"/>
          <w:color w:val="000000"/>
        </w:rPr>
        <w:t>. If the Participant’s Service terminates for any reason except for Cause or the Participant’s death or</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Disability, then 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NSO), but in any event no later than the expiration date of the Options.</w:t>
      </w:r>
    </w:p>
    <w:p>
      <w:pPr>
        <w:spacing w:after="0" w:line="167" w:lineRule="exact"/>
        <w:rPr>
          <w:sz w:val="20"/>
          <w:szCs w:val="20"/>
          <w:color w:val="auto"/>
        </w:rPr>
      </w:pPr>
    </w:p>
    <w:p>
      <w:pPr>
        <w:ind w:left="1940" w:hanging="636"/>
        <w:spacing w:after="0"/>
        <w:tabs>
          <w:tab w:leader="none" w:pos="1940"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If the Participant’s Service terminates because of the Participant’s death (or the Participant dies within three</w:t>
      </w:r>
    </w:p>
    <w:p>
      <w:pPr>
        <w:spacing w:after="0" w:line="8" w:lineRule="exact"/>
        <w:rPr>
          <w:rFonts w:ascii="Times New Roman" w:cs="Times New Roman" w:eastAsia="Times New Roman" w:hAnsi="Times New Roman"/>
          <w:sz w:val="20"/>
          <w:szCs w:val="20"/>
          <w:color w:val="010000"/>
        </w:rPr>
      </w:pPr>
    </w:p>
    <w:p>
      <w:pPr>
        <w:jc w:val="both"/>
        <w:ind w:firstLine="8"/>
        <w:spacing w:after="0" w:line="229" w:lineRule="auto"/>
        <w:tabs>
          <w:tab w:leader="none" w:pos="31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spacing w:after="0" w:line="176"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1"/>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or longer time period as may be determined by the Committee, with any exercise beyond (a) three (3) months after the date Participant’s Service terminates when the termination of Service is for a Disability that is not a “permanent and total disability” as defined in Section 22(e)(3) of the Code, or (b) twelve (12) months after the date Participant’s Service terminates when the termination of Service is for a Disability that is a “permanent and total disability” as defined in Section 22(e)(3) of the Code, deemed to be an exercise of an NSO), but in any event no later than the expiration date of the Options.</w:t>
      </w:r>
    </w:p>
    <w:p>
      <w:pPr>
        <w:spacing w:after="0" w:line="180" w:lineRule="exact"/>
        <w:rPr>
          <w:rFonts w:ascii="Times New Roman" w:cs="Times New Roman" w:eastAsia="Times New Roman" w:hAnsi="Times New Roman"/>
          <w:sz w:val="20"/>
          <w:szCs w:val="20"/>
          <w:color w:val="010000"/>
        </w:rPr>
      </w:pPr>
    </w:p>
    <w:p>
      <w:pPr>
        <w:jc w:val="both"/>
        <w:ind w:firstLine="1304"/>
        <w:spacing w:after="0" w:line="236" w:lineRule="auto"/>
        <w:tabs>
          <w:tab w:leader="none" w:pos="1934" w:val="left"/>
        </w:tabs>
        <w:numPr>
          <w:ilvl w:val="1"/>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If the Participant is terminated for Cause, then Participant’s Options shall expire on such Participant’s date of termination of Service, or at such later time and on such conditions as are determined by the Committee, but in no event later than the expiration date of the Options. Unless otherwise provided in the Award Agreement, an employment agreement or other applicable agreement, Cause shall have the meaning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30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5.7. </w:t>
      </w:r>
      <w:r>
        <w:rPr>
          <w:rFonts w:ascii="Times New Roman" w:cs="Times New Roman" w:eastAsia="Times New Roman" w:hAnsi="Times New Roman"/>
          <w:sz w:val="20"/>
          <w:szCs w:val="20"/>
          <w:u w:val="single" w:color="auto"/>
          <w:color w:val="000000"/>
        </w:rPr>
        <w:t>Limitations on Exercise</w:t>
      </w:r>
      <w:r>
        <w:rPr>
          <w:rFonts w:ascii="Times New Roman" w:cs="Times New Roman" w:eastAsia="Times New Roman" w:hAnsi="Times New Roman"/>
          <w:sz w:val="20"/>
          <w:szCs w:val="20"/>
          <w:color w:val="000000"/>
        </w:rPr>
        <w:t>. The Committee may specify a minimum number of Shares that may be purchased on any exercise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 an Option, provided that such minimum number will not prevent any Participant from exercising the Option for the full number of Shares for which it is then exercisable.</w:t>
      </w:r>
    </w:p>
    <w:p>
      <w:pPr>
        <w:spacing w:after="0" w:line="16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b w:val="1"/>
          <w:bCs w:val="1"/>
          <w:color w:val="010000"/>
        </w:rPr>
        <w:t xml:space="preserve">5.8. </w:t>
      </w:r>
      <w:r>
        <w:rPr>
          <w:rFonts w:ascii="Times New Roman" w:cs="Times New Roman" w:eastAsia="Times New Roman" w:hAnsi="Times New Roman"/>
          <w:sz w:val="19"/>
          <w:szCs w:val="19"/>
          <w:u w:val="single" w:color="auto"/>
          <w:color w:val="000000"/>
        </w:rPr>
        <w:t>Limitations on ISOs</w:t>
      </w:r>
      <w:r>
        <w:rPr>
          <w:rFonts w:ascii="Times New Roman" w:cs="Times New Roman" w:eastAsia="Times New Roman" w:hAnsi="Times New Roman"/>
          <w:sz w:val="19"/>
          <w:szCs w:val="19"/>
          <w:color w:val="000000"/>
        </w:rPr>
        <w:t>. With respect to Awards granted as ISOs, to the extent that the aggregate Fair Market Value of the</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 xml:space="preserve">Shares with respect to which such ISOs are exercisable for the first time by the Participant during any calendar year (under all plans of the Company and any Parent or Subsidiary) exceeds one hundred thousand dollars ($100,000), such Options will be treated as NSOs. For purposes of this </w:t>
      </w:r>
      <w:r>
        <w:rPr>
          <w:rFonts w:ascii="Times New Roman" w:cs="Times New Roman" w:eastAsia="Times New Roman" w:hAnsi="Times New Roman"/>
          <w:sz w:val="19"/>
          <w:szCs w:val="19"/>
          <w:u w:val="single" w:color="auto"/>
          <w:color w:val="000000"/>
        </w:rPr>
        <w:t>Section 5.8</w:t>
      </w:r>
      <w:r>
        <w:rPr>
          <w:rFonts w:ascii="Times New Roman" w:cs="Times New Roman" w:eastAsia="Times New Roman" w:hAnsi="Times New Roman"/>
          <w:sz w:val="19"/>
          <w:szCs w:val="19"/>
          <w:color w:val="000000"/>
        </w:rPr>
        <w:t>, ISOs will be taken into account in the order in which they were granted. The Fair Market Value of the Shares will be determined as of the time the Option with respect to such Shares is granted. In the event that the Code or the regulations promulgated</w:t>
      </w:r>
    </w:p>
    <w:p>
      <w:pPr>
        <w:spacing w:after="0" w:line="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b w:val="1"/>
          <w:bCs w:val="1"/>
          <w:color w:val="010000"/>
        </w:rPr>
        <w:t xml:space="preserve">5.9. </w:t>
      </w:r>
      <w:r>
        <w:rPr>
          <w:rFonts w:ascii="Times New Roman" w:cs="Times New Roman" w:eastAsia="Times New Roman" w:hAnsi="Times New Roman"/>
          <w:sz w:val="19"/>
          <w:szCs w:val="19"/>
          <w:u w:val="single" w:color="auto"/>
          <w:color w:val="000000"/>
        </w:rPr>
        <w:t>Modification, Extension or Renewal</w:t>
      </w:r>
      <w:r>
        <w:rPr>
          <w:rFonts w:ascii="Times New Roman" w:cs="Times New Roman" w:eastAsia="Times New Roman" w:hAnsi="Times New Roman"/>
          <w:sz w:val="19"/>
          <w:szCs w:val="19"/>
          <w:color w:val="000000"/>
        </w:rPr>
        <w:t>. The Committee may modify, extend or renew outstanding Options and authorize the</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 xml:space="preserve">grant of new Options in 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w:t>
      </w:r>
      <w:r>
        <w:rPr>
          <w:rFonts w:ascii="Times New Roman" w:cs="Times New Roman" w:eastAsia="Times New Roman" w:hAnsi="Times New Roman"/>
          <w:sz w:val="19"/>
          <w:szCs w:val="19"/>
          <w:u w:val="single" w:color="auto"/>
          <w:color w:val="000000"/>
        </w:rPr>
        <w:t>Section 18</w:t>
      </w:r>
      <w:r>
        <w:rPr>
          <w:rFonts w:ascii="Times New Roman" w:cs="Times New Roman" w:eastAsia="Times New Roman" w:hAnsi="Times New Roman"/>
          <w:sz w:val="19"/>
          <w:szCs w:val="19"/>
          <w:color w:val="000000"/>
        </w:rPr>
        <w:t xml:space="preserve"> of this Plan, by written notice to affected Participants, the Committee may reduce the Exercise Price of outstanding Options without the consent of such Participants;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however</w:t>
      </w:r>
      <w:r>
        <w:rPr>
          <w:rFonts w:ascii="Times New Roman" w:cs="Times New Roman" w:eastAsia="Times New Roman" w:hAnsi="Times New Roman"/>
          <w:sz w:val="19"/>
          <w:szCs w:val="19"/>
          <w:color w:val="000000"/>
        </w:rPr>
        <w:t>, that the Exercise Price may not be reduced below the Fair Market Value on the date the action is taken to reduce the Exercise Price.</w:t>
      </w:r>
    </w:p>
    <w:p>
      <w:pPr>
        <w:spacing w:after="0" w:line="16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5.10. </w:t>
      </w:r>
      <w:r>
        <w:rPr>
          <w:rFonts w:ascii="Times New Roman" w:cs="Times New Roman" w:eastAsia="Times New Roman" w:hAnsi="Times New Roman"/>
          <w:sz w:val="20"/>
          <w:szCs w:val="20"/>
          <w:u w:val="single" w:color="auto"/>
          <w:color w:val="000000"/>
        </w:rPr>
        <w:t>No Disqualification</w:t>
      </w:r>
      <w:r>
        <w:rPr>
          <w:rFonts w:ascii="Times New Roman" w:cs="Times New Roman" w:eastAsia="Times New Roman" w:hAnsi="Times New Roman"/>
          <w:sz w:val="20"/>
          <w:szCs w:val="20"/>
          <w:color w:val="000000"/>
        </w:rPr>
        <w:t>. Notwithstanding any other provision in this Plan, no term of this Plan relating to ISOs will be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68" w:lineRule="exact"/>
        <w:rPr>
          <w:sz w:val="20"/>
          <w:szCs w:val="20"/>
          <w:color w:val="auto"/>
        </w:rPr>
      </w:pPr>
    </w:p>
    <w:p>
      <w:pPr>
        <w:jc w:val="both"/>
        <w:ind w:firstLine="8"/>
        <w:spacing w:after="0" w:line="237" w:lineRule="auto"/>
        <w:tabs>
          <w:tab w:leader="none" w:pos="648" w:val="left"/>
        </w:tabs>
        <w:numPr>
          <w:ilvl w:val="0"/>
          <w:numId w:val="7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RESTRICTED STOCK AWARDS</w:t>
      </w:r>
      <w:r>
        <w:rPr>
          <w:rFonts w:ascii="Times New Roman" w:cs="Times New Roman" w:eastAsia="Times New Roman" w:hAnsi="Times New Roman"/>
          <w:sz w:val="20"/>
          <w:szCs w:val="20"/>
          <w:color w:val="auto"/>
        </w:rPr>
        <w:t>. A Restricted Stock Award is an offer by the Company to sell to an eligible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or Director of Shares that are subject to restrictions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7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010000"/>
        </w:rPr>
        <w:t xml:space="preserve">6.1. </w:t>
      </w:r>
      <w:r>
        <w:rPr>
          <w:rFonts w:ascii="Times New Roman" w:cs="Times New Roman" w:eastAsia="Times New Roman" w:hAnsi="Times New Roman"/>
          <w:sz w:val="20"/>
          <w:szCs w:val="20"/>
          <w:u w:val="single" w:color="auto"/>
          <w:color w:val="000000"/>
        </w:rPr>
        <w:t>Restricted Stock Purchase Agreement</w:t>
      </w:r>
      <w:r>
        <w:rPr>
          <w:rFonts w:ascii="Times New Roman" w:cs="Times New Roman" w:eastAsia="Times New Roman" w:hAnsi="Times New Roman"/>
          <w:sz w:val="20"/>
          <w:szCs w:val="20"/>
          <w:color w:val="000000"/>
        </w:rPr>
        <w:t>. All purchases under a Restricted Stock Award will be evidenced by an Award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7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6.2. </w:t>
      </w:r>
      <w:r>
        <w:rPr>
          <w:rFonts w:ascii="Times New Roman" w:cs="Times New Roman" w:eastAsia="Times New Roman" w:hAnsi="Times New Roman"/>
          <w:sz w:val="20"/>
          <w:szCs w:val="20"/>
          <w:u w:val="single" w:color="auto"/>
          <w:color w:val="000000"/>
        </w:rPr>
        <w:t>Purchase Price</w:t>
      </w:r>
      <w:r>
        <w:rPr>
          <w:rFonts w:ascii="Times New Roman" w:cs="Times New Roman" w:eastAsia="Times New Roman" w:hAnsi="Times New Roman"/>
          <w:sz w:val="20"/>
          <w:szCs w:val="20"/>
          <w:color w:val="000000"/>
        </w:rPr>
        <w:t>. The Purchase Price for a Restricted Stock Award will be determined by the Committee and may be less than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Fair Market Value on the date the Restricted Stock Award is granted. Payment of the Purchase Price must be made in accordance with </w:t>
      </w:r>
      <w:r>
        <w:rPr>
          <w:rFonts w:ascii="Times New Roman" w:cs="Times New Roman" w:eastAsia="Times New Roman" w:hAnsi="Times New Roman"/>
          <w:sz w:val="20"/>
          <w:szCs w:val="20"/>
          <w:u w:val="single" w:color="auto"/>
          <w:color w:val="000000"/>
        </w:rPr>
        <w:t>Section 11</w:t>
      </w:r>
      <w:r>
        <w:rPr>
          <w:rFonts w:ascii="Times New Roman" w:cs="Times New Roman" w:eastAsia="Times New Roman" w:hAnsi="Times New Roman"/>
          <w:sz w:val="20"/>
          <w:szCs w:val="20"/>
          <w:color w:val="000000"/>
        </w:rPr>
        <w:t xml:space="preserve"> of this Plan, and the Award Agreement and in accordance with any procedures established by the Company.</w:t>
      </w:r>
    </w:p>
    <w:p>
      <w:pPr>
        <w:spacing w:after="0" w:line="16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6.3. </w:t>
      </w:r>
      <w:r>
        <w:rPr>
          <w:rFonts w:ascii="Times New Roman" w:cs="Times New Roman" w:eastAsia="Times New Roman" w:hAnsi="Times New Roman"/>
          <w:sz w:val="20"/>
          <w:szCs w:val="20"/>
          <w:u w:val="single" w:color="auto"/>
          <w:color w:val="000000"/>
        </w:rPr>
        <w:t>Terms of Restricted Stock Awards</w:t>
      </w:r>
      <w:r>
        <w:rPr>
          <w:rFonts w:ascii="Times New Roman" w:cs="Times New Roman" w:eastAsia="Times New Roman" w:hAnsi="Times New Roman"/>
          <w:sz w:val="20"/>
          <w:szCs w:val="20"/>
          <w:color w:val="000000"/>
        </w:rPr>
        <w:t>. Restricted Stock Awards will be subject to such restrictions as the Committee may</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impose or are required by law. These restrictions may be based on completion of a specified number of years of service with the Company or upon completion of Performance Factors, if any, during any Performance Period as set out in advance in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3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6.4.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vesting ceases on such date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Participant’s Service terminates (unless determined otherwise by the Committee).</w:t>
      </w:r>
    </w:p>
    <w:p>
      <w:pPr>
        <w:spacing w:after="0" w:line="152" w:lineRule="exact"/>
        <w:rPr>
          <w:sz w:val="20"/>
          <w:szCs w:val="20"/>
          <w:color w:val="auto"/>
        </w:rPr>
      </w:pPr>
    </w:p>
    <w:p>
      <w:pPr>
        <w:jc w:val="both"/>
        <w:ind w:firstLine="8"/>
        <w:spacing w:after="0" w:line="233" w:lineRule="auto"/>
        <w:tabs>
          <w:tab w:leader="none" w:pos="648" w:val="left"/>
        </w:tabs>
        <w:numPr>
          <w:ilvl w:val="0"/>
          <w:numId w:val="7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STOCK BONUS AWARDS</w:t>
      </w:r>
      <w:r>
        <w:rPr>
          <w:rFonts w:ascii="Times New Roman" w:cs="Times New Roman" w:eastAsia="Times New Roman" w:hAnsi="Times New Roman"/>
          <w:sz w:val="20"/>
          <w:szCs w:val="20"/>
          <w:color w:val="auto"/>
        </w:rPr>
        <w:t>. A Stock Bonus Award is an award to an eligible Employee, Consultant, or Director of Shares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to be rendered or for past Services already rendered to the Company or any Parent or Subsidiary. All Stock Bonus Awards shall be made pursuant to an Award Agreement. No payment from the Participant will be required for Shares awarded pursuant to a Stock Bonus Award.</w:t>
      </w:r>
    </w:p>
    <w:p>
      <w:pPr>
        <w:spacing w:after="0" w:line="17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010000"/>
        </w:rPr>
        <w:t xml:space="preserve">7.1. </w:t>
      </w:r>
      <w:r>
        <w:rPr>
          <w:rFonts w:ascii="Times New Roman" w:cs="Times New Roman" w:eastAsia="Times New Roman" w:hAnsi="Times New Roman"/>
          <w:sz w:val="20"/>
          <w:szCs w:val="20"/>
          <w:u w:val="single" w:color="auto"/>
          <w:color w:val="000000"/>
        </w:rPr>
        <w:t>Terms of Stock Bonus Awards</w:t>
      </w:r>
      <w:r>
        <w:rPr>
          <w:rFonts w:ascii="Times New Roman" w:cs="Times New Roman" w:eastAsia="Times New Roman" w:hAnsi="Times New Roman"/>
          <w:sz w:val="20"/>
          <w:szCs w:val="20"/>
          <w:color w:val="000000"/>
        </w:rPr>
        <w:t>. The Committee will determine the number of Shares to be awarded to the Participant under a</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Stock 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7.2. </w:t>
      </w:r>
      <w:r>
        <w:rPr>
          <w:rFonts w:ascii="Times New Roman" w:cs="Times New Roman" w:eastAsia="Times New Roman" w:hAnsi="Times New Roman"/>
          <w:sz w:val="20"/>
          <w:szCs w:val="20"/>
          <w:u w:val="single" w:color="auto"/>
          <w:color w:val="000000"/>
        </w:rPr>
        <w:t>Form of Payment to Participant</w:t>
      </w:r>
      <w:r>
        <w:rPr>
          <w:rFonts w:ascii="Times New Roman" w:cs="Times New Roman" w:eastAsia="Times New Roman" w:hAnsi="Times New Roman"/>
          <w:sz w:val="20"/>
          <w:szCs w:val="20"/>
          <w:color w:val="000000"/>
        </w:rPr>
        <w:t>. Payment may be made in the form of cash, whole Shares, or a combination thereof, based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on the Fair Market Value of the Shares earned under a Stock Bonus Award on the date of payment, as determined in the sole discretion of the Committee.</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7.3.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vesting ceases on such date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Participant’s Service terminates (unless determined otherwise by the Committee).</w:t>
      </w:r>
    </w:p>
    <w:p>
      <w:pPr>
        <w:spacing w:after="0" w:line="152" w:lineRule="exact"/>
        <w:rPr>
          <w:sz w:val="20"/>
          <w:szCs w:val="20"/>
          <w:color w:val="auto"/>
        </w:rPr>
      </w:pPr>
    </w:p>
    <w:p>
      <w:pPr>
        <w:jc w:val="both"/>
        <w:ind w:firstLine="8"/>
        <w:spacing w:after="0" w:line="235" w:lineRule="auto"/>
        <w:tabs>
          <w:tab w:leader="none" w:pos="648" w:val="left"/>
        </w:tabs>
        <w:numPr>
          <w:ilvl w:val="0"/>
          <w:numId w:val="7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STOCK APPRECIATION RIGHTS</w:t>
      </w:r>
      <w:r>
        <w:rPr>
          <w:rFonts w:ascii="Times New Roman" w:cs="Times New Roman" w:eastAsia="Times New Roman" w:hAnsi="Times New Roman"/>
          <w:sz w:val="20"/>
          <w:szCs w:val="20"/>
          <w:color w:val="auto"/>
        </w:rPr>
        <w:t>. A Stock Appreciation Right (“</w:t>
      </w:r>
      <w:r>
        <w:rPr>
          <w:rFonts w:ascii="Times New Roman" w:cs="Times New Roman" w:eastAsia="Times New Roman" w:hAnsi="Times New Roman"/>
          <w:sz w:val="20"/>
          <w:szCs w:val="20"/>
          <w:b w:val="1"/>
          <w:bCs w:val="1"/>
          <w:i w:val="1"/>
          <w:iCs w:val="1"/>
          <w:color w:val="auto"/>
        </w:rPr>
        <w:t>SAR</w:t>
      </w:r>
      <w:r>
        <w:rPr>
          <w:rFonts w:ascii="Times New Roman" w:cs="Times New Roman" w:eastAsia="Times New Roman" w:hAnsi="Times New Roman"/>
          <w:sz w:val="20"/>
          <w:szCs w:val="20"/>
          <w:color w:val="auto"/>
        </w:rPr>
        <w:t>”) is an award to an eligible Employee, Consultant,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7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010000"/>
        </w:rPr>
        <w:t xml:space="preserve">8.1. </w:t>
      </w:r>
      <w:r>
        <w:rPr>
          <w:rFonts w:ascii="Times New Roman" w:cs="Times New Roman" w:eastAsia="Times New Roman" w:hAnsi="Times New Roman"/>
          <w:sz w:val="20"/>
          <w:szCs w:val="20"/>
          <w:u w:val="single" w:color="auto"/>
          <w:color w:val="000000"/>
        </w:rPr>
        <w:t>Terms of SARs</w:t>
      </w:r>
      <w:r>
        <w:rPr>
          <w:rFonts w:ascii="Times New Roman" w:cs="Times New Roman" w:eastAsia="Times New Roman" w:hAnsi="Times New Roman"/>
          <w:sz w:val="20"/>
          <w:szCs w:val="20"/>
          <w:color w:val="000000"/>
        </w:rPr>
        <w:t>. The Committee will determine the terms of each SAR including, without limitation: (a) the number of</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Performance Factors to be used to measure the performance, if any. Performance Periods may overlap and Participants may participate simultaneously with respect to SARs that are subject to different Performance Factors and other criteria.</w:t>
      </w:r>
    </w:p>
    <w:p>
      <w:pPr>
        <w:spacing w:after="0" w:line="15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b w:val="1"/>
          <w:bCs w:val="1"/>
          <w:color w:val="010000"/>
        </w:rPr>
        <w:t xml:space="preserve">8.2. </w:t>
      </w:r>
      <w:r>
        <w:rPr>
          <w:rFonts w:ascii="Times New Roman" w:cs="Times New Roman" w:eastAsia="Times New Roman" w:hAnsi="Times New Roman"/>
          <w:sz w:val="19"/>
          <w:szCs w:val="19"/>
          <w:u w:val="single" w:color="auto"/>
          <w:color w:val="000000"/>
        </w:rPr>
        <w:t>Exercise Period and Expiration Date</w:t>
      </w:r>
      <w:r>
        <w:rPr>
          <w:rFonts w:ascii="Times New Roman" w:cs="Times New Roman" w:eastAsia="Times New Roman" w:hAnsi="Times New Roman"/>
          <w:sz w:val="19"/>
          <w:szCs w:val="19"/>
          <w:color w:val="000000"/>
        </w:rPr>
        <w:t>. A SAR will be exercisable within the times or upon the occurrence of events</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determined 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 xml:space="preserve">on the date Participant’s Service terminates (unless determined otherwise by the Committee). Notwithstanding the foregoing, the rules of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also will apply to SARs.</w:t>
      </w:r>
    </w:p>
    <w:p>
      <w:pPr>
        <w:spacing w:after="0" w:line="17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010000"/>
        </w:rPr>
        <w:t xml:space="preserve">8.3. </w:t>
      </w:r>
      <w:r>
        <w:rPr>
          <w:rFonts w:ascii="Times New Roman" w:cs="Times New Roman" w:eastAsia="Times New Roman" w:hAnsi="Times New Roman"/>
          <w:sz w:val="20"/>
          <w:szCs w:val="20"/>
          <w:u w:val="single" w:color="auto"/>
          <w:color w:val="000000"/>
        </w:rPr>
        <w:t>Form of Settlement</w:t>
      </w:r>
      <w:r>
        <w:rPr>
          <w:rFonts w:ascii="Times New Roman" w:cs="Times New Roman" w:eastAsia="Times New Roman" w:hAnsi="Times New Roman"/>
          <w:sz w:val="20"/>
          <w:szCs w:val="20"/>
          <w:color w:val="000000"/>
        </w:rPr>
        <w:t>. Upon exercise of a SAR, a Participant will be entitled to receive payment from the Company in an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amount determined 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8.4.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vesting ceases on such date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Participant’s Service terminates (unless determined otherwise by the Committee).</w:t>
      </w:r>
    </w:p>
    <w:p>
      <w:pPr>
        <w:spacing w:after="0" w:line="152" w:lineRule="exact"/>
        <w:rPr>
          <w:sz w:val="20"/>
          <w:szCs w:val="20"/>
          <w:color w:val="auto"/>
        </w:rPr>
      </w:pPr>
    </w:p>
    <w:p>
      <w:pPr>
        <w:jc w:val="both"/>
        <w:ind w:firstLine="8"/>
        <w:spacing w:after="0" w:line="242" w:lineRule="auto"/>
        <w:tabs>
          <w:tab w:leader="none" w:pos="648" w:val="left"/>
        </w:tabs>
        <w:numPr>
          <w:ilvl w:val="0"/>
          <w:numId w:val="7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RESTRICTED STOCK UNITS</w:t>
      </w:r>
      <w:r>
        <w:rPr>
          <w:rFonts w:ascii="Times New Roman" w:cs="Times New Roman" w:eastAsia="Times New Roman" w:hAnsi="Times New Roman"/>
          <w:sz w:val="20"/>
          <w:szCs w:val="20"/>
          <w:color w:val="auto"/>
        </w:rPr>
        <w:t>. A Restricted Stock Unit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is an award to an eligible Employee, Consultant, or Director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covering a number of Shares that may be settled in cash, or by issuance of those Shares (which may consist of Restricted Stock). All RSUs shall be made pursuant to an Award Agreement.</w:t>
      </w:r>
    </w:p>
    <w:p>
      <w:pPr>
        <w:spacing w:after="0" w:line="16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b w:val="1"/>
          <w:bCs w:val="1"/>
          <w:color w:val="010000"/>
        </w:rPr>
        <w:t xml:space="preserve">9.1. </w:t>
      </w:r>
      <w:r>
        <w:rPr>
          <w:rFonts w:ascii="Times New Roman" w:cs="Times New Roman" w:eastAsia="Times New Roman" w:hAnsi="Times New Roman"/>
          <w:sz w:val="20"/>
          <w:szCs w:val="20"/>
          <w:u w:val="single" w:color="auto"/>
          <w:color w:val="000000"/>
        </w:rPr>
        <w:t>Terms of RSUs</w:t>
      </w:r>
      <w:r>
        <w:rPr>
          <w:rFonts w:ascii="Times New Roman" w:cs="Times New Roman" w:eastAsia="Times New Roman" w:hAnsi="Times New Roman"/>
          <w:sz w:val="20"/>
          <w:szCs w:val="20"/>
          <w:color w:val="000000"/>
        </w:rPr>
        <w:t>. The Committee will determine the terms of an RSU including, without limitation: (a) the number of Shares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subject to the RSU; (b) the time or times during which the RSU may be settled; (c) the consideration to be distributed on settlement; and (d) the effect of the Participant’s termination of Service on each RSU.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(x) determine the nature, length and starting date of any Performance Period for the RSU; (y) select from among the Performance Factors to be used to measure the performance, if any; and</w:t>
      </w:r>
    </w:p>
    <w:p>
      <w:pPr>
        <w:spacing w:after="0" w:line="5" w:lineRule="exact"/>
        <w:rPr>
          <w:sz w:val="20"/>
          <w:szCs w:val="20"/>
          <w:color w:val="auto"/>
        </w:rPr>
      </w:pPr>
    </w:p>
    <w:p>
      <w:pPr>
        <w:ind w:firstLine="8"/>
        <w:spacing w:after="0" w:line="236" w:lineRule="auto"/>
        <w:tabs>
          <w:tab w:leader="none" w:pos="31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7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010000"/>
        </w:rPr>
        <w:t xml:space="preserve">9.2. </w:t>
      </w:r>
      <w:r>
        <w:rPr>
          <w:rFonts w:ascii="Times New Roman" w:cs="Times New Roman" w:eastAsia="Times New Roman" w:hAnsi="Times New Roman"/>
          <w:sz w:val="20"/>
          <w:szCs w:val="20"/>
          <w:u w:val="single" w:color="auto"/>
          <w:color w:val="000000"/>
        </w:rPr>
        <w:t>Form and Timing of Settlement</w:t>
      </w:r>
      <w:r>
        <w:rPr>
          <w:rFonts w:ascii="Times New Roman" w:cs="Times New Roman" w:eastAsia="Times New Roman" w:hAnsi="Times New Roman"/>
          <w:sz w:val="20"/>
          <w:szCs w:val="20"/>
          <w:color w:val="000000"/>
        </w:rPr>
        <w:t>. Payment of earned RSUs shall be made as soon as practicable after the date(s) determined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by the 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62" w:name="page63"/>
    <w:bookmarkEnd w:id="62"/>
    <w:p>
      <w:pPr>
        <w:spacing w:after="0" w:line="30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9.3.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vesting ceases on such date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Participant’s Service terminates (unless determined otherwise by the Committee).</w:t>
      </w:r>
    </w:p>
    <w:p>
      <w:pPr>
        <w:spacing w:after="0" w:line="152" w:lineRule="exact"/>
        <w:rPr>
          <w:sz w:val="20"/>
          <w:szCs w:val="20"/>
          <w:color w:val="auto"/>
        </w:rPr>
      </w:pPr>
    </w:p>
    <w:p>
      <w:pPr>
        <w:jc w:val="both"/>
        <w:ind w:firstLine="8"/>
        <w:spacing w:after="0" w:line="242" w:lineRule="auto"/>
        <w:tabs>
          <w:tab w:leader="none" w:pos="639" w:val="left"/>
        </w:tabs>
        <w:numPr>
          <w:ilvl w:val="0"/>
          <w:numId w:val="8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PERFORMANCE AWARDS</w:t>
      </w:r>
      <w:r>
        <w:rPr>
          <w:rFonts w:ascii="Times New Roman" w:cs="Times New Roman" w:eastAsia="Times New Roman" w:hAnsi="Times New Roman"/>
          <w:sz w:val="20"/>
          <w:szCs w:val="20"/>
          <w:color w:val="auto"/>
        </w:rPr>
        <w:t>. A Performance Award is an award to an eligible Employee, Consultant, or Director of a cash bonus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 award of Performance Shares or Performance Units denominated in Shares that may be settled in cash, or by issuance of those Shares (which may consist of Restricted Stock). Grants of Performance Awards shall be made pursuant to an Award Agreement.</w:t>
      </w:r>
    </w:p>
    <w:p>
      <w:pPr>
        <w:spacing w:after="0" w:line="16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10.1. </w:t>
      </w:r>
      <w:r>
        <w:rPr>
          <w:rFonts w:ascii="Times New Roman" w:cs="Times New Roman" w:eastAsia="Times New Roman" w:hAnsi="Times New Roman"/>
          <w:sz w:val="20"/>
          <w:szCs w:val="20"/>
          <w:u w:val="single" w:color="auto"/>
          <w:color w:val="000000"/>
        </w:rPr>
        <w:t>Types of Performance Awards</w:t>
      </w:r>
      <w:r>
        <w:rPr>
          <w:rFonts w:ascii="Times New Roman" w:cs="Times New Roman" w:eastAsia="Times New Roman" w:hAnsi="Times New Roman"/>
          <w:sz w:val="20"/>
          <w:szCs w:val="20"/>
          <w:color w:val="000000"/>
        </w:rPr>
        <w:t>. Performance Awards shall include Performance Shares, Performance Units, and cash-based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Awards as set forth in </w:t>
      </w:r>
      <w:r>
        <w:rPr>
          <w:rFonts w:ascii="Times New Roman" w:cs="Times New Roman" w:eastAsia="Times New Roman" w:hAnsi="Times New Roman"/>
          <w:sz w:val="20"/>
          <w:szCs w:val="20"/>
          <w:u w:val="single" w:color="auto"/>
          <w:color w:val="000000"/>
        </w:rPr>
        <w:t>Sections 10.1(a)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10.1(b)</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10.1(c)</w:t>
      </w:r>
      <w:r>
        <w:rPr>
          <w:rFonts w:ascii="Times New Roman" w:cs="Times New Roman" w:eastAsia="Times New Roman" w:hAnsi="Times New Roman"/>
          <w:sz w:val="20"/>
          <w:szCs w:val="20"/>
          <w:color w:val="000000"/>
        </w:rPr>
        <w:t xml:space="preserve"> below.</w:t>
      </w:r>
    </w:p>
    <w:p>
      <w:pPr>
        <w:spacing w:after="0" w:line="156" w:lineRule="exact"/>
        <w:rPr>
          <w:sz w:val="20"/>
          <w:szCs w:val="20"/>
          <w:color w:val="auto"/>
        </w:rPr>
      </w:pPr>
    </w:p>
    <w:p>
      <w:pPr>
        <w:jc w:val="both"/>
        <w:ind w:firstLine="1304"/>
        <w:spacing w:after="0" w:line="229" w:lineRule="auto"/>
        <w:tabs>
          <w:tab w:leader="none" w:pos="1934"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Performance Shares</w:t>
      </w:r>
      <w:r>
        <w:rPr>
          <w:rFonts w:ascii="Times New Roman" w:cs="Times New Roman" w:eastAsia="Times New Roman" w:hAnsi="Times New Roman"/>
          <w:sz w:val="20"/>
          <w:szCs w:val="20"/>
          <w:color w:val="auto"/>
        </w:rPr>
        <w:t>. 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the value of which may be paid to the Participant by delivery of Shares or, if set forth in the instrument evidencing the Award, of such property as the Committee shall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w:t>
      </w:r>
    </w:p>
    <w:p>
      <w:pPr>
        <w:spacing w:after="0" w:line="178" w:lineRule="exact"/>
        <w:rPr>
          <w:rFonts w:ascii="Times New Roman" w:cs="Times New Roman" w:eastAsia="Times New Roman" w:hAnsi="Times New Roman"/>
          <w:sz w:val="20"/>
          <w:szCs w:val="20"/>
          <w:color w:val="010000"/>
        </w:rPr>
      </w:pPr>
    </w:p>
    <w:p>
      <w:pPr>
        <w:jc w:val="both"/>
        <w:ind w:firstLine="1304"/>
        <w:spacing w:after="0" w:line="232" w:lineRule="auto"/>
        <w:tabs>
          <w:tab w:leader="none" w:pos="1932"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Performance Units</w:t>
      </w:r>
      <w:r>
        <w:rPr>
          <w:rFonts w:ascii="Times New Roman" w:cs="Times New Roman" w:eastAsia="Times New Roman" w:hAnsi="Times New Roman"/>
          <w:sz w:val="20"/>
          <w:szCs w:val="20"/>
          <w:color w:val="auto"/>
        </w:rPr>
        <w:t>. 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78" w:lineRule="exact"/>
        <w:rPr>
          <w:rFonts w:ascii="Times New Roman" w:cs="Times New Roman" w:eastAsia="Times New Roman" w:hAnsi="Times New Roman"/>
          <w:sz w:val="20"/>
          <w:szCs w:val="20"/>
          <w:color w:val="010000"/>
        </w:rPr>
      </w:pPr>
    </w:p>
    <w:p>
      <w:pPr>
        <w:jc w:val="both"/>
        <w:ind w:firstLine="1304"/>
        <w:spacing w:after="0"/>
        <w:tabs>
          <w:tab w:leader="none" w:pos="1934"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Cash-Settled Performance Awards</w:t>
      </w:r>
      <w:r>
        <w:rPr>
          <w:rFonts w:ascii="Times New Roman" w:cs="Times New Roman" w:eastAsia="Times New Roman" w:hAnsi="Times New Roman"/>
          <w:sz w:val="20"/>
          <w:szCs w:val="20"/>
          <w:color w:val="auto"/>
        </w:rPr>
        <w:t>.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spacing w:after="0" w:line="17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b w:val="1"/>
          <w:bCs w:val="1"/>
          <w:color w:val="010000"/>
        </w:rPr>
        <w:t xml:space="preserve">10.2. </w:t>
      </w:r>
      <w:r>
        <w:rPr>
          <w:rFonts w:ascii="Times New Roman" w:cs="Times New Roman" w:eastAsia="Times New Roman" w:hAnsi="Times New Roman"/>
          <w:sz w:val="20"/>
          <w:szCs w:val="20"/>
          <w:u w:val="single" w:color="auto"/>
          <w:color w:val="000000"/>
        </w:rPr>
        <w:t>Terms of Performance Shares</w:t>
      </w:r>
      <w:r>
        <w:rPr>
          <w:rFonts w:ascii="Times New Roman" w:cs="Times New Roman" w:eastAsia="Times New Roman" w:hAnsi="Times New Roman"/>
          <w:sz w:val="20"/>
          <w:szCs w:val="20"/>
          <w:color w:val="000000"/>
        </w:rPr>
        <w:t>. The Committee will determine, and each Award Agreement shall set forth, the terms of each</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(x) determine the nature, length and starting date of any Performance Period; (y)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30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10.3.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vesting ceases on the date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Participant’s Service terminates (unless determined otherwise by the Committee).</w:t>
      </w:r>
    </w:p>
    <w:p>
      <w:pPr>
        <w:spacing w:after="0" w:line="152" w:lineRule="exact"/>
        <w:rPr>
          <w:sz w:val="20"/>
          <w:szCs w:val="20"/>
          <w:color w:val="auto"/>
        </w:rPr>
      </w:pPr>
    </w:p>
    <w:p>
      <w:pPr>
        <w:jc w:val="both"/>
        <w:ind w:firstLine="8"/>
        <w:spacing w:after="0" w:line="242" w:lineRule="auto"/>
        <w:tabs>
          <w:tab w:leader="none" w:pos="628" w:val="left"/>
        </w:tabs>
        <w:numPr>
          <w:ilvl w:val="0"/>
          <w:numId w:val="8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PAYMENT FOR SHARE PURCHASES</w:t>
      </w:r>
      <w:r>
        <w:rPr>
          <w:rFonts w:ascii="Times New Roman" w:cs="Times New Roman" w:eastAsia="Times New Roman" w:hAnsi="Times New Roman"/>
          <w:sz w:val="20"/>
          <w:szCs w:val="20"/>
          <w:color w:val="auto"/>
        </w:rPr>
        <w:t>. Payment from a Participant for Shares purchased pursuant to this Plan may be made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 or by check or, where expressly approved for the Participant by the Committee and where permitted by law (and to the extent not otherwise set forth in the applicable Award Agreement):</w:t>
      </w:r>
    </w:p>
    <w:p>
      <w:pPr>
        <w:spacing w:after="0" w:line="172" w:lineRule="exact"/>
        <w:rPr>
          <w:rFonts w:ascii="Times New Roman" w:cs="Times New Roman" w:eastAsia="Times New Roman" w:hAnsi="Times New Roman"/>
          <w:sz w:val="20"/>
          <w:szCs w:val="20"/>
          <w:b w:val="1"/>
          <w:bCs w:val="1"/>
          <w:color w:val="010000"/>
        </w:rPr>
      </w:pPr>
    </w:p>
    <w:p>
      <w:pPr>
        <w:ind w:left="1940" w:hanging="636"/>
        <w:spacing w:after="0"/>
        <w:tabs>
          <w:tab w:leader="none" w:pos="1940" w:val="left"/>
        </w:tabs>
        <w:numPr>
          <w:ilvl w:val="1"/>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cancellation of indebtedness of the Company to the Participant;</w:t>
      </w:r>
    </w:p>
    <w:p>
      <w:pPr>
        <w:spacing w:after="0" w:line="202" w:lineRule="exact"/>
        <w:rPr>
          <w:rFonts w:ascii="Times New Roman" w:cs="Times New Roman" w:eastAsia="Times New Roman" w:hAnsi="Times New Roman"/>
          <w:sz w:val="20"/>
          <w:szCs w:val="20"/>
          <w:color w:val="010000"/>
        </w:rPr>
      </w:pPr>
    </w:p>
    <w:p>
      <w:pPr>
        <w:ind w:firstLine="1304"/>
        <w:spacing w:after="0" w:line="255" w:lineRule="auto"/>
        <w:tabs>
          <w:tab w:leader="none" w:pos="1932" w:val="left"/>
        </w:tabs>
        <w:numPr>
          <w:ilvl w:val="1"/>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159" w:lineRule="exact"/>
        <w:rPr>
          <w:rFonts w:ascii="Times New Roman" w:cs="Times New Roman" w:eastAsia="Times New Roman" w:hAnsi="Times New Roman"/>
          <w:sz w:val="20"/>
          <w:szCs w:val="20"/>
          <w:color w:val="010000"/>
        </w:rPr>
      </w:pPr>
    </w:p>
    <w:p>
      <w:pPr>
        <w:ind w:firstLine="1304"/>
        <w:spacing w:after="0"/>
        <w:tabs>
          <w:tab w:leader="none" w:pos="1934" w:val="left"/>
        </w:tabs>
        <w:numPr>
          <w:ilvl w:val="1"/>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waiver of compensation due or accrued to the Participant for services rendered or to be rendered to the Company or a Parent or Subsidiary of the Company;</w:t>
      </w:r>
    </w:p>
    <w:p>
      <w:pPr>
        <w:spacing w:after="0" w:line="174" w:lineRule="exact"/>
        <w:rPr>
          <w:rFonts w:ascii="Times New Roman" w:cs="Times New Roman" w:eastAsia="Times New Roman" w:hAnsi="Times New Roman"/>
          <w:sz w:val="20"/>
          <w:szCs w:val="20"/>
          <w:color w:val="010000"/>
        </w:rPr>
      </w:pPr>
    </w:p>
    <w:p>
      <w:pPr>
        <w:ind w:firstLine="1304"/>
        <w:spacing w:after="0" w:line="255" w:lineRule="auto"/>
        <w:tabs>
          <w:tab w:leader="none" w:pos="1932" w:val="left"/>
        </w:tabs>
        <w:numPr>
          <w:ilvl w:val="1"/>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consideration received by the Company pursuant to a broker-assisted or other form of cashless exercise program implemented by the Company in connection with the Plan;</w:t>
      </w:r>
    </w:p>
    <w:p>
      <w:pPr>
        <w:spacing w:after="0" w:line="15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any combination of the foregoing; or</w:t>
      </w:r>
    </w:p>
    <w:p>
      <w:pPr>
        <w:spacing w:after="0" w:line="20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any other method of payment as is permitted by applicable law.</w:t>
      </w:r>
    </w:p>
    <w:p>
      <w:pPr>
        <w:spacing w:after="0" w:line="198" w:lineRule="exact"/>
        <w:rPr>
          <w:rFonts w:ascii="Times New Roman" w:cs="Times New Roman" w:eastAsia="Times New Roman" w:hAnsi="Times New Roman"/>
          <w:sz w:val="20"/>
          <w:szCs w:val="20"/>
          <w:color w:val="010000"/>
        </w:rPr>
      </w:pPr>
    </w:p>
    <w:p>
      <w:pPr>
        <w:jc w:val="both"/>
        <w:ind w:firstLine="8"/>
        <w:spacing w:after="0" w:line="237" w:lineRule="auto"/>
        <w:tabs>
          <w:tab w:leader="none" w:pos="639" w:val="left"/>
        </w:tabs>
        <w:numPr>
          <w:ilvl w:val="0"/>
          <w:numId w:val="8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GRANTS TO NON-EMPLOYEE DIRECTORS</w:t>
      </w:r>
      <w:r>
        <w:rPr>
          <w:rFonts w:ascii="Times New Roman" w:cs="Times New Roman" w:eastAsia="Times New Roman" w:hAnsi="Times New Roman"/>
          <w:sz w:val="20"/>
          <w:szCs w:val="20"/>
          <w:color w:val="auto"/>
        </w:rPr>
        <w:t>. Non-Employee Directors are eligible to receive any type of Award offered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Plan except ISOs. Awards pursuant to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may be automatically made pursuant to policy adopted by the Board, or made from time to time as determined in the discretion of the Board. The aggregate number of Shares subject to Awards granted to a Non-Employee Director pursuant to this Section 12 in any calendar year shall not exceed One Hundred Thousand (100,000).</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12.1. </w:t>
      </w:r>
      <w:r>
        <w:rPr>
          <w:rFonts w:ascii="Times New Roman" w:cs="Times New Roman" w:eastAsia="Times New Roman" w:hAnsi="Times New Roman"/>
          <w:sz w:val="20"/>
          <w:szCs w:val="20"/>
          <w:u w:val="single" w:color="auto"/>
          <w:color w:val="000000"/>
        </w:rPr>
        <w:t>Eligibility</w:t>
      </w:r>
      <w:r>
        <w:rPr>
          <w:rFonts w:ascii="Times New Roman" w:cs="Times New Roman" w:eastAsia="Times New Roman" w:hAnsi="Times New Roman"/>
          <w:sz w:val="20"/>
          <w:szCs w:val="20"/>
          <w:color w:val="000000"/>
        </w:rPr>
        <w:t>. Awards pursuant to this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12</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shall be granted only to Non-Employee Directors. A Non-Employee Director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who is elected or re-elected as a member of the Board will be eligible to receive an Award under this </w:t>
      </w:r>
      <w:r>
        <w:rPr>
          <w:rFonts w:ascii="Times New Roman" w:cs="Times New Roman" w:eastAsia="Times New Roman" w:hAnsi="Times New Roman"/>
          <w:sz w:val="20"/>
          <w:szCs w:val="20"/>
          <w:u w:val="single" w:color="auto"/>
          <w:color w:val="000000"/>
        </w:rPr>
        <w:t>Section 12</w:t>
      </w:r>
      <w:r>
        <w:rPr>
          <w:rFonts w:ascii="Times New Roman" w:cs="Times New Roman" w:eastAsia="Times New Roman" w:hAnsi="Times New Roman"/>
          <w:sz w:val="20"/>
          <w:szCs w:val="20"/>
          <w:color w:val="000000"/>
        </w:rPr>
        <w:t>.</w:t>
      </w:r>
    </w:p>
    <w:p>
      <w:pPr>
        <w:spacing w:after="0" w:line="15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12.2. </w:t>
      </w:r>
      <w:r>
        <w:rPr>
          <w:rFonts w:ascii="Times New Roman" w:cs="Times New Roman" w:eastAsia="Times New Roman" w:hAnsi="Times New Roman"/>
          <w:sz w:val="20"/>
          <w:szCs w:val="20"/>
          <w:u w:val="single" w:color="auto"/>
          <w:color w:val="000000"/>
        </w:rPr>
        <w:t>Vesting, Exercisability and Settlement</w:t>
      </w:r>
      <w:r>
        <w:rPr>
          <w:rFonts w:ascii="Times New Roman" w:cs="Times New Roman" w:eastAsia="Times New Roman" w:hAnsi="Times New Roman"/>
          <w:sz w:val="20"/>
          <w:szCs w:val="20"/>
          <w:color w:val="000000"/>
        </w:rPr>
        <w:t>. Except as set forth in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21</w:t>
      </w:r>
      <w:r>
        <w:rPr>
          <w:rFonts w:ascii="Times New Roman" w:cs="Times New Roman" w:eastAsia="Times New Roman" w:hAnsi="Times New Roman"/>
          <w:sz w:val="20"/>
          <w:szCs w:val="20"/>
          <w:color w:val="000000"/>
        </w:rPr>
        <w:t>, Awards shall vest, become exercisable and be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settled as determined by the Board. With respect to Options and SARs, the Exercise Price granted to Non-Employee Directors shall not be less than the Fair Market Value of the Shares at the time that such Option or SAR is granted.</w:t>
      </w:r>
    </w:p>
    <w:p>
      <w:pPr>
        <w:spacing w:after="0" w:line="16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010000"/>
        </w:rPr>
        <w:t xml:space="preserve">12.3. </w:t>
      </w:r>
      <w:r>
        <w:rPr>
          <w:rFonts w:ascii="Times New Roman" w:cs="Times New Roman" w:eastAsia="Times New Roman" w:hAnsi="Times New Roman"/>
          <w:sz w:val="20"/>
          <w:szCs w:val="20"/>
          <w:u w:val="single" w:color="auto"/>
          <w:color w:val="000000"/>
        </w:rPr>
        <w:t>Election to receive Awards in Lieu of Cash</w:t>
      </w:r>
      <w:r>
        <w:rPr>
          <w:rFonts w:ascii="Times New Roman" w:cs="Times New Roman" w:eastAsia="Times New Roman" w:hAnsi="Times New Roman"/>
          <w:sz w:val="20"/>
          <w:szCs w:val="20"/>
          <w:color w:val="000000"/>
        </w:rPr>
        <w:t>. A Non-Employee Director may elect to receive his or her annual retainer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payments and/or meeting fees from the Company in the form of cash or Awards or a combination thereof, as determined by the Committee. Such Awards shall be issued under the Plan. An election under this </w:t>
      </w:r>
      <w:r>
        <w:rPr>
          <w:rFonts w:ascii="Times New Roman" w:cs="Times New Roman" w:eastAsia="Times New Roman" w:hAnsi="Times New Roman"/>
          <w:sz w:val="20"/>
          <w:szCs w:val="20"/>
          <w:u w:val="single" w:color="auto"/>
          <w:color w:val="000000"/>
        </w:rPr>
        <w:t>Section 12.3</w:t>
      </w:r>
      <w:r>
        <w:rPr>
          <w:rFonts w:ascii="Times New Roman" w:cs="Times New Roman" w:eastAsia="Times New Roman" w:hAnsi="Times New Roman"/>
          <w:sz w:val="20"/>
          <w:szCs w:val="20"/>
          <w:color w:val="000000"/>
        </w:rPr>
        <w:t xml:space="preserve"> shall be filed with the Company on the form prescribed by the Company.</w:t>
      </w:r>
    </w:p>
    <w:p>
      <w:pPr>
        <w:spacing w:after="0" w:line="172" w:lineRule="exact"/>
        <w:rPr>
          <w:sz w:val="20"/>
          <w:szCs w:val="20"/>
          <w:color w:val="auto"/>
        </w:rPr>
      </w:pPr>
    </w:p>
    <w:p>
      <w:pPr>
        <w:ind w:left="640" w:hanging="632"/>
        <w:spacing w:after="0"/>
        <w:tabs>
          <w:tab w:leader="none" w:pos="640" w:val="left"/>
        </w:tabs>
        <w:numPr>
          <w:ilvl w:val="0"/>
          <w:numId w:val="8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WITHHOLDING TAXES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13.1. </w:t>
      </w:r>
      <w:r>
        <w:rPr>
          <w:rFonts w:ascii="Times New Roman" w:cs="Times New Roman" w:eastAsia="Times New Roman" w:hAnsi="Times New Roman"/>
          <w:sz w:val="20"/>
          <w:szCs w:val="20"/>
          <w:u w:val="single" w:color="auto"/>
          <w:color w:val="000000"/>
        </w:rPr>
        <w:t>Withholding Generally</w:t>
      </w:r>
      <w:r>
        <w:rPr>
          <w:rFonts w:ascii="Times New Roman" w:cs="Times New Roman" w:eastAsia="Times New Roman" w:hAnsi="Times New Roman"/>
          <w:sz w:val="20"/>
          <w:szCs w:val="20"/>
          <w:color w:val="000000"/>
        </w:rPr>
        <w:t>. Whenever Shares are to be issued in satisfaction of Awards granted under this Plan or a tax event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occurs, the Company may require the Participant to remit to the Company, or to the Parent or Subsidiary employing the Participant, an amount sufficient to satisfy applicable U.S. federal, state, local and international withholding tax requirements or any other tax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social insurance liability (the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legally due from the Participant prior to the delivery of Shares pursuant to exercise or settlement of any Award. Whenever payments in satisfaction of Awards granted under this Plan are to be made in cash, such payment will be net of an amount sufficient to satisfy applicable Tax-Related Items legally due from the Participant.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w:t>
      </w:r>
    </w:p>
    <w:p>
      <w:pPr>
        <w:spacing w:after="0" w:line="17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b w:val="1"/>
          <w:bCs w:val="1"/>
          <w:color w:val="010000"/>
        </w:rPr>
        <w:t xml:space="preserve">13.2. </w:t>
      </w:r>
      <w:r>
        <w:rPr>
          <w:rFonts w:ascii="Times New Roman" w:cs="Times New Roman" w:eastAsia="Times New Roman" w:hAnsi="Times New Roman"/>
          <w:sz w:val="20"/>
          <w:szCs w:val="20"/>
          <w:u w:val="single" w:color="auto"/>
          <w:color w:val="000000"/>
        </w:rPr>
        <w:t>Stock Withholding</w:t>
      </w:r>
      <w:r>
        <w:rPr>
          <w:rFonts w:ascii="Times New Roman" w:cs="Times New Roman" w:eastAsia="Times New Roman" w:hAnsi="Times New Roman"/>
          <w:sz w:val="20"/>
          <w:szCs w:val="20"/>
          <w:color w:val="000000"/>
        </w:rPr>
        <w:t>. The Committee, or its delegate(s), as permitted by applicable law, in its sole discretion and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such procedures as it may specify from time to time and to limitations of local law, may require or permit a Participant to satisfy such Tax-Related Items legally due from the Participant, in whole or in part by (without limitation) (a) paying cash, (b) electing to have the Company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withhold otherwise deliverable cash or Shares having a Fair Market Value equal to the Tax-Related Items to be withheld, (c) delivering to the Company already-owned shares having a Fair Market Value equal to the Tax-Related Items to be withheld or (d) withholding from the</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statutory tax rate for the applicable tax jurisdiction, to the extent consistent with applicable laws.</w:t>
      </w:r>
    </w:p>
    <w:p>
      <w:pPr>
        <w:spacing w:after="0" w:line="172" w:lineRule="exact"/>
        <w:rPr>
          <w:sz w:val="20"/>
          <w:szCs w:val="20"/>
          <w:color w:val="auto"/>
        </w:rPr>
      </w:pPr>
    </w:p>
    <w:p>
      <w:pPr>
        <w:ind w:left="640" w:hanging="632"/>
        <w:spacing w:after="0"/>
        <w:tabs>
          <w:tab w:leader="none" w:pos="640" w:val="left"/>
        </w:tabs>
        <w:numPr>
          <w:ilvl w:val="0"/>
          <w:numId w:val="8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TRANSFERABILITY</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010000"/>
        </w:rPr>
        <w:t xml:space="preserve">14.1. </w:t>
      </w:r>
      <w:r>
        <w:rPr>
          <w:rFonts w:ascii="Times New Roman" w:cs="Times New Roman" w:eastAsia="Times New Roman" w:hAnsi="Times New Roman"/>
          <w:sz w:val="20"/>
          <w:szCs w:val="20"/>
          <w:u w:val="single" w:color="auto"/>
          <w:color w:val="000000"/>
        </w:rPr>
        <w:t>Transfer Generally</w:t>
      </w:r>
      <w:r>
        <w:rPr>
          <w:rFonts w:ascii="Times New Roman" w:cs="Times New Roman" w:eastAsia="Times New Roman" w:hAnsi="Times New Roman"/>
          <w:sz w:val="20"/>
          <w:szCs w:val="20"/>
          <w:color w:val="000000"/>
        </w:rPr>
        <w:t>. Unless determined otherwise by the Committee or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14.2</w:t>
      </w:r>
      <w:r>
        <w:rPr>
          <w:rFonts w:ascii="Times New Roman" w:cs="Times New Roman" w:eastAsia="Times New Roman" w:hAnsi="Times New Roman"/>
          <w:sz w:val="20"/>
          <w:szCs w:val="20"/>
          <w:color w:val="000000"/>
        </w:rPr>
        <w:t>, an Award may not be sold,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173" w:lineRule="exact"/>
        <w:rPr>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PRIVILEGES OF STOCK OWNERSHIP; RESTRICTIONS ON SHARES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b w:val="1"/>
          <w:bCs w:val="1"/>
          <w:color w:val="010000"/>
        </w:rPr>
        <w:t xml:space="preserve">15.1. </w:t>
      </w:r>
      <w:r>
        <w:rPr>
          <w:rFonts w:ascii="Times New Roman" w:cs="Times New Roman" w:eastAsia="Times New Roman" w:hAnsi="Times New Roman"/>
          <w:sz w:val="20"/>
          <w:szCs w:val="20"/>
          <w:u w:val="single" w:color="auto"/>
          <w:color w:val="000000"/>
        </w:rPr>
        <w:t>Voting and Dividends</w:t>
      </w:r>
      <w:r>
        <w:rPr>
          <w:rFonts w:ascii="Times New Roman" w:cs="Times New Roman" w:eastAsia="Times New Roman" w:hAnsi="Times New Roman"/>
          <w:sz w:val="20"/>
          <w:szCs w:val="20"/>
          <w:color w:val="000000"/>
        </w:rPr>
        <w:t>. No Participant will have any of the rights of a stockholder with respect to any Shares until the Shares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are issued to the Participant, except for any Dividend Equivalent Rights permitted by an applicable Award Agreement. Any Dividend Equivalent Rights shall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xml:space="preserve">, that the Participant will have no right to retain such stock dividends or stock distributions with respect to Shares that are repurchased at the Participant’s Purchase Price or Exercise Price, as the case may be, pursuant to </w:t>
      </w:r>
      <w:r>
        <w:rPr>
          <w:rFonts w:ascii="Times New Roman" w:cs="Times New Roman" w:eastAsia="Times New Roman" w:hAnsi="Times New Roman"/>
          <w:sz w:val="20"/>
          <w:szCs w:val="20"/>
          <w:u w:val="single" w:color="auto"/>
          <w:color w:val="000000"/>
        </w:rPr>
        <w:t>Section 15.2</w:t>
      </w:r>
      <w:r>
        <w:rPr>
          <w:rFonts w:ascii="Times New Roman" w:cs="Times New Roman" w:eastAsia="Times New Roman" w:hAnsi="Times New Roman"/>
          <w:sz w:val="20"/>
          <w:szCs w:val="20"/>
          <w:color w:val="000000"/>
        </w:rPr>
        <w:t>.</w:t>
      </w:r>
    </w:p>
    <w:p>
      <w:pPr>
        <w:spacing w:after="0" w:line="1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15.2. </w:t>
      </w:r>
      <w:r>
        <w:rPr>
          <w:rFonts w:ascii="Times New Roman" w:cs="Times New Roman" w:eastAsia="Times New Roman" w:hAnsi="Times New Roman"/>
          <w:sz w:val="20"/>
          <w:szCs w:val="20"/>
          <w:u w:val="single" w:color="auto"/>
          <w:color w:val="000000"/>
        </w:rPr>
        <w:t>Restrictions on Shares</w:t>
      </w:r>
      <w:r>
        <w:rPr>
          <w:rFonts w:ascii="Times New Roman" w:cs="Times New Roman" w:eastAsia="Times New Roman" w:hAnsi="Times New Roman"/>
          <w:sz w:val="20"/>
          <w:szCs w:val="20"/>
          <w:color w:val="000000"/>
        </w:rPr>
        <w:t>. At the discretion of the Committee, the Company may reserve to itself and/or its assignee(s) a right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repurchase (a “</w:t>
      </w:r>
      <w:r>
        <w:rPr>
          <w:rFonts w:ascii="Times New Roman" w:cs="Times New Roman" w:eastAsia="Times New Roman" w:hAnsi="Times New Roman"/>
          <w:sz w:val="20"/>
          <w:szCs w:val="20"/>
          <w:b w:val="1"/>
          <w:bCs w:val="1"/>
          <w:i w:val="1"/>
          <w:iCs w:val="1"/>
          <w:color w:val="000000"/>
        </w:rPr>
        <w:t>Right of Repurchase</w:t>
      </w:r>
      <w:r>
        <w:rPr>
          <w:rFonts w:ascii="Times New Roman" w:cs="Times New Roman" w:eastAsia="Times New Roman" w:hAnsi="Times New Roman"/>
          <w:sz w:val="20"/>
          <w:szCs w:val="20"/>
          <w:color w:val="000000"/>
        </w:rPr>
        <w:t>”) a portion of any 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3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71" w:lineRule="exact"/>
        <w:rPr>
          <w:sz w:val="20"/>
          <w:szCs w:val="20"/>
          <w:color w:val="auto"/>
        </w:rPr>
      </w:pPr>
    </w:p>
    <w:p>
      <w:pPr>
        <w:jc w:val="both"/>
        <w:ind w:firstLine="8"/>
        <w:spacing w:after="0" w:line="235" w:lineRule="auto"/>
        <w:tabs>
          <w:tab w:leader="none" w:pos="639" w:val="left"/>
        </w:tabs>
        <w:numPr>
          <w:ilvl w:val="0"/>
          <w:numId w:val="8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CERTIFICATES</w:t>
      </w:r>
      <w:r>
        <w:rPr>
          <w:rFonts w:ascii="Times New Roman" w:cs="Times New Roman" w:eastAsia="Times New Roman" w:hAnsi="Times New Roman"/>
          <w:sz w:val="20"/>
          <w:szCs w:val="20"/>
          <w:color w:val="auto"/>
        </w:rPr>
        <w:t>. All Shares or other securities whether or not certificated, delivered under this Plan will be subject to such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56" w:lineRule="exact"/>
        <w:rPr>
          <w:rFonts w:ascii="Times New Roman" w:cs="Times New Roman" w:eastAsia="Times New Roman" w:hAnsi="Times New Roman"/>
          <w:sz w:val="20"/>
          <w:szCs w:val="20"/>
          <w:b w:val="1"/>
          <w:bCs w:val="1"/>
          <w:color w:val="010000"/>
        </w:rPr>
      </w:pPr>
    </w:p>
    <w:p>
      <w:pPr>
        <w:jc w:val="both"/>
        <w:ind w:firstLine="8"/>
        <w:spacing w:after="0" w:line="229" w:lineRule="auto"/>
        <w:tabs>
          <w:tab w:leader="none" w:pos="639" w:val="left"/>
        </w:tabs>
        <w:numPr>
          <w:ilvl w:val="0"/>
          <w:numId w:val="8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ESCROW; PLEDGE OF SHARES</w:t>
      </w:r>
      <w:r>
        <w:rPr>
          <w:rFonts w:ascii="Times New Roman" w:cs="Times New Roman" w:eastAsia="Times New Roman" w:hAnsi="Times New Roman"/>
          <w:sz w:val="20"/>
          <w:szCs w:val="20"/>
          <w:color w:val="auto"/>
        </w:rPr>
        <w:t>. To enforce any restrictions on a Participant’s Shares, the Committee may require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74" w:lineRule="exact"/>
        <w:rPr>
          <w:rFonts w:ascii="Times New Roman" w:cs="Times New Roman" w:eastAsia="Times New Roman" w:hAnsi="Times New Roman"/>
          <w:sz w:val="20"/>
          <w:szCs w:val="20"/>
          <w:b w:val="1"/>
          <w:bCs w:val="1"/>
          <w:color w:val="010000"/>
        </w:rPr>
      </w:pPr>
    </w:p>
    <w:p>
      <w:pPr>
        <w:jc w:val="both"/>
        <w:ind w:firstLine="8"/>
        <w:spacing w:after="0" w:line="232" w:lineRule="auto"/>
        <w:tabs>
          <w:tab w:leader="none" w:pos="639" w:val="left"/>
        </w:tabs>
        <w:numPr>
          <w:ilvl w:val="0"/>
          <w:numId w:val="8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REPRICING; EXCHANGE AND BUYOUT OF AWARDS</w:t>
      </w:r>
      <w:r>
        <w:rPr>
          <w:rFonts w:ascii="Times New Roman" w:cs="Times New Roman" w:eastAsia="Times New Roman" w:hAnsi="Times New Roman"/>
          <w:sz w:val="20"/>
          <w:szCs w:val="20"/>
          <w:color w:val="auto"/>
        </w:rPr>
        <w:t>. The repricing of Options or SARs, including pursuant to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Exchange Program, is not permitted without prior stockholder approval. Provided that stockholder approval is first obtained, the Committee may (a) reprice 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of the Plan), pay cash or issue new Awards in exchange for the surrender and cancellation of any, or all, outstanding Awards, including pursuant to an Exchange Program.</w:t>
      </w:r>
    </w:p>
    <w:p>
      <w:pPr>
        <w:spacing w:after="0" w:line="171" w:lineRule="exact"/>
        <w:rPr>
          <w:rFonts w:ascii="Times New Roman" w:cs="Times New Roman" w:eastAsia="Times New Roman" w:hAnsi="Times New Roman"/>
          <w:sz w:val="20"/>
          <w:szCs w:val="20"/>
          <w:b w:val="1"/>
          <w:bCs w:val="1"/>
          <w:color w:val="010000"/>
        </w:rPr>
      </w:pPr>
    </w:p>
    <w:p>
      <w:pPr>
        <w:jc w:val="both"/>
        <w:ind w:firstLine="8"/>
        <w:spacing w:after="0" w:line="230" w:lineRule="auto"/>
        <w:tabs>
          <w:tab w:leader="none" w:pos="639" w:val="left"/>
        </w:tabs>
        <w:numPr>
          <w:ilvl w:val="0"/>
          <w:numId w:val="8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SECURITIES LAW AND OTHER REGULATORY COMPLIANCE</w:t>
      </w:r>
      <w:r>
        <w:rPr>
          <w:rFonts w:ascii="Times New Roman" w:cs="Times New Roman" w:eastAsia="Times New Roman" w:hAnsi="Times New Roman"/>
          <w:sz w:val="20"/>
          <w:szCs w:val="20"/>
          <w:color w:val="auto"/>
        </w:rPr>
        <w:t>. An Award will not be effective unless such Award is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with all applicable U.S. and foreign federal and state securities and exchange control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307" w:lineRule="exact"/>
        <w:rPr>
          <w:sz w:val="20"/>
          <w:szCs w:val="20"/>
          <w:color w:val="auto"/>
        </w:rPr>
      </w:pPr>
    </w:p>
    <w:p>
      <w:pPr>
        <w:jc w:val="both"/>
        <w:ind w:firstLine="8"/>
        <w:spacing w:after="0" w:line="237" w:lineRule="auto"/>
        <w:tabs>
          <w:tab w:leader="none" w:pos="639" w:val="left"/>
        </w:tabs>
        <w:numPr>
          <w:ilvl w:val="0"/>
          <w:numId w:val="8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OBLIGATION TO EMPLOY</w:t>
      </w:r>
      <w:r>
        <w:rPr>
          <w:rFonts w:ascii="Times New Roman" w:cs="Times New Roman" w:eastAsia="Times New Roman" w:hAnsi="Times New Roman"/>
          <w:sz w:val="20"/>
          <w:szCs w:val="20"/>
          <w:color w:val="auto"/>
        </w:rPr>
        <w:t>. Nothing in this Plan or any Award granted under this Plan will confer or be deemed to confer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71" w:lineRule="exact"/>
        <w:rPr>
          <w:rFonts w:ascii="Times New Roman" w:cs="Times New Roman" w:eastAsia="Times New Roman" w:hAnsi="Times New Roman"/>
          <w:sz w:val="20"/>
          <w:szCs w:val="20"/>
          <w:b w:val="1"/>
          <w:bCs w:val="1"/>
          <w:color w:val="010000"/>
        </w:rPr>
      </w:pPr>
    </w:p>
    <w:p>
      <w:pPr>
        <w:ind w:left="640" w:hanging="632"/>
        <w:spacing w:after="0"/>
        <w:tabs>
          <w:tab w:leader="none" w:pos="640" w:val="left"/>
        </w:tabs>
        <w:numPr>
          <w:ilvl w:val="0"/>
          <w:numId w:val="8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CORPORATE TRANSACTIONS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b w:val="1"/>
          <w:bCs w:val="1"/>
          <w:color w:val="010000"/>
        </w:rPr>
        <w:t xml:space="preserve">21.1. </w:t>
      </w:r>
      <w:r>
        <w:rPr>
          <w:rFonts w:ascii="Times New Roman" w:cs="Times New Roman" w:eastAsia="Times New Roman" w:hAnsi="Times New Roman"/>
          <w:sz w:val="20"/>
          <w:szCs w:val="20"/>
          <w:u w:val="single" w:color="auto"/>
          <w:color w:val="000000"/>
        </w:rPr>
        <w:t>Assumption or Replacement of Awards by Successor</w:t>
      </w:r>
      <w:r>
        <w:rPr>
          <w:rFonts w:ascii="Times New Roman" w:cs="Times New Roman" w:eastAsia="Times New Roman" w:hAnsi="Times New Roman"/>
          <w:sz w:val="20"/>
          <w:szCs w:val="20"/>
          <w:color w:val="000000"/>
        </w:rPr>
        <w:t>. In the event of a Corporate Transaction any or all outstanding Awards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may be assumed or replaced by the successor corporation, which assumption or replacement shall be binding on all Participants. In the alternative, the successor corporation may substitute equivalent Awards or provide substantially similar consideration to Participants as was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provided to stockholders (after taking into account the existing provisions of the Awards). The successor corporation may also issue, in place of outstanding Shares of the Company held by the Participant, substantially similar Shares or other property subject to repurchase restrictions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no less favorable to the Participant. In the event such successor or acquiring corporation (if any) refuses to assume, convert, replace or substitute Awards, as provided above, pursuant to a Corporate Transaction, then notwithstanding any other provision in this Plan to the contrary, such Awards will expire on such transaction at such time and on such conditions as the Board will determine; the Board (or, the Committee, if so designated by the Board) may, in its sole discretion, accelerate the vesting of such Awards in connection with a Corporate Transaction. In addition, in the event such successor or acquiring corporation (if any) refuses to assume, convert, replace or substitute Awards, as provided above, pursuant to a Corporate Transaction, the Committee will notify the Participant in writing or electronically that such Award will be exercisable for a period of time determined by the Committee in its sole discretion, and such Award will terminate upon the expiration of such period. Awards need not be treated similarly in a Corporate Transaction.</w:t>
      </w:r>
    </w:p>
    <w:p>
      <w:pPr>
        <w:spacing w:after="0" w:line="17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b w:val="1"/>
          <w:bCs w:val="1"/>
          <w:color w:val="010000"/>
        </w:rPr>
        <w:t xml:space="preserve">21.2. </w:t>
      </w:r>
      <w:r>
        <w:rPr>
          <w:rFonts w:ascii="Times New Roman" w:cs="Times New Roman" w:eastAsia="Times New Roman" w:hAnsi="Times New Roman"/>
          <w:sz w:val="20"/>
          <w:szCs w:val="20"/>
          <w:u w:val="single" w:color="auto"/>
          <w:color w:val="000000"/>
        </w:rPr>
        <w:t>Assumption of Awards by the Company</w:t>
      </w:r>
      <w:r>
        <w:rPr>
          <w:rFonts w:ascii="Times New Roman" w:cs="Times New Roman" w:eastAsia="Times New Roman" w:hAnsi="Times New Roman"/>
          <w:sz w:val="20"/>
          <w:szCs w:val="20"/>
          <w:color w:val="000000"/>
        </w:rPr>
        <w:t>. The Company, from time to time, also may substitute or assume outstanding awards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cs="Times New Roman" w:eastAsia="Times New Roman" w:hAnsi="Times New Roman"/>
          <w:sz w:val="20"/>
          <w:szCs w:val="20"/>
          <w:u w:val="single" w:color="auto"/>
          <w:color w:val="000000"/>
        </w:rPr>
        <w:t>except</w:t>
      </w:r>
      <w:r>
        <w:rPr>
          <w:rFonts w:ascii="Times New Roman" w:cs="Times New Roman" w:eastAsia="Times New Roman" w:hAnsi="Times New Roman"/>
          <w:sz w:val="20"/>
          <w:szCs w:val="20"/>
          <w:color w:val="000000"/>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shall not reduce the number of Shares authorized for grant under the Plan or authorized for grant to a Participant in a calendar year.</w:t>
      </w:r>
    </w:p>
    <w:p>
      <w:pPr>
        <w:spacing w:after="0" w:line="17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21.3. </w:t>
      </w:r>
      <w:r>
        <w:rPr>
          <w:rFonts w:ascii="Times New Roman" w:cs="Times New Roman" w:eastAsia="Times New Roman" w:hAnsi="Times New Roman"/>
          <w:sz w:val="20"/>
          <w:szCs w:val="20"/>
          <w:u w:val="single" w:color="auto"/>
          <w:color w:val="000000"/>
        </w:rPr>
        <w:t>Non-Employee Directors’ Awards</w:t>
      </w:r>
      <w:r>
        <w:rPr>
          <w:rFonts w:ascii="Times New Roman" w:cs="Times New Roman" w:eastAsia="Times New Roman" w:hAnsi="Times New Roman"/>
          <w:sz w:val="20"/>
          <w:szCs w:val="20"/>
          <w:color w:val="000000"/>
        </w:rPr>
        <w:t>. Notwithstanding any provision to the contrary herein, in the event of a Corporate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Transaction, the vesting of all Awards granted to Non-Employee Directors shall accelerate and such Awards shall become exercisable (as applicable) in full prior to the consummation of such event at such times and on such conditions as the Committee determines.</w:t>
      </w:r>
    </w:p>
    <w:p>
      <w:pPr>
        <w:spacing w:after="0" w:line="168" w:lineRule="exact"/>
        <w:rPr>
          <w:sz w:val="20"/>
          <w:szCs w:val="20"/>
          <w:color w:val="auto"/>
        </w:rPr>
      </w:pPr>
    </w:p>
    <w:p>
      <w:pPr>
        <w:ind w:right="20" w:firstLine="8"/>
        <w:spacing w:after="0" w:line="259" w:lineRule="auto"/>
        <w:tabs>
          <w:tab w:leader="none" w:pos="639" w:val="left"/>
        </w:tabs>
        <w:numPr>
          <w:ilvl w:val="0"/>
          <w:numId w:val="8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ADOPTION AND STOCKHOLDER APPROVAL</w:t>
      </w:r>
      <w:r>
        <w:rPr>
          <w:rFonts w:ascii="Times New Roman" w:cs="Times New Roman" w:eastAsia="Times New Roman" w:hAnsi="Times New Roman"/>
          <w:sz w:val="20"/>
          <w:szCs w:val="20"/>
          <w:color w:val="auto"/>
        </w:rPr>
        <w:t>. This Plan shall be submitted for the approval of the Company’s stockholders,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consistent with applicable laws, within twelve (12) months before or after the date this Plan is adopted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307" w:lineRule="exact"/>
        <w:rPr>
          <w:sz w:val="20"/>
          <w:szCs w:val="20"/>
          <w:color w:val="auto"/>
        </w:rPr>
      </w:pPr>
    </w:p>
    <w:p>
      <w:pPr>
        <w:jc w:val="both"/>
        <w:ind w:firstLine="8"/>
        <w:spacing w:after="0" w:line="237" w:lineRule="auto"/>
        <w:tabs>
          <w:tab w:leader="none" w:pos="639" w:val="left"/>
        </w:tabs>
        <w:numPr>
          <w:ilvl w:val="0"/>
          <w:numId w:val="8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 OF PLAN/GOVERNING LAW</w:t>
      </w:r>
      <w:r>
        <w:rPr>
          <w:rFonts w:ascii="Times New Roman" w:cs="Times New Roman" w:eastAsia="Times New Roman" w:hAnsi="Times New Roman"/>
          <w:sz w:val="20"/>
          <w:szCs w:val="20"/>
          <w:color w:val="auto"/>
        </w:rPr>
        <w:t>. This Plan originally become effective on the Original Effective Date. Unless earlier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as provided herein, this Plan will become effective on the Effective Date and will terminate ten (10) years from January 12, 2017, the date this Plan, prior to its amendment and restatement, was originally adopted by the Board. This Plan and all Awards granted hereunder shall be governed by and construed in accordance with the laws of the State of Delaware (excluding its conflict of law rules).</w:t>
      </w:r>
    </w:p>
    <w:p>
      <w:pPr>
        <w:spacing w:after="0" w:line="171" w:lineRule="exact"/>
        <w:rPr>
          <w:rFonts w:ascii="Times New Roman" w:cs="Times New Roman" w:eastAsia="Times New Roman" w:hAnsi="Times New Roman"/>
          <w:sz w:val="20"/>
          <w:szCs w:val="20"/>
          <w:b w:val="1"/>
          <w:bCs w:val="1"/>
          <w:color w:val="010000"/>
        </w:rPr>
      </w:pPr>
    </w:p>
    <w:p>
      <w:pPr>
        <w:jc w:val="both"/>
        <w:ind w:firstLine="8"/>
        <w:spacing w:after="0" w:line="229" w:lineRule="auto"/>
        <w:tabs>
          <w:tab w:leader="none" w:pos="639" w:val="left"/>
        </w:tabs>
        <w:numPr>
          <w:ilvl w:val="0"/>
          <w:numId w:val="8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AMENDMENT OR TERMINATION OF PLAN</w:t>
      </w:r>
      <w:r>
        <w:rPr>
          <w:rFonts w:ascii="Times New Roman" w:cs="Times New Roman" w:eastAsia="Times New Roman" w:hAnsi="Times New Roman"/>
          <w:sz w:val="20"/>
          <w:szCs w:val="20"/>
          <w:color w:val="auto"/>
        </w:rPr>
        <w:t>. The Board may at any time terminate or amend this Plan in any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including, without limitation, amendment of any form of Award Agreement or instrument to be executed pursuant to this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Board will not, without the approval of the stockholders of the Company, amend this Plan in any manner that requires such stockholder approval;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adversely affect any then outstanding Award without the consent of the Participant, unless such termination or amendment is necessary to comply with applicable law, regulation or rule.</w:t>
      </w:r>
    </w:p>
    <w:p>
      <w:pPr>
        <w:spacing w:after="0" w:line="175" w:lineRule="exact"/>
        <w:rPr>
          <w:rFonts w:ascii="Times New Roman" w:cs="Times New Roman" w:eastAsia="Times New Roman" w:hAnsi="Times New Roman"/>
          <w:sz w:val="20"/>
          <w:szCs w:val="20"/>
          <w:b w:val="1"/>
          <w:bCs w:val="1"/>
          <w:color w:val="010000"/>
        </w:rPr>
      </w:pPr>
    </w:p>
    <w:p>
      <w:pPr>
        <w:jc w:val="both"/>
        <w:ind w:firstLine="8"/>
        <w:spacing w:after="0" w:line="235" w:lineRule="auto"/>
        <w:tabs>
          <w:tab w:leader="none" w:pos="639" w:val="left"/>
        </w:tabs>
        <w:numPr>
          <w:ilvl w:val="0"/>
          <w:numId w:val="8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NONEXCLUSIVITY OF THE PLAN</w:t>
      </w:r>
      <w:r>
        <w:rPr>
          <w:rFonts w:ascii="Times New Roman" w:cs="Times New Roman" w:eastAsia="Times New Roman" w:hAnsi="Times New Roman"/>
          <w:sz w:val="20"/>
          <w:szCs w:val="20"/>
          <w:color w:val="auto"/>
        </w:rPr>
        <w:t>. Neither the adoption of this Plan by the Board, the submission of this Plan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70" w:lineRule="exact"/>
        <w:rPr>
          <w:rFonts w:ascii="Times New Roman" w:cs="Times New Roman" w:eastAsia="Times New Roman" w:hAnsi="Times New Roman"/>
          <w:sz w:val="20"/>
          <w:szCs w:val="20"/>
          <w:b w:val="1"/>
          <w:bCs w:val="1"/>
          <w:color w:val="010000"/>
        </w:rPr>
      </w:pPr>
    </w:p>
    <w:p>
      <w:pPr>
        <w:ind w:firstLine="8"/>
        <w:spacing w:after="0" w:line="259" w:lineRule="auto"/>
        <w:tabs>
          <w:tab w:leader="none" w:pos="639" w:val="left"/>
        </w:tabs>
        <w:numPr>
          <w:ilvl w:val="0"/>
          <w:numId w:val="8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INSIDER TRADING POLICY</w:t>
      </w:r>
      <w:r>
        <w:rPr>
          <w:rFonts w:ascii="Times New Roman" w:cs="Times New Roman" w:eastAsia="Times New Roman" w:hAnsi="Times New Roman"/>
          <w:sz w:val="20"/>
          <w:szCs w:val="20"/>
          <w:color w:val="auto"/>
        </w:rPr>
        <w:t>. Each Participant who receives an Award shall comply with any policy adopted 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time to time covering transactions in the Company’s securities by Employees, officers and/or directors of the Company.</w:t>
      </w:r>
    </w:p>
    <w:p>
      <w:pPr>
        <w:spacing w:after="0" w:line="151" w:lineRule="exact"/>
        <w:rPr>
          <w:rFonts w:ascii="Times New Roman" w:cs="Times New Roman" w:eastAsia="Times New Roman" w:hAnsi="Times New Roman"/>
          <w:sz w:val="20"/>
          <w:szCs w:val="20"/>
          <w:b w:val="1"/>
          <w:bCs w:val="1"/>
          <w:color w:val="010000"/>
        </w:rPr>
      </w:pPr>
    </w:p>
    <w:p>
      <w:pPr>
        <w:jc w:val="both"/>
        <w:ind w:firstLine="8"/>
        <w:spacing w:after="0" w:line="235" w:lineRule="auto"/>
        <w:tabs>
          <w:tab w:leader="none" w:pos="639" w:val="left"/>
        </w:tabs>
        <w:numPr>
          <w:ilvl w:val="0"/>
          <w:numId w:val="8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ALL AWARDS SUBJECT TO COMPANY CLAWBACK OR RECOUPMENT POLICY</w:t>
      </w:r>
      <w:r>
        <w:rPr>
          <w:rFonts w:ascii="Times New Roman" w:cs="Times New Roman" w:eastAsia="Times New Roman" w:hAnsi="Times New Roman"/>
          <w:sz w:val="20"/>
          <w:szCs w:val="20"/>
          <w:color w:val="auto"/>
        </w:rPr>
        <w:t>. All Awards, subject to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 shall be subject to clawback or recoupment pursuant to any compensation clawback or recoupment policy adopted by the Board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70" w:lineRule="exact"/>
        <w:rPr>
          <w:rFonts w:ascii="Times New Roman" w:cs="Times New Roman" w:eastAsia="Times New Roman" w:hAnsi="Times New Roman"/>
          <w:sz w:val="20"/>
          <w:szCs w:val="20"/>
          <w:b w:val="1"/>
          <w:bCs w:val="1"/>
          <w:color w:val="010000"/>
        </w:rPr>
      </w:pPr>
    </w:p>
    <w:p>
      <w:pPr>
        <w:ind w:left="640" w:hanging="632"/>
        <w:spacing w:after="0"/>
        <w:tabs>
          <w:tab w:leader="none" w:pos="640" w:val="left"/>
        </w:tabs>
        <w:numPr>
          <w:ilvl w:val="0"/>
          <w:numId w:val="89"/>
        </w:numPr>
        <w:rPr>
          <w:rFonts w:ascii="Times New Roman" w:cs="Times New Roman" w:eastAsia="Times New Roman" w:hAnsi="Times New Roman"/>
          <w:sz w:val="19"/>
          <w:szCs w:val="19"/>
          <w:b w:val="1"/>
          <w:bCs w:val="1"/>
          <w:color w:val="010000"/>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As used in this Plan, and except as elsewhere defined herein, the following terms will have the following meanings:</w:t>
      </w:r>
    </w:p>
    <w:p>
      <w:pPr>
        <w:spacing w:after="0" w:line="21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28.1.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Affiliate</w:t>
      </w:r>
      <w:r>
        <w:rPr>
          <w:rFonts w:ascii="Times New Roman" w:cs="Times New Roman" w:eastAsia="Times New Roman" w:hAnsi="Times New Roman"/>
          <w:sz w:val="20"/>
          <w:szCs w:val="20"/>
          <w:color w:val="000000"/>
        </w:rPr>
        <w:t>” means (i) any entity that, directly or indirectly, is controlled by, controls or is under common control with,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Company and (ii) any entity in which the Company has a significant equity interest, in either case as determined by the Committee, whether now or hereafter existing.</w:t>
      </w:r>
    </w:p>
    <w:p>
      <w:pPr>
        <w:spacing w:after="0" w:line="168"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28.2.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Award</w:t>
      </w:r>
      <w:r>
        <w:rPr>
          <w:rFonts w:ascii="Times New Roman" w:cs="Times New Roman" w:eastAsia="Times New Roman" w:hAnsi="Times New Roman"/>
          <w:sz w:val="20"/>
          <w:szCs w:val="20"/>
          <w:color w:val="000000"/>
        </w:rPr>
        <w:t>” means any award under the Plan, including any Option, Restricted Stock, Stock Bonus, Stock Appreciation Right,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Restricted Stock Unit or award of Performance Shares.</w:t>
      </w:r>
    </w:p>
    <w:p>
      <w:pPr>
        <w:spacing w:after="0" w:line="15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010000"/>
        </w:rPr>
        <w:t xml:space="preserve">28.3.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Award Agreement</w:t>
      </w:r>
      <w:r>
        <w:rPr>
          <w:rFonts w:ascii="Times New Roman" w:cs="Times New Roman" w:eastAsia="Times New Roman" w:hAnsi="Times New Roman"/>
          <w:sz w:val="20"/>
          <w:szCs w:val="20"/>
          <w:color w:val="000000"/>
        </w:rPr>
        <w:t>” means, with respect to each Award, the written or electronic agreement between the Company and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 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3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28.4.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b w:val="1"/>
          <w:bCs w:val="1"/>
          <w:color w:val="010000"/>
        </w:rPr>
        <w:t xml:space="preserve">28.5. </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b w:val="1"/>
          <w:bCs w:val="1"/>
          <w:i w:val="1"/>
          <w:iCs w:val="1"/>
          <w:color w:val="000000"/>
        </w:rPr>
        <w:t>Cause</w:t>
      </w:r>
      <w:r>
        <w:rPr>
          <w:rFonts w:ascii="Times New Roman" w:cs="Times New Roman" w:eastAsia="Times New Roman" w:hAnsi="Times New Roman"/>
          <w:sz w:val="19"/>
          <w:szCs w:val="19"/>
          <w:color w:val="000000"/>
        </w:rPr>
        <w:t>” means the occurrence of any one or more of the following: (i) Participant’s commission of any crime involving</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fraud, dishonesty or moral turpitude; (ii) Participant’s attempted commission of or participation in a fraud or act of dishonesty against the Company that results in (or might have reasonably resulted in) material harm to the business of the Company; (iii) Participant’s intentional, material violation of any contract or agreement between Participant and the Company or any statutory duty Participant owes to the Company; or (iv) Participant’s conduct that constitutes gross insubordination, incompetence or habitual neglect of duties that results in (or might have reasonably resulted in) material harm to the business of the Company; provided, however, that the action or conduct described in clauses (iii) and (iv) above will constitute “Cause” only if such action or conduct continues after the Company has provided Participant with written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notice thereof and thirty (30) days to cure the same. The determination as to whether a Participant is being terminated for Cause shall be made in good faith by the Company and shall be final and binding on the Participant. The foregoing definition does not in any way limit the</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Company’s ability to terminate a Participant’s employment or consulting relationship at any time as provided in </w:t>
      </w:r>
      <w:r>
        <w:rPr>
          <w:rFonts w:ascii="Times New Roman" w:cs="Times New Roman" w:eastAsia="Times New Roman" w:hAnsi="Times New Roman"/>
          <w:sz w:val="20"/>
          <w:szCs w:val="20"/>
          <w:u w:val="single" w:color="auto"/>
          <w:color w:val="auto"/>
        </w:rPr>
        <w:t>Section 20</w:t>
      </w:r>
      <w:r>
        <w:rPr>
          <w:rFonts w:ascii="Times New Roman" w:cs="Times New Roman" w:eastAsia="Times New Roman" w:hAnsi="Times New Roman"/>
          <w:sz w:val="20"/>
          <w:szCs w:val="20"/>
          <w:color w:val="auto"/>
        </w:rPr>
        <w:t xml:space="preserve"> above, and the term “Company” will be interpreted to include any Subsidiary or Parent, as appropriate. Notwithstanding the foregoing, the foregoing definition of “Cause” may, in part or in whole, be modified or replaced in each individual employment agreement or Award Agreement with any Participant, provided that such document supersedes the definition provided in this </w:t>
      </w:r>
      <w:r>
        <w:rPr>
          <w:rFonts w:ascii="Times New Roman" w:cs="Times New Roman" w:eastAsia="Times New Roman" w:hAnsi="Times New Roman"/>
          <w:sz w:val="20"/>
          <w:szCs w:val="20"/>
          <w:u w:val="single" w:color="auto"/>
          <w:color w:val="auto"/>
        </w:rPr>
        <w:t>Section 28.6</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28.6.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United States Internal Revenue Code of 1986, as amended, and the regulations promulgated thereunder.</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28.7.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Committee</w:t>
      </w:r>
      <w:r>
        <w:rPr>
          <w:rFonts w:ascii="Times New Roman" w:cs="Times New Roman" w:eastAsia="Times New Roman" w:hAnsi="Times New Roman"/>
          <w:sz w:val="20"/>
          <w:szCs w:val="20"/>
          <w:color w:val="000000"/>
        </w:rPr>
        <w:t>” means the Compensation Committee of the Board or those persons to whom administration of the Plan, or part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 the Plan, has been delegated as permitted by law.</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28.8.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means the common stock of the Company.</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28.9.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AnaptysBio, Inc. or any successor corporation.</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28.10.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Consultant</w:t>
      </w:r>
      <w:r>
        <w:rPr>
          <w:rFonts w:ascii="Times New Roman" w:cs="Times New Roman" w:eastAsia="Times New Roman" w:hAnsi="Times New Roman"/>
          <w:sz w:val="20"/>
          <w:szCs w:val="20"/>
          <w:color w:val="000000"/>
        </w:rPr>
        <w:t>” means any natural person, including an advisor or independent contractor, engaged by the Company or a</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Parent, Subsidiary or Affiliate to render services to such entity.</w:t>
      </w:r>
    </w:p>
    <w:p>
      <w:pPr>
        <w:spacing w:after="0" w:line="15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b w:val="1"/>
          <w:bCs w:val="1"/>
          <w:color w:val="010000"/>
        </w:rPr>
        <w:t xml:space="preserve">28.11.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Corporate Transaction</w:t>
      </w:r>
      <w:r>
        <w:rPr>
          <w:rFonts w:ascii="Times New Roman" w:cs="Times New Roman" w:eastAsia="Times New Roman" w:hAnsi="Times New Roman"/>
          <w:sz w:val="20"/>
          <w:szCs w:val="20"/>
          <w:color w:val="000000"/>
        </w:rPr>
        <w:t>” means the occurrence of any of the following events: (a) any “Person” (as such term is used in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3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Section 409A, as it has been and may be amended from time to time, and any proposed or final Treasury Regulations and IRS guidance that has been promulgated or may be promulgated thereunder from time to time.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28.12.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Director</w:t>
      </w:r>
      <w:r>
        <w:rPr>
          <w:rFonts w:ascii="Times New Roman" w:cs="Times New Roman" w:eastAsia="Times New Roman" w:hAnsi="Times New Roman"/>
          <w:sz w:val="20"/>
          <w:szCs w:val="20"/>
          <w:color w:val="000000"/>
        </w:rPr>
        <w:t>” means a member of the Board.</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010000"/>
        </w:rPr>
        <w:t xml:space="preserve">28.13.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Disability</w:t>
      </w:r>
      <w:r>
        <w:rPr>
          <w:rFonts w:ascii="Times New Roman" w:cs="Times New Roman" w:eastAsia="Times New Roman" w:hAnsi="Times New Roman"/>
          <w:sz w:val="20"/>
          <w:szCs w:val="20"/>
          <w:color w:val="000000"/>
        </w:rPr>
        <w:t>” means in the case of incentive stock options, total and permanent disability as defined in Section 22(e)(3) of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28.14.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Dividend Equivalent Right”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means the right of a Participant, granted at the discretion of the Committee or as otherwise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provided by the Plan, to receive a credit for the account of such Participant in an amount equal to the cash, stock or other property dividends in amounts equal equivalent to cash, stock or other property dividends for each Share represented by an Award held by such Participant.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28.15.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Effective Date</w:t>
      </w:r>
      <w:r>
        <w:rPr>
          <w:rFonts w:ascii="Times New Roman" w:cs="Times New Roman" w:eastAsia="Times New Roman" w:hAnsi="Times New Roman"/>
          <w:sz w:val="20"/>
          <w:szCs w:val="20"/>
          <w:color w:val="000000"/>
        </w:rPr>
        <w:t>” means the date this Plan is approved by the stockholders of the Company (which shall be within twelve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 months of the approval of this Plan by the Board).</w:t>
      </w:r>
    </w:p>
    <w:p>
      <w:pPr>
        <w:spacing w:after="0" w:line="1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28.16.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Employee</w:t>
      </w:r>
      <w:r>
        <w:rPr>
          <w:rFonts w:ascii="Times New Roman" w:cs="Times New Roman" w:eastAsia="Times New Roman" w:hAnsi="Times New Roman"/>
          <w:sz w:val="20"/>
          <w:szCs w:val="20"/>
          <w:color w:val="000000"/>
        </w:rPr>
        <w:t>” means any person, including Officers and Directors, providing services as an employee to the Company or any</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Parent, Subsidiary or Affiliate. Neither service as a Director nor payment of a director’s fee by the Company will be sufficient to constitute “employment” by the Company.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28.17.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Exchange Act</w:t>
      </w:r>
      <w:r>
        <w:rPr>
          <w:rFonts w:ascii="Times New Roman" w:cs="Times New Roman" w:eastAsia="Times New Roman" w:hAnsi="Times New Roman"/>
          <w:sz w:val="20"/>
          <w:szCs w:val="20"/>
          <w:color w:val="000000"/>
        </w:rPr>
        <w:t>” means the United States Securities Exchange Act of 1934, as amended.</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28.18.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Exchange Program</w:t>
      </w:r>
      <w:r>
        <w:rPr>
          <w:rFonts w:ascii="Times New Roman" w:cs="Times New Roman" w:eastAsia="Times New Roman" w:hAnsi="Times New Roman"/>
          <w:sz w:val="20"/>
          <w:szCs w:val="20"/>
          <w:color w:val="000000"/>
        </w:rPr>
        <w:t>” means a program pursuant to which (a) outstanding Awards are surrendered, cancelled or exchanged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for cash, the same type of Award or a different Award (or combination thereof) or (b) the Exercise Price of an outstanding Award is increased or reduced.</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28.19.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Exercise Price</w:t>
      </w:r>
      <w:r>
        <w:rPr>
          <w:rFonts w:ascii="Times New Roman" w:cs="Times New Roman" w:eastAsia="Times New Roman" w:hAnsi="Times New Roman"/>
          <w:sz w:val="20"/>
          <w:szCs w:val="20"/>
          <w:color w:val="000000"/>
        </w:rPr>
        <w:t>” means, with respect to an Option, the price at which a holder may purchase the Shares issuable upon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exercise of an Option and with respect to a SAR, the price at which the SAR is granted to the holder thereof.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28.20.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Fair Market Value</w:t>
      </w:r>
      <w:r>
        <w:rPr>
          <w:rFonts w:ascii="Times New Roman" w:cs="Times New Roman" w:eastAsia="Times New Roman" w:hAnsi="Times New Roman"/>
          <w:sz w:val="20"/>
          <w:szCs w:val="20"/>
          <w:color w:val="000000"/>
        </w:rPr>
        <w:t>” means, as of any date, the value of a Share of the Company’s Common Stock determined as follows:</w:t>
      </w:r>
    </w:p>
    <w:p>
      <w:pPr>
        <w:spacing w:after="0" w:line="206" w:lineRule="exact"/>
        <w:rPr>
          <w:sz w:val="20"/>
          <w:szCs w:val="20"/>
          <w:color w:val="auto"/>
        </w:rPr>
      </w:pPr>
    </w:p>
    <w:p>
      <w:pPr>
        <w:jc w:val="both"/>
        <w:ind w:firstLine="1304"/>
        <w:spacing w:after="0"/>
        <w:tabs>
          <w:tab w:leader="none" w:pos="1934" w:val="left"/>
        </w:tabs>
        <w:numPr>
          <w:ilvl w:val="0"/>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20"/>
          <w:szCs w:val="20"/>
          <w:i w:val="1"/>
          <w:iCs w:val="1"/>
          <w:color w:val="auto"/>
        </w:rPr>
        <w:t xml:space="preserve">The Wall Street </w:t>
      </w:r>
      <w:r>
        <w:rPr>
          <w:rFonts w:ascii="Times New Roman" w:cs="Times New Roman" w:eastAsia="Times New Roman" w:hAnsi="Times New Roman"/>
          <w:sz w:val="20"/>
          <w:szCs w:val="20"/>
          <w:color w:val="auto"/>
        </w:rPr>
        <w:t>Journal or such other source as the Committee deems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311" w:lineRule="exact"/>
        <w:rPr>
          <w:sz w:val="20"/>
          <w:szCs w:val="20"/>
          <w:color w:val="auto"/>
        </w:rPr>
      </w:pPr>
    </w:p>
    <w:p>
      <w:pPr>
        <w:jc w:val="both"/>
        <w:ind w:firstLine="1304"/>
        <w:spacing w:after="0"/>
        <w:tabs>
          <w:tab w:leader="none" w:pos="1932"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Committee deems reliable; or</w:t>
      </w:r>
    </w:p>
    <w:p>
      <w:pPr>
        <w:spacing w:after="0" w:line="174"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the Board or the Committee in good faith.</w:t>
      </w:r>
    </w:p>
    <w:p>
      <w:pPr>
        <w:spacing w:after="0" w:line="1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28.21.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Insider</w:t>
      </w:r>
      <w:r>
        <w:rPr>
          <w:rFonts w:ascii="Times New Roman" w:cs="Times New Roman" w:eastAsia="Times New Roman" w:hAnsi="Times New Roman"/>
          <w:sz w:val="20"/>
          <w:szCs w:val="20"/>
          <w:color w:val="000000"/>
        </w:rPr>
        <w:t>” means an officer or Director of the Company or any other person whose transactions in the Company’s Common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Stock are subject to Section 16 of the Exchange Act.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28.22.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IRS</w:t>
      </w:r>
      <w:r>
        <w:rPr>
          <w:rFonts w:ascii="Times New Roman" w:cs="Times New Roman" w:eastAsia="Times New Roman" w:hAnsi="Times New Roman"/>
          <w:sz w:val="20"/>
          <w:szCs w:val="20"/>
          <w:color w:val="000000"/>
        </w:rPr>
        <w:t>” means the United States Internal Revenue Service.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28.23.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Non-Employee Director</w:t>
      </w:r>
      <w:r>
        <w:rPr>
          <w:rFonts w:ascii="Times New Roman" w:cs="Times New Roman" w:eastAsia="Times New Roman" w:hAnsi="Times New Roman"/>
          <w:sz w:val="20"/>
          <w:szCs w:val="20"/>
          <w:color w:val="000000"/>
        </w:rPr>
        <w:t>” means a Director who is not an Employee of the Company or any Parent or Subsidiary.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28.24.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Option</w:t>
      </w:r>
      <w:r>
        <w:rPr>
          <w:rFonts w:ascii="Times New Roman" w:cs="Times New Roman" w:eastAsia="Times New Roman" w:hAnsi="Times New Roman"/>
          <w:sz w:val="20"/>
          <w:szCs w:val="20"/>
          <w:color w:val="000000"/>
        </w:rPr>
        <w:t>” means an Award of an option to purchase Shares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5</w:t>
      </w:r>
      <w:r>
        <w:rPr>
          <w:rFonts w:ascii="Times New Roman" w:cs="Times New Roman" w:eastAsia="Times New Roman" w:hAnsi="Times New Roman"/>
          <w:sz w:val="20"/>
          <w:szCs w:val="20"/>
          <w:color w:val="000000"/>
        </w:rPr>
        <w:t>.</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28.25.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Original Effective Date</w:t>
      </w:r>
      <w:r>
        <w:rPr>
          <w:rFonts w:ascii="Times New Roman" w:cs="Times New Roman" w:eastAsia="Times New Roman" w:hAnsi="Times New Roman"/>
          <w:sz w:val="20"/>
          <w:szCs w:val="20"/>
          <w:color w:val="000000"/>
        </w:rPr>
        <w:t>” means January 24, 2017, the day immediately prior to the date of the underwritten initial public</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offering of the Company’s Common Stock pursuant to a registration statement that is declared effective by the SEC.</w:t>
      </w:r>
    </w:p>
    <w:p>
      <w:pPr>
        <w:spacing w:after="0" w:line="152"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28.26.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Parent</w:t>
      </w:r>
      <w:r>
        <w:rPr>
          <w:rFonts w:ascii="Times New Roman" w:cs="Times New Roman" w:eastAsia="Times New Roman" w:hAnsi="Times New Roman"/>
          <w:sz w:val="20"/>
          <w:szCs w:val="20"/>
          <w:color w:val="000000"/>
        </w:rPr>
        <w:t>” means any corporation (other than the Company) in an unbroken chain of corporations ending with the Company if</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each of such corporations other than the Company owns stock possessing fifty percent (50%) or more of the total combined voting power of all classes of stock in one of the other corporations in such chain.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28.27.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Participant</w:t>
      </w:r>
      <w:r>
        <w:rPr>
          <w:rFonts w:ascii="Times New Roman" w:cs="Times New Roman" w:eastAsia="Times New Roman" w:hAnsi="Times New Roman"/>
          <w:sz w:val="20"/>
          <w:szCs w:val="20"/>
          <w:color w:val="000000"/>
        </w:rPr>
        <w:t>” means a person who holds an Award under this Plan.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28.28.  </w:t>
      </w:r>
      <w:r>
        <w:rPr>
          <w:rFonts w:ascii="Times New Roman" w:cs="Times New Roman" w:eastAsia="Times New Roman" w:hAnsi="Times New Roman"/>
          <w:sz w:val="20"/>
          <w:szCs w:val="20"/>
          <w:i w:val="1"/>
          <w:iCs w:val="1"/>
          <w:color w:val="000000"/>
        </w:rPr>
        <w:t>“</w:t>
      </w:r>
      <w:r>
        <w:rPr>
          <w:rFonts w:ascii="Times New Roman" w:cs="Times New Roman" w:eastAsia="Times New Roman" w:hAnsi="Times New Roman"/>
          <w:sz w:val="20"/>
          <w:szCs w:val="20"/>
          <w:b w:val="1"/>
          <w:bCs w:val="1"/>
          <w:i w:val="1"/>
          <w:iCs w:val="1"/>
          <w:color w:val="000000"/>
        </w:rPr>
        <w:t>Performance Award</w:t>
      </w:r>
      <w:r>
        <w:rPr>
          <w:rFonts w:ascii="Times New Roman" w:cs="Times New Roman" w:eastAsia="Times New Roman" w:hAnsi="Times New Roman"/>
          <w:sz w:val="20"/>
          <w:szCs w:val="20"/>
          <w:i w:val="1"/>
          <w:i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means cash or Shares granted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10</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12</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 the Plan.</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010000"/>
        </w:rPr>
        <w:t xml:space="preserve">28.29. </w:t>
      </w:r>
      <w:r>
        <w:rPr>
          <w:rFonts w:ascii="Times New Roman" w:cs="Times New Roman" w:eastAsia="Times New Roman" w:hAnsi="Times New Roman"/>
          <w:sz w:val="20"/>
          <w:szCs w:val="20"/>
          <w:b w:val="1"/>
          <w:bCs w:val="1"/>
          <w:i w:val="1"/>
          <w:iCs w:val="1"/>
          <w:color w:val="000000"/>
        </w:rPr>
        <w:t>“Performance Factors”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means any of the factors selected by the Committee and specified in an Award Agreement, from</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among the following objective or subjective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72" w:lineRule="exact"/>
        <w:rPr>
          <w:sz w:val="20"/>
          <w:szCs w:val="20"/>
          <w:color w:val="auto"/>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Profit Before Tax;</w:t>
      </w:r>
    </w:p>
    <w:p>
      <w:pPr>
        <w:spacing w:after="0" w:line="22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Billings;</w:t>
      </w:r>
    </w:p>
    <w:p>
      <w:pPr>
        <w:spacing w:after="0" w:line="22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Revenue;</w:t>
      </w:r>
    </w:p>
    <w:p>
      <w:pPr>
        <w:spacing w:after="0" w:line="21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Net revenue;</w:t>
      </w:r>
    </w:p>
    <w:p>
      <w:pPr>
        <w:spacing w:after="0" w:line="229" w:lineRule="exact"/>
        <w:rPr>
          <w:rFonts w:ascii="Times New Roman" w:cs="Times New Roman" w:eastAsia="Times New Roman" w:hAnsi="Times New Roman"/>
          <w:sz w:val="20"/>
          <w:szCs w:val="20"/>
          <w:color w:val="010000"/>
        </w:rPr>
      </w:pPr>
    </w:p>
    <w:p>
      <w:pPr>
        <w:ind w:right="20" w:firstLine="1304"/>
        <w:spacing w:after="0" w:line="269" w:lineRule="auto"/>
        <w:tabs>
          <w:tab w:leader="none" w:pos="1934"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Earnings (which may include earnings before interest and taxes, earnings before taxes, net earnings, stock-based compensation expenses, depreciation and amortization);</w:t>
      </w:r>
    </w:p>
    <w:p>
      <w:pPr>
        <w:spacing w:after="0" w:line="17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71" w:name="page72"/>
    <w:bookmarkEnd w:id="71"/>
    <w:p>
      <w:pPr>
        <w:spacing w:after="0" w:line="311" w:lineRule="exact"/>
        <w:rPr>
          <w:sz w:val="20"/>
          <w:szCs w:val="20"/>
          <w:color w:val="auto"/>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Operating margin;</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Operating profit;</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Controllable operating profit, or net operating profit;</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Net Profit;</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Gross margin;</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Operating expenses or operating expenses as a percentage of revenue;</w:t>
      </w:r>
    </w:p>
    <w:p>
      <w:pPr>
        <w:spacing w:after="0" w:line="227" w:lineRule="exact"/>
        <w:rPr>
          <w:rFonts w:ascii="Times New Roman" w:cs="Times New Roman" w:eastAsia="Times New Roman" w:hAnsi="Times New Roman"/>
          <w:sz w:val="19"/>
          <w:szCs w:val="19"/>
          <w:color w:val="010000"/>
        </w:rPr>
      </w:pPr>
    </w:p>
    <w:p>
      <w:pPr>
        <w:ind w:left="880" w:hanging="696"/>
        <w:spacing w:after="0"/>
        <w:tabs>
          <w:tab w:leader="none" w:pos="88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Net income;</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Earnings per share;</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Total stockholder return;</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Market share;</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Return on assets or net assets;</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stock price;</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Growth in stockholder value relative to a pre-determined index;</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Return on equity;</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Return on invested capital;</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Cash Flow (including free cash flow or operating cash flows)</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Cash conversion cycle;</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Economic value added;</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Individual confidential business objectives;</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Contract awards or backlog;</w:t>
      </w:r>
    </w:p>
    <w:p>
      <w:pPr>
        <w:spacing w:after="0" w:line="229" w:lineRule="exact"/>
        <w:rPr>
          <w:sz w:val="20"/>
          <w:szCs w:val="20"/>
          <w:color w:val="auto"/>
        </w:rPr>
      </w:pPr>
    </w:p>
    <w:p>
      <w:pPr>
        <w:ind w:left="820" w:hanging="636"/>
        <w:spacing w:after="0"/>
        <w:tabs>
          <w:tab w:leader="none" w:pos="82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Overhead or other expense reduction;</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Credit rating;</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Strategic plan development and implementation;</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Succession plan development and implementation;</w:t>
      </w:r>
    </w:p>
    <w:p>
      <w:pPr>
        <w:spacing w:after="0" w:line="229"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Improvement in workforce diversity;</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Customer indicators and/or satisfaction;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9019"/>
          </w:cols>
          <w:pgMar w:left="1440" w:top="1440" w:right="1440" w:bottom="1440" w:gutter="0" w:footer="0" w:header="0"/>
          <w:type w:val="continuous"/>
        </w:sectPr>
      </w:pPr>
    </w:p>
    <w:bookmarkStart w:id="72" w:name="page73"/>
    <w:bookmarkEnd w:id="72"/>
    <w:p>
      <w:pPr>
        <w:spacing w:after="0" w:line="311" w:lineRule="exact"/>
        <w:rPr>
          <w:sz w:val="20"/>
          <w:szCs w:val="20"/>
          <w:color w:val="auto"/>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New product invention or innovation;</w:t>
      </w:r>
    </w:p>
    <w:p>
      <w:pPr>
        <w:spacing w:after="0" w:line="21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Attainment of research and development milestones;</w:t>
      </w:r>
    </w:p>
    <w:p>
      <w:pPr>
        <w:spacing w:after="0" w:line="229"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Improvements in productivity;</w:t>
      </w:r>
    </w:p>
    <w:p>
      <w:pPr>
        <w:spacing w:after="0" w:line="202"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Bookings;</w:t>
      </w:r>
    </w:p>
    <w:p>
      <w:pPr>
        <w:spacing w:after="0" w:line="20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Attainment of objective operating goals and employee metrics;</w:t>
      </w:r>
    </w:p>
    <w:p>
      <w:pPr>
        <w:spacing w:after="0" w:line="215"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Sales;</w:t>
      </w:r>
    </w:p>
    <w:p>
      <w:pPr>
        <w:spacing w:after="0" w:line="22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Expenses;</w:t>
      </w:r>
    </w:p>
    <w:p>
      <w:pPr>
        <w:spacing w:after="0" w:line="22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Balance of cash, cash equivalents and marketable securities;</w:t>
      </w:r>
    </w:p>
    <w:p>
      <w:pPr>
        <w:spacing w:after="0" w:line="21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Completion of an identified special project;</w:t>
      </w:r>
    </w:p>
    <w:p>
      <w:pPr>
        <w:spacing w:after="0" w:line="22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Completion of a joint venture or other corporate transaction;</w:t>
      </w:r>
    </w:p>
    <w:p>
      <w:pPr>
        <w:spacing w:after="0" w:line="21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Employee satisfaction and/or retention;</w:t>
      </w:r>
    </w:p>
    <w:p>
      <w:pPr>
        <w:spacing w:after="0" w:line="22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Research and development expenses;</w:t>
      </w:r>
    </w:p>
    <w:p>
      <w:pPr>
        <w:spacing w:after="0" w:line="22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Working capital targets and changes in working capital; and</w:t>
      </w:r>
    </w:p>
    <w:p>
      <w:pPr>
        <w:spacing w:after="0" w:line="215"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other metric that is capable of measurement as determined by the Committee.</w:t>
      </w:r>
    </w:p>
    <w:p>
      <w:pPr>
        <w:spacing w:after="0" w:line="189" w:lineRule="exact"/>
        <w:rPr>
          <w:sz w:val="20"/>
          <w:szCs w:val="20"/>
          <w:color w:val="auto"/>
        </w:rPr>
      </w:pPr>
    </w:p>
    <w:p>
      <w:pPr>
        <w:ind w:right="220" w:firstLine="648"/>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9"/>
          <w:szCs w:val="19"/>
          <w:color w:val="auto"/>
        </w:rPr>
        <w:t>Committee may, in recognition of unusual or non-recurring items such as acquisition-related activities or changes in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accounting rules, provide for one or more equitable adjustments (based on objective standards) to the Performance Factors to preserve the Committee’s original intent regarding the Performance Factors at the time of the initial award grant. It is within the sole discretion of the Committee to make or not make any such equitable adjustments.</w:t>
      </w:r>
    </w:p>
    <w:p>
      <w:pPr>
        <w:spacing w:after="0" w:line="15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28.30.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Performance Period</w:t>
      </w:r>
      <w:r>
        <w:rPr>
          <w:rFonts w:ascii="Times New Roman" w:cs="Times New Roman" w:eastAsia="Times New Roman" w:hAnsi="Times New Roman"/>
          <w:sz w:val="20"/>
          <w:szCs w:val="20"/>
          <w:color w:val="000000"/>
        </w:rPr>
        <w:t>” means one or more periods of time, which may be of varying and overlapping durations, as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Committee may select, over which the attainment of one or more Performance Factors will be measured for the purpose of determining a Participant’s right to, and the payment of, a Performance Award.</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28.31.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Performance Share</w:t>
      </w:r>
      <w:r>
        <w:rPr>
          <w:rFonts w:ascii="Times New Roman" w:cs="Times New Roman" w:eastAsia="Times New Roman" w:hAnsi="Times New Roman"/>
          <w:sz w:val="20"/>
          <w:szCs w:val="20"/>
          <w:color w:val="000000"/>
        </w:rPr>
        <w:t>” means an Award granted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10</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12</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 the Plan, the payment of which is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contingent upon achieving certain performance goals established by the Committee.</w:t>
      </w:r>
    </w:p>
    <w:p>
      <w:pPr>
        <w:spacing w:after="0" w:line="15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28.32.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Performance Unit”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means a right granted to a Participant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10</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12</w:t>
      </w:r>
      <w:r>
        <w:rPr>
          <w:rFonts w:ascii="Times New Roman" w:cs="Times New Roman" w:eastAsia="Times New Roman" w:hAnsi="Times New Roman"/>
          <w:sz w:val="20"/>
          <w:szCs w:val="20"/>
          <w:color w:val="000000"/>
        </w:rPr>
        <w:t>, to receive Shares,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payment of which is contingent upon achieving certain performance goals 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73" w:name="page74"/>
    <w:bookmarkEnd w:id="73"/>
    <w:p>
      <w:pPr>
        <w:spacing w:after="0" w:line="30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010000"/>
        </w:rPr>
        <w:t xml:space="preserve">28.33.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Permitted Transferee</w:t>
      </w:r>
      <w:r>
        <w:rPr>
          <w:rFonts w:ascii="Times New Roman" w:cs="Times New Roman" w:eastAsia="Times New Roman" w:hAnsi="Times New Roman"/>
          <w:sz w:val="20"/>
          <w:szCs w:val="20"/>
          <w:color w:val="000000"/>
        </w:rPr>
        <w:t>” means any child, stepchild, grandchild, parent, stepparent, grandparent, spouse, former spouse,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sibling, niece, nephew, mother-in-law, father-in-law, son-in-law, daughter-in-law, brother-in-law, or sister-in-law (including adoptive</w:t>
      </w:r>
    </w:p>
    <w:p>
      <w:pPr>
        <w:spacing w:after="0" w:line="2"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20"/>
          <w:szCs w:val="20"/>
          <w:color w:val="auto"/>
        </w:rPr>
        <w:t>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28.34.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Plan</w:t>
      </w:r>
      <w:r>
        <w:rPr>
          <w:rFonts w:ascii="Times New Roman" w:cs="Times New Roman" w:eastAsia="Times New Roman" w:hAnsi="Times New Roman"/>
          <w:sz w:val="20"/>
          <w:szCs w:val="20"/>
          <w:color w:val="000000"/>
        </w:rPr>
        <w:t>” means this AnaptysBio, Inc. Amended and Restated 2017 Equity Incentive Plan.</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28.35.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Purchase Price</w:t>
      </w:r>
      <w:r>
        <w:rPr>
          <w:rFonts w:ascii="Times New Roman" w:cs="Times New Roman" w:eastAsia="Times New Roman" w:hAnsi="Times New Roman"/>
          <w:sz w:val="20"/>
          <w:szCs w:val="20"/>
          <w:color w:val="000000"/>
        </w:rPr>
        <w:t>” means the price to be paid for Shares acquired under the Plan, other than Shares acquired upon exercise of</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an Option or SAR.</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28.36.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Restricted Stock Award</w:t>
      </w:r>
      <w:r>
        <w:rPr>
          <w:rFonts w:ascii="Times New Roman" w:cs="Times New Roman" w:eastAsia="Times New Roman" w:hAnsi="Times New Roman"/>
          <w:sz w:val="20"/>
          <w:szCs w:val="20"/>
          <w:color w:val="000000"/>
        </w:rPr>
        <w:t>” means an award of Shares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6</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12</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 the Plan, or issued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early exercise of an Option.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28.37.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Restricted Stock Unit</w:t>
      </w:r>
      <w:r>
        <w:rPr>
          <w:rFonts w:ascii="Times New Roman" w:cs="Times New Roman" w:eastAsia="Times New Roman" w:hAnsi="Times New Roman"/>
          <w:sz w:val="20"/>
          <w:szCs w:val="20"/>
          <w:color w:val="000000"/>
        </w:rPr>
        <w:t>” means an Award granted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9</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12</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 the Plan.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28.38.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SEC</w:t>
      </w:r>
      <w:r>
        <w:rPr>
          <w:rFonts w:ascii="Times New Roman" w:cs="Times New Roman" w:eastAsia="Times New Roman" w:hAnsi="Times New Roman"/>
          <w:sz w:val="20"/>
          <w:szCs w:val="20"/>
          <w:color w:val="000000"/>
        </w:rPr>
        <w:t>” means the United States Securities and Exchange Commission.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28.39.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Securities Act</w:t>
      </w:r>
      <w:r>
        <w:rPr>
          <w:rFonts w:ascii="Times New Roman" w:cs="Times New Roman" w:eastAsia="Times New Roman" w:hAnsi="Times New Roman"/>
          <w:sz w:val="20"/>
          <w:szCs w:val="20"/>
          <w:color w:val="000000"/>
        </w:rPr>
        <w:t>” means the United States Securities Act of 1933, as amended.</w:t>
      </w:r>
    </w:p>
    <w:p>
      <w:pPr>
        <w:spacing w:after="0" w:line="20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b w:val="1"/>
          <w:bCs w:val="1"/>
          <w:color w:val="010000"/>
        </w:rPr>
        <w:t xml:space="preserve">28.40.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Service</w:t>
      </w:r>
      <w:r>
        <w:rPr>
          <w:rFonts w:ascii="Times New Roman" w:cs="Times New Roman" w:eastAsia="Times New Roman" w:hAnsi="Times New Roman"/>
          <w:sz w:val="20"/>
          <w:szCs w:val="20"/>
          <w:color w:val="000000"/>
        </w:rPr>
        <w:t>” shall mean service as an Employee, Consultant, Director or Non-Employee Director, to the Company or a Parent,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Subsidiary or Affiliate, subject to such further limitations as may be set forth in the Plan or the applicable Award Agreement. An Employee will not be deemed to have ceased to provide Service in the case of (a) sick leave, (b) military leave, or (c) any other leave of absence approved by the Company;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such leave is for a period of not more than 90 days (x) unless reemployment upon the expiration of such leave is guaranteed by contract or statute, or (y) unless provided otherwise pursuant to formal policy adopted from time to time by the Company and issued and promulgated to employees in writing. In the case of any Employee on a leave of absence or a reduction in hours worked (for illustrative purposes only, a change in schedule from that of full-time to part-time), the Committee may make such provisions respecting suspension of or modification of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military leave, he or she shall be given vesting credit with respect to Awards to the same extent as would have applied had the Participant continued to provide services to the Company throughout the leave on the same terms as he or she was providing services immediately prior to such leave. An employee shall have terminated employment as of the date he or she ceases provide services (regardless of whether the termination is in breach of local employment laws or is later found to be invalid) and employment shall not be extended by any notice period or garden leave mandated by local law, </w:t>
      </w:r>
      <w:r>
        <w:rPr>
          <w:rFonts w:ascii="Times New Roman" w:cs="Times New Roman" w:eastAsia="Times New Roman" w:hAnsi="Times New Roman"/>
          <w:sz w:val="20"/>
          <w:szCs w:val="20"/>
          <w:i w:val="1"/>
          <w:iCs w:val="1"/>
          <w:color w:val="000000"/>
        </w:rPr>
        <w:t>provided however</w:t>
      </w:r>
      <w:r>
        <w:rPr>
          <w:rFonts w:ascii="Times New Roman" w:cs="Times New Roman" w:eastAsia="Times New Roman" w:hAnsi="Times New Roman"/>
          <w:sz w:val="20"/>
          <w:szCs w:val="20"/>
          <w:color w:val="000000"/>
        </w:rPr>
        <w:t>, that a change in status from an employee to a consultant or advisor shall not terminate the service provider’s Service, unless determined by the Committee, in its discretion. The Committee will have sole discretion to determine whether a Participant has ceased to provide Services and the effective date on which the Participant ceased to provide Services.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28.41.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Shares</w:t>
      </w:r>
      <w:r>
        <w:rPr>
          <w:rFonts w:ascii="Times New Roman" w:cs="Times New Roman" w:eastAsia="Times New Roman" w:hAnsi="Times New Roman"/>
          <w:sz w:val="20"/>
          <w:szCs w:val="20"/>
          <w:color w:val="000000"/>
        </w:rPr>
        <w:t>” means shares of the Company’s Common Stock and the common stock of any successor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74" w:name="page75"/>
    <w:bookmarkEnd w:id="74"/>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28.42.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Stock Appreciation Right</w:t>
      </w:r>
      <w:r>
        <w:rPr>
          <w:rFonts w:ascii="Times New Roman" w:cs="Times New Roman" w:eastAsia="Times New Roman" w:hAnsi="Times New Roman"/>
          <w:sz w:val="20"/>
          <w:szCs w:val="20"/>
          <w:color w:val="000000"/>
        </w:rPr>
        <w:t>” means an Award granted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8</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12</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 the Plan.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28.43.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Stock Bonus</w:t>
      </w:r>
      <w:r>
        <w:rPr>
          <w:rFonts w:ascii="Times New Roman" w:cs="Times New Roman" w:eastAsia="Times New Roman" w:hAnsi="Times New Roman"/>
          <w:sz w:val="20"/>
          <w:szCs w:val="20"/>
          <w:color w:val="000000"/>
        </w:rPr>
        <w:t>” means an Award granted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7</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12</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 the Plan.</w:t>
      </w:r>
    </w:p>
    <w:p>
      <w:pPr>
        <w:spacing w:after="0" w:line="202"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28.44.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Subsidiary</w:t>
      </w:r>
      <w:r>
        <w:rPr>
          <w:rFonts w:ascii="Times New Roman" w:cs="Times New Roman" w:eastAsia="Times New Roman" w:hAnsi="Times New Roman"/>
          <w:sz w:val="20"/>
          <w:szCs w:val="20"/>
          <w:color w:val="000000"/>
        </w:rPr>
        <w:t>” means any corporation (other than the Company) in an unbroken chain of corporations beginning with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010000"/>
        </w:rPr>
        <w:t xml:space="preserve">28.45.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Treasury Regulations</w:t>
      </w:r>
      <w:r>
        <w:rPr>
          <w:rFonts w:ascii="Times New Roman" w:cs="Times New Roman" w:eastAsia="Times New Roman" w:hAnsi="Times New Roman"/>
          <w:sz w:val="20"/>
          <w:szCs w:val="20"/>
          <w:color w:val="000000"/>
        </w:rPr>
        <w:t>” means regulations promulgated by the United States Treasury Department.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010000"/>
        </w:rPr>
        <w:t xml:space="preserve">28.46.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Unvested Shares</w:t>
      </w:r>
      <w:r>
        <w:rPr>
          <w:rFonts w:ascii="Times New Roman" w:cs="Times New Roman" w:eastAsia="Times New Roman" w:hAnsi="Times New Roman"/>
          <w:sz w:val="20"/>
          <w:szCs w:val="20"/>
          <w:color w:val="000000"/>
        </w:rPr>
        <w:t>” means Shares that have not yet vested or are subject to a right of repurchase in favor of the Company (or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1040765</wp:posOffset>
            </wp:positionV>
            <wp:extent cx="5349240" cy="6917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748665</wp:posOffset>
            </wp:positionV>
            <wp:extent cx="5511800" cy="7132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511800" cy="7132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1."/>
      <w:numFmt w:val="decimal"/>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1)"/>
      <w:numFmt w:val="lowerRoman"/>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3"/>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upperLetter"/>
      <w:start w:val="35"/>
    </w:lvl>
  </w:abstractNum>
  <w:abstractNum w:abstractNumId="32">
    <w:nsid w:val="310C50B3"/>
    <w:multiLevelType w:val="hybridMultilevel"/>
    <w:lvl w:ilvl="0">
      <w:lvlJc w:val="left"/>
      <w:lvlText w:val="%1."/>
      <w:numFmt w:val="lowerRoman"/>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4"/>
    </w:lvl>
  </w:abstractNum>
  <w:abstractNum w:abstractNumId="37">
    <w:nsid w:val="4AD084E9"/>
    <w:multiLevelType w:val="hybridMultilevel"/>
    <w:lvl w:ilvl="0">
      <w:lvlJc w:val="left"/>
      <w:lvlText w:val="(%1)"/>
      <w:numFmt w:val="decimal"/>
      <w:start w:val="1"/>
    </w:lvl>
    <w:lvl w:ilvl="1">
      <w:lvlJc w:val="left"/>
      <w:lvlText w:val="\endash "/>
      <w:numFmt w:val="bullet"/>
      <w:start w:val="1"/>
    </w:lvl>
  </w:abstractNum>
  <w:abstractNum w:abstractNumId="38">
    <w:nsid w:val="1F48EAA1"/>
    <w:multiLevelType w:val="hybridMultilevel"/>
    <w:lvl w:ilvl="0">
      <w:lvlJc w:val="left"/>
      <w:lvlText w:val="\endash "/>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1)"/>
      <w:numFmt w:val="decimal"/>
      <w:start w:val="6"/>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7"/>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3"/>
    </w:lvl>
  </w:abstractNum>
  <w:abstractNum w:abstractNumId="68">
    <w:nsid w:val="14330624"/>
    <w:multiLevelType w:val="hybridMultilevel"/>
    <w:lvl w:ilvl="0">
      <w:lvlJc w:val="left"/>
      <w:lvlText w:val="(%1)"/>
      <w:numFmt w:val="lowerLetter"/>
      <w:start w:val="1"/>
    </w:lvl>
  </w:abstractNum>
  <w:abstractNum w:abstractNumId="69">
    <w:nsid w:val="7FFFCA11"/>
    <w:multiLevelType w:val="hybridMultilevel"/>
    <w:lvl w:ilvl="0">
      <w:lvlJc w:val="left"/>
      <w:lvlText w:val="(%1)"/>
      <w:numFmt w:val="lowerLetter"/>
      <w:start w:val="2"/>
    </w:lvl>
  </w:abstractNum>
  <w:abstractNum w:abstractNumId="70">
    <w:nsid w:val="1A27709E"/>
    <w:multiLevelType w:val="hybridMultilevel"/>
    <w:lvl w:ilvl="0">
      <w:lvlJc w:val="left"/>
      <w:lvlText w:val="(%1)"/>
      <w:numFmt w:val="lowerLetter"/>
      <w:start w:val="11"/>
    </w:lvl>
  </w:abstractNum>
  <w:abstractNum w:abstractNumId="71">
    <w:nsid w:val="71EA1109"/>
    <w:multiLevelType w:val="hybridMultilevel"/>
    <w:lvl w:ilvl="0">
      <w:lvlJc w:val="left"/>
      <w:lvlText w:val="%1."/>
      <w:numFmt w:val="decimal"/>
      <w:start w:val="5"/>
    </w:lvl>
  </w:abstractNum>
  <w:abstractNum w:abstractNumId="72">
    <w:nsid w:val="100F59DC"/>
    <w:multiLevelType w:val="hybridMultilevel"/>
    <w:lvl w:ilvl="0">
      <w:lvlJc w:val="left"/>
      <w:lvlText w:val="%1"/>
      <w:numFmt w:val="decimal"/>
      <w:start w:val="1"/>
    </w:lvl>
    <w:lvl w:ilvl="1">
      <w:lvlJc w:val="left"/>
      <w:lvlText w:val="(%2)"/>
      <w:numFmt w:val="lowerLetter"/>
      <w:start w:val="1"/>
    </w:lvl>
  </w:abstractNum>
  <w:abstractNum w:abstractNumId="73">
    <w:nsid w:val="7FB7E0AA"/>
    <w:multiLevelType w:val="hybridMultilevel"/>
    <w:lvl w:ilvl="0">
      <w:lvlJc w:val="left"/>
      <w:lvlText w:val="(%1)"/>
      <w:numFmt w:val="decimal"/>
      <w:start w:val="3"/>
    </w:lvl>
    <w:lvl w:ilvl="1">
      <w:lvlJc w:val="left"/>
      <w:lvlText w:val="(%2)"/>
      <w:numFmt w:val="lowerLetter"/>
      <w:start w:val="2"/>
    </w:lvl>
  </w:abstractNum>
  <w:abstractNum w:abstractNumId="74">
    <w:nsid w:val="6EB5BD4"/>
    <w:multiLevelType w:val="hybridMultilevel"/>
    <w:lvl w:ilvl="0">
      <w:lvlJc w:val="left"/>
      <w:lvlText w:val="%1."/>
      <w:numFmt w:val="decimal"/>
      <w:start w:val="6"/>
    </w:lvl>
  </w:abstractNum>
  <w:abstractNum w:abstractNumId="75">
    <w:nsid w:val="6F6DD9AC"/>
    <w:multiLevelType w:val="hybridMultilevel"/>
    <w:lvl w:ilvl="0">
      <w:lvlJc w:val="left"/>
      <w:lvlText w:val="%1."/>
      <w:numFmt w:val="decimal"/>
      <w:start w:val="7"/>
    </w:lvl>
  </w:abstractNum>
  <w:abstractNum w:abstractNumId="76">
    <w:nsid w:val="94211F2"/>
    <w:multiLevelType w:val="hybridMultilevel"/>
    <w:lvl w:ilvl="0">
      <w:lvlJc w:val="left"/>
      <w:lvlText w:val="%1."/>
      <w:numFmt w:val="decimal"/>
      <w:start w:val="8"/>
    </w:lvl>
  </w:abstractNum>
  <w:abstractNum w:abstractNumId="77">
    <w:nsid w:val="885E1B"/>
    <w:multiLevelType w:val="hybridMultilevel"/>
    <w:lvl w:ilvl="0">
      <w:lvlJc w:val="left"/>
      <w:lvlText w:val="%1."/>
      <w:numFmt w:val="decimal"/>
      <w:start w:val="9"/>
    </w:lvl>
  </w:abstractNum>
  <w:abstractNum w:abstractNumId="78">
    <w:nsid w:val="76272110"/>
    <w:multiLevelType w:val="hybridMultilevel"/>
    <w:lvl w:ilvl="0">
      <w:lvlJc w:val="left"/>
      <w:lvlText w:val="(%1)"/>
      <w:numFmt w:val="lowerLetter"/>
      <w:start w:val="26"/>
    </w:lvl>
  </w:abstractNum>
  <w:abstractNum w:abstractNumId="79">
    <w:nsid w:val="4C04A8AF"/>
    <w:multiLevelType w:val="hybridMultilevel"/>
    <w:lvl w:ilvl="0">
      <w:lvlJc w:val="left"/>
      <w:lvlText w:val="%1."/>
      <w:numFmt w:val="decimal"/>
      <w:start w:val="10"/>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decimal"/>
      <w:start w:val="11"/>
    </w:lvl>
    <w:lvl w:ilvl="1">
      <w:lvlJc w:val="left"/>
      <w:lvlText w:val="(%2)"/>
      <w:numFmt w:val="lowerLetter"/>
      <w:start w:val="1"/>
    </w:lvl>
  </w:abstractNum>
  <w:abstractNum w:abstractNumId="82">
    <w:nsid w:val="3222E7CD"/>
    <w:multiLevelType w:val="hybridMultilevel"/>
    <w:lvl w:ilvl="0">
      <w:lvlJc w:val="left"/>
      <w:lvlText w:val="%1."/>
      <w:numFmt w:val="decimal"/>
      <w:start w:val="13"/>
    </w:lvl>
  </w:abstractNum>
  <w:abstractNum w:abstractNumId="83">
    <w:nsid w:val="74DE0EE3"/>
    <w:multiLevelType w:val="hybridMultilevel"/>
    <w:lvl w:ilvl="0">
      <w:lvlJc w:val="left"/>
      <w:lvlText w:val="%1."/>
      <w:numFmt w:val="decimal"/>
      <w:start w:val="14"/>
    </w:lvl>
  </w:abstractNum>
  <w:abstractNum w:abstractNumId="84">
    <w:nsid w:val="68EBC550"/>
    <w:multiLevelType w:val="hybridMultilevel"/>
    <w:lvl w:ilvl="0">
      <w:lvlJc w:val="left"/>
      <w:lvlText w:val="%1."/>
      <w:numFmt w:val="decimal"/>
      <w:start w:val="15"/>
    </w:lvl>
  </w:abstractNum>
  <w:abstractNum w:abstractNumId="85">
    <w:nsid w:val="2DF6D648"/>
    <w:multiLevelType w:val="hybridMultilevel"/>
    <w:lvl w:ilvl="0">
      <w:lvlJc w:val="left"/>
      <w:lvlText w:val="%1."/>
      <w:numFmt w:val="decimal"/>
      <w:start w:val="16"/>
    </w:lvl>
  </w:abstractNum>
  <w:abstractNum w:abstractNumId="86">
    <w:nsid w:val="46B7D447"/>
    <w:multiLevelType w:val="hybridMultilevel"/>
    <w:lvl w:ilvl="0">
      <w:lvlJc w:val="left"/>
      <w:lvlText w:val="%1."/>
      <w:numFmt w:val="decimal"/>
      <w:start w:val="20"/>
    </w:lvl>
  </w:abstractNum>
  <w:abstractNum w:abstractNumId="87">
    <w:nsid w:val="4A2AC315"/>
    <w:multiLevelType w:val="hybridMultilevel"/>
    <w:lvl w:ilvl="0">
      <w:lvlJc w:val="left"/>
      <w:lvlText w:val="%1."/>
      <w:numFmt w:val="decimal"/>
      <w:start w:val="22"/>
    </w:lvl>
  </w:abstractNum>
  <w:abstractNum w:abstractNumId="88">
    <w:nsid w:val="39EE015C"/>
    <w:multiLevelType w:val="hybridMultilevel"/>
    <w:lvl w:ilvl="0">
      <w:lvlJc w:val="left"/>
      <w:lvlText w:val="%1."/>
      <w:numFmt w:val="decimal"/>
      <w:start w:val="23"/>
    </w:lvl>
  </w:abstractNum>
  <w:abstractNum w:abstractNumId="89">
    <w:nsid w:val="57FC4FBB"/>
    <w:multiLevelType w:val="hybridMultilevel"/>
    <w:lvl w:ilvl="0">
      <w:lvlJc w:val="left"/>
      <w:lvlText w:val="(%1)"/>
      <w:numFmt w:val="lowerLetter"/>
      <w:start w:val="1"/>
    </w:lvl>
  </w:abstractNum>
  <w:abstractNum w:abstractNumId="90">
    <w:nsid w:val="CC1016F"/>
    <w:multiLevelType w:val="hybridMultilevel"/>
    <w:lvl w:ilvl="0">
      <w:lvlJc w:val="left"/>
      <w:lvlText w:val="(%1)"/>
      <w:numFmt w:val="lowerLetter"/>
      <w:start w:val="2"/>
    </w:lvl>
  </w:abstractNum>
  <w:abstractNum w:abstractNumId="91">
    <w:nsid w:val="43F18422"/>
    <w:multiLevelType w:val="hybridMultilevel"/>
    <w:lvl w:ilvl="0">
      <w:lvlJc w:val="left"/>
      <w:lvlText w:val="(%1)"/>
      <w:numFmt w:val="lowerLetter"/>
      <w:start w:val="1"/>
    </w:lvl>
  </w:abstractNum>
  <w:abstractNum w:abstractNumId="92">
    <w:nsid w:val="60EF0119"/>
    <w:multiLevelType w:val="hybridMultilevel"/>
    <w:lvl w:ilvl="0">
      <w:lvlJc w:val="left"/>
      <w:lvlText w:val="(%1)"/>
      <w:numFmt w:val="lowerLetter"/>
      <w:start w:val="7"/>
    </w:lvl>
  </w:abstractNum>
  <w:abstractNum w:abstractNumId="93">
    <w:nsid w:val="26F324BA"/>
    <w:multiLevelType w:val="hybridMultilevel"/>
    <w:lvl w:ilvl="0">
      <w:lvlJc w:val="left"/>
      <w:lvlText w:val="(%1)"/>
      <w:numFmt w:val="lowerLetter"/>
      <w:start w:val="27"/>
    </w:lvl>
  </w:abstractNum>
  <w:abstractNum w:abstractNumId="94">
    <w:nsid w:val="7F01579B"/>
    <w:multiLevelType w:val="hybridMultilevel"/>
    <w:lvl w:ilvl="0">
      <w:lvlJc w:val="left"/>
      <w:lvlText w:val="(%1)"/>
      <w:numFmt w:val="lowerLetter"/>
      <w:start w:val="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2024-04-24T15:23:16Z</dcterms:created>
  <dcterms:modified xsi:type="dcterms:W3CDTF">2024-04-24T15:23:16Z</dcterms:modified>
</cp:coreProperties>
</file>