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60"/>
        <w:spacing w:after="0"/>
        <w:rPr>
          <w:sz w:val="20"/>
          <w:szCs w:val="20"/>
          <w:color w:val="auto"/>
        </w:rPr>
      </w:pPr>
      <w:r>
        <w:rPr>
          <w:rFonts w:ascii="Arial" w:cs="Arial" w:eastAsia="Arial" w:hAnsi="Arial"/>
          <w:sz w:val="20"/>
          <w:szCs w:val="20"/>
          <w:b w:val="1"/>
          <w:bCs w:val="1"/>
          <w:color w:val="auto"/>
        </w:rPr>
        <w:t>Date of Report: June 17, 2021</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8"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On June 17, 2021, AnaptysBio, Inc. (the “Company”) held its 2021 Annual Meeting of Stockholders and the following proposals were adopted:</w:t>
      </w:r>
    </w:p>
    <w:p>
      <w:pPr>
        <w:spacing w:after="0" w:line="204" w:lineRule="exact"/>
        <w:rPr>
          <w:sz w:val="20"/>
          <w:szCs w:val="20"/>
          <w:color w:val="auto"/>
        </w:rPr>
      </w:pPr>
    </w:p>
    <w:p>
      <w:pPr>
        <w:ind w:left="660" w:right="60" w:hanging="328"/>
        <w:spacing w:after="0" w:line="25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Election of three Class I directors, Dennis Fenton, Ph.D., James Topper, M.D., Ph.D., and Oleg Nodelman, each to serve a three-year term, which will expire at the 2024 Annual Meeting of Stockholders or until such time as his respective successor have been duly elected and qualified or until such director's earlier resignation or removal:</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280" w:type="dxa"/>
            <w:vAlign w:val="bottom"/>
            <w:gridSpan w:val="2"/>
            <w:vMerge w:val="restart"/>
          </w:tcPr>
          <w:p>
            <w:pPr>
              <w:jc w:val="center"/>
              <w:ind w:left="443"/>
              <w:spacing w:after="0"/>
              <w:rPr>
                <w:sz w:val="20"/>
                <w:szCs w:val="20"/>
                <w:color w:val="auto"/>
              </w:rPr>
            </w:pPr>
            <w:r>
              <w:rPr>
                <w:rFonts w:ascii="Arial" w:cs="Arial" w:eastAsia="Arial" w:hAnsi="Arial"/>
                <w:sz w:val="18"/>
                <w:szCs w:val="18"/>
                <w:b w:val="1"/>
                <w:bCs w:val="1"/>
                <w:color w:val="auto"/>
                <w:w w:val="85"/>
              </w:rPr>
              <w:t>Nominees</w:t>
            </w:r>
          </w:p>
        </w:tc>
        <w:tc>
          <w:tcPr>
            <w:tcW w:w="2280" w:type="dxa"/>
            <w:vAlign w:val="bottom"/>
            <w:gridSpan w:val="2"/>
            <w:vMerge w:val="restart"/>
          </w:tcPr>
          <w:p>
            <w:pPr>
              <w:ind w:left="980"/>
              <w:spacing w:after="0"/>
              <w:rPr>
                <w:sz w:val="20"/>
                <w:szCs w:val="20"/>
                <w:color w:val="auto"/>
              </w:rPr>
            </w:pPr>
            <w:r>
              <w:rPr>
                <w:rFonts w:ascii="Arial" w:cs="Arial" w:eastAsia="Arial" w:hAnsi="Arial"/>
                <w:sz w:val="18"/>
                <w:szCs w:val="18"/>
                <w:b w:val="1"/>
                <w:bCs w:val="1"/>
                <w:color w:val="auto"/>
              </w:rPr>
              <w:t>Shares For</w:t>
            </w:r>
          </w:p>
        </w:tc>
        <w:tc>
          <w:tcPr>
            <w:tcW w:w="2260" w:type="dxa"/>
            <w:vAlign w:val="bottom"/>
            <w:gridSpan w:val="2"/>
          </w:tcPr>
          <w:p>
            <w:pPr>
              <w:ind w:left="1140"/>
              <w:spacing w:after="0"/>
              <w:rPr>
                <w:sz w:val="20"/>
                <w:szCs w:val="20"/>
                <w:color w:val="auto"/>
              </w:rPr>
            </w:pPr>
            <w:r>
              <w:rPr>
                <w:rFonts w:ascii="Arial" w:cs="Arial" w:eastAsia="Arial" w:hAnsi="Arial"/>
                <w:sz w:val="18"/>
                <w:szCs w:val="18"/>
                <w:b w:val="1"/>
                <w:bCs w:val="1"/>
                <w:color w:val="auto"/>
              </w:rPr>
              <w:t>Shares</w:t>
            </w:r>
          </w:p>
        </w:tc>
        <w:tc>
          <w:tcPr>
            <w:tcW w:w="2160" w:type="dxa"/>
            <w:vAlign w:val="bottom"/>
            <w:vMerge w:val="restart"/>
          </w:tcPr>
          <w:p>
            <w:pPr>
              <w:jc w:val="center"/>
              <w:ind w:left="57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30"/>
        </w:trPr>
        <w:tc>
          <w:tcPr>
            <w:tcW w:w="3280" w:type="dxa"/>
            <w:vAlign w:val="bottom"/>
            <w:gridSpan w:val="2"/>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260" w:type="dxa"/>
            <w:vAlign w:val="bottom"/>
            <w:gridSpan w:val="2"/>
          </w:tcPr>
          <w:p>
            <w:pPr>
              <w:ind w:left="260"/>
              <w:spacing w:after="0"/>
              <w:rPr>
                <w:sz w:val="20"/>
                <w:szCs w:val="20"/>
                <w:color w:val="auto"/>
              </w:rPr>
            </w:pPr>
            <w:r>
              <w:rPr>
                <w:rFonts w:ascii="Arial" w:cs="Arial" w:eastAsia="Arial" w:hAnsi="Arial"/>
                <w:sz w:val="18"/>
                <w:szCs w:val="18"/>
                <w:b w:val="1"/>
                <w:bCs w:val="1"/>
                <w:color w:val="auto"/>
              </w:rPr>
              <w:t>Withheld/Abstaining</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jc w:val="center"/>
              <w:ind w:left="563"/>
              <w:spacing w:after="0"/>
              <w:rPr>
                <w:sz w:val="20"/>
                <w:szCs w:val="20"/>
                <w:color w:val="auto"/>
              </w:rPr>
            </w:pPr>
            <w:r>
              <w:rPr>
                <w:rFonts w:ascii="Arial" w:cs="Arial" w:eastAsia="Arial" w:hAnsi="Arial"/>
                <w:sz w:val="20"/>
                <w:szCs w:val="20"/>
                <w:color w:val="auto"/>
                <w:w w:val="88"/>
              </w:rPr>
              <w:t>Dennis Fenton, Ph.D.</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18,114,189</w:t>
            </w: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2,677,584</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2,879,451</w:t>
            </w:r>
          </w:p>
        </w:tc>
        <w:tc>
          <w:tcPr>
            <w:tcW w:w="0" w:type="dxa"/>
            <w:vAlign w:val="bottom"/>
          </w:tcPr>
          <w:p>
            <w:pPr>
              <w:spacing w:after="0"/>
              <w:rPr>
                <w:sz w:val="1"/>
                <w:szCs w:val="1"/>
                <w:color w:val="auto"/>
              </w:rPr>
            </w:pPr>
          </w:p>
        </w:tc>
      </w:tr>
      <w:tr>
        <w:trPr>
          <w:trHeight w:val="243"/>
        </w:trPr>
        <w:tc>
          <w:tcPr>
            <w:tcW w:w="3280" w:type="dxa"/>
            <w:vAlign w:val="bottom"/>
            <w:gridSpan w:val="2"/>
          </w:tcPr>
          <w:p>
            <w:pPr>
              <w:jc w:val="center"/>
              <w:ind w:left="443"/>
              <w:spacing w:after="0"/>
              <w:rPr>
                <w:sz w:val="20"/>
                <w:szCs w:val="20"/>
                <w:color w:val="auto"/>
              </w:rPr>
            </w:pPr>
            <w:r>
              <w:rPr>
                <w:rFonts w:ascii="Arial" w:cs="Arial" w:eastAsia="Arial" w:hAnsi="Arial"/>
                <w:sz w:val="20"/>
                <w:szCs w:val="20"/>
                <w:color w:val="auto"/>
                <w:w w:val="88"/>
              </w:rPr>
              <w:t>James Topper, M.D., Ph.D.</w:t>
            </w:r>
          </w:p>
        </w:tc>
        <w:tc>
          <w:tcPr>
            <w:tcW w:w="2160" w:type="dxa"/>
            <w:vAlign w:val="bottom"/>
          </w:tcPr>
          <w:p>
            <w:pPr>
              <w:ind w:left="1000"/>
              <w:spacing w:after="0"/>
              <w:rPr>
                <w:sz w:val="20"/>
                <w:szCs w:val="20"/>
                <w:color w:val="auto"/>
              </w:rPr>
            </w:pPr>
            <w:r>
              <w:rPr>
                <w:rFonts w:ascii="Arial" w:cs="Arial" w:eastAsia="Arial" w:hAnsi="Arial"/>
                <w:sz w:val="18"/>
                <w:szCs w:val="18"/>
                <w:color w:val="auto"/>
              </w:rPr>
              <w:t>18,036,482</w:t>
            </w:r>
          </w:p>
        </w:tc>
        <w:tc>
          <w:tcPr>
            <w:tcW w:w="120" w:type="dxa"/>
            <w:vAlign w:val="bottom"/>
          </w:tcPr>
          <w:p>
            <w:pPr>
              <w:spacing w:after="0"/>
              <w:rPr>
                <w:sz w:val="21"/>
                <w:szCs w:val="21"/>
                <w:color w:val="auto"/>
              </w:rPr>
            </w:pPr>
          </w:p>
        </w:tc>
        <w:tc>
          <w:tcPr>
            <w:tcW w:w="2140" w:type="dxa"/>
            <w:vAlign w:val="bottom"/>
          </w:tcPr>
          <w:p>
            <w:pPr>
              <w:jc w:val="center"/>
              <w:ind w:left="570"/>
              <w:spacing w:after="0"/>
              <w:rPr>
                <w:sz w:val="20"/>
                <w:szCs w:val="20"/>
                <w:color w:val="auto"/>
              </w:rPr>
            </w:pPr>
            <w:r>
              <w:rPr>
                <w:rFonts w:ascii="Arial" w:cs="Arial" w:eastAsia="Arial" w:hAnsi="Arial"/>
                <w:sz w:val="18"/>
                <w:szCs w:val="18"/>
                <w:color w:val="auto"/>
                <w:w w:val="89"/>
              </w:rPr>
              <w:t>2,755,291</w:t>
            </w:r>
          </w:p>
        </w:tc>
        <w:tc>
          <w:tcPr>
            <w:tcW w:w="120" w:type="dxa"/>
            <w:vAlign w:val="bottom"/>
          </w:tcPr>
          <w:p>
            <w:pPr>
              <w:spacing w:after="0"/>
              <w:rPr>
                <w:sz w:val="21"/>
                <w:szCs w:val="21"/>
                <w:color w:val="auto"/>
              </w:rPr>
            </w:pPr>
          </w:p>
        </w:tc>
        <w:tc>
          <w:tcPr>
            <w:tcW w:w="2160" w:type="dxa"/>
            <w:vAlign w:val="bottom"/>
          </w:tcPr>
          <w:p>
            <w:pPr>
              <w:jc w:val="center"/>
              <w:ind w:left="550"/>
              <w:spacing w:after="0"/>
              <w:rPr>
                <w:sz w:val="20"/>
                <w:szCs w:val="20"/>
                <w:color w:val="auto"/>
              </w:rPr>
            </w:pPr>
            <w:r>
              <w:rPr>
                <w:rFonts w:ascii="Arial" w:cs="Arial" w:eastAsia="Arial" w:hAnsi="Arial"/>
                <w:sz w:val="18"/>
                <w:szCs w:val="18"/>
                <w:color w:val="auto"/>
                <w:w w:val="89"/>
              </w:rPr>
              <w:t>2,879,451</w:t>
            </w: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jc w:val="center"/>
              <w:ind w:left="443"/>
              <w:spacing w:after="0"/>
              <w:rPr>
                <w:sz w:val="20"/>
                <w:szCs w:val="20"/>
                <w:color w:val="auto"/>
              </w:rPr>
            </w:pPr>
            <w:r>
              <w:rPr>
                <w:rFonts w:ascii="Arial" w:cs="Arial" w:eastAsia="Arial" w:hAnsi="Arial"/>
                <w:sz w:val="20"/>
                <w:szCs w:val="20"/>
                <w:color w:val="auto"/>
                <w:w w:val="90"/>
              </w:rPr>
              <w:t>Oleg Nodelman</w:t>
            </w:r>
          </w:p>
        </w:tc>
        <w:tc>
          <w:tcPr>
            <w:tcW w:w="21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20,772,618</w:t>
            </w: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0"/>
              </w:rPr>
              <w:t>19,155</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9"/>
              </w:rPr>
              <w:t>2,879,451</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60" w:right="28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Ratification of the appointment of KPMG LLP as the Company’s independent registered public accounting firm for the fiscal year ending December 31, 2021:</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300" w:type="dxa"/>
            <w:vAlign w:val="bottom"/>
            <w:gridSpan w:val="2"/>
            <w:vMerge w:val="restart"/>
          </w:tcPr>
          <w:p>
            <w:pPr>
              <w:ind w:left="1500"/>
              <w:spacing w:after="0"/>
              <w:rPr>
                <w:sz w:val="20"/>
                <w:szCs w:val="20"/>
                <w:color w:val="auto"/>
              </w:rPr>
            </w:pPr>
            <w:r>
              <w:rPr>
                <w:rFonts w:ascii="Arial" w:cs="Arial" w:eastAsia="Arial" w:hAnsi="Arial"/>
                <w:sz w:val="18"/>
                <w:szCs w:val="18"/>
                <w:b w:val="1"/>
                <w:bCs w:val="1"/>
                <w:color w:val="auto"/>
              </w:rPr>
              <w:t>Shares For</w:t>
            </w:r>
          </w:p>
        </w:tc>
        <w:tc>
          <w:tcPr>
            <w:tcW w:w="226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86"/>
              </w:rPr>
              <w:t>Shares Against</w:t>
            </w:r>
          </w:p>
        </w:tc>
        <w:tc>
          <w:tcPr>
            <w:tcW w:w="2260" w:type="dxa"/>
            <w:vAlign w:val="bottom"/>
            <w:gridSpan w:val="2"/>
          </w:tcPr>
          <w:p>
            <w:pPr>
              <w:ind w:left="1140"/>
              <w:spacing w:after="0"/>
              <w:rPr>
                <w:sz w:val="20"/>
                <w:szCs w:val="20"/>
                <w:color w:val="auto"/>
              </w:rPr>
            </w:pPr>
            <w:r>
              <w:rPr>
                <w:rFonts w:ascii="Arial" w:cs="Arial" w:eastAsia="Arial" w:hAnsi="Arial"/>
                <w:sz w:val="18"/>
                <w:szCs w:val="18"/>
                <w:b w:val="1"/>
                <w:bCs w:val="1"/>
                <w:color w:val="auto"/>
              </w:rPr>
              <w:t>Shares</w:t>
            </w:r>
          </w:p>
        </w:tc>
        <w:tc>
          <w:tcPr>
            <w:tcW w:w="2160" w:type="dxa"/>
            <w:vAlign w:val="bottom"/>
            <w:vMerge w:val="restart"/>
          </w:tcPr>
          <w:p>
            <w:pPr>
              <w:jc w:val="center"/>
              <w:ind w:left="57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30"/>
        </w:trPr>
        <w:tc>
          <w:tcPr>
            <w:tcW w:w="3300" w:type="dxa"/>
            <w:vAlign w:val="bottom"/>
            <w:gridSpan w:val="2"/>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2260" w:type="dxa"/>
            <w:vAlign w:val="bottom"/>
            <w:gridSpan w:val="2"/>
          </w:tcPr>
          <w:p>
            <w:pPr>
              <w:ind w:left="260"/>
              <w:spacing w:after="0"/>
              <w:rPr>
                <w:sz w:val="20"/>
                <w:szCs w:val="20"/>
                <w:color w:val="auto"/>
              </w:rPr>
            </w:pPr>
            <w:r>
              <w:rPr>
                <w:rFonts w:ascii="Arial" w:cs="Arial" w:eastAsia="Arial" w:hAnsi="Arial"/>
                <w:sz w:val="18"/>
                <w:szCs w:val="18"/>
                <w:b w:val="1"/>
                <w:bCs w:val="1"/>
                <w:color w:val="auto"/>
              </w:rPr>
              <w:t>Withheld/Abstaining</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23,645,851</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14,613</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10,761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Non-binding, advisory approval of compensation paid to the Company’s named executive officers: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300" w:type="dxa"/>
            <w:vAlign w:val="bottom"/>
            <w:gridSpan w:val="2"/>
            <w:vMerge w:val="restart"/>
          </w:tcPr>
          <w:p>
            <w:pPr>
              <w:ind w:left="1500"/>
              <w:spacing w:after="0"/>
              <w:rPr>
                <w:sz w:val="20"/>
                <w:szCs w:val="20"/>
                <w:color w:val="auto"/>
              </w:rPr>
            </w:pPr>
            <w:r>
              <w:rPr>
                <w:rFonts w:ascii="Arial" w:cs="Arial" w:eastAsia="Arial" w:hAnsi="Arial"/>
                <w:sz w:val="18"/>
                <w:szCs w:val="18"/>
                <w:b w:val="1"/>
                <w:bCs w:val="1"/>
                <w:color w:val="auto"/>
              </w:rPr>
              <w:t>Shares For</w:t>
            </w:r>
          </w:p>
        </w:tc>
        <w:tc>
          <w:tcPr>
            <w:tcW w:w="226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86"/>
              </w:rPr>
              <w:t>Shares Against</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6"/>
              </w:rPr>
              <w:t>Shares</w:t>
            </w:r>
          </w:p>
        </w:tc>
        <w:tc>
          <w:tcPr>
            <w:tcW w:w="27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2260" w:type="dxa"/>
            <w:vAlign w:val="bottom"/>
            <w:gridSpan w:val="2"/>
          </w:tcPr>
          <w:p>
            <w:pPr>
              <w:ind w:left="260"/>
              <w:spacing w:after="0"/>
              <w:rPr>
                <w:sz w:val="20"/>
                <w:szCs w:val="20"/>
                <w:color w:val="auto"/>
              </w:rPr>
            </w:pPr>
            <w:r>
              <w:rPr>
                <w:rFonts w:ascii="Arial" w:cs="Arial" w:eastAsia="Arial" w:hAnsi="Arial"/>
                <w:sz w:val="18"/>
                <w:szCs w:val="18"/>
                <w:b w:val="1"/>
                <w:bCs w:val="1"/>
                <w:color w:val="auto"/>
              </w:rPr>
              <w:t>Withheld/Abstaining</w:t>
            </w:r>
          </w:p>
        </w:tc>
        <w:tc>
          <w:tcPr>
            <w:tcW w:w="2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31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20,696,275</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91,221</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2,879,451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0"/>
        </w:trPr>
        <w:tc>
          <w:tcPr>
            <w:tcW w:w="6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900" w:type="dxa"/>
            <w:vAlign w:val="bottom"/>
          </w:tcPr>
          <w:p>
            <w:pPr>
              <w:spacing w:after="0"/>
              <w:rPr>
                <w:sz w:val="21"/>
                <w:szCs w:val="21"/>
                <w:color w:val="auto"/>
              </w:rPr>
            </w:pPr>
          </w:p>
        </w:tc>
        <w:tc>
          <w:tcPr>
            <w:tcW w:w="8320" w:type="dxa"/>
            <w:vAlign w:val="bottom"/>
            <w:gridSpan w:val="2"/>
          </w:tcPr>
          <w:p>
            <w:pPr>
              <w:ind w:left="1320"/>
              <w:spacing w:after="0"/>
              <w:rPr>
                <w:sz w:val="20"/>
                <w:szCs w:val="20"/>
                <w:color w:val="auto"/>
              </w:rPr>
            </w:pPr>
            <w:r>
              <w:rPr>
                <w:rFonts w:ascii="Arial" w:cs="Arial" w:eastAsia="Arial" w:hAnsi="Arial"/>
                <w:sz w:val="20"/>
                <w:szCs w:val="20"/>
                <w:color w:val="auto"/>
              </w:rPr>
              <w:t>AnaptysBio, Inc.</w:t>
            </w:r>
          </w:p>
        </w:tc>
      </w:tr>
      <w:tr>
        <w:trPr>
          <w:trHeight w:val="246"/>
        </w:trPr>
        <w:tc>
          <w:tcPr>
            <w:tcW w:w="2900" w:type="dxa"/>
            <w:vAlign w:val="bottom"/>
          </w:tcPr>
          <w:p>
            <w:pPr>
              <w:spacing w:after="0"/>
              <w:rPr>
                <w:sz w:val="20"/>
                <w:szCs w:val="20"/>
                <w:color w:val="auto"/>
              </w:rPr>
            </w:pPr>
            <w:r>
              <w:rPr>
                <w:rFonts w:ascii="Arial" w:cs="Arial" w:eastAsia="Arial" w:hAnsi="Arial"/>
                <w:sz w:val="20"/>
                <w:szCs w:val="20"/>
                <w:color w:val="auto"/>
              </w:rPr>
              <w:t>Date: June 17, 2021</w:t>
            </w:r>
          </w:p>
        </w:tc>
        <w:tc>
          <w:tcPr>
            <w:tcW w:w="8320" w:type="dxa"/>
            <w:vAlign w:val="bottom"/>
            <w:gridSpan w:val="2"/>
          </w:tcPr>
          <w:p>
            <w:pPr>
              <w:ind w:left="1320"/>
              <w:spacing w:after="0"/>
              <w:rPr>
                <w:sz w:val="20"/>
                <w:szCs w:val="20"/>
                <w:color w:val="auto"/>
              </w:rPr>
            </w:pPr>
            <w:r>
              <w:rPr>
                <w:rFonts w:ascii="Arial" w:cs="Arial" w:eastAsia="Arial" w:hAnsi="Arial"/>
                <w:sz w:val="20"/>
                <w:szCs w:val="20"/>
                <w:color w:val="auto"/>
              </w:rPr>
              <w:t>By:   /s/Eric Loumeau</w:t>
            </w:r>
          </w:p>
        </w:tc>
      </w:tr>
      <w:tr>
        <w:trPr>
          <w:trHeight w:val="254"/>
        </w:trPr>
        <w:tc>
          <w:tcPr>
            <w:tcW w:w="2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17"/>
                <w:szCs w:val="17"/>
                <w:color w:val="auto"/>
              </w:rPr>
              <w:t>Eric Loumeau</w:t>
            </w:r>
          </w:p>
        </w:tc>
      </w:tr>
      <w:tr>
        <w:trPr>
          <w:trHeight w:val="270"/>
        </w:trPr>
        <w:tc>
          <w:tcPr>
            <w:tcW w:w="2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17"/>
                <w:szCs w:val="17"/>
                <w:color w:val="auto"/>
              </w:rPr>
              <w:t>Chief Operating Officer and General Counsel</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2021-06-17T16:07:46Z</dcterms:created>
  <dcterms:modified xsi:type="dcterms:W3CDTF">2021-06-17T16:07:46Z</dcterms:modified>
</cp:coreProperties>
</file>